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B132B6">
      <w:pPr>
        <w:divId w:val="2002541849"/>
        <w:rPr>
          <w:rFonts w:eastAsia="Times New Roman"/>
          <w:vanish/>
        </w:rPr>
      </w:pPr>
      <w:r>
        <w:rPr>
          <w:rFonts w:eastAsia="Times New Roman"/>
          <w:vanish/>
        </w:rPr>
        <w:t>00008938472022FYfalseP5YP3Yhttp://fasb.org/us-gaap/2022#OtherNoninterestExpensehttp://fasb.org/us-gaap/2022#OtherNoninterestExpensehttp://fasb.org/us-gaap/2022#OtherNoninterestExpense</w:t>
      </w:r>
      <w:r>
        <w:rPr>
          <w:rFonts w:eastAsia="Times New Roman"/>
          <w:vanish/>
        </w:rPr>
        <w:t>http://fasb.org/us-gaap/2022#PropertyPlantAndEquipmentNethttp://fasb.org/us-gaap/2022#OtherNoninterestExpensehttp://fasb.org/us-gaap/2022#OtherNoninterestExpensehttp://fasb.org/us-gaap/2022#OtherNoninterestExpensehttp://fasb.org/us-gaap/2022#OtherNonintere</w:t>
      </w:r>
      <w:r>
        <w:rPr>
          <w:rFonts w:eastAsia="Times New Roman"/>
          <w:vanish/>
        </w:rPr>
        <w:t>stExpensehttp://fasb.org/us-gaap/2022#OtherNoninterestExpensehttp://fasb.org/us-gaap/2022#OtherNoninterestExpensehttp://fasb.org/us-gaap/2022#OtherNoninterestExpensehttp://fasb.org/us-gaap/2022#OtherNoninterestExpense00008938472022-01-012022-12-31000089384</w:t>
      </w:r>
      <w:r>
        <w:rPr>
          <w:rFonts w:eastAsia="Times New Roman"/>
          <w:vanish/>
        </w:rPr>
        <w:t>72022-06-30iso4217:USD00008938472022-12-31xbrli:shares00008938472023-03-2900008938472021-12-31iso4217:USDxbrli:shares00008938472021-01-012021-12-3100008938472020-01-012020-12-310000893847us-gaap:ServiceMember2022-01-012022-12-310000893847us-gaap:ServiceMem</w:t>
      </w:r>
      <w:r>
        <w:rPr>
          <w:rFonts w:eastAsia="Times New Roman"/>
          <w:vanish/>
        </w:rPr>
        <w:t>ber2021-01-012021-12-310000893847us-gaap:ServiceMember2020-01-012020-12-310000893847us-gaap:BankingMember2022-01-012022-12-310000893847us-gaap:BankingMember2021-01-012021-12-310000893847us-gaap:BankingMember2020-01-012020-12-310000893847us-gaap:FiduciaryAn</w:t>
      </w:r>
      <w:r>
        <w:rPr>
          <w:rFonts w:eastAsia="Times New Roman"/>
          <w:vanish/>
        </w:rPr>
        <w:t>dTrustMember2022-01-012022-12-310000893847us-gaap:FiduciaryAndTrustMember2021-01-012021-12-310000893847us-gaap:FiduciaryAndTrustMember2020-01-012020-12-310000893847us-gaap:BankServicingMember2022-01-012022-12-310000893847us-gaap:BankServicingMember2021-01-</w:t>
      </w:r>
      <w:r>
        <w:rPr>
          <w:rFonts w:eastAsia="Times New Roman"/>
          <w:vanish/>
        </w:rPr>
        <w:t>012021-12-310000893847us-gaap:BankServicingMember2020-01-012020-12-310000893847us-gaap:CommonStockMember2019-12-310000893847us-gaap:AdditionalPaidInCapitalMember2019-12-310000893847us-gaap:RetainedEarningsMember2019-12-310000893847us-gaap:AccumulatedOtherC</w:t>
      </w:r>
      <w:r>
        <w:rPr>
          <w:rFonts w:eastAsia="Times New Roman"/>
          <w:vanish/>
        </w:rPr>
        <w:t>omprehensiveIncomeMember2019-12-310000893847us-gaap:TreasuryStockCommonMember2019-12-3100008938472019-12-310000893847us-gaap:RetainedEarningsMember2020-01-012020-12-310000893847us-gaap:AccumulatedOtherComprehensiveIncomeMember2020-01-012020-12-310000893847</w:t>
      </w:r>
      <w:r>
        <w:rPr>
          <w:rFonts w:eastAsia="Times New Roman"/>
          <w:vanish/>
        </w:rPr>
        <w:t>us-gaap:TreasuryStockCommonMember2020-01-012020-12-310000893847us-gaap:CommonStockMember2020-01-012020-12-310000893847us-gaap:AdditionalPaidInCapitalMember2020-01-012020-12-310000893847us-gaap:CommonStockMember2020-12-310000893847us-gaap:AdditionalPaidInCa</w:t>
      </w:r>
      <w:r>
        <w:rPr>
          <w:rFonts w:eastAsia="Times New Roman"/>
          <w:vanish/>
        </w:rPr>
        <w:t>pitalMember2020-12-310000893847us-gaap:RetainedEarningsMember2020-12-310000893847us-gaap:AccumulatedOtherComprehensiveIncomeMember2020-12-310000893847us-gaap:TreasuryStockCommonMember2020-12-3100008938472020-12-310000893847us-gaap:RetainedEarningsMember202</w:t>
      </w:r>
      <w:r>
        <w:rPr>
          <w:rFonts w:eastAsia="Times New Roman"/>
          <w:vanish/>
        </w:rPr>
        <w:t>1-01-012021-12-310000893847us-gaap:AccumulatedOtherComprehensiveIncomeMember2021-01-012021-12-310000893847us-gaap:TreasuryStockCommonMember2021-01-012021-12-310000893847us-gaap:CommonStockMember2021-01-012021-12-310000893847us-gaap:AdditionalPaidInCapitalM</w:t>
      </w:r>
      <w:r>
        <w:rPr>
          <w:rFonts w:eastAsia="Times New Roman"/>
          <w:vanish/>
        </w:rPr>
        <w:t>ember2021-01-012021-12-310000893847us-gaap:CommonStockMember2021-12-310000893847us-gaap:AdditionalPaidInCapitalMember2021-12-310000893847us-gaap:RetainedEarningsMember2021-12-310000893847us-gaap:AccumulatedOtherComprehensiveIncomeMember2021-12-310000893847</w:t>
      </w:r>
      <w:r>
        <w:rPr>
          <w:rFonts w:eastAsia="Times New Roman"/>
          <w:vanish/>
        </w:rPr>
        <w:t>us-gaap:TreasuryStockCommonMember2021-12-310000893847us-gaap:RetainedEarningsMember2022-01-012022-12-310000893847us-gaap:AccumulatedOtherComprehensiveIncomeMember2022-01-012022-12-310000893847us-gaap:TreasuryStockCommonMember2022-01-012022-12-310000893847u</w:t>
      </w:r>
      <w:r>
        <w:rPr>
          <w:rFonts w:eastAsia="Times New Roman"/>
          <w:vanish/>
        </w:rPr>
        <w:t>s-gaap:CommonStockMember2022-01-012022-12-310000893847us-gaap:AdditionalPaidInCapitalMember2022-01-012022-12-310000893847us-gaap:CommonStockMember2022-12-310000893847us-gaap:AdditionalPaidInCapitalMember2022-12-310000893847us-gaap:RetainedEarningsMember202</w:t>
      </w:r>
      <w:r>
        <w:rPr>
          <w:rFonts w:eastAsia="Times New Roman"/>
          <w:vanish/>
        </w:rPr>
        <w:t>2-12-310000893847us-gaap:AccumulatedOtherComprehensiveIncomeMember2022-12-310000893847us-gaap:TreasuryStockCommonMember2022-12-310000893847srt:FederalHomeLoanBankOfDesMoinesMember2022-01-012022-12-31xbrli:pure0000893847us-gaap:BuildingAndBuildingImprovemen</w:t>
      </w:r>
      <w:r>
        <w:rPr>
          <w:rFonts w:eastAsia="Times New Roman"/>
          <w:vanish/>
        </w:rPr>
        <w:t>tsMembersrt:MinimumMember2022-01-012022-12-310000893847us-gaap:BuildingAndBuildingImprovementsMembersrt:MaximumMember2022-01-012022-12-310000893847us-gaap:FurnitureAndFixturesMembersrt:MinimumMember2022-01-012022-12-310000893847us-gaap:FurnitureAndFixtures</w:t>
      </w:r>
      <w:r>
        <w:rPr>
          <w:rFonts w:eastAsia="Times New Roman"/>
          <w:vanish/>
        </w:rPr>
        <w:t>Membersrt:MaximumMember2022-01-012022-12-3100008938472022-06-152022-06-150000893847hwbk:CommercialFinancialAndAgriculturalPortfolioSegmentMember2022-12-310000893847hwbk:CommercialFinancialAndAgriculturalPortfolioSegmentMember2021-12-310000893847hwbk:Reside</w:t>
      </w:r>
      <w:r>
        <w:rPr>
          <w:rFonts w:eastAsia="Times New Roman"/>
          <w:vanish/>
        </w:rPr>
        <w:t>ntialRealEstatePortfolioSegmentMemberus-gaap:ConstructionLoansMember2022-12-310000893847hwbk:ResidentialRealEstatePortfolioSegmentMemberus-gaap:ConstructionLoansMember2021-12-310000893847us-gaap:ConstructionLoansMemberus-gaap:CommercialRealEstatePortfolioS</w:t>
      </w:r>
      <w:r>
        <w:rPr>
          <w:rFonts w:eastAsia="Times New Roman"/>
          <w:vanish/>
        </w:rPr>
        <w:t>egmentMember2022-12-310000893847us-gaap:ConstructionLoansMemberus-gaap:CommercialRealEstatePortfolioSegmentMember2021-12-310000893847hwbk:ResidentialRealEstatePortfolioSegmentMemberus-gaap:MortgagesMember2022-12-310000893847hwbk:ResidentialRealEstatePortfo</w:t>
      </w:r>
      <w:r>
        <w:rPr>
          <w:rFonts w:eastAsia="Times New Roman"/>
          <w:vanish/>
        </w:rPr>
        <w:t>lioSegmentMemberus-gaap:MortgagesMember2021-12-310000893847us-gaap:MortgagesMemberus-gaap:CommercialRealEstatePortfolioSegmentMember2022-12-310000893847us-gaap:MortgagesMemberus-gaap:CommercialRealEstatePortfolioSegmentMember2021-12-310000893847hwbk:Instal</w:t>
      </w:r>
      <w:r>
        <w:rPr>
          <w:rFonts w:eastAsia="Times New Roman"/>
          <w:vanish/>
        </w:rPr>
        <w:t>lmentAndOtherConsumerPortfolioSegmentMember2022-12-310000893847hwbk:InstallmentAndOtherConsumerPortfolioSegmentMember2021-12-310000893847hwbk:ResidentialRealEstatePortfolioSegmentMember2021-12-310000893847us-gaap:FederalHomeLoanBankAdvancesMemberus-gaap:As</w:t>
      </w:r>
      <w:r>
        <w:rPr>
          <w:rFonts w:eastAsia="Times New Roman"/>
          <w:vanish/>
        </w:rPr>
        <w:t>setPledgedAsCollateralWithoutRightMember2022-12-310000893847hwbk:CommercialFinancialAndAgriculturalPortfolioSegmentMember2019-12-310000893847hwbk:ResidentialRealEstatePortfolioSegmentMemberus-gaap:ConstructionLoansMember2019-12-310000893847us-gaap:Construc</w:t>
      </w:r>
      <w:r>
        <w:rPr>
          <w:rFonts w:eastAsia="Times New Roman"/>
          <w:vanish/>
        </w:rPr>
        <w:t>tionLoansMemberus-gaap:CommercialRealEstatePortfolioSegmentMember2019-12-310000893847hwbk:ResidentialRealEstatePortfolioSegmentMemberus-gaap:MortgagesMember2019-12-310000893847us-gaap:MortgagesMemberus-gaap:CommercialRealEstatePortfolioSegmentMember2019-12</w:t>
      </w:r>
      <w:r>
        <w:rPr>
          <w:rFonts w:eastAsia="Times New Roman"/>
          <w:vanish/>
        </w:rPr>
        <w:t>-310000893847hwbk:InstallmentAndOtherConsumerPortfolioSegmentMember2019-12-310000893847us-gaap:UnallocatedFinancingReceivablesMember2019-12-310000893847hwbk:CommercialFinancialAndAgriculturalPortfolioSegmentMember2020-01-012020-12-310000893847hwbk:Resident</w:t>
      </w:r>
      <w:r>
        <w:rPr>
          <w:rFonts w:eastAsia="Times New Roman"/>
          <w:vanish/>
        </w:rPr>
        <w:t>ialRealEstatePortfolioSegmentMemberus-gaap:ConstructionLoansMember2020-01-012020-12-310000893847us-gaap:ConstructionLoansMemberus-gaap:CommercialRealEstatePortfolioSegmentMember2020-01-012020-12-310000893847hwbk:ResidentialRealEstatePortfolioSegmentMemberu</w:t>
      </w:r>
      <w:r>
        <w:rPr>
          <w:rFonts w:eastAsia="Times New Roman"/>
          <w:vanish/>
        </w:rPr>
        <w:t>s-gaap:MortgagesMember2020-01-012020-12-310000893847us-gaap:MortgagesMemberus-gaap:CommercialRealEstatePortfolioSegmentMember2020-01-012020-12-310000893847hwbk:InstallmentAndOtherConsumerPortfolioSegmentMember2020-01-012020-12-310000893847us-gaap:Unallocat</w:t>
      </w:r>
      <w:r>
        <w:rPr>
          <w:rFonts w:eastAsia="Times New Roman"/>
          <w:vanish/>
        </w:rPr>
        <w:t>edFinancingReceivablesMember2020-01-012020-12-310000893847hwbk:CommercialFinancialAndAgriculturalPortfolioSegmentMember2020-12-310000893847hwbk:ResidentialRealEstatePortfolioSegmentMemberus-gaap:ConstructionLoansMember2020-12-310000893847us-gaap:Constructi</w:t>
      </w:r>
      <w:r>
        <w:rPr>
          <w:rFonts w:eastAsia="Times New Roman"/>
          <w:vanish/>
        </w:rPr>
        <w:t>onLoansMemberus-gaap:CommercialRealEstatePortfolioSegmentMember2020-12-310000893847hwbk:ResidentialRealEstatePortfolioSegmentMemberus-gaap:MortgagesMember2020-12-310000893847us-gaap:MortgagesMemberus-gaap:CommercialRealEstatePortfolioSegmentMember2020-12-3</w:t>
      </w:r>
      <w:r>
        <w:rPr>
          <w:rFonts w:eastAsia="Times New Roman"/>
          <w:vanish/>
        </w:rPr>
        <w:t>10000893847hwbk:InstallmentAndOtherConsumerPortfolioSegmentMember2020-12-310000893847us-gaap:UnallocatedFinancingReceivablesMember2020-12-310000893847hwbk:CommercialFinancialAndAgriculturalPortfolioSegmentMember2021-01-012021-12-310000893847hwbk:Residentia</w:t>
      </w:r>
      <w:r>
        <w:rPr>
          <w:rFonts w:eastAsia="Times New Roman"/>
          <w:vanish/>
        </w:rPr>
        <w:t>lRealEstatePortfolioSegmentMemberus-gaap:ConstructionLoansMember2021-01-012021-12-310000893847us-gaap:ConstructionLoansMemberus-gaap:CommercialRealEstatePortfolioSegmentMember2021-01-012021-12-310000893847hwbk:ResidentialRealEstatePortfolioSegmentMemberus-</w:t>
      </w:r>
      <w:r>
        <w:rPr>
          <w:rFonts w:eastAsia="Times New Roman"/>
          <w:vanish/>
        </w:rPr>
        <w:t>gaap:MortgagesMember2021-01-012021-12-310000893847us-gaap:MortgagesMemberus-gaap:CommercialRealEstatePortfolioSegmentMember2021-01-012021-12-310000893847hwbk:InstallmentAndOtherConsumerPortfolioSegmentMember2021-01-012021-12-310000893847us-gaap:Unallocated</w:t>
      </w:r>
      <w:r>
        <w:rPr>
          <w:rFonts w:eastAsia="Times New Roman"/>
          <w:vanish/>
        </w:rPr>
        <w:t>FinancingReceivablesMember2021-01-012021-12-310000893847us-gaap:UnallocatedFinancingReceivablesMember2021-12-310000893847hwbk:CommercialFinancialAndAgriculturalPortfolioSegmentMember2022-01-012022-12-310000893847hwbk:ResidentialRealEstatePortfolioSegmentMe</w:t>
      </w:r>
      <w:r>
        <w:rPr>
          <w:rFonts w:eastAsia="Times New Roman"/>
          <w:vanish/>
        </w:rPr>
        <w:t>mberus-gaap:ConstructionLoansMember2022-01-012022-12-310000893847us-gaap:ConstructionLoansMemberus-gaap:CommercialRealEstatePortfolioSegmentMember2022-01-012022-12-310000893847hwbk:ResidentialRealEstatePortfolioSegmentMemberus-gaap:MortgagesMember2022-01-0</w:t>
      </w:r>
      <w:r>
        <w:rPr>
          <w:rFonts w:eastAsia="Times New Roman"/>
          <w:vanish/>
        </w:rPr>
        <w:t>12022-12-310000893847us-gaap:MortgagesMemberus-gaap:CommercialRealEstatePortfolioSegmentMember2022-01-012022-12-310000893847hwbk:InstallmentAndOtherConsumerPortfolioSegmentMember2022-01-012022-12-310000893847us-gaap:UnallocatedFinancingReceivablesMember202</w:t>
      </w:r>
      <w:r>
        <w:rPr>
          <w:rFonts w:eastAsia="Times New Roman"/>
          <w:vanish/>
        </w:rPr>
        <w:t>2-01-012022-12-310000893847us-gaap:UnallocatedFinancingReceivablesMember2022-12-310000893847us-gaap:CommercialRealEstatePortfolioSegmentMember2022-12-310000893847us-gaap:CommercialRealEstatePortfolioSegmentMember2021-12-310000893847hwbk:CommercialFinancial</w:t>
      </w:r>
      <w:r>
        <w:rPr>
          <w:rFonts w:eastAsia="Times New Roman"/>
          <w:vanish/>
        </w:rPr>
        <w:t>AndAgriculturalPortfolioSegmentMemberus-gaap:FinancialAssetNotPastDueMember2022-12-310000893847hwbk:CommercialFinancialAndAgriculturalPortfolioSegmentMemberus-gaap:FinancialAssetPastDueMember2022-12-310000893847hwbk:ResidentialRealEstatePortfolioSegmentMem</w:t>
      </w:r>
      <w:r>
        <w:rPr>
          <w:rFonts w:eastAsia="Times New Roman"/>
          <w:vanish/>
        </w:rPr>
        <w:t>berus-gaap:ConstructionLoansMemberus-gaap:FinancialAssetNotPastDueMember2022-12-310000893847hwbk:ResidentialRealEstatePortfolioSegmentMemberus-gaap:ConstructionLoansMemberus-gaap:FinancialAssetPastDueMember2022-12-310000893847us-gaap:ConstructionLoansMembe</w:t>
      </w:r>
      <w:r>
        <w:rPr>
          <w:rFonts w:eastAsia="Times New Roman"/>
          <w:vanish/>
        </w:rPr>
        <w:t>rus-gaap:FinancialAssetNotPastDueMemberus-gaap:CommercialRealEstatePortfolioSegmentMember2022-12-310000893847us-gaap:ConstructionLoansMemberus-gaap:FinancialAssetPastDueMemberus-gaap:CommercialRealEstatePortfolioSegmentMember2022-12-310000893847hwbk:Reside</w:t>
      </w:r>
      <w:r>
        <w:rPr>
          <w:rFonts w:eastAsia="Times New Roman"/>
          <w:vanish/>
        </w:rPr>
        <w:t>ntialRealEstatePortfolioSegmentMemberus-gaap:MortgagesMemberus-gaap:FinancialAssetNotPastDueMember2022-12-310000893847hwbk:ResidentialRealEstatePortfolioSegmentMemberus-gaap:MortgagesMemberus-gaap:FinancialAssetPastDueMember2022-12-310000893847us-gaap:Mort</w:t>
      </w:r>
      <w:r>
        <w:rPr>
          <w:rFonts w:eastAsia="Times New Roman"/>
          <w:vanish/>
        </w:rPr>
        <w:t>gagesMemberus-gaap:FinancialAssetNotPastDueMemberus-gaap:CommercialRealEstatePortfolioSegmentMember2022-12-310000893847us-gaap:MortgagesMemberus-gaap:FinancialAssetPastDueMemberus-gaap:CommercialRealEstatePortfolioSegmentMember2022-12-310000893847hwbk:Inst</w:t>
      </w:r>
      <w:r>
        <w:rPr>
          <w:rFonts w:eastAsia="Times New Roman"/>
          <w:vanish/>
        </w:rPr>
        <w:t>allmentAndOtherConsumerPortfolioSegmentMemberus-gaap:FinancialAssetNotPastDueMember2022-12-310000893847hwbk:InstallmentAndOtherConsumerPortfolioSegmentMemberus-gaap:FinancialAssetPastDueMember2022-12-310000893847us-gaap:FinancialAssetNotPastDueMember2022-1</w:t>
      </w:r>
      <w:r>
        <w:rPr>
          <w:rFonts w:eastAsia="Times New Roman"/>
          <w:vanish/>
        </w:rPr>
        <w:t>2-310000893847us-gaap:FinancialAssetPastDueMember2022-12-310000893847hwbk:CommercialFinancialAndAgriculturalPortfolioSegmentMemberus-gaap:FinancialAssetNotPastDueMember2021-12-310000893847hwbk:CommercialFinancialAndAgriculturalPortfolioSegmentMemberus-gaap</w:t>
      </w:r>
      <w:r>
        <w:rPr>
          <w:rFonts w:eastAsia="Times New Roman"/>
          <w:vanish/>
        </w:rPr>
        <w:t>:FinancialAssetPastDueMember2021-12-310000893847hwbk:ResidentialRealEstatePortfolioSegmentMemberus-gaap:ConstructionLoansMemberus-gaap:FinancialAssetNotPastDueMember2021-12-310000893847hwbk:ResidentialRealEstatePortfolioSegmentMemberus-gaap:ConstructionLoa</w:t>
      </w:r>
      <w:r>
        <w:rPr>
          <w:rFonts w:eastAsia="Times New Roman"/>
          <w:vanish/>
        </w:rPr>
        <w:t>nsMemberus-gaap:FinancialAssetPastDueMember2021-12-310000893847us-gaap:ConstructionLoansMemberus-gaap:FinancialAssetNotPastDueMemberus-gaap:CommercialRealEstatePortfolioSegmentMember2021-12-310000893847us-gaap:ConstructionLoansMemberus-gaap:FinancialAssetP</w:t>
      </w:r>
      <w:r>
        <w:rPr>
          <w:rFonts w:eastAsia="Times New Roman"/>
          <w:vanish/>
        </w:rPr>
        <w:t>astDueMemberus-gaap:CommercialRealEstatePortfolioSegmentMember2021-12-310000893847hwbk:ResidentialRealEstatePortfolioSegmentMemberus-gaap:MortgagesMemberus-gaap:FinancialAssetNotPastDueMember2021-12-310000893847hwbk:ResidentialRealEstatePortfolioSegmentMem</w:t>
      </w:r>
      <w:r>
        <w:rPr>
          <w:rFonts w:eastAsia="Times New Roman"/>
          <w:vanish/>
        </w:rPr>
        <w:t>berus-gaap:MortgagesMemberus-gaap:FinancialAssetPastDueMember2021-12-310000893847us-gaap:MortgagesMemberus-gaap:FinancialAssetNotPastDueMemberus-gaap:CommercialRealEstatePortfolioSegmentMember2021-12-310000893847us-gaap:MortgagesMemberus-gaap:FinancialAsse</w:t>
      </w:r>
      <w:r>
        <w:rPr>
          <w:rFonts w:eastAsia="Times New Roman"/>
          <w:vanish/>
        </w:rPr>
        <w:t>tPastDueMemberus-gaap:CommercialRealEstatePortfolioSegmentMember2021-12-310000893847hwbk:InstallmentAndOtherConsumerPortfolioSegmentMemberus-gaap:FinancialAssetNotPastDueMember2021-12-310000893847hwbk:InstallmentAndOtherConsumerPortfolioSegmentMemberus-gaa</w:t>
      </w:r>
      <w:r>
        <w:rPr>
          <w:rFonts w:eastAsia="Times New Roman"/>
          <w:vanish/>
        </w:rPr>
        <w:t>p:FinancialAssetPastDueMember2021-12-310000893847us-gaap:FinancialAssetNotPastDueMember2021-12-310000893847us-gaap:FinancialAssetPastDueMember2021-12-310000893847hwbk:CommercialFinancialAndAgriculturalPortfolioSegmentMemberus-gaap:SpecialMentionMember2022-</w:t>
      </w:r>
      <w:r>
        <w:rPr>
          <w:rFonts w:eastAsia="Times New Roman"/>
          <w:vanish/>
        </w:rPr>
        <w:t>12-310000893847hwbk:ResidentialRealEstatePortfolioSegmentMemberus-gaap:ConstructionLoansMemberus-gaap:SpecialMentionMember2022-12-310000893847us-gaap:ConstructionLoansMemberus-gaap:SpecialMentionMemberus-gaap:CommercialRealEstatePortfolioSegmentMember2022-</w:t>
      </w:r>
      <w:r>
        <w:rPr>
          <w:rFonts w:eastAsia="Times New Roman"/>
          <w:vanish/>
        </w:rPr>
        <w:t>12-310000893847hwbk:ResidentialRealEstatePortfolioSegmentMemberus-gaap:MortgagesMemberus-gaap:SpecialMentionMember2022-12-310000893847us-gaap:MortgagesMemberus-gaap:SpecialMentionMemberus-gaap:CommercialRealEstatePortfolioSegmentMember2022-12-310000893847h</w:t>
      </w:r>
      <w:r>
        <w:rPr>
          <w:rFonts w:eastAsia="Times New Roman"/>
          <w:vanish/>
        </w:rPr>
        <w:t>wbk:InstallmentAndOtherConsumerPortfolioSegmentMemberus-gaap:SpecialMentionMember2022-12-310000893847us-gaap:SpecialMentionMember2022-12-310000893847hwbk:CommercialFinancialAndAgriculturalPortfolioSegmentMemberus-gaap:SubstandardMember2022-12-310000893847h</w:t>
      </w:r>
      <w:r>
        <w:rPr>
          <w:rFonts w:eastAsia="Times New Roman"/>
          <w:vanish/>
        </w:rPr>
        <w:t>wbk:ResidentialRealEstatePortfolioSegmentMemberus-gaap:ConstructionLoansMemberus-gaap:SubstandardMember2022-12-310000893847us-gaap:ConstructionLoansMemberus-gaap:SubstandardMemberus-gaap:CommercialRealEstatePortfolioSegmentMember2022-12-310000893847hwbk:Re</w:t>
      </w:r>
      <w:r>
        <w:rPr>
          <w:rFonts w:eastAsia="Times New Roman"/>
          <w:vanish/>
        </w:rPr>
        <w:t>sidentialRealEstatePortfolioSegmentMemberus-gaap:MortgagesMemberus-gaap:SubstandardMember2022-12-310000893847us-gaap:MortgagesMemberus-gaap:SubstandardMemberus-gaap:CommercialRealEstatePortfolioSegmentMember2022-12-310000893847hwbk:InstallmentAndOtherConsu</w:t>
      </w:r>
      <w:r>
        <w:rPr>
          <w:rFonts w:eastAsia="Times New Roman"/>
          <w:vanish/>
        </w:rPr>
        <w:t>merPortfolioSegmentMemberus-gaap:SubstandardMember2022-12-310000893847us-gaap:SubstandardMember2022-12-310000893847hwbk:CommercialFinancialAndAgriculturalPortfolioSegmentMemberus-gaap:PerformingFinancingReceivableMember2022-12-310000893847hwbk:ResidentialR</w:t>
      </w:r>
      <w:r>
        <w:rPr>
          <w:rFonts w:eastAsia="Times New Roman"/>
          <w:vanish/>
        </w:rPr>
        <w:t>ealEstatePortfolioSegmentMemberus-gaap:ConstructionLoansMemberus-gaap:PerformingFinancingReceivableMember2022-12-310000893847us-gaap:ConstructionLoansMemberus-gaap:CommercialRealEstatePortfolioSegmentMemberus-gaap:PerformingFinancingReceivableMember2022-12</w:t>
      </w:r>
      <w:r>
        <w:rPr>
          <w:rFonts w:eastAsia="Times New Roman"/>
          <w:vanish/>
        </w:rPr>
        <w:t>-310000893847hwbk:ResidentialRealEstatePortfolioSegmentMemberus-gaap:MortgagesMemberus-gaap:PerformingFinancingReceivableMember2022-12-310000893847us-gaap:MortgagesMemberus-gaap:CommercialRealEstatePortfolioSegmentMemberus-gaap:PerformingFinancingReceivabl</w:t>
      </w:r>
      <w:r>
        <w:rPr>
          <w:rFonts w:eastAsia="Times New Roman"/>
          <w:vanish/>
        </w:rPr>
        <w:t>eMember2022-12-310000893847hwbk:InstallmentAndOtherConsumerPortfolioSegmentMemberus-gaap:PerformingFinancingReceivableMember2022-12-310000893847us-gaap:PerformingFinancingReceivableMember2022-12-310000893847hwbk:CommercialFinancialAndAgriculturalPortfolioS</w:t>
      </w:r>
      <w:r>
        <w:rPr>
          <w:rFonts w:eastAsia="Times New Roman"/>
          <w:vanish/>
        </w:rPr>
        <w:t>egmentMemberhwbk:NonaccrualFinancingReceivableMember2022-12-310000893847hwbk:ResidentialRealEstatePortfolioSegmentMemberhwbk:NonaccrualFinancingReceivableMemberus-gaap:ConstructionLoansMember2022-12-310000893847hwbk:NonaccrualFinancingReceivableMemberus-ga</w:t>
      </w:r>
      <w:r>
        <w:rPr>
          <w:rFonts w:eastAsia="Times New Roman"/>
          <w:vanish/>
        </w:rPr>
        <w:t>ap:ConstructionLoansMemberus-gaap:CommercialRealEstatePortfolioSegmentMember2022-12-310000893847hwbk:ResidentialRealEstatePortfolioSegmentMemberhwbk:NonaccrualFinancingReceivableMemberus-gaap:MortgagesMember2022-12-310000893847hwbk:NonaccrualFinancingRecei</w:t>
      </w:r>
      <w:r>
        <w:rPr>
          <w:rFonts w:eastAsia="Times New Roman"/>
          <w:vanish/>
        </w:rPr>
        <w:t>vableMemberus-gaap:MortgagesMemberus-gaap:CommercialRealEstatePortfolioSegmentMember2022-12-310000893847hwbk:InstallmentAndOtherConsumerPortfolioSegmentMemberhwbk:NonaccrualFinancingReceivableMember2022-12-310000893847hwbk:NonaccrualFinancingReceivableMemb</w:t>
      </w:r>
      <w:r>
        <w:rPr>
          <w:rFonts w:eastAsia="Times New Roman"/>
          <w:vanish/>
        </w:rPr>
        <w:t>er2022-12-310000893847hwbk:CommercialFinancialAndAgriculturalPortfolioSegmentMemberhwbk:LoansInRiskCategoriesMember2022-12-310000893847hwbk:ResidentialRealEstatePortfolioSegmentMemberus-gaap:ConstructionLoansMemberhwbk:LoansInRiskCategoriesMember2022-12-31</w:t>
      </w:r>
      <w:r>
        <w:rPr>
          <w:rFonts w:eastAsia="Times New Roman"/>
          <w:vanish/>
        </w:rPr>
        <w:t>0000893847us-gaap:ConstructionLoansMemberhwbk:LoansInRiskCategoriesMemberus-gaap:CommercialRealEstatePortfolioSegmentMember2022-12-310000893847hwbk:ResidentialRealEstatePortfolioSegmentMemberus-gaap:MortgagesMemberhwbk:LoansInRiskCategoriesMember2022-12-31</w:t>
      </w:r>
      <w:r>
        <w:rPr>
          <w:rFonts w:eastAsia="Times New Roman"/>
          <w:vanish/>
        </w:rPr>
        <w:t>0000893847us-gaap:MortgagesMemberhwbk:LoansInRiskCategoriesMemberus-gaap:CommercialRealEstatePortfolioSegmentMember2022-12-310000893847hwbk:InstallmentAndOtherConsumerPortfolioSegmentMemberhwbk:LoansInRiskCategoriesMember2022-12-310000893847hwbk:LoansInRis</w:t>
      </w:r>
      <w:r>
        <w:rPr>
          <w:rFonts w:eastAsia="Times New Roman"/>
          <w:vanish/>
        </w:rPr>
        <w:t>kCategoriesMember2022-12-310000893847hwbk:CommercialFinancialAndAgriculturalPortfolioSegmentMemberus-gaap:SpecialMentionMember2021-12-310000893847hwbk:ResidentialRealEstatePortfolioSegmentMemberus-gaap:ConstructionLoansMemberus-gaap:SpecialMentionMember202</w:t>
      </w:r>
      <w:r>
        <w:rPr>
          <w:rFonts w:eastAsia="Times New Roman"/>
          <w:vanish/>
        </w:rPr>
        <w:t>1-12-310000893847us-gaap:ConstructionLoansMemberus-gaap:SpecialMentionMemberus-gaap:CommercialRealEstatePortfolioSegmentMember2021-12-310000893847hwbk:ResidentialRealEstatePortfolioSegmentMemberus-gaap:MortgagesMemberus-gaap:SpecialMentionMember2021-12-310</w:t>
      </w:r>
      <w:r>
        <w:rPr>
          <w:rFonts w:eastAsia="Times New Roman"/>
          <w:vanish/>
        </w:rPr>
        <w:t>000893847us-gaap:MortgagesMemberus-gaap:SpecialMentionMemberus-gaap:CommercialRealEstatePortfolioSegmentMember2021-12-310000893847hwbk:InstallmentAndOtherConsumerPortfolioSegmentMemberus-gaap:SpecialMentionMember2021-12-310000893847us-gaap:SpecialMentionMe</w:t>
      </w:r>
      <w:r>
        <w:rPr>
          <w:rFonts w:eastAsia="Times New Roman"/>
          <w:vanish/>
        </w:rPr>
        <w:t>mber2021-12-310000893847hwbk:CommercialFinancialAndAgriculturalPortfolioSegmentMemberus-gaap:SubstandardMember2021-12-310000893847hwbk:ResidentialRealEstatePortfolioSegmentMemberus-gaap:ConstructionLoansMemberus-gaap:SubstandardMember2021-12-310000893847us</w:t>
      </w:r>
      <w:r>
        <w:rPr>
          <w:rFonts w:eastAsia="Times New Roman"/>
          <w:vanish/>
        </w:rPr>
        <w:t>-gaap:ConstructionLoansMemberus-gaap:SubstandardMemberus-gaap:CommercialRealEstatePortfolioSegmentMember2021-12-310000893847hwbk:ResidentialRealEstatePortfolioSegmentMemberus-gaap:MortgagesMemberus-gaap:SubstandardMember2021-12-310000893847us-gaap:Mortgage</w:t>
      </w:r>
      <w:r>
        <w:rPr>
          <w:rFonts w:eastAsia="Times New Roman"/>
          <w:vanish/>
        </w:rPr>
        <w:t>sMemberus-gaap:SubstandardMemberus-gaap:CommercialRealEstatePortfolioSegmentMember2021-12-310000893847hwbk:InstallmentAndOtherConsumerPortfolioSegmentMemberus-gaap:SubstandardMember2021-12-310000893847us-gaap:SubstandardMember2021-12-310000893847hwbk:Comme</w:t>
      </w:r>
      <w:r>
        <w:rPr>
          <w:rFonts w:eastAsia="Times New Roman"/>
          <w:vanish/>
        </w:rPr>
        <w:t>rcialFinancialAndAgriculturalPortfolioSegmentMemberus-gaap:PerformingFinancingReceivableMember2021-12-310000893847hwbk:ResidentialRealEstatePortfolioSegmentMemberus-gaap:ConstructionLoansMemberus-gaap:PerformingFinancingReceivableMember2021-12-310000893847</w:t>
      </w:r>
      <w:r>
        <w:rPr>
          <w:rFonts w:eastAsia="Times New Roman"/>
          <w:vanish/>
        </w:rPr>
        <w:t>us-gaap:ConstructionLoansMemberus-gaap:CommercialRealEstatePortfolioSegmentMemberus-gaap:PerformingFinancingReceivableMember2021-12-310000893847hwbk:ResidentialRealEstatePortfolioSegmentMemberus-gaap:MortgagesMemberus-gaap:PerformingFinancingReceivableMemb</w:t>
      </w:r>
      <w:r>
        <w:rPr>
          <w:rFonts w:eastAsia="Times New Roman"/>
          <w:vanish/>
        </w:rPr>
        <w:t>er2021-12-310000893847us-gaap:MortgagesMemberus-gaap:CommercialRealEstatePortfolioSegmentMemberus-gaap:PerformingFinancingReceivableMember2021-12-310000893847hwbk:InstallmentAndOtherConsumerPortfolioSegmentMemberus-gaap:PerformingFinancingReceivableMember2</w:t>
      </w:r>
      <w:r>
        <w:rPr>
          <w:rFonts w:eastAsia="Times New Roman"/>
          <w:vanish/>
        </w:rPr>
        <w:t>021-12-310000893847us-gaap:PerformingFinancingReceivableMember2021-12-310000893847hwbk:CommercialFinancialAndAgriculturalPortfolioSegmentMemberhwbk:NonaccrualFinancingReceivableMember2021-12-310000893847hwbk:ResidentialRealEstatePortfolioSegmentMemberhwbk:</w:t>
      </w:r>
      <w:r>
        <w:rPr>
          <w:rFonts w:eastAsia="Times New Roman"/>
          <w:vanish/>
        </w:rPr>
        <w:t>NonaccrualFinancingReceivableMemberus-gaap:ConstructionLoansMember2021-12-310000893847hwbk:NonaccrualFinancingReceivableMemberus-gaap:ConstructionLoansMemberus-gaap:CommercialRealEstatePortfolioSegmentMember2021-12-310000893847hwbk:ResidentialRealEstatePor</w:t>
      </w:r>
      <w:r>
        <w:rPr>
          <w:rFonts w:eastAsia="Times New Roman"/>
          <w:vanish/>
        </w:rPr>
        <w:t>tfolioSegmentMemberhwbk:NonaccrualFinancingReceivableMemberus-gaap:MortgagesMember2021-12-310000893847hwbk:NonaccrualFinancingReceivableMemberus-gaap:MortgagesMemberus-gaap:CommercialRealEstatePortfolioSegmentMember2021-12-310000893847hwbk:InstallmentAndOt</w:t>
      </w:r>
      <w:r>
        <w:rPr>
          <w:rFonts w:eastAsia="Times New Roman"/>
          <w:vanish/>
        </w:rPr>
        <w:t>herConsumerPortfolioSegmentMemberhwbk:NonaccrualFinancingReceivableMember2021-12-310000893847hwbk:NonaccrualFinancingReceivableMember2021-12-310000893847hwbk:CommercialFinancialAndAgriculturalPortfolioSegmentMemberhwbk:LoansInRiskCategoriesMember2021-12-31</w:t>
      </w:r>
      <w:r>
        <w:rPr>
          <w:rFonts w:eastAsia="Times New Roman"/>
          <w:vanish/>
        </w:rPr>
        <w:t>0000893847hwbk:ResidentialRealEstatePortfolioSegmentMemberus-gaap:ConstructionLoansMemberhwbk:LoansInRiskCategoriesMember2021-12-310000893847us-gaap:ConstructionLoansMemberhwbk:LoansInRiskCategoriesMemberus-gaap:CommercialRealEstatePortfolioSegmentMember20</w:t>
      </w:r>
      <w:r>
        <w:rPr>
          <w:rFonts w:eastAsia="Times New Roman"/>
          <w:vanish/>
        </w:rPr>
        <w:t>21-12-310000893847hwbk:ResidentialRealEstatePortfolioSegmentMemberus-gaap:MortgagesMemberhwbk:LoansInRiskCategoriesMember2021-12-310000893847us-gaap:MortgagesMemberhwbk:LoansInRiskCategoriesMemberus-gaap:CommercialRealEstatePortfolioSegmentMember2021-12-31</w:t>
      </w:r>
      <w:r>
        <w:rPr>
          <w:rFonts w:eastAsia="Times New Roman"/>
          <w:vanish/>
        </w:rPr>
        <w:t>0000893847hwbk:InstallmentAndOtherConsumerPortfolioSegmentMemberhwbk:LoansInRiskCategoriesMember2021-12-310000893847hwbk:LoansInRiskCategoriesMember2021-12-310000893847us-gaap:NonperformingFinancingReceivableMember2022-12-310000893847us-gaap:NonperformingF</w:t>
      </w:r>
      <w:r>
        <w:rPr>
          <w:rFonts w:eastAsia="Times New Roman"/>
          <w:vanish/>
        </w:rPr>
        <w:t>inancingReceivableMember2021-12-31hwbk:loan0000893847us-gaap:CommercialPortfolioSegmentMember2022-12-310000893847us-gaap:CommercialPortfolioSegmentMember2021-12-310000893847us-gaap:USTreasurySecuritiesMember2022-12-310000893847us-gaap:USGovernmentAgenciesD</w:t>
      </w:r>
      <w:r>
        <w:rPr>
          <w:rFonts w:eastAsia="Times New Roman"/>
          <w:vanish/>
        </w:rPr>
        <w:t>ebtSecuritiesMember2022-12-310000893847us-gaap:USGovernmentSponsoredEnterprisesDebtSecuritiesMember2022-12-310000893847us-gaap:USStatesAndPoliticalSubdivisionsMember2022-12-310000893847us-gaap:MortgageBackedSecuritiesMember2022-12-310000893847us-gaap:Other</w:t>
      </w:r>
      <w:r>
        <w:rPr>
          <w:rFonts w:eastAsia="Times New Roman"/>
          <w:vanish/>
        </w:rPr>
        <w:t>DebtSecuritiesMember2022-12-310000893847hwbk:BankIssuedTrustPreferredSecuritiesMember2022-12-310000893847us-gaap:USTreasurySecuritiesMember2021-12-310000893847us-gaap:USGovernmentAgenciesDebtSecuritiesMember2021-12-310000893847us-gaap:USGovernmentSponsored</w:t>
      </w:r>
      <w:r>
        <w:rPr>
          <w:rFonts w:eastAsia="Times New Roman"/>
          <w:vanish/>
        </w:rPr>
        <w:t>EnterprisesDebtSecuritiesMember2021-12-310000893847us-gaap:USStatesAndPoliticalSubdivisionsMember2021-12-310000893847us-gaap:MortgageBackedSecuritiesMember2021-12-310000893847us-gaap:OtherDebtSecuritiesMember2021-12-310000893847hwbk:BankIssuedTrustPreferre</w:t>
      </w:r>
      <w:r>
        <w:rPr>
          <w:rFonts w:eastAsia="Times New Roman"/>
          <w:vanish/>
        </w:rPr>
        <w:t>dSecuritiesMember2021-12-310000893847hwbk:USGovernmentAndFederalAgencyObligationsMember2022-12-31hwbk:security0000893847us-gaap:LandAndLandImprovementsMember2022-12-310000893847us-gaap:LandAndLandImprovementsMember2021-12-310000893847us-gaap:BuildingAndBui</w:t>
      </w:r>
      <w:r>
        <w:rPr>
          <w:rFonts w:eastAsia="Times New Roman"/>
          <w:vanish/>
        </w:rPr>
        <w:t>ldingImprovementsMember2022-12-310000893847us-gaap:BuildingAndBuildingImprovementsMember2021-12-310000893847hwbk:FurnitureAndEquipmentMember2022-12-310000893847hwbk:FurnitureAndEquipmentMember2021-12-310000893847hwbk:AssetsUnderLeaseMember2022-12-310000893</w:t>
      </w:r>
      <w:r>
        <w:rPr>
          <w:rFonts w:eastAsia="Times New Roman"/>
          <w:vanish/>
        </w:rPr>
        <w:t>847hwbk:AssetsUnderLeaseMember2021-12-310000893847us-gaap:ConstructionInProgressMember2022-12-310000893847us-gaap:ConstructionInProgressMember2021-12-310000893847us-gaap:ServicingContractsMember2022-12-310000893847us-gaap:ServicingContractsMember2021-12-31</w:t>
      </w:r>
      <w:r>
        <w:rPr>
          <w:rFonts w:eastAsia="Times New Roman"/>
          <w:vanish/>
        </w:rPr>
        <w:t>0000893847us-gaap:ServicingContractsMember2020-12-310000893847us-gaap:ServicingContractsMember2022-01-012022-12-310000893847us-gaap:ServicingContractsMember2021-01-012021-12-310000893847us-gaap:ServicingContractsMember2020-01-012020-12-310000893847us-gaap:</w:t>
      </w:r>
      <w:r>
        <w:rPr>
          <w:rFonts w:eastAsia="Times New Roman"/>
          <w:vanish/>
        </w:rPr>
        <w:t>ServicingContractsMember2019-12-310000893847us-gaap:FederalFundsPurchasedMember2022-12-310000893847us-gaap:FederalFundsPurchasedMember2022-01-012022-12-310000893847srt:SubsidiariesMemberus-gaap:SecuritiesSoldUnderAgreementsToRepurchaseMember2022-12-3100008</w:t>
      </w:r>
      <w:r>
        <w:rPr>
          <w:rFonts w:eastAsia="Times New Roman"/>
          <w:vanish/>
        </w:rPr>
        <w:t>93847srt:SubsidiariesMemberus-gaap:SecuritiesSoldUnderAgreementsToRepurchaseMember2022-01-012022-12-310000893847us-gaap:FederalFundsPurchasedMember2021-12-310000893847us-gaap:FederalFundsPurchasedMember2021-01-012021-12-310000893847srt:SubsidiariesMemberus</w:t>
      </w:r>
      <w:r>
        <w:rPr>
          <w:rFonts w:eastAsia="Times New Roman"/>
          <w:vanish/>
        </w:rPr>
        <w:t>-gaap:SecuritiesSoldUnderAgreementsToRepurchaseMember2021-12-310000893847srt:SubsidiariesMemberus-gaap:SecuritiesSoldUnderAgreementsToRepurchaseMember2021-01-012021-12-310000893847us-gaap:MaturityOvernightMemberus-gaap:USGovernmentSponsoredEnterprisesDebtS</w:t>
      </w:r>
      <w:r>
        <w:rPr>
          <w:rFonts w:eastAsia="Times New Roman"/>
          <w:vanish/>
        </w:rPr>
        <w:t>ecuritiesMember2022-12-310000893847us-gaap:USGovernmentSponsoredEnterprisesDebtSecuritiesMemberus-gaap:Maturity30To90DaysMember2022-12-310000893847us-gaap:MaturityOver90DaysMemberus-gaap:USGovernmentSponsoredEnterprisesDebtSecuritiesMember2022-12-310000893</w:t>
      </w:r>
      <w:r>
        <w:rPr>
          <w:rFonts w:eastAsia="Times New Roman"/>
          <w:vanish/>
        </w:rPr>
        <w:t>847us-gaap:MaturityOvernightMember2022-12-310000893847us-gaap:Maturity30To90DaysMember2022-12-310000893847us-gaap:MaturityOver90DaysMember2022-12-310000893847us-gaap:MaturityOvernightMemberus-gaap:USGovernmentSponsoredEnterprisesDebtSecuritiesMember2021-12</w:t>
      </w:r>
      <w:r>
        <w:rPr>
          <w:rFonts w:eastAsia="Times New Roman"/>
          <w:vanish/>
        </w:rPr>
        <w:t>-310000893847us-gaap:USGovernmentSponsoredEnterprisesDebtSecuritiesMemberus-gaap:Maturity30To90DaysMember2021-12-310000893847us-gaap:MaturityOver90DaysMemberus-gaap:USGovernmentSponsoredEnterprisesDebtSecuritiesMember2021-12-310000893847us-gaap:MaturityOve</w:t>
      </w:r>
      <w:r>
        <w:rPr>
          <w:rFonts w:eastAsia="Times New Roman"/>
          <w:vanish/>
        </w:rPr>
        <w:t>rnightMemberus-gaap:MortgageBackedSecuritiesMember2021-12-310000893847us-gaap:Maturity30To90DaysMemberus-gaap:MortgageBackedSecuritiesMember2021-12-310000893847us-gaap:MaturityOver90DaysMemberus-gaap:MortgageBackedSecuritiesMember2021-12-310000893847us-gaa</w:t>
      </w:r>
      <w:r>
        <w:rPr>
          <w:rFonts w:eastAsia="Times New Roman"/>
          <w:vanish/>
        </w:rPr>
        <w:t>p:MaturityOvernightMember2021-12-310000893847us-gaap:Maturity30To90DaysMember2021-12-310000893847us-gaap:MaturityOver90DaysMember2021-12-310000893847srt:MinimumMember2022-12-310000893847srt:MaximumMember2022-12-310000893847us-gaap:FederalHomeLoanBankAdvanc</w:t>
      </w:r>
      <w:r>
        <w:rPr>
          <w:rFonts w:eastAsia="Times New Roman"/>
          <w:vanish/>
        </w:rPr>
        <w:t>esMembersrt:SubsidiariesMember2022-12-310000893847us-gaap:FederalHomeLoanBankAdvancesMembersrt:SubsidiariesMember2021-12-310000893847hwbk:SubordinatedNotesDue2034Member2022-12-310000893847hwbk:SubordinatedNotesDue2034Member2021-12-310000893847hwbk:Subordin</w:t>
      </w:r>
      <w:r>
        <w:rPr>
          <w:rFonts w:eastAsia="Times New Roman"/>
          <w:vanish/>
        </w:rPr>
        <w:t>atedNotesDue2035Member2022-12-310000893847hwbk:SubordinatedNotesDue2035Member2021-12-310000893847srt:SubsidiariesMember2022-12-310000893847hwbk:ExchangeStatutoryTrustIIMember2005-03-172005-03-170000893847hwbk:ExchangeStatutoryTrustIIMember2022-01-012022-12</w:t>
      </w:r>
      <w:r>
        <w:rPr>
          <w:rFonts w:eastAsia="Times New Roman"/>
          <w:vanish/>
        </w:rPr>
        <w:t>-310000893847hwbk:ExchangeStatutoryTrustIIMember2005-03-170000893847hwbk:ExchangeStatutoryTrustIIMemberus-gaap:SubordinatedDebtMember2005-03-172005-03-170000893847hwbk:ExchangeStatutoryTrustOneMember2004-03-172004-03-170000893847hwbk:ExchangeStatutoryTrust</w:t>
      </w:r>
      <w:r>
        <w:rPr>
          <w:rFonts w:eastAsia="Times New Roman"/>
          <w:vanish/>
        </w:rPr>
        <w:t>OneMember2022-01-012022-12-310000893847hwbk:ExchangeStatutoryTrustOneMember2004-03-1700008938472019-01-012019-12-310000893847us-gaap:InvestmentCreditMember2021-01-012021-12-310000893847hwbk:WriteOffOfInvestmentMember2021-01-012021-12-310000893847us-gaap:Ac</w:t>
      </w:r>
      <w:r>
        <w:rPr>
          <w:rFonts w:eastAsia="Times New Roman"/>
          <w:vanish/>
        </w:rPr>
        <w:t>cumulatedNetUnrealizedInvestmentGainLossMember2020-12-310000893847us-gaap:AccumulatedDefinedBenefitPlansAdjustmentMember2020-12-310000893847us-gaap:AccumulatedNetUnrealizedInvestmentGainLossMember2021-01-012021-12-310000893847us-gaap:AccumulatedDefinedBene</w:t>
      </w:r>
      <w:r>
        <w:rPr>
          <w:rFonts w:eastAsia="Times New Roman"/>
          <w:vanish/>
        </w:rPr>
        <w:t>fitPlansAdjustmentMember2021-01-012021-12-310000893847us-gaap:AccumulatedNetUnrealizedInvestmentGainLossMember2021-12-310000893847us-gaap:AccumulatedDefinedBenefitPlansAdjustmentMember2021-12-310000893847us-gaap:AccumulatedNetUnrealizedInvestmentGainLossMe</w:t>
      </w:r>
      <w:r>
        <w:rPr>
          <w:rFonts w:eastAsia="Times New Roman"/>
          <w:vanish/>
        </w:rPr>
        <w:t>mber2022-01-012022-12-310000893847us-gaap:AccumulatedDefinedBenefitPlansAdjustmentMember2022-01-012022-12-310000893847us-gaap:AccumulatedNetUnrealizedInvestmentGainLossMember2022-12-310000893847us-gaap:AccumulatedDefinedBenefitPlansAdjustmentMember2022-12-</w:t>
      </w:r>
      <w:r>
        <w:rPr>
          <w:rFonts w:eastAsia="Times New Roman"/>
          <w:vanish/>
        </w:rPr>
        <w:t>310000893847hwbk:SupplementalExecutiveRetirementPlanMember2022-12-310000893847hwbk:SupplementalExecutiveRetirementPlanMember2022-01-012022-12-310000893847hwbk:SupplementalExecutiveRetirementPlanMember2021-01-012021-12-3100008938472022-04-012022-04-01000089</w:t>
      </w:r>
      <w:r>
        <w:rPr>
          <w:rFonts w:eastAsia="Times New Roman"/>
          <w:vanish/>
        </w:rPr>
        <w:t>38472018-01-012018-12-310000893847us-gaap:DefinedBenefitPlanCashAndCashEquivalentsMember2022-12-310000893847us-gaap:DefinedBenefitPlanCashAndCashEquivalentsMemberus-gaap:FairValueInputsLevel1Member2022-12-310000893847us-gaap:DefinedBenefitPlanCashAndCashEq</w:t>
      </w:r>
      <w:r>
        <w:rPr>
          <w:rFonts w:eastAsia="Times New Roman"/>
          <w:vanish/>
        </w:rPr>
        <w:t>uivalentsMemberus-gaap:FairValueInputsLevel2Member2022-12-310000893847us-gaap:DefinedBenefitPlanCashAndCashEquivalentsMemberus-gaap:FairValueInputsLevel3Member2022-12-310000893847us-gaap:UsGovernmentAgencyInsuredLoansMember2022-12-310000893847us-gaap:FairV</w:t>
      </w:r>
      <w:r>
        <w:rPr>
          <w:rFonts w:eastAsia="Times New Roman"/>
          <w:vanish/>
        </w:rPr>
        <w:t>alueInputsLevel1Memberus-gaap:UsGovernmentAgencyInsuredLoansMember2022-12-310000893847us-gaap:UsGovernmentAgencyInsuredLoansMemberus-gaap:FairValueInputsLevel2Member2022-12-310000893847us-gaap:FairValueInputsLevel3Memberus-gaap:UsGovernmentAgencyInsuredLoa</w:t>
      </w:r>
      <w:r>
        <w:rPr>
          <w:rFonts w:eastAsia="Times New Roman"/>
          <w:vanish/>
        </w:rPr>
        <w:t>nsMember2022-12-310000893847us-gaap:DefinedBenefitPlanEquitySecuritiesMember2022-12-310000893847us-gaap:DefinedBenefitPlanEquitySecuritiesMemberus-gaap:FairValueInputsLevel1Member2022-12-310000893847us-gaap:DefinedBenefitPlanEquitySecuritiesMemberus-gaap:F</w:t>
      </w:r>
      <w:r>
        <w:rPr>
          <w:rFonts w:eastAsia="Times New Roman"/>
          <w:vanish/>
        </w:rPr>
        <w:t>airValueInputsLevel2Member2022-12-310000893847us-gaap:DefinedBenefitPlanEquitySecuritiesMemberus-gaap:FairValueInputsLevel3Member2022-12-310000893847us-gaap:MutualFundMember2022-12-310000893847us-gaap:FairValueInputsLevel1Memberus-gaap:MutualFundMember2022</w:t>
      </w:r>
      <w:r>
        <w:rPr>
          <w:rFonts w:eastAsia="Times New Roman"/>
          <w:vanish/>
        </w:rPr>
        <w:t>-12-310000893847us-gaap:FairValueInputsLevel2Memberus-gaap:MutualFundMember2022-12-310000893847us-gaap:FairValueInputsLevel3Memberus-gaap:MutualFundMember2022-12-310000893847us-gaap:FairValueInputsLevel1Member2022-12-310000893847us-gaap:FairValueInputsLeve</w:t>
      </w:r>
      <w:r>
        <w:rPr>
          <w:rFonts w:eastAsia="Times New Roman"/>
          <w:vanish/>
        </w:rPr>
        <w:t>l2Member2022-12-310000893847us-gaap:FairValueInputsLevel3Member2022-12-310000893847us-gaap:DefinedBenefitPlanCashAndCashEquivalentsMember2021-12-310000893847us-gaap:DefinedBenefitPlanCashAndCashEquivalentsMemberus-gaap:FairValueInputsLevel1Member2021-12-31</w:t>
      </w:r>
      <w:r>
        <w:rPr>
          <w:rFonts w:eastAsia="Times New Roman"/>
          <w:vanish/>
        </w:rPr>
        <w:t>0000893847us-gaap:DefinedBenefitPlanCashAndCashEquivalentsMemberus-gaap:FairValueInputsLevel2Member2021-12-310000893847us-gaap:DefinedBenefitPlanCashAndCashEquivalentsMemberus-gaap:FairValueInputsLevel3Member2021-12-310000893847us-gaap:CorporateBondSecurit</w:t>
      </w:r>
      <w:r>
        <w:rPr>
          <w:rFonts w:eastAsia="Times New Roman"/>
          <w:vanish/>
        </w:rPr>
        <w:t>iesMember2021-12-310000893847us-gaap:FairValueInputsLevel1Memberus-gaap:CorporateBondSecuritiesMember2021-12-310000893847us-gaap:FairValueInputsLevel2Memberus-gaap:CorporateBondSecuritiesMember2021-12-310000893847us-gaap:FairValueInputsLevel3Memberus-gaap:</w:t>
      </w:r>
      <w:r>
        <w:rPr>
          <w:rFonts w:eastAsia="Times New Roman"/>
          <w:vanish/>
        </w:rPr>
        <w:t>CorporateBondSecuritiesMember2021-12-310000893847us-gaap:DefinedBenefitPlanEquitySecuritiesMember2021-12-310000893847us-gaap:DefinedBenefitPlanEquitySecuritiesMemberus-gaap:FairValueInputsLevel1Member2021-12-310000893847us-gaap:DefinedBenefitPlanEquitySecu</w:t>
      </w:r>
      <w:r>
        <w:rPr>
          <w:rFonts w:eastAsia="Times New Roman"/>
          <w:vanish/>
        </w:rPr>
        <w:t>ritiesMemberus-gaap:FairValueInputsLevel2Member2021-12-310000893847us-gaap:DefinedBenefitPlanEquitySecuritiesMemberus-gaap:FairValueInputsLevel3Member2021-12-310000893847us-gaap:MutualFundMember2021-12-310000893847us-gaap:FairValueInputsLevel1Memberus-gaap</w:t>
      </w:r>
      <w:r>
        <w:rPr>
          <w:rFonts w:eastAsia="Times New Roman"/>
          <w:vanish/>
        </w:rPr>
        <w:t>:MutualFundMember2021-12-310000893847us-gaap:FairValueInputsLevel2Memberus-gaap:MutualFundMember2021-12-310000893847us-gaap:FairValueInputsLevel3Memberus-gaap:MutualFundMember2021-12-310000893847us-gaap:FairValueInputsLevel1Member2021-12-310000893847us-gaa</w:t>
      </w:r>
      <w:r>
        <w:rPr>
          <w:rFonts w:eastAsia="Times New Roman"/>
          <w:vanish/>
        </w:rPr>
        <w:t>p:FairValueInputsLevel2Member2021-12-310000893847us-gaap:FairValueInputsLevel3Member2021-12-3100008938472022-07-012022-07-0100008938472021-06-300000893847srt:SubsidiariesMember2021-12-310000893847us-gaap:USTreasurySecuritiesMemberus-gaap:FairValueMeasureme</w:t>
      </w:r>
      <w:r>
        <w:rPr>
          <w:rFonts w:eastAsia="Times New Roman"/>
          <w:vanish/>
        </w:rPr>
        <w:t>ntsRecurringMember2022-12-310000893847us-gaap:FairValueInputsLevel1Memberus-gaap:USTreasurySecuritiesMemberus-gaap:FairValueMeasurementsRecurringMember2022-12-310000893847us-gaap:FairValueInputsLevel2Memberus-gaap:USTreasurySecuritiesMemberus-gaap:FairValu</w:t>
      </w:r>
      <w:r>
        <w:rPr>
          <w:rFonts w:eastAsia="Times New Roman"/>
          <w:vanish/>
        </w:rPr>
        <w:t>eMeasurementsRecurringMember2022-12-310000893847us-gaap:FairValueInputsLevel3Memberus-gaap:USTreasurySecuritiesMemberus-gaap:FairValueMeasurementsRecurringMember2022-12-310000893847hwbk:USGovernmentAndFederalAgencyObligationsMemberus-gaap:FairValueMeasurem</w:t>
      </w:r>
      <w:r>
        <w:rPr>
          <w:rFonts w:eastAsia="Times New Roman"/>
          <w:vanish/>
        </w:rPr>
        <w:t>entsRecurringMember2022-12-310000893847us-gaap:FairValueInputsLevel1Memberhwbk:USGovernmentAndFederalAgencyObligationsMemberus-gaap:FairValueMeasurementsRecurringMember2022-12-310000893847us-gaap:FairValueInputsLevel2Memberhwbk:USGovernmentAndFederalAgency</w:t>
      </w:r>
      <w:r>
        <w:rPr>
          <w:rFonts w:eastAsia="Times New Roman"/>
          <w:vanish/>
        </w:rPr>
        <w:t>ObligationsMemberus-gaap:FairValueMeasurementsRecurringMember2022-12-310000893847us-gaap:FairValueInputsLevel3Memberhwbk:USGovernmentAndFederalAgencyObligationsMemberus-gaap:FairValueMeasurementsRecurringMember2022-12-310000893847us-gaap:FairValueMeasureme</w:t>
      </w:r>
      <w:r>
        <w:rPr>
          <w:rFonts w:eastAsia="Times New Roman"/>
          <w:vanish/>
        </w:rPr>
        <w:t>ntsRecurringMemberus-gaap:USGovernmentSponsoredEnterprisesDebtSecuritiesMember2022-12-310000893847us-gaap:FairValueInputsLevel1Memberus-gaap:FairValueMeasurementsRecurringMemberus-gaap:USGovernmentSponsoredEnterprisesDebtSecuritiesMember2022-12-31000089384</w:t>
      </w:r>
      <w:r>
        <w:rPr>
          <w:rFonts w:eastAsia="Times New Roman"/>
          <w:vanish/>
        </w:rPr>
        <w:t>7us-gaap:FairValueInputsLevel2Memberus-gaap:FairValueMeasurementsRecurringMemberus-gaap:USGovernmentSponsoredEnterprisesDebtSecuritiesMember2022-12-310000893847us-gaap:FairValueInputsLevel3Memberus-gaap:FairValueMeasurementsRecurringMemberus-gaap:USGovernm</w:t>
      </w:r>
      <w:r>
        <w:rPr>
          <w:rFonts w:eastAsia="Times New Roman"/>
          <w:vanish/>
        </w:rPr>
        <w:t>entSponsoredEnterprisesDebtSecuritiesMember2022-12-310000893847us-gaap:USStatesAndPoliticalSubdivisionsMemberus-gaap:FairValueMeasurementsRecurringMember2022-12-310000893847us-gaap:FairValueInputsLevel1Memberus-gaap:USStatesAndPoliticalSubdivisionsMemberus</w:t>
      </w:r>
      <w:r>
        <w:rPr>
          <w:rFonts w:eastAsia="Times New Roman"/>
          <w:vanish/>
        </w:rPr>
        <w:t>-gaap:FairValueMeasurementsRecurringMember2022-12-310000893847us-gaap:USStatesAndPoliticalSubdivisionsMemberus-gaap:FairValueInputsLevel2Memberus-gaap:FairValueMeasurementsRecurringMember2022-12-310000893847us-gaap:FairValueInputsLevel3Memberus-gaap:USStat</w:t>
      </w:r>
      <w:r>
        <w:rPr>
          <w:rFonts w:eastAsia="Times New Roman"/>
          <w:vanish/>
        </w:rPr>
        <w:t>esAndPoliticalSubdivisionsMemberus-gaap:FairValueMeasurementsRecurringMember2022-12-310000893847us-gaap:FairValueMeasurementsRecurringMemberus-gaap:MortgageBackedSecuritiesMember2022-12-310000893847us-gaap:FairValueInputsLevel1Memberus-gaap:FairValueMeasur</w:t>
      </w:r>
      <w:r>
        <w:rPr>
          <w:rFonts w:eastAsia="Times New Roman"/>
          <w:vanish/>
        </w:rPr>
        <w:t>ementsRecurringMemberus-gaap:MortgageBackedSecuritiesMember2022-12-310000893847us-gaap:FairValueInputsLevel2Memberus-gaap:FairValueMeasurementsRecurringMemberus-gaap:MortgageBackedSecuritiesMember2022-12-310000893847us-gaap:FairValueInputsLevel3Memberus-ga</w:t>
      </w:r>
      <w:r>
        <w:rPr>
          <w:rFonts w:eastAsia="Times New Roman"/>
          <w:vanish/>
        </w:rPr>
        <w:t>ap:FairValueMeasurementsRecurringMemberus-gaap:MortgageBackedSecuritiesMember2022-12-310000893847us-gaap:FairValueMeasurementsRecurringMemberus-gaap:OtherDebtSecuritiesMember2022-12-310000893847us-gaap:FairValueInputsLevel1Memberus-gaap:FairValueMeasuremen</w:t>
      </w:r>
      <w:r>
        <w:rPr>
          <w:rFonts w:eastAsia="Times New Roman"/>
          <w:vanish/>
        </w:rPr>
        <w:t>tsRecurringMemberus-gaap:OtherDebtSecuritiesMember2022-12-310000893847us-gaap:FairValueInputsLevel2Memberus-gaap:FairValueMeasurementsRecurringMemberus-gaap:OtherDebtSecuritiesMember2022-12-310000893847us-gaap:FairValueInputsLevel3Memberus-gaap:FairValueMe</w:t>
      </w:r>
      <w:r>
        <w:rPr>
          <w:rFonts w:eastAsia="Times New Roman"/>
          <w:vanish/>
        </w:rPr>
        <w:t>asurementsRecurringMemberus-gaap:OtherDebtSecuritiesMember2022-12-310000893847us-gaap:FairValueMeasurementsRecurringMemberhwbk:BankIssuedTrustPreferredSecuritiesMember2022-12-310000893847us-gaap:FairValueInputsLevel1Memberus-gaap:FairValueMeasurementsRecur</w:t>
      </w:r>
      <w:r>
        <w:rPr>
          <w:rFonts w:eastAsia="Times New Roman"/>
          <w:vanish/>
        </w:rPr>
        <w:t>ringMemberhwbk:BankIssuedTrustPreferredSecuritiesMember2022-12-310000893847us-gaap:FairValueInputsLevel2Memberus-gaap:FairValueMeasurementsRecurringMemberhwbk:BankIssuedTrustPreferredSecuritiesMember2022-12-310000893847us-gaap:FairValueInputsLevel3Memberus</w:t>
      </w:r>
      <w:r>
        <w:rPr>
          <w:rFonts w:eastAsia="Times New Roman"/>
          <w:vanish/>
        </w:rPr>
        <w:t>-gaap:FairValueMeasurementsRecurringMemberhwbk:BankIssuedTrustPreferredSecuritiesMember2022-12-310000893847us-gaap:EquitySecuritiesMemberus-gaap:FairValueMeasurementsRecurringMember2022-12-310000893847us-gaap:EquitySecuritiesMemberus-gaap:FairValueInputsLe</w:t>
      </w:r>
      <w:r>
        <w:rPr>
          <w:rFonts w:eastAsia="Times New Roman"/>
          <w:vanish/>
        </w:rPr>
        <w:t>vel1Memberus-gaap:FairValueMeasurementsRecurringMember2022-12-310000893847us-gaap:EquitySecuritiesMemberus-gaap:FairValueInputsLevel2Memberus-gaap:FairValueMeasurementsRecurringMember2022-12-310000893847us-gaap:EquitySecuritiesMemberus-gaap:FairValueInputs</w:t>
      </w:r>
      <w:r>
        <w:rPr>
          <w:rFonts w:eastAsia="Times New Roman"/>
          <w:vanish/>
        </w:rPr>
        <w:t>Level3Memberus-gaap:FairValueMeasurementsRecurringMember2022-12-310000893847us-gaap:FairValueMeasurementsRecurringMemberus-gaap:InterestRateLockCommitmentsMember2022-12-310000893847us-gaap:FairValueInputsLevel1Memberus-gaap:FairValueMeasurementsRecurringMe</w:t>
      </w:r>
      <w:r>
        <w:rPr>
          <w:rFonts w:eastAsia="Times New Roman"/>
          <w:vanish/>
        </w:rPr>
        <w:t>mberus-gaap:InterestRateLockCommitmentsMember2022-12-310000893847us-gaap:FairValueInputsLevel2Memberus-gaap:FairValueMeasurementsRecurringMemberus-gaap:InterestRateLockCommitmentsMember2022-12-310000893847us-gaap:FairValueInputsLevel3Memberus-gaap:FairValu</w:t>
      </w:r>
      <w:r>
        <w:rPr>
          <w:rFonts w:eastAsia="Times New Roman"/>
          <w:vanish/>
        </w:rPr>
        <w:t>eMeasurementsRecurringMemberus-gaap:InterestRateLockCommitmentsMember2022-12-310000893847hwbk:ForwardSaleCommitmentsMemberus-gaap:FairValueMeasurementsRecurringMember2022-12-310000893847us-gaap:FairValueInputsLevel1Memberhwbk:ForwardSaleCommitmentsMemberus</w:t>
      </w:r>
      <w:r>
        <w:rPr>
          <w:rFonts w:eastAsia="Times New Roman"/>
          <w:vanish/>
        </w:rPr>
        <w:t>-gaap:FairValueMeasurementsRecurringMember2022-12-310000893847hwbk:ForwardSaleCommitmentsMemberus-gaap:FairValueInputsLevel2Memberus-gaap:FairValueMeasurementsRecurringMember2022-12-310000893847us-gaap:FairValueInputsLevel3Memberhwbk:ForwardSaleCommitments</w:t>
      </w:r>
      <w:r>
        <w:rPr>
          <w:rFonts w:eastAsia="Times New Roman"/>
          <w:vanish/>
        </w:rPr>
        <w:t>Memberus-gaap:FairValueMeasurementsRecurringMember2022-12-310000893847us-gaap:FairValueMeasurementsRecurringMember2022-12-310000893847us-gaap:FairValueInputsLevel1Memberus-gaap:FairValueMeasurementsRecurringMember2022-12-310000893847us-gaap:FairValueInputs</w:t>
      </w:r>
      <w:r>
        <w:rPr>
          <w:rFonts w:eastAsia="Times New Roman"/>
          <w:vanish/>
        </w:rPr>
        <w:t>Level2Memberus-gaap:FairValueMeasurementsRecurringMember2022-12-310000893847us-gaap:FairValueInputsLevel3Memberus-gaap:FairValueMeasurementsRecurringMember2022-12-310000893847us-gaap:FairValueMeasurementsRecurringMemberus-gaap:USTreasurySecuritiesMember202</w:t>
      </w:r>
      <w:r>
        <w:rPr>
          <w:rFonts w:eastAsia="Times New Roman"/>
          <w:vanish/>
        </w:rPr>
        <w:t>1-12-310000893847us-gaap:FairValueInputsLevel1Memberus-gaap:FairValueMeasurementsRecurringMemberus-gaap:USTreasurySecuritiesMember2021-12-310000893847us-gaap:FairValueInputsLevel2Memberus-gaap:FairValueMeasurementsRecurringMemberus-gaap:USTreasurySecuritie</w:t>
      </w:r>
      <w:r>
        <w:rPr>
          <w:rFonts w:eastAsia="Times New Roman"/>
          <w:vanish/>
        </w:rPr>
        <w:t>sMember2021-12-310000893847us-gaap:FairValueInputsLevel3Memberus-gaap:FairValueMeasurementsRecurringMemberus-gaap:USTreasurySecuritiesMember2021-12-310000893847us-gaap:FairValueMeasurementsRecurringMemberhwbk:USGovernmentAndFederalAgencyObligationsMember20</w:t>
      </w:r>
      <w:r>
        <w:rPr>
          <w:rFonts w:eastAsia="Times New Roman"/>
          <w:vanish/>
        </w:rPr>
        <w:t>21-12-310000893847us-gaap:FairValueInputsLevel1Memberus-gaap:FairValueMeasurementsRecurringMemberhwbk:USGovernmentAndFederalAgencyObligationsMember2021-12-310000893847us-gaap:FairValueInputsLevel2Memberus-gaap:FairValueMeasurementsRecurringMemberhwbk:USGov</w:t>
      </w:r>
      <w:r>
        <w:rPr>
          <w:rFonts w:eastAsia="Times New Roman"/>
          <w:vanish/>
        </w:rPr>
        <w:t>ernmentAndFederalAgencyObligationsMember2021-12-310000893847us-gaap:FairValueInputsLevel3Memberus-gaap:FairValueMeasurementsRecurringMemberhwbk:USGovernmentAndFederalAgencyObligationsMember2021-12-310000893847us-gaap:FairValueMeasurementsRecurringMemberus-</w:t>
      </w:r>
      <w:r>
        <w:rPr>
          <w:rFonts w:eastAsia="Times New Roman"/>
          <w:vanish/>
        </w:rPr>
        <w:t>gaap:USGovernmentSponsoredEnterprisesDebtSecuritiesMember2021-12-310000893847us-gaap:FairValueInputsLevel1Memberus-gaap:FairValueMeasurementsRecurringMemberus-gaap:USGovernmentSponsoredEnterprisesDebtSecuritiesMember2021-12-310000893847us-gaap:FairValueInp</w:t>
      </w:r>
      <w:r>
        <w:rPr>
          <w:rFonts w:eastAsia="Times New Roman"/>
          <w:vanish/>
        </w:rPr>
        <w:t>utsLevel2Memberus-gaap:FairValueMeasurementsRecurringMemberus-gaap:USGovernmentSponsoredEnterprisesDebtSecuritiesMember2021-12-310000893847us-gaap:FairValueInputsLevel3Memberus-gaap:FairValueMeasurementsRecurringMemberus-gaap:USGovernmentSponsoredEnterpris</w:t>
      </w:r>
      <w:r>
        <w:rPr>
          <w:rFonts w:eastAsia="Times New Roman"/>
          <w:vanish/>
        </w:rPr>
        <w:t>esDebtSecuritiesMember2021-12-310000893847us-gaap:FairValueMeasurementsRecurringMemberus-gaap:USStatesAndPoliticalSubdivisionsMember2021-12-310000893847us-gaap:FairValueInputsLevel1Memberus-gaap:USStatesAndPoliticalSubdivisionsMemberus-gaap:FairValueMeasur</w:t>
      </w:r>
      <w:r>
        <w:rPr>
          <w:rFonts w:eastAsia="Times New Roman"/>
          <w:vanish/>
        </w:rPr>
        <w:t>ementsRecurringMember2021-12-310000893847us-gaap:FairValueInputsLevel2Memberus-gaap:USStatesAndPoliticalSubdivisionsMemberus-gaap:FairValueMeasurementsRecurringMember2021-12-310000893847us-gaap:FairValueInputsLevel3Memberus-gaap:USStatesAndPoliticalSubdivi</w:t>
      </w:r>
      <w:r>
        <w:rPr>
          <w:rFonts w:eastAsia="Times New Roman"/>
          <w:vanish/>
        </w:rPr>
        <w:t>sionsMemberus-gaap:FairValueMeasurementsRecurringMember2021-12-310000893847us-gaap:MortgageBackedSecuritiesMemberus-gaap:FairValueMeasurementsRecurringMember2021-12-310000893847us-gaap:MortgageBackedSecuritiesMemberus-gaap:FairValueInputsLevel1Memberus-gaa</w:t>
      </w:r>
      <w:r>
        <w:rPr>
          <w:rFonts w:eastAsia="Times New Roman"/>
          <w:vanish/>
        </w:rPr>
        <w:t>p:FairValueMeasurementsRecurringMember2021-12-310000893847us-gaap:MortgageBackedSecuritiesMemberus-gaap:FairValueInputsLevel2Memberus-gaap:FairValueMeasurementsRecurringMember2021-12-310000893847us-gaap:MortgageBackedSecuritiesMemberus-gaap:FairValueInputs</w:t>
      </w:r>
      <w:r>
        <w:rPr>
          <w:rFonts w:eastAsia="Times New Roman"/>
          <w:vanish/>
        </w:rPr>
        <w:t>Level3Memberus-gaap:FairValueMeasurementsRecurringMember2021-12-310000893847us-gaap:OtherDebtSecuritiesMemberus-gaap:FairValueMeasurementsRecurringMember2021-12-310000893847us-gaap:OtherDebtSecuritiesMemberus-gaap:FairValueInputsLevel1Memberus-gaap:FairVal</w:t>
      </w:r>
      <w:r>
        <w:rPr>
          <w:rFonts w:eastAsia="Times New Roman"/>
          <w:vanish/>
        </w:rPr>
        <w:t>ueMeasurementsRecurringMember2021-12-310000893847us-gaap:OtherDebtSecuritiesMemberus-gaap:FairValueInputsLevel2Memberus-gaap:FairValueMeasurementsRecurringMember2021-12-310000893847us-gaap:OtherDebtSecuritiesMemberus-gaap:FairValueInputsLevel3Memberus-gaap</w:t>
      </w:r>
      <w:r>
        <w:rPr>
          <w:rFonts w:eastAsia="Times New Roman"/>
          <w:vanish/>
        </w:rPr>
        <w:t>:FairValueMeasurementsRecurringMember2021-12-310000893847us-gaap:FairValueMeasurementsRecurringMemberhwbk:BankIssuedTrustPreferredSecuritiesMember2021-12-310000893847us-gaap:FairValueInputsLevel1Memberus-gaap:FairValueMeasurementsRecurringMemberhwbk:BankIs</w:t>
      </w:r>
      <w:r>
        <w:rPr>
          <w:rFonts w:eastAsia="Times New Roman"/>
          <w:vanish/>
        </w:rPr>
        <w:t>suedTrustPreferredSecuritiesMember2021-12-310000893847us-gaap:FairValueInputsLevel2Memberus-gaap:FairValueMeasurementsRecurringMemberhwbk:BankIssuedTrustPreferredSecuritiesMember2021-12-310000893847us-gaap:FairValueInputsLevel3Memberus-gaap:FairValueMeasur</w:t>
      </w:r>
      <w:r>
        <w:rPr>
          <w:rFonts w:eastAsia="Times New Roman"/>
          <w:vanish/>
        </w:rPr>
        <w:t>ementsRecurringMemberhwbk:BankIssuedTrustPreferredSecuritiesMember2021-12-310000893847us-gaap:FairValueMeasurementsRecurringMemberus-gaap:EquitySecuritiesMember2021-12-310000893847us-gaap:FairValueInputsLevel1Memberus-gaap:FairValueMeasurementsRecurringMem</w:t>
      </w:r>
      <w:r>
        <w:rPr>
          <w:rFonts w:eastAsia="Times New Roman"/>
          <w:vanish/>
        </w:rPr>
        <w:t>berus-gaap:EquitySecuritiesMember2021-12-310000893847us-gaap:FairValueInputsLevel2Memberus-gaap:FairValueMeasurementsRecurringMemberus-gaap:EquitySecuritiesMember2021-12-310000893847us-gaap:FairValueInputsLevel3Memberus-gaap:FairValueMeasurementsRecurringM</w:t>
      </w:r>
      <w:r>
        <w:rPr>
          <w:rFonts w:eastAsia="Times New Roman"/>
          <w:vanish/>
        </w:rPr>
        <w:t>emberus-gaap:EquitySecuritiesMember2021-12-310000893847us-gaap:FairValueMeasurementsRecurringMemberus-gaap:InterestRateLockCommitmentsMember2021-12-310000893847us-gaap:FairValueInputsLevel1Memberus-gaap:FairValueMeasurementsRecurringMemberus-gaap:InterestR</w:t>
      </w:r>
      <w:r>
        <w:rPr>
          <w:rFonts w:eastAsia="Times New Roman"/>
          <w:vanish/>
        </w:rPr>
        <w:t>ateLockCommitmentsMember2021-12-310000893847us-gaap:FairValueInputsLevel2Memberus-gaap:FairValueMeasurementsRecurringMemberus-gaap:InterestRateLockCommitmentsMember2021-12-310000893847us-gaap:FairValueInputsLevel3Memberus-gaap:FairValueMeasurementsRecurrin</w:t>
      </w:r>
      <w:r>
        <w:rPr>
          <w:rFonts w:eastAsia="Times New Roman"/>
          <w:vanish/>
        </w:rPr>
        <w:t>gMemberus-gaap:InterestRateLockCommitmentsMember2021-12-310000893847hwbk:ForwardSaleCommitmentsMemberus-gaap:FairValueMeasurementsRecurringMember2021-12-310000893847us-gaap:FairValueInputsLevel1Memberhwbk:ForwardSaleCommitmentsMemberus-gaap:FairValueMeasur</w:t>
      </w:r>
      <w:r>
        <w:rPr>
          <w:rFonts w:eastAsia="Times New Roman"/>
          <w:vanish/>
        </w:rPr>
        <w:t>ementsRecurringMember2021-12-310000893847us-gaap:FairValueInputsLevel2Memberhwbk:ForwardSaleCommitmentsMemberus-gaap:FairValueMeasurementsRecurringMember2021-12-310000893847us-gaap:FairValueInputsLevel3Memberhwbk:ForwardSaleCommitmentsMemberus-gaap:FairVal</w:t>
      </w:r>
      <w:r>
        <w:rPr>
          <w:rFonts w:eastAsia="Times New Roman"/>
          <w:vanish/>
        </w:rPr>
        <w:t>ueMeasurementsRecurringMember2021-12-310000893847us-gaap:FairValueMeasurementsRecurringMember2021-12-310000893847us-gaap:FairValueInputsLevel1Memberus-gaap:FairValueMeasurementsRecurringMember2021-12-310000893847us-gaap:FairValueInputsLevel2Memberus-gaap:F</w:t>
      </w:r>
      <w:r>
        <w:rPr>
          <w:rFonts w:eastAsia="Times New Roman"/>
          <w:vanish/>
        </w:rPr>
        <w:t>airValueMeasurementsRecurringMember2021-12-310000893847us-gaap:FairValueInputsLevel3Memberus-gaap:FairValueMeasurementsRecurringMember2021-12-310000893847us-gaap:ServicingContractsMemberus-gaap:FairValueInputsLevel3Memberus-gaap:FairValueMeasurementsRecurr</w:t>
      </w:r>
      <w:r>
        <w:rPr>
          <w:rFonts w:eastAsia="Times New Roman"/>
          <w:vanish/>
        </w:rPr>
        <w:t>ingMember2020-12-310000893847us-gaap:FairValueInputsLevel3Memberus-gaap:FairValueMeasurementsRecurringMemberus-gaap:InterestRateLockCommitmentsMember2020-12-310000893847us-gaap:ServicingContractsMemberus-gaap:FairValueInputsLevel3Memberus-gaap:FairValueMea</w:t>
      </w:r>
      <w:r>
        <w:rPr>
          <w:rFonts w:eastAsia="Times New Roman"/>
          <w:vanish/>
        </w:rPr>
        <w:t>surementsRecurringMember2021-01-012021-12-310000893847us-gaap:FairValueInputsLevel3Memberus-gaap:FairValueMeasurementsRecurringMemberus-gaap:InterestRateLockCommitmentsMember2021-01-012021-12-310000893847us-gaap:ServicingContractsMemberus-gaap:FairValueInp</w:t>
      </w:r>
      <w:r>
        <w:rPr>
          <w:rFonts w:eastAsia="Times New Roman"/>
          <w:vanish/>
        </w:rPr>
        <w:t>utsLevel3Memberus-gaap:FairValueMeasurementsRecurringMember2021-12-310000893847us-gaap:ServicingContractsMemberus-gaap:FairValueInputsLevel3Memberus-gaap:FairValueMeasurementsRecurringMember2022-01-012022-12-310000893847us-gaap:FairValueInputsLevel3Memberu</w:t>
      </w:r>
      <w:r>
        <w:rPr>
          <w:rFonts w:eastAsia="Times New Roman"/>
          <w:vanish/>
        </w:rPr>
        <w:t>s-gaap:FairValueMeasurementsRecurringMemberus-gaap:InterestRateLockCommitmentsMember2022-01-012022-12-310000893847us-gaap:ServicingContractsMemberus-gaap:FairValueInputsLevel3Memberus-gaap:FairValueMeasurementsRecurringMember2022-12-310000893847us-gaap:Fai</w:t>
      </w:r>
      <w:r>
        <w:rPr>
          <w:rFonts w:eastAsia="Times New Roman"/>
          <w:vanish/>
        </w:rPr>
        <w:t>rValueInputsLevel3Memberus-gaap:FairValueMeasurementsRecurringMemberus-gaap:InterestRateLockCommitmentsMember2022-12-310000893847hwbk:CollateralDependentImpairedLoansMember2022-12-310000893847hwbk:CollateralDependentImpairedLoansMember2021-12-310000893847h</w:t>
      </w:r>
      <w:r>
        <w:rPr>
          <w:rFonts w:eastAsia="Times New Roman"/>
          <w:vanish/>
        </w:rPr>
        <w:t>wbk:CollateralDependentImpairedLoansMember2021-12-310000893847us-gaap:MortgagesMemberus-gaap:FairValueMeasurementsNonrecurringMemberus-gaap:EstimateOfFairValueFairValueDisclosureMemberus-gaap:CommercialRealEstatePortfolioSegmentMember2022-12-310000893847us</w:t>
      </w:r>
      <w:r>
        <w:rPr>
          <w:rFonts w:eastAsia="Times New Roman"/>
          <w:vanish/>
        </w:rPr>
        <w:t>-gaap:MortgagesMemberus-gaap:FairValueInputsLevel1Memberus-gaap:FairValueMeasurementsNonrecurringMemberus-gaap:EstimateOfFairValueFairValueDisclosureMemberus-gaap:CommercialRealEstatePortfolioSegmentMember2022-12-310000893847us-gaap:MortgagesMemberus-gaap:</w:t>
      </w:r>
      <w:r>
        <w:rPr>
          <w:rFonts w:eastAsia="Times New Roman"/>
          <w:vanish/>
        </w:rPr>
        <w:t>FairValueMeasurementsNonrecurringMemberus-gaap:FairValueInputsLevel2Memberus-gaap:EstimateOfFairValueFairValueDisclosureMemberus-gaap:CommercialRealEstatePortfolioSegmentMember2022-12-310000893847us-gaap:MortgagesMemberus-gaap:FairValueInputsLevel3Memberus</w:t>
      </w:r>
      <w:r>
        <w:rPr>
          <w:rFonts w:eastAsia="Times New Roman"/>
          <w:vanish/>
        </w:rPr>
        <w:t>-gaap:FairValueMeasurementsNonrecurringMemberus-gaap:EstimateOfFairValueFairValueDisclosureMemberus-gaap:CommercialRealEstatePortfolioSegmentMember2022-12-310000893847us-gaap:MortgagesMemberus-gaap:ChangeDuringPeriodFairValueDisclosureMemberus-gaap:FairVal</w:t>
      </w:r>
      <w:r>
        <w:rPr>
          <w:rFonts w:eastAsia="Times New Roman"/>
          <w:vanish/>
        </w:rPr>
        <w:t>ueMeasurementsNonrecurringMemberus-gaap:CommercialRealEstatePortfolioSegmentMember2022-01-012022-12-310000893847hwbk:InstallmentAndOtherConsumerPortfolioSegmentMemberus-gaap:FairValueMeasurementsNonrecurringMemberus-gaap:EstimateOfFairValueFairValueDisclos</w:t>
      </w:r>
      <w:r>
        <w:rPr>
          <w:rFonts w:eastAsia="Times New Roman"/>
          <w:vanish/>
        </w:rPr>
        <w:t>ureMember2022-12-310000893847hwbk:InstallmentAndOtherConsumerPortfolioSegmentMemberus-gaap:FairValueInputsLevel1Memberus-gaap:FairValueMeasurementsNonrecurringMemberus-gaap:EstimateOfFairValueFairValueDisclosureMember2022-12-310000893847hwbk:InstallmentAnd</w:t>
      </w:r>
      <w:r>
        <w:rPr>
          <w:rFonts w:eastAsia="Times New Roman"/>
          <w:vanish/>
        </w:rPr>
        <w:t>OtherConsumerPortfolioSegmentMemberus-gaap:FairValueInputsLevel2Memberus-gaap:FairValueMeasurementsNonrecurringMemberus-gaap:EstimateOfFairValueFairValueDisclosureMember2022-12-310000893847hwbk:InstallmentAndOtherConsumerPortfolioSegmentMemberus-gaap:FairV</w:t>
      </w:r>
      <w:r>
        <w:rPr>
          <w:rFonts w:eastAsia="Times New Roman"/>
          <w:vanish/>
        </w:rPr>
        <w:t>alueInputsLevel3Memberus-gaap:FairValueMeasurementsNonrecurringMemberus-gaap:EstimateOfFairValueFairValueDisclosureMember2022-12-310000893847hwbk:InstallmentAndOtherConsumerPortfolioSegmentMemberus-gaap:ChangeDuringPeriodFairValueDisclosureMember2022-01-01</w:t>
      </w:r>
      <w:r>
        <w:rPr>
          <w:rFonts w:eastAsia="Times New Roman"/>
          <w:vanish/>
        </w:rPr>
        <w:t>2022-12-310000893847us-gaap:FairValueMeasurementsNonrecurringMemberus-gaap:EstimateOfFairValueFairValueDisclosureMember2022-12-310000893847us-gaap:FairValueInputsLevel1Memberus-gaap:FairValueMeasurementsNonrecurringMemberus-gaap:EstimateOfFairValueFairValu</w:t>
      </w:r>
      <w:r>
        <w:rPr>
          <w:rFonts w:eastAsia="Times New Roman"/>
          <w:vanish/>
        </w:rPr>
        <w:t>eDisclosureMember2022-12-310000893847us-gaap:FairValueInputsLevel2Memberus-gaap:FairValueMeasurementsNonrecurringMemberus-gaap:EstimateOfFairValueFairValueDisclosureMember2022-12-310000893847us-gaap:FairValueInputsLevel3Memberus-gaap:FairValueMeasurementsN</w:t>
      </w:r>
      <w:r>
        <w:rPr>
          <w:rFonts w:eastAsia="Times New Roman"/>
          <w:vanish/>
        </w:rPr>
        <w:t>onrecurringMemberus-gaap:EstimateOfFairValueFairValueDisclosureMember2022-12-310000893847us-gaap:FairValueMeasurementsNonrecurringMemberus-gaap:ChangeDuringPeriodFairValueDisclosureMember2022-01-012022-12-310000893847hwbk:CommercialFinancialAndAgricultural</w:t>
      </w:r>
      <w:r>
        <w:rPr>
          <w:rFonts w:eastAsia="Times New Roman"/>
          <w:vanish/>
        </w:rPr>
        <w:t>PortfolioSegmentMemberus-gaap:FairValueMeasurementsNonrecurringMemberus-gaap:EstimateOfFairValueFairValueDisclosureMember2021-12-310000893847hwbk:CommercialFinancialAndAgriculturalPortfolioSegmentMemberus-gaap:FairValueInputsLevel1Memberus-gaap:FairValueMe</w:t>
      </w:r>
      <w:r>
        <w:rPr>
          <w:rFonts w:eastAsia="Times New Roman"/>
          <w:vanish/>
        </w:rPr>
        <w:t>asurementsNonrecurringMemberus-gaap:EstimateOfFairValueFairValueDisclosureMember2021-12-310000893847hwbk:CommercialFinancialAndAgriculturalPortfolioSegmentMemberus-gaap:FairValueInputsLevel2Memberus-gaap:FairValueMeasurementsNonrecurringMemberus-gaap:Estim</w:t>
      </w:r>
      <w:r>
        <w:rPr>
          <w:rFonts w:eastAsia="Times New Roman"/>
          <w:vanish/>
        </w:rPr>
        <w:t>ateOfFairValueFairValueDisclosureMember2021-12-310000893847hwbk:CommercialFinancialAndAgriculturalPortfolioSegmentMemberus-gaap:FairValueInputsLevel3Memberus-gaap:FairValueMeasurementsNonrecurringMemberus-gaap:EstimateOfFairValueFairValueDisclosureMember20</w:t>
      </w:r>
      <w:r>
        <w:rPr>
          <w:rFonts w:eastAsia="Times New Roman"/>
          <w:vanish/>
        </w:rPr>
        <w:t>21-12-310000893847hwbk:CommercialFinancialAndAgriculturalPortfolioSegmentMemberus-gaap:ChangeDuringPeriodFairValueDisclosureMemberus-gaap:FairValueMeasurementsNonrecurringMember2021-01-012021-12-310000893847hwbk:ResidentialRealEstatePortfolioSegmentMemberu</w:t>
      </w:r>
      <w:r>
        <w:rPr>
          <w:rFonts w:eastAsia="Times New Roman"/>
          <w:vanish/>
        </w:rPr>
        <w:t>s-gaap:MortgagesMemberus-gaap:FairValueMeasurementsNonrecurringMemberus-gaap:EstimateOfFairValueFairValueDisclosureMember2021-12-310000893847hwbk:ResidentialRealEstatePortfolioSegmentMemberus-gaap:MortgagesMemberus-gaap:FairValueInputsLevel1Memberus-gaap:F</w:t>
      </w:r>
      <w:r>
        <w:rPr>
          <w:rFonts w:eastAsia="Times New Roman"/>
          <w:vanish/>
        </w:rPr>
        <w:t>airValueMeasurementsNonrecurringMemberus-gaap:EstimateOfFairValueFairValueDisclosureMember2021-12-310000893847hwbk:ResidentialRealEstatePortfolioSegmentMemberus-gaap:MortgagesMemberus-gaap:FairValueMeasurementsNonrecurringMemberus-gaap:FairValueInputsLevel</w:t>
      </w:r>
      <w:r>
        <w:rPr>
          <w:rFonts w:eastAsia="Times New Roman"/>
          <w:vanish/>
        </w:rPr>
        <w:t>2Memberus-gaap:EstimateOfFairValueFairValueDisclosureMember2021-12-310000893847hwbk:ResidentialRealEstatePortfolioSegmentMemberus-gaap:MortgagesMemberus-gaap:FairValueInputsLevel3Memberus-gaap:FairValueMeasurementsNonrecurringMemberus-gaap:EstimateOfFairVa</w:t>
      </w:r>
      <w:r>
        <w:rPr>
          <w:rFonts w:eastAsia="Times New Roman"/>
          <w:vanish/>
        </w:rPr>
        <w:t>lueFairValueDisclosureMember2021-12-310000893847hwbk:ResidentialRealEstatePortfolioSegmentMemberus-gaap:MortgagesMemberus-gaap:ChangeDuringPeriodFairValueDisclosureMemberus-gaap:FairValueMeasurementsNonrecurringMember2021-01-012021-12-310000893847us-gaap:M</w:t>
      </w:r>
      <w:r>
        <w:rPr>
          <w:rFonts w:eastAsia="Times New Roman"/>
          <w:vanish/>
        </w:rPr>
        <w:t>ortgagesMemberus-gaap:FairValueMeasurementsNonrecurringMemberus-gaap:EstimateOfFairValueFairValueDisclosureMemberus-gaap:CommercialRealEstatePortfolioSegmentMember2021-12-310000893847us-gaap:MortgagesMemberus-gaap:FairValueInputsLevel1Memberus-gaap:FairVal</w:t>
      </w:r>
      <w:r>
        <w:rPr>
          <w:rFonts w:eastAsia="Times New Roman"/>
          <w:vanish/>
        </w:rPr>
        <w:t>ueMeasurementsNonrecurringMemberus-gaap:EstimateOfFairValueFairValueDisclosureMemberus-gaap:CommercialRealEstatePortfolioSegmentMember2021-12-310000893847us-gaap:MortgagesMemberus-gaap:FairValueMeasurementsNonrecurringMemberus-gaap:FairValueInputsLevel2Mem</w:t>
      </w:r>
      <w:r>
        <w:rPr>
          <w:rFonts w:eastAsia="Times New Roman"/>
          <w:vanish/>
        </w:rPr>
        <w:t>berus-gaap:EstimateOfFairValueFairValueDisclosureMemberus-gaap:CommercialRealEstatePortfolioSegmentMember2021-12-310000893847us-gaap:MortgagesMemberus-gaap:FairValueInputsLevel3Memberus-gaap:FairValueMeasurementsNonrecurringMemberus-gaap:EstimateOfFairValu</w:t>
      </w:r>
      <w:r>
        <w:rPr>
          <w:rFonts w:eastAsia="Times New Roman"/>
          <w:vanish/>
        </w:rPr>
        <w:t>eFairValueDisclosureMemberus-gaap:CommercialRealEstatePortfolioSegmentMember2021-12-310000893847us-gaap:MortgagesMemberus-gaap:ChangeDuringPeriodFairValueDisclosureMemberus-gaap:FairValueMeasurementsNonrecurringMemberus-gaap:CommercialRealEstatePortfolioSe</w:t>
      </w:r>
      <w:r>
        <w:rPr>
          <w:rFonts w:eastAsia="Times New Roman"/>
          <w:vanish/>
        </w:rPr>
        <w:t>gmentMember2021-01-012021-12-310000893847hwbk:InstallmentAndOtherConsumerPortfolioSegmentMemberus-gaap:FairValueMeasurementsNonrecurringMemberus-gaap:EstimateOfFairValueFairValueDisclosureMember2021-12-310000893847hwbk:InstallmentAndOtherConsumerPortfolioS</w:t>
      </w:r>
      <w:r>
        <w:rPr>
          <w:rFonts w:eastAsia="Times New Roman"/>
          <w:vanish/>
        </w:rPr>
        <w:t>egmentMemberus-gaap:FairValueInputsLevel1Memberus-gaap:FairValueMeasurementsNonrecurringMemberus-gaap:EstimateOfFairValueFairValueDisclosureMember2021-12-310000893847hwbk:InstallmentAndOtherConsumerPortfolioSegmentMemberus-gaap:FairValueInputsLevel2Memberu</w:t>
      </w:r>
      <w:r>
        <w:rPr>
          <w:rFonts w:eastAsia="Times New Roman"/>
          <w:vanish/>
        </w:rPr>
        <w:t>s-gaap:FairValueMeasurementsNonrecurringMemberus-gaap:EstimateOfFairValueFairValueDisclosureMember2021-12-310000893847hwbk:InstallmentAndOtherConsumerPortfolioSegmentMemberus-gaap:FairValueInputsLevel3Memberus-gaap:FairValueMeasurementsNonrecurringMemberus</w:t>
      </w:r>
      <w:r>
        <w:rPr>
          <w:rFonts w:eastAsia="Times New Roman"/>
          <w:vanish/>
        </w:rPr>
        <w:t>-gaap:EstimateOfFairValueFairValueDisclosureMember2021-12-310000893847hwbk:InstallmentAndOtherConsumerPortfolioSegmentMemberus-gaap:ChangeDuringPeriodFairValueDisclosureMember2021-01-012021-12-310000893847us-gaap:FairValueMeasurementsNonrecurringMemberus-g</w:t>
      </w:r>
      <w:r>
        <w:rPr>
          <w:rFonts w:eastAsia="Times New Roman"/>
          <w:vanish/>
        </w:rPr>
        <w:t>aap:EstimateOfFairValueFairValueDisclosureMember2021-12-310000893847us-gaap:FairValueInputsLevel1Memberus-gaap:FairValueMeasurementsNonrecurringMemberus-gaap:EstimateOfFairValueFairValueDisclosureMember2021-12-310000893847us-gaap:FairValueInputsLevel2Membe</w:t>
      </w:r>
      <w:r>
        <w:rPr>
          <w:rFonts w:eastAsia="Times New Roman"/>
          <w:vanish/>
        </w:rPr>
        <w:t>rus-gaap:FairValueMeasurementsNonrecurringMemberus-gaap:EstimateOfFairValueFairValueDisclosureMember2021-12-310000893847us-gaap:FairValueInputsLevel3Memberus-gaap:FairValueMeasurementsNonrecurringMemberus-gaap:EstimateOfFairValueFairValueDisclosureMember20</w:t>
      </w:r>
      <w:r>
        <w:rPr>
          <w:rFonts w:eastAsia="Times New Roman"/>
          <w:vanish/>
        </w:rPr>
        <w:t>21-12-310000893847us-gaap:FairValueMeasurementsNonrecurringMemberus-gaap:ChangeDuringPeriodFairValueDisclosureMember2021-01-012021-12-310000893847us-gaap:CarryingReportedAmountFairValueDisclosureMember2022-12-310000893847us-gaap:EstimateOfFairValueFairValu</w:t>
      </w:r>
      <w:r>
        <w:rPr>
          <w:rFonts w:eastAsia="Times New Roman"/>
          <w:vanish/>
        </w:rPr>
        <w:t>eDisclosureMember2022-12-310000893847us-gaap:CarryingReportedAmountFairValueDisclosureMember2021-12-310000893847us-gaap:EstimateOfFairValueFairValueDisclosureMember2021-12-310000893847us-gaap:CommitmentsToExtendCreditMember2022-12-310000893847us-gaap:Commi</w:t>
      </w:r>
      <w:r>
        <w:rPr>
          <w:rFonts w:eastAsia="Times New Roman"/>
          <w:vanish/>
        </w:rPr>
        <w:t>tmentsToExtendCreditMember2021-12-310000893847us-gaap:InterestRateLockCommitmentsMember2022-12-310000893847us-gaap:InterestRateLockCommitmentsMember2021-12-310000893847hwbk:ForwardSaleCommitmentsMember2022-12-310000893847hwbk:ForwardSaleCommitmentsMember20</w:t>
      </w:r>
      <w:r>
        <w:rPr>
          <w:rFonts w:eastAsia="Times New Roman"/>
          <w:vanish/>
        </w:rPr>
        <w:t>21-12-310000893847us-gaap:StandbyLettersOfCreditMember2022-12-310000893847us-gaap:StandbyLettersOfCreditMember2021-12-310000893847srt:MinimumMember2022-01-012022-12-310000893847srt:MaximumMember2022-01-012022-12-310000893847srt:ParentCompanyMembersrt:Repor</w:t>
      </w:r>
      <w:r>
        <w:rPr>
          <w:rFonts w:eastAsia="Times New Roman"/>
          <w:vanish/>
        </w:rPr>
        <w:t>tableLegalEntitiesMember2022-12-310000893847srt:ParentCompanyMembersrt:ReportableLegalEntitiesMember2021-12-310000893847srt:ParentCompanyMembersrt:ReportableLegalEntitiesMember2022-01-012022-12-310000893847srt:ParentCompanyMembersrt:ReportableLegalEntities</w:t>
      </w:r>
      <w:r>
        <w:rPr>
          <w:rFonts w:eastAsia="Times New Roman"/>
          <w:vanish/>
        </w:rPr>
        <w:t>Member2021-01-012021-12-310000893847srt:ParentCompanyMembersrt:ReportableLegalEntitiesMember2020-01-012020-12-310000893847srt:ParentCompanyMembersrt:ReportableLegalEntitiesMember2020-12-310000893847srt:ParentCompanyMembersrt:ReportableLegalEntitiesMember20</w:t>
      </w:r>
      <w:r>
        <w:rPr>
          <w:rFonts w:eastAsia="Times New Roman"/>
          <w:vanish/>
        </w:rPr>
        <w:t>19-12-31</w:t>
      </w:r>
    </w:p>
    <w:p w:rsidR="00000000" w:rsidRDefault="00B132B6">
      <w:pPr>
        <w:divId w:val="95325189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978875839"/>
        </w:trPr>
        <w:tc>
          <w:tcPr>
            <w:tcW w:w="50" w:type="pct"/>
            <w:vAlign w:val="center"/>
            <w:hideMark/>
          </w:tcPr>
          <w:p w:rsidR="00000000" w:rsidRDefault="00B132B6">
            <w:pPr>
              <w:rPr>
                <w:rFonts w:eastAsia="Times New Roman"/>
              </w:rPr>
            </w:pPr>
          </w:p>
        </w:tc>
        <w:tc>
          <w:tcPr>
            <w:tcW w:w="4945"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r>
      <w:tr w:rsidR="00000000">
        <w:trPr>
          <w:divId w:val="1978875839"/>
          <w:trHeight w:val="60"/>
        </w:trPr>
        <w:tc>
          <w:tcPr>
            <w:tcW w:w="0" w:type="auto"/>
            <w:gridSpan w:val="3"/>
            <w:tcBorders>
              <w:bottom w:val="double" w:sz="6" w:space="0" w:color="000000"/>
            </w:tcBorders>
            <w:tcMar>
              <w:top w:w="0" w:type="dxa"/>
              <w:left w:w="20" w:type="dxa"/>
              <w:bottom w:w="0" w:type="dxa"/>
              <w:right w:w="20" w:type="dxa"/>
            </w:tcMar>
            <w:vAlign w:val="center"/>
            <w:hideMark/>
          </w:tcPr>
          <w:p w:rsidR="00000000" w:rsidRDefault="00B132B6">
            <w:pPr>
              <w:spacing w:after="100"/>
              <w:rPr>
                <w:rFonts w:eastAsia="Times New Roman"/>
                <w:sz w:val="20"/>
                <w:szCs w:val="20"/>
              </w:rPr>
            </w:pPr>
          </w:p>
        </w:tc>
      </w:tr>
    </w:tbl>
    <w:p w:rsidR="00000000" w:rsidRDefault="00B132B6">
      <w:pPr>
        <w:jc w:val="center"/>
        <w:divId w:val="482551246"/>
        <w:rPr>
          <w:rFonts w:eastAsia="Times New Roman"/>
        </w:rPr>
      </w:pPr>
      <w:r>
        <w:rPr>
          <w:rFonts w:eastAsia="Times New Roman"/>
          <w:color w:val="000000"/>
          <w:sz w:val="18"/>
          <w:szCs w:val="18"/>
        </w:rPr>
        <w:t>UNITED STATES</w:t>
      </w:r>
    </w:p>
    <w:p w:rsidR="00000000" w:rsidRDefault="00B132B6">
      <w:pPr>
        <w:jc w:val="center"/>
        <w:rPr>
          <w:rFonts w:eastAsia="Times New Roman"/>
        </w:rPr>
      </w:pPr>
      <w:r>
        <w:rPr>
          <w:rFonts w:eastAsia="Times New Roman"/>
          <w:color w:val="000000"/>
          <w:sz w:val="18"/>
          <w:szCs w:val="18"/>
        </w:rPr>
        <w:t>SECURITIES AND EXCHANGE COMMISSION</w:t>
      </w:r>
    </w:p>
    <w:p w:rsidR="00000000" w:rsidRDefault="00B132B6">
      <w:pPr>
        <w:jc w:val="center"/>
        <w:rPr>
          <w:rFonts w:eastAsia="Times New Roman"/>
        </w:rPr>
      </w:pPr>
      <w:r>
        <w:rPr>
          <w:rFonts w:eastAsia="Times New Roman"/>
          <w:color w:val="000000"/>
          <w:sz w:val="18"/>
          <w:szCs w:val="18"/>
        </w:rPr>
        <w:t>Washington, D.C. 20549</w:t>
      </w:r>
    </w:p>
    <w:p w:rsidR="00000000" w:rsidRDefault="00B132B6">
      <w:pPr>
        <w:jc w:val="center"/>
        <w:divId w:val="1635063377"/>
        <w:rPr>
          <w:rFonts w:eastAsia="Times New Roman"/>
        </w:rPr>
      </w:pPr>
      <w:r>
        <w:rPr>
          <w:rFonts w:eastAsia="Times New Roman"/>
          <w:b/>
          <w:bCs/>
          <w:color w:val="000000"/>
          <w:sz w:val="18"/>
          <w:szCs w:val="18"/>
        </w:rPr>
        <w:t>FORM 10-K</w:t>
      </w:r>
    </w:p>
    <w:p w:rsidR="00000000" w:rsidRDefault="00B132B6">
      <w:pPr>
        <w:divId w:val="851647650"/>
        <w:rPr>
          <w:rFonts w:eastAsia="Times New Roman"/>
        </w:rPr>
      </w:pPr>
      <w:r>
        <w:rPr>
          <w:rFonts w:eastAsia="Times New Roman"/>
          <w:color w:val="000000"/>
          <w:sz w:val="16"/>
          <w:szCs w:val="16"/>
        </w:rPr>
        <w:t>(Mark One)</w:t>
      </w:r>
    </w:p>
    <w:p w:rsidR="00000000" w:rsidRDefault="00B132B6">
      <w:pPr>
        <w:divId w:val="2078280208"/>
        <w:rPr>
          <w:rFonts w:eastAsia="Times New Roman"/>
        </w:rPr>
      </w:pPr>
      <w:r>
        <w:rPr>
          <w:rFonts w:ascii="Wingdings" w:eastAsia="Times New Roman" w:hAnsi="Wingdings"/>
          <w:b/>
          <w:bCs/>
          <w:color w:val="000000"/>
          <w:sz w:val="18"/>
          <w:szCs w:val="18"/>
        </w:rPr>
        <w:t>x</w:t>
      </w:r>
      <w:r>
        <w:rPr>
          <w:rFonts w:eastAsia="Times New Roman"/>
          <w:color w:val="000000"/>
          <w:sz w:val="20"/>
          <w:szCs w:val="20"/>
        </w:rPr>
        <w:t>      </w:t>
      </w:r>
      <w:r>
        <w:rPr>
          <w:rFonts w:eastAsia="Times New Roman"/>
          <w:color w:val="000000"/>
          <w:sz w:val="20"/>
          <w:szCs w:val="20"/>
        </w:rPr>
        <w:t>ANNUAL REPORT PURSUANT TO SECTION 13 OR 15(d) OF THE SECURITIES EXCHANGE ACT OF 1934</w:t>
      </w:r>
    </w:p>
    <w:p w:rsidR="00000000" w:rsidRDefault="00B132B6">
      <w:pPr>
        <w:divId w:val="252208708"/>
        <w:rPr>
          <w:rFonts w:eastAsia="Times New Roman"/>
        </w:rPr>
      </w:pPr>
      <w:r>
        <w:rPr>
          <w:rFonts w:eastAsia="Times New Roman"/>
          <w:color w:val="000000"/>
          <w:sz w:val="18"/>
          <w:szCs w:val="18"/>
        </w:rPr>
        <w:t>For the fiscal year ended December 31, 2022</w:t>
      </w:r>
    </w:p>
    <w:p w:rsidR="00000000" w:rsidRDefault="00B132B6">
      <w:pPr>
        <w:jc w:val="center"/>
        <w:rPr>
          <w:rFonts w:eastAsia="Times New Roman"/>
        </w:rPr>
      </w:pPr>
      <w:r>
        <w:rPr>
          <w:rFonts w:eastAsia="Times New Roman"/>
          <w:color w:val="000000"/>
          <w:sz w:val="18"/>
          <w:szCs w:val="18"/>
        </w:rPr>
        <w:t>OR</w:t>
      </w:r>
    </w:p>
    <w:p w:rsidR="00000000" w:rsidRDefault="00B132B6">
      <w:pPr>
        <w:divId w:val="1385107358"/>
        <w:rPr>
          <w:rFonts w:eastAsia="Times New Roman"/>
        </w:rPr>
      </w:pPr>
      <w:r>
        <w:rPr>
          <w:rFonts w:ascii="Wingdings" w:eastAsia="Times New Roman" w:hAnsi="Wingdings"/>
          <w:color w:val="000000"/>
          <w:sz w:val="18"/>
          <w:szCs w:val="18"/>
        </w:rPr>
        <w:t>o</w:t>
      </w:r>
      <w:r>
        <w:rPr>
          <w:rFonts w:eastAsia="Times New Roman"/>
          <w:color w:val="000000"/>
          <w:sz w:val="20"/>
          <w:szCs w:val="20"/>
        </w:rPr>
        <w:t>      </w:t>
      </w:r>
      <w:r>
        <w:rPr>
          <w:rFonts w:eastAsia="Times New Roman"/>
          <w:color w:val="000000"/>
          <w:sz w:val="18"/>
          <w:szCs w:val="18"/>
        </w:rPr>
        <w:t>TRANSITION REPORT PURSUANT TO SECTION 13 OR 15(d) OF THE SECURITIES EXCHANGE ACT OF 1934</w:t>
      </w:r>
    </w:p>
    <w:p w:rsidR="00000000" w:rsidRDefault="00B132B6">
      <w:pPr>
        <w:divId w:val="945235992"/>
        <w:rPr>
          <w:rFonts w:eastAsia="Times New Roman"/>
        </w:rPr>
      </w:pPr>
      <w:r>
        <w:rPr>
          <w:rFonts w:eastAsia="Times New Roman"/>
          <w:color w:val="000000"/>
          <w:sz w:val="18"/>
          <w:szCs w:val="18"/>
        </w:rPr>
        <w:t>For the transition period fr</w:t>
      </w:r>
      <w:r>
        <w:rPr>
          <w:rFonts w:eastAsia="Times New Roman"/>
          <w:color w:val="000000"/>
          <w:sz w:val="18"/>
          <w:szCs w:val="18"/>
        </w:rPr>
        <w:t>om __________________ to _________________.</w:t>
      </w:r>
    </w:p>
    <w:p w:rsidR="00000000" w:rsidRDefault="00B132B6">
      <w:pPr>
        <w:jc w:val="center"/>
        <w:divId w:val="1035496762"/>
        <w:rPr>
          <w:rFonts w:eastAsia="Times New Roman"/>
        </w:rPr>
      </w:pPr>
      <w:r>
        <w:rPr>
          <w:rFonts w:eastAsia="Times New Roman"/>
          <w:color w:val="000000"/>
          <w:sz w:val="18"/>
          <w:szCs w:val="18"/>
        </w:rPr>
        <w:t>Commission file number: 0-23636</w:t>
      </w:r>
    </w:p>
    <w:p w:rsidR="00000000" w:rsidRDefault="00B132B6">
      <w:pPr>
        <w:jc w:val="center"/>
        <w:divId w:val="2073851375"/>
        <w:rPr>
          <w:rFonts w:eastAsia="Times New Roman"/>
        </w:rPr>
      </w:pPr>
      <w:r>
        <w:rPr>
          <w:rFonts w:eastAsia="Times New Roman"/>
          <w:b/>
          <w:bCs/>
          <w:color w:val="000000"/>
          <w:sz w:val="20"/>
          <w:szCs w:val="20"/>
        </w:rPr>
        <w:t>HAWTHORN BANCSHARES, INC.</w:t>
      </w:r>
    </w:p>
    <w:p w:rsidR="00000000" w:rsidRDefault="00B132B6">
      <w:pPr>
        <w:jc w:val="center"/>
        <w:rPr>
          <w:rFonts w:eastAsia="Times New Roman"/>
        </w:rPr>
      </w:pPr>
      <w:r>
        <w:rPr>
          <w:rFonts w:eastAsia="Times New Roman"/>
          <w:i/>
          <w:iCs/>
          <w:color w:val="000000"/>
          <w:sz w:val="16"/>
          <w:szCs w:val="16"/>
        </w:rPr>
        <w:t>(Exact name of registrant as specified in its charter)</w:t>
      </w:r>
    </w:p>
    <w:tbl>
      <w:tblPr>
        <w:tblW w:w="5000" w:type="pct"/>
        <w:tblCellMar>
          <w:top w:w="15" w:type="dxa"/>
          <w:left w:w="15" w:type="dxa"/>
          <w:bottom w:w="15" w:type="dxa"/>
          <w:right w:w="15" w:type="dxa"/>
        </w:tblCellMar>
        <w:tblLook w:val="04A0" w:firstRow="1" w:lastRow="0" w:firstColumn="1" w:lastColumn="0" w:noHBand="0" w:noVBand="1"/>
      </w:tblPr>
      <w:tblGrid>
        <w:gridCol w:w="69"/>
        <w:gridCol w:w="4048"/>
        <w:gridCol w:w="36"/>
        <w:gridCol w:w="69"/>
        <w:gridCol w:w="4048"/>
        <w:gridCol w:w="36"/>
      </w:tblGrid>
      <w:tr w:rsidR="00000000">
        <w:trPr>
          <w:divId w:val="1111435117"/>
        </w:trPr>
        <w:tc>
          <w:tcPr>
            <w:tcW w:w="50" w:type="pct"/>
            <w:vAlign w:val="center"/>
            <w:hideMark/>
          </w:tcPr>
          <w:p w:rsidR="00000000" w:rsidRDefault="00B132B6">
            <w:pPr>
              <w:jc w:val="center"/>
              <w:rPr>
                <w:rFonts w:eastAsia="Times New Roman"/>
              </w:rPr>
            </w:pPr>
          </w:p>
        </w:tc>
        <w:tc>
          <w:tcPr>
            <w:tcW w:w="2445"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c>
          <w:tcPr>
            <w:tcW w:w="50" w:type="pct"/>
            <w:vAlign w:val="center"/>
            <w:hideMark/>
          </w:tcPr>
          <w:p w:rsidR="00000000" w:rsidRDefault="00B132B6">
            <w:pPr>
              <w:spacing w:after="100"/>
              <w:rPr>
                <w:rFonts w:eastAsia="Times New Roman"/>
                <w:sz w:val="20"/>
                <w:szCs w:val="20"/>
              </w:rPr>
            </w:pPr>
          </w:p>
        </w:tc>
        <w:tc>
          <w:tcPr>
            <w:tcW w:w="2445"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r>
      <w:tr w:rsidR="00000000">
        <w:trPr>
          <w:divId w:val="1111435117"/>
        </w:trPr>
        <w:tc>
          <w:tcPr>
            <w:tcW w:w="0" w:type="auto"/>
            <w:gridSpan w:val="3"/>
            <w:tcMar>
              <w:top w:w="30" w:type="dxa"/>
              <w:left w:w="20" w:type="dxa"/>
              <w:bottom w:w="30" w:type="dxa"/>
              <w:right w:w="20" w:type="dxa"/>
            </w:tcMar>
            <w:vAlign w:val="bottom"/>
            <w:hideMark/>
          </w:tcPr>
          <w:p w:rsidR="00000000" w:rsidRDefault="00B132B6">
            <w:pPr>
              <w:spacing w:after="100"/>
              <w:jc w:val="center"/>
              <w:rPr>
                <w:rFonts w:eastAsia="Times New Roman"/>
              </w:rPr>
            </w:pPr>
            <w:r>
              <w:rPr>
                <w:rFonts w:eastAsia="Times New Roman"/>
                <w:b/>
                <w:bCs/>
                <w:color w:val="000000"/>
                <w:sz w:val="18"/>
                <w:szCs w:val="18"/>
              </w:rPr>
              <w:t>Missouri</w:t>
            </w:r>
          </w:p>
        </w:tc>
        <w:tc>
          <w:tcPr>
            <w:tcW w:w="0" w:type="auto"/>
            <w:gridSpan w:val="3"/>
            <w:tcMar>
              <w:top w:w="30" w:type="dxa"/>
              <w:left w:w="20" w:type="dxa"/>
              <w:bottom w:w="30" w:type="dxa"/>
              <w:right w:w="20" w:type="dxa"/>
            </w:tcMar>
            <w:vAlign w:val="bottom"/>
            <w:hideMark/>
          </w:tcPr>
          <w:p w:rsidR="00000000" w:rsidRDefault="00B132B6">
            <w:pPr>
              <w:spacing w:after="100"/>
              <w:jc w:val="center"/>
              <w:rPr>
                <w:rFonts w:eastAsia="Times New Roman"/>
              </w:rPr>
            </w:pPr>
            <w:r>
              <w:rPr>
                <w:rFonts w:eastAsia="Times New Roman"/>
                <w:b/>
                <w:bCs/>
                <w:color w:val="000000"/>
                <w:sz w:val="18"/>
                <w:szCs w:val="18"/>
              </w:rPr>
              <w:t>43-1626350</w:t>
            </w:r>
          </w:p>
        </w:tc>
      </w:tr>
      <w:tr w:rsidR="00000000">
        <w:trPr>
          <w:divId w:val="1111435117"/>
        </w:trPr>
        <w:tc>
          <w:tcPr>
            <w:tcW w:w="0" w:type="auto"/>
            <w:gridSpan w:val="3"/>
            <w:tcMar>
              <w:top w:w="30" w:type="dxa"/>
              <w:left w:w="92" w:type="dxa"/>
              <w:bottom w:w="30" w:type="dxa"/>
              <w:right w:w="92" w:type="dxa"/>
            </w:tcMar>
            <w:vAlign w:val="bottom"/>
            <w:hideMark/>
          </w:tcPr>
          <w:p w:rsidR="00000000" w:rsidRDefault="00B132B6">
            <w:pPr>
              <w:spacing w:after="100"/>
              <w:ind w:hanging="144"/>
              <w:jc w:val="center"/>
              <w:rPr>
                <w:rFonts w:eastAsia="Times New Roman"/>
              </w:rPr>
            </w:pPr>
            <w:r>
              <w:rPr>
                <w:rFonts w:eastAsia="Times New Roman"/>
                <w:i/>
                <w:iCs/>
                <w:color w:val="000000"/>
                <w:sz w:val="18"/>
                <w:szCs w:val="18"/>
              </w:rPr>
              <w:t>(State or other jurisdiction of</w:t>
            </w:r>
          </w:p>
          <w:p w:rsidR="00000000" w:rsidRDefault="00B132B6">
            <w:pPr>
              <w:spacing w:after="100"/>
              <w:ind w:hanging="144"/>
              <w:jc w:val="center"/>
              <w:divId w:val="113062937"/>
              <w:rPr>
                <w:rFonts w:eastAsia="Times New Roman"/>
              </w:rPr>
            </w:pPr>
            <w:r>
              <w:rPr>
                <w:rFonts w:eastAsia="Times New Roman"/>
                <w:i/>
                <w:iCs/>
                <w:color w:val="000000"/>
                <w:sz w:val="18"/>
                <w:szCs w:val="18"/>
              </w:rPr>
              <w:t>incorporation or organization)</w:t>
            </w:r>
          </w:p>
        </w:tc>
        <w:tc>
          <w:tcPr>
            <w:tcW w:w="0" w:type="auto"/>
            <w:gridSpan w:val="3"/>
            <w:tcMar>
              <w:top w:w="30" w:type="dxa"/>
              <w:left w:w="20" w:type="dxa"/>
              <w:bottom w:w="30" w:type="dxa"/>
              <w:right w:w="20" w:type="dxa"/>
            </w:tcMar>
            <w:vAlign w:val="bottom"/>
            <w:hideMark/>
          </w:tcPr>
          <w:p w:rsidR="00000000" w:rsidRDefault="00B132B6">
            <w:pPr>
              <w:spacing w:after="100"/>
              <w:jc w:val="center"/>
              <w:rPr>
                <w:rFonts w:eastAsia="Times New Roman"/>
              </w:rPr>
            </w:pPr>
            <w:r>
              <w:rPr>
                <w:rFonts w:eastAsia="Times New Roman"/>
                <w:i/>
                <w:iCs/>
                <w:color w:val="000000"/>
                <w:sz w:val="18"/>
                <w:szCs w:val="18"/>
              </w:rPr>
              <w:t>(I.R.S. Employer</w:t>
            </w:r>
          </w:p>
          <w:p w:rsidR="00000000" w:rsidRDefault="00B132B6">
            <w:pPr>
              <w:spacing w:after="100"/>
              <w:jc w:val="center"/>
              <w:rPr>
                <w:rFonts w:eastAsia="Times New Roman"/>
              </w:rPr>
            </w:pPr>
            <w:r>
              <w:rPr>
                <w:rFonts w:eastAsia="Times New Roman"/>
                <w:i/>
                <w:iCs/>
                <w:color w:val="000000"/>
                <w:sz w:val="18"/>
                <w:szCs w:val="18"/>
              </w:rPr>
              <w:t>Identification No.)</w:t>
            </w:r>
          </w:p>
        </w:tc>
      </w:tr>
    </w:tbl>
    <w:p w:rsidR="00000000" w:rsidRDefault="00B132B6">
      <w:pPr>
        <w:jc w:val="center"/>
        <w:divId w:val="587035906"/>
        <w:rPr>
          <w:rFonts w:eastAsia="Times New Roman"/>
        </w:rPr>
      </w:pPr>
    </w:p>
    <w:p w:rsidR="00000000" w:rsidRDefault="00B132B6">
      <w:pPr>
        <w:jc w:val="center"/>
        <w:divId w:val="1983537992"/>
        <w:rPr>
          <w:rFonts w:eastAsia="Times New Roman"/>
        </w:rPr>
      </w:pPr>
      <w:r>
        <w:rPr>
          <w:rFonts w:eastAsia="Times New Roman"/>
          <w:b/>
          <w:bCs/>
          <w:color w:val="000000"/>
          <w:sz w:val="18"/>
          <w:szCs w:val="18"/>
        </w:rPr>
        <w:t>132 East High Street, Box 688, Jefferson City, Missouri 65102</w:t>
      </w:r>
    </w:p>
    <w:p w:rsidR="00000000" w:rsidRDefault="00B132B6">
      <w:pPr>
        <w:jc w:val="center"/>
        <w:rPr>
          <w:rFonts w:eastAsia="Times New Roman"/>
        </w:rPr>
      </w:pPr>
      <w:r>
        <w:rPr>
          <w:rFonts w:eastAsia="Times New Roman"/>
          <w:i/>
          <w:iCs/>
          <w:color w:val="000000"/>
          <w:sz w:val="16"/>
          <w:szCs w:val="16"/>
        </w:rPr>
        <w:t>(Address of principal executive offices) (Zip Code)</w:t>
      </w:r>
    </w:p>
    <w:p w:rsidR="00000000" w:rsidRDefault="00B132B6">
      <w:pPr>
        <w:jc w:val="center"/>
        <w:divId w:val="1588658521"/>
        <w:rPr>
          <w:rFonts w:eastAsia="Times New Roman"/>
        </w:rPr>
      </w:pPr>
      <w:r>
        <w:rPr>
          <w:rFonts w:eastAsia="Times New Roman"/>
          <w:b/>
          <w:bCs/>
          <w:color w:val="000000"/>
          <w:sz w:val="18"/>
          <w:szCs w:val="18"/>
        </w:rPr>
        <w:t>(573) 761-6100</w:t>
      </w:r>
    </w:p>
    <w:p w:rsidR="00000000" w:rsidRDefault="00B132B6">
      <w:pPr>
        <w:jc w:val="center"/>
        <w:rPr>
          <w:rFonts w:eastAsia="Times New Roman"/>
        </w:rPr>
      </w:pPr>
      <w:r>
        <w:rPr>
          <w:rFonts w:eastAsia="Times New Roman"/>
          <w:i/>
          <w:iCs/>
          <w:color w:val="000000"/>
          <w:sz w:val="16"/>
          <w:szCs w:val="16"/>
        </w:rPr>
        <w:t>(Registrant's telephone number, including area code)</w:t>
      </w:r>
    </w:p>
    <w:p w:rsidR="00000000" w:rsidRDefault="00B132B6">
      <w:pPr>
        <w:jc w:val="center"/>
        <w:divId w:val="845630766"/>
        <w:rPr>
          <w:rFonts w:eastAsia="Times New Roman"/>
        </w:rPr>
      </w:pPr>
      <w:r>
        <w:rPr>
          <w:rFonts w:eastAsia="Times New Roman"/>
          <w:b/>
          <w:bCs/>
          <w:color w:val="000000"/>
          <w:sz w:val="18"/>
          <w:szCs w:val="18"/>
        </w:rPr>
        <w:t>Securities registered pursuant to Section 12(b) of the Act:</w:t>
      </w:r>
    </w:p>
    <w:tbl>
      <w:tblPr>
        <w:tblW w:w="5000" w:type="pct"/>
        <w:tblCellMar>
          <w:top w:w="15" w:type="dxa"/>
          <w:left w:w="15" w:type="dxa"/>
          <w:bottom w:w="15" w:type="dxa"/>
          <w:right w:w="15" w:type="dxa"/>
        </w:tblCellMar>
        <w:tblLook w:val="04A0" w:firstRow="1" w:lastRow="0" w:firstColumn="1" w:lastColumn="0" w:noHBand="0" w:noVBand="1"/>
      </w:tblPr>
      <w:tblGrid>
        <w:gridCol w:w="49"/>
        <w:gridCol w:w="3009"/>
        <w:gridCol w:w="37"/>
        <w:gridCol w:w="36"/>
        <w:gridCol w:w="36"/>
        <w:gridCol w:w="36"/>
        <w:gridCol w:w="50"/>
        <w:gridCol w:w="1813"/>
        <w:gridCol w:w="36"/>
        <w:gridCol w:w="36"/>
        <w:gridCol w:w="36"/>
        <w:gridCol w:w="36"/>
        <w:gridCol w:w="50"/>
        <w:gridCol w:w="3010"/>
        <w:gridCol w:w="36"/>
      </w:tblGrid>
      <w:tr w:rsidR="00000000">
        <w:trPr>
          <w:divId w:val="967853412"/>
        </w:trPr>
        <w:tc>
          <w:tcPr>
            <w:tcW w:w="50" w:type="pct"/>
            <w:vAlign w:val="center"/>
            <w:hideMark/>
          </w:tcPr>
          <w:p w:rsidR="00000000" w:rsidRDefault="00B132B6">
            <w:pPr>
              <w:jc w:val="center"/>
              <w:rPr>
                <w:rFonts w:eastAsia="Times New Roman"/>
              </w:rPr>
            </w:pPr>
          </w:p>
        </w:tc>
        <w:tc>
          <w:tcPr>
            <w:tcW w:w="1831"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c>
          <w:tcPr>
            <w:tcW w:w="20"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c>
          <w:tcPr>
            <w:tcW w:w="50" w:type="pct"/>
            <w:vAlign w:val="center"/>
            <w:hideMark/>
          </w:tcPr>
          <w:p w:rsidR="00000000" w:rsidRDefault="00B132B6">
            <w:pPr>
              <w:spacing w:after="100"/>
              <w:rPr>
                <w:rFonts w:eastAsia="Times New Roman"/>
                <w:sz w:val="20"/>
                <w:szCs w:val="20"/>
              </w:rPr>
            </w:pPr>
          </w:p>
        </w:tc>
        <w:tc>
          <w:tcPr>
            <w:tcW w:w="1111"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c>
          <w:tcPr>
            <w:tcW w:w="20"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c>
          <w:tcPr>
            <w:tcW w:w="50" w:type="pct"/>
            <w:vAlign w:val="center"/>
            <w:hideMark/>
          </w:tcPr>
          <w:p w:rsidR="00000000" w:rsidRDefault="00B132B6">
            <w:pPr>
              <w:spacing w:after="100"/>
              <w:rPr>
                <w:rFonts w:eastAsia="Times New Roman"/>
                <w:sz w:val="20"/>
                <w:szCs w:val="20"/>
              </w:rPr>
            </w:pPr>
          </w:p>
        </w:tc>
        <w:tc>
          <w:tcPr>
            <w:tcW w:w="1831"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r>
      <w:tr w:rsidR="00000000">
        <w:trPr>
          <w:divId w:val="967853412"/>
        </w:trPr>
        <w:tc>
          <w:tcPr>
            <w:tcW w:w="0" w:type="auto"/>
            <w:gridSpan w:val="3"/>
            <w:tcMar>
              <w:top w:w="30" w:type="dxa"/>
              <w:left w:w="48" w:type="dxa"/>
              <w:bottom w:w="30" w:type="dxa"/>
              <w:right w:w="48" w:type="dxa"/>
            </w:tcMar>
            <w:hideMark/>
          </w:tcPr>
          <w:p w:rsidR="00000000" w:rsidRDefault="00B132B6">
            <w:pPr>
              <w:spacing w:after="100"/>
              <w:jc w:val="center"/>
              <w:rPr>
                <w:rFonts w:eastAsia="Times New Roman"/>
              </w:rPr>
            </w:pPr>
            <w:r>
              <w:rPr>
                <w:rFonts w:eastAsia="Times New Roman"/>
                <w:b/>
                <w:bCs/>
                <w:color w:val="000000"/>
                <w:sz w:val="18"/>
                <w:szCs w:val="18"/>
              </w:rPr>
              <w:t>Title of each class</w:t>
            </w:r>
          </w:p>
        </w:tc>
        <w:tc>
          <w:tcPr>
            <w:tcW w:w="0" w:type="auto"/>
            <w:gridSpan w:val="3"/>
            <w:tcMar>
              <w:top w:w="0" w:type="dxa"/>
              <w:left w:w="20" w:type="dxa"/>
              <w:bottom w:w="0" w:type="dxa"/>
              <w:right w:w="20" w:type="dxa"/>
            </w:tcMar>
            <w:vAlign w:val="center"/>
            <w:hideMark/>
          </w:tcPr>
          <w:p w:rsidR="00000000" w:rsidRDefault="00B132B6">
            <w:pPr>
              <w:spacing w:after="100"/>
              <w:jc w:val="center"/>
              <w:rPr>
                <w:rFonts w:eastAsia="Times New Roman"/>
              </w:rPr>
            </w:pPr>
          </w:p>
        </w:tc>
        <w:tc>
          <w:tcPr>
            <w:tcW w:w="0" w:type="auto"/>
            <w:gridSpan w:val="3"/>
            <w:tcMar>
              <w:top w:w="30" w:type="dxa"/>
              <w:left w:w="48" w:type="dxa"/>
              <w:bottom w:w="30" w:type="dxa"/>
              <w:right w:w="48" w:type="dxa"/>
            </w:tcMar>
            <w:hideMark/>
          </w:tcPr>
          <w:p w:rsidR="00000000" w:rsidRDefault="00B132B6">
            <w:pPr>
              <w:spacing w:after="100"/>
              <w:jc w:val="center"/>
              <w:rPr>
                <w:rFonts w:eastAsia="Times New Roman"/>
              </w:rPr>
            </w:pPr>
            <w:r>
              <w:rPr>
                <w:rFonts w:eastAsia="Times New Roman"/>
                <w:b/>
                <w:bCs/>
                <w:color w:val="000000"/>
                <w:sz w:val="18"/>
                <w:szCs w:val="18"/>
              </w:rPr>
              <w:t>Trading Symbol(s)</w:t>
            </w:r>
          </w:p>
        </w:tc>
        <w:tc>
          <w:tcPr>
            <w:tcW w:w="0" w:type="auto"/>
            <w:gridSpan w:val="3"/>
            <w:tcMar>
              <w:top w:w="0" w:type="dxa"/>
              <w:left w:w="20" w:type="dxa"/>
              <w:bottom w:w="0" w:type="dxa"/>
              <w:right w:w="20" w:type="dxa"/>
            </w:tcMar>
            <w:vAlign w:val="center"/>
            <w:hideMark/>
          </w:tcPr>
          <w:p w:rsidR="00000000" w:rsidRDefault="00B132B6">
            <w:pPr>
              <w:spacing w:after="100"/>
              <w:jc w:val="center"/>
              <w:rPr>
                <w:rFonts w:eastAsia="Times New Roman"/>
              </w:rPr>
            </w:pPr>
          </w:p>
        </w:tc>
        <w:tc>
          <w:tcPr>
            <w:tcW w:w="0" w:type="auto"/>
            <w:gridSpan w:val="3"/>
            <w:tcMar>
              <w:top w:w="30" w:type="dxa"/>
              <w:left w:w="48" w:type="dxa"/>
              <w:bottom w:w="30" w:type="dxa"/>
              <w:right w:w="48" w:type="dxa"/>
            </w:tcMar>
            <w:hideMark/>
          </w:tcPr>
          <w:p w:rsidR="00000000" w:rsidRDefault="00B132B6">
            <w:pPr>
              <w:spacing w:after="100"/>
              <w:jc w:val="center"/>
              <w:rPr>
                <w:rFonts w:eastAsia="Times New Roman"/>
              </w:rPr>
            </w:pPr>
            <w:r>
              <w:rPr>
                <w:rFonts w:eastAsia="Times New Roman"/>
                <w:b/>
                <w:bCs/>
                <w:color w:val="000000"/>
                <w:sz w:val="18"/>
                <w:szCs w:val="18"/>
              </w:rPr>
              <w:t>Name of each exchange on which registered</w:t>
            </w:r>
          </w:p>
        </w:tc>
      </w:tr>
      <w:tr w:rsidR="00000000">
        <w:trPr>
          <w:divId w:val="967853412"/>
        </w:trPr>
        <w:tc>
          <w:tcPr>
            <w:tcW w:w="0" w:type="auto"/>
            <w:gridSpan w:val="3"/>
            <w:tcBorders>
              <w:top w:val="single" w:sz="8" w:space="0" w:color="000000"/>
            </w:tcBorders>
            <w:tcMar>
              <w:top w:w="30" w:type="dxa"/>
              <w:left w:w="48" w:type="dxa"/>
              <w:bottom w:w="30" w:type="dxa"/>
              <w:right w:w="48" w:type="dxa"/>
            </w:tcMar>
            <w:hideMark/>
          </w:tcPr>
          <w:p w:rsidR="00000000" w:rsidRDefault="00B132B6">
            <w:pPr>
              <w:spacing w:after="100"/>
              <w:jc w:val="center"/>
              <w:rPr>
                <w:rFonts w:eastAsia="Times New Roman"/>
              </w:rPr>
            </w:pPr>
            <w:r>
              <w:rPr>
                <w:rFonts w:eastAsia="Times New Roman"/>
                <w:color w:val="000000"/>
                <w:sz w:val="18"/>
                <w:szCs w:val="18"/>
              </w:rPr>
              <w:t>Common Stock, $1.00 par value</w:t>
            </w:r>
          </w:p>
        </w:tc>
        <w:tc>
          <w:tcPr>
            <w:tcW w:w="0" w:type="auto"/>
            <w:gridSpan w:val="3"/>
            <w:tcMar>
              <w:top w:w="0" w:type="dxa"/>
              <w:left w:w="20" w:type="dxa"/>
              <w:bottom w:w="0" w:type="dxa"/>
              <w:right w:w="20" w:type="dxa"/>
            </w:tcMar>
            <w:vAlign w:val="center"/>
            <w:hideMark/>
          </w:tcPr>
          <w:p w:rsidR="00000000" w:rsidRDefault="00B132B6">
            <w:pPr>
              <w:spacing w:after="100"/>
              <w:jc w:val="center"/>
              <w:rPr>
                <w:rFonts w:eastAsia="Times New Roman"/>
              </w:rPr>
            </w:pPr>
          </w:p>
        </w:tc>
        <w:tc>
          <w:tcPr>
            <w:tcW w:w="0" w:type="auto"/>
            <w:gridSpan w:val="3"/>
            <w:tcBorders>
              <w:top w:val="single" w:sz="8" w:space="0" w:color="000000"/>
            </w:tcBorders>
            <w:tcMar>
              <w:top w:w="30" w:type="dxa"/>
              <w:left w:w="48" w:type="dxa"/>
              <w:bottom w:w="30" w:type="dxa"/>
              <w:right w:w="48" w:type="dxa"/>
            </w:tcMar>
            <w:hideMark/>
          </w:tcPr>
          <w:p w:rsidR="00000000" w:rsidRDefault="00B132B6">
            <w:pPr>
              <w:spacing w:after="100"/>
              <w:jc w:val="center"/>
              <w:rPr>
                <w:rFonts w:eastAsia="Times New Roman"/>
              </w:rPr>
            </w:pPr>
            <w:r>
              <w:rPr>
                <w:rFonts w:eastAsia="Times New Roman"/>
                <w:color w:val="000000"/>
                <w:sz w:val="18"/>
                <w:szCs w:val="18"/>
              </w:rPr>
              <w:t>HWBK</w:t>
            </w:r>
          </w:p>
        </w:tc>
        <w:tc>
          <w:tcPr>
            <w:tcW w:w="0" w:type="auto"/>
            <w:gridSpan w:val="3"/>
            <w:tcMar>
              <w:top w:w="0" w:type="dxa"/>
              <w:left w:w="20" w:type="dxa"/>
              <w:bottom w:w="0" w:type="dxa"/>
              <w:right w:w="20" w:type="dxa"/>
            </w:tcMar>
            <w:vAlign w:val="center"/>
            <w:hideMark/>
          </w:tcPr>
          <w:p w:rsidR="00000000" w:rsidRDefault="00B132B6">
            <w:pPr>
              <w:spacing w:after="100"/>
              <w:jc w:val="center"/>
              <w:rPr>
                <w:rFonts w:eastAsia="Times New Roman"/>
              </w:rPr>
            </w:pPr>
          </w:p>
        </w:tc>
        <w:tc>
          <w:tcPr>
            <w:tcW w:w="0" w:type="auto"/>
            <w:gridSpan w:val="3"/>
            <w:tcBorders>
              <w:top w:val="single" w:sz="8" w:space="0" w:color="000000"/>
            </w:tcBorders>
            <w:tcMar>
              <w:top w:w="30" w:type="dxa"/>
              <w:left w:w="48" w:type="dxa"/>
              <w:bottom w:w="30" w:type="dxa"/>
              <w:right w:w="48" w:type="dxa"/>
            </w:tcMar>
            <w:hideMark/>
          </w:tcPr>
          <w:p w:rsidR="00000000" w:rsidRDefault="00B132B6">
            <w:pPr>
              <w:spacing w:after="100"/>
              <w:jc w:val="center"/>
              <w:rPr>
                <w:rFonts w:eastAsia="Times New Roman"/>
              </w:rPr>
            </w:pPr>
            <w:r>
              <w:rPr>
                <w:rFonts w:eastAsia="Times New Roman"/>
                <w:color w:val="000000"/>
                <w:sz w:val="18"/>
                <w:szCs w:val="18"/>
              </w:rPr>
              <w:t>The Nasdaq Stock Market LLC</w:t>
            </w:r>
          </w:p>
        </w:tc>
      </w:tr>
    </w:tbl>
    <w:p w:rsidR="00000000" w:rsidRDefault="00B132B6">
      <w:pPr>
        <w:jc w:val="center"/>
        <w:divId w:val="473452321"/>
        <w:rPr>
          <w:rFonts w:eastAsia="Times New Roman"/>
        </w:rPr>
      </w:pPr>
      <w:r>
        <w:rPr>
          <w:rFonts w:eastAsia="Times New Roman"/>
          <w:b/>
          <w:bCs/>
          <w:color w:val="000000"/>
          <w:sz w:val="18"/>
          <w:szCs w:val="18"/>
        </w:rPr>
        <w:t>Securities registered pursuant to Section 12(g) OF THE ACT: None</w:t>
      </w:r>
    </w:p>
    <w:p w:rsidR="00000000" w:rsidRDefault="00B132B6">
      <w:pPr>
        <w:divId w:val="1173183975"/>
        <w:rPr>
          <w:rFonts w:eastAsia="Times New Roman"/>
        </w:rPr>
      </w:pPr>
      <w:r>
        <w:rPr>
          <w:rFonts w:eastAsia="Times New Roman"/>
          <w:color w:val="000000"/>
          <w:sz w:val="16"/>
          <w:szCs w:val="16"/>
        </w:rPr>
        <w:t xml:space="preserve">Indicate by check mark if the registrant is a well-known seasoned issuer, as defined in Rule 405 of the Securities Act. Yes </w:t>
      </w:r>
      <w:r>
        <w:rPr>
          <w:rFonts w:ascii="Wingdings" w:eastAsia="Times New Roman" w:hAnsi="Wingdings"/>
          <w:color w:val="000000"/>
          <w:sz w:val="16"/>
          <w:szCs w:val="16"/>
        </w:rPr>
        <w:t>o</w:t>
      </w:r>
      <w:r>
        <w:rPr>
          <w:rFonts w:eastAsia="Times New Roman"/>
          <w:color w:val="000000"/>
          <w:sz w:val="16"/>
          <w:szCs w:val="16"/>
        </w:rPr>
        <w:t xml:space="preserve"> No </w:t>
      </w:r>
      <w:r>
        <w:rPr>
          <w:rFonts w:ascii="Wingdings" w:eastAsia="Times New Roman" w:hAnsi="Wingdings"/>
          <w:color w:val="000000"/>
          <w:sz w:val="16"/>
          <w:szCs w:val="16"/>
        </w:rPr>
        <w:t>x</w:t>
      </w:r>
    </w:p>
    <w:p w:rsidR="00000000" w:rsidRDefault="00B132B6">
      <w:pPr>
        <w:divId w:val="261108327"/>
        <w:rPr>
          <w:rFonts w:eastAsia="Times New Roman"/>
        </w:rPr>
      </w:pPr>
      <w:r>
        <w:rPr>
          <w:rFonts w:eastAsia="Times New Roman"/>
          <w:color w:val="000000"/>
          <w:sz w:val="16"/>
          <w:szCs w:val="16"/>
        </w:rPr>
        <w:t xml:space="preserve">Indicate by check mark if the registrant is not required to file reports pursuant to Section 13 or Section 15(d) of the Act. </w:t>
      </w:r>
      <w:r>
        <w:rPr>
          <w:rFonts w:eastAsia="Times New Roman"/>
          <w:color w:val="000000"/>
          <w:sz w:val="16"/>
          <w:szCs w:val="16"/>
        </w:rPr>
        <w:t xml:space="preserve">Yes </w:t>
      </w:r>
      <w:r>
        <w:rPr>
          <w:rFonts w:ascii="Wingdings" w:eastAsia="Times New Roman" w:hAnsi="Wingdings"/>
          <w:color w:val="000000"/>
          <w:sz w:val="16"/>
          <w:szCs w:val="16"/>
        </w:rPr>
        <w:t>o</w:t>
      </w:r>
      <w:r>
        <w:rPr>
          <w:rFonts w:eastAsia="Times New Roman"/>
          <w:color w:val="000000"/>
          <w:sz w:val="16"/>
          <w:szCs w:val="16"/>
        </w:rPr>
        <w:t xml:space="preserve"> No </w:t>
      </w:r>
      <w:r>
        <w:rPr>
          <w:rFonts w:ascii="Wingdings" w:eastAsia="Times New Roman" w:hAnsi="Wingdings"/>
          <w:color w:val="000000"/>
          <w:sz w:val="16"/>
          <w:szCs w:val="16"/>
        </w:rPr>
        <w:t>x</w:t>
      </w:r>
    </w:p>
    <w:p w:rsidR="00000000" w:rsidRDefault="00B132B6">
      <w:pPr>
        <w:divId w:val="914053879"/>
        <w:rPr>
          <w:rFonts w:eastAsia="Times New Roman"/>
        </w:rPr>
      </w:pPr>
      <w:r>
        <w:rPr>
          <w:rFonts w:eastAsia="Times New Roman"/>
          <w:color w:val="000000"/>
          <w:sz w:val="16"/>
          <w:szCs w:val="16"/>
        </w:rPr>
        <w:t>Indicate by check mark whether the registrant (1) has filed all reports required to be filed by Section 13 or 15(d) of the Securities Exchange Act of 1934 during the preceding 12 months (or for such shorter period that the registrant was require</w:t>
      </w:r>
      <w:r>
        <w:rPr>
          <w:rFonts w:eastAsia="Times New Roman"/>
          <w:color w:val="000000"/>
          <w:sz w:val="16"/>
          <w:szCs w:val="16"/>
        </w:rPr>
        <w:t xml:space="preserve">d to file such reports), and (2) has been subject to such filing requirements for the past 90 days. Yes </w:t>
      </w:r>
      <w:r>
        <w:rPr>
          <w:rFonts w:ascii="Wingdings" w:eastAsia="Times New Roman" w:hAnsi="Wingdings"/>
          <w:color w:val="000000"/>
          <w:sz w:val="16"/>
          <w:szCs w:val="16"/>
        </w:rPr>
        <w:t>x</w:t>
      </w:r>
      <w:r>
        <w:rPr>
          <w:rFonts w:eastAsia="Times New Roman"/>
          <w:color w:val="000000"/>
          <w:sz w:val="16"/>
          <w:szCs w:val="16"/>
        </w:rPr>
        <w:t xml:space="preserve"> No </w:t>
      </w:r>
      <w:r>
        <w:rPr>
          <w:rFonts w:ascii="Wingdings" w:eastAsia="Times New Roman" w:hAnsi="Wingdings"/>
          <w:color w:val="000000"/>
          <w:sz w:val="16"/>
          <w:szCs w:val="16"/>
        </w:rPr>
        <w:t>o</w:t>
      </w:r>
    </w:p>
    <w:p w:rsidR="00000000" w:rsidRDefault="00B132B6">
      <w:pPr>
        <w:divId w:val="1223562576"/>
        <w:rPr>
          <w:rFonts w:eastAsia="Times New Roman"/>
        </w:rPr>
      </w:pPr>
      <w:r>
        <w:rPr>
          <w:rFonts w:eastAsia="Times New Roman"/>
          <w:color w:val="000000"/>
          <w:sz w:val="16"/>
          <w:szCs w:val="16"/>
        </w:rPr>
        <w:t xml:space="preserve">Indicate by check mark whether the registrant has submitted electronically every Interactive Data File required to be submitted pursuant to Rule </w:t>
      </w:r>
      <w:r>
        <w:rPr>
          <w:rFonts w:eastAsia="Times New Roman"/>
          <w:color w:val="000000"/>
          <w:sz w:val="16"/>
          <w:szCs w:val="16"/>
        </w:rPr>
        <w:t xml:space="preserve">405 of Regulation S-T (§ 232.405 of this chapter) during the preceding 12 months (or for such shorter period that the registrant was required to submit such files). Yes </w:t>
      </w:r>
      <w:r>
        <w:rPr>
          <w:rFonts w:ascii="Wingdings" w:eastAsia="Times New Roman" w:hAnsi="Wingdings"/>
          <w:color w:val="000000"/>
          <w:sz w:val="16"/>
          <w:szCs w:val="16"/>
        </w:rPr>
        <w:t>x</w:t>
      </w:r>
      <w:r>
        <w:rPr>
          <w:rFonts w:eastAsia="Times New Roman"/>
          <w:color w:val="000000"/>
          <w:sz w:val="16"/>
          <w:szCs w:val="16"/>
        </w:rPr>
        <w:t xml:space="preserve"> No </w:t>
      </w:r>
      <w:r>
        <w:rPr>
          <w:rFonts w:ascii="Wingdings" w:eastAsia="Times New Roman" w:hAnsi="Wingdings"/>
          <w:color w:val="000000"/>
          <w:sz w:val="16"/>
          <w:szCs w:val="16"/>
        </w:rPr>
        <w:t>o</w:t>
      </w:r>
    </w:p>
    <w:p w:rsidR="00000000" w:rsidRDefault="00B132B6">
      <w:pPr>
        <w:jc w:val="both"/>
        <w:divId w:val="441925664"/>
        <w:rPr>
          <w:rFonts w:eastAsia="Times New Roman"/>
        </w:rPr>
      </w:pPr>
      <w:r>
        <w:rPr>
          <w:rFonts w:eastAsia="Times New Roman"/>
          <w:color w:val="000000"/>
          <w:sz w:val="16"/>
          <w:szCs w:val="16"/>
        </w:rPr>
        <w:t>Indicate by check mark whether the registrant is a large accelerated filer, an a</w:t>
      </w:r>
      <w:r>
        <w:rPr>
          <w:rFonts w:eastAsia="Times New Roman"/>
          <w:color w:val="000000"/>
          <w:sz w:val="16"/>
          <w:szCs w:val="16"/>
        </w:rPr>
        <w:t>ccelerated filer, a non-accelerated filer, a smaller reporting company, or an emerging growth company. See the definitions of "large accelerated filer," "accelerated filer," "smaller reporting company" and "emerging growth company" in Rule 12b-2 of the Exc</w:t>
      </w:r>
      <w:r>
        <w:rPr>
          <w:rFonts w:eastAsia="Times New Roman"/>
          <w:color w:val="000000"/>
          <w:sz w:val="16"/>
          <w:szCs w:val="16"/>
        </w:rPr>
        <w:t>hange Act.</w:t>
      </w:r>
    </w:p>
    <w:tbl>
      <w:tblPr>
        <w:tblW w:w="4984" w:type="pct"/>
        <w:tblCellMar>
          <w:top w:w="15" w:type="dxa"/>
          <w:left w:w="15" w:type="dxa"/>
          <w:bottom w:w="15" w:type="dxa"/>
          <w:right w:w="15" w:type="dxa"/>
        </w:tblCellMar>
        <w:tblLook w:val="04A0" w:firstRow="1" w:lastRow="0" w:firstColumn="1" w:lastColumn="0" w:noHBand="0" w:noVBand="1"/>
      </w:tblPr>
      <w:tblGrid>
        <w:gridCol w:w="68"/>
        <w:gridCol w:w="2789"/>
        <w:gridCol w:w="36"/>
        <w:gridCol w:w="69"/>
        <w:gridCol w:w="2789"/>
        <w:gridCol w:w="36"/>
        <w:gridCol w:w="69"/>
        <w:gridCol w:w="2387"/>
        <w:gridCol w:w="36"/>
      </w:tblGrid>
      <w:tr w:rsidR="00000000">
        <w:trPr>
          <w:divId w:val="1033002456"/>
        </w:trPr>
        <w:tc>
          <w:tcPr>
            <w:tcW w:w="50" w:type="pct"/>
            <w:vAlign w:val="center"/>
            <w:hideMark/>
          </w:tcPr>
          <w:p w:rsidR="00000000" w:rsidRDefault="00B132B6">
            <w:pPr>
              <w:jc w:val="both"/>
              <w:rPr>
                <w:rFonts w:eastAsia="Times New Roman"/>
              </w:rPr>
            </w:pPr>
          </w:p>
        </w:tc>
        <w:tc>
          <w:tcPr>
            <w:tcW w:w="1692"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c>
          <w:tcPr>
            <w:tcW w:w="50" w:type="pct"/>
            <w:vAlign w:val="center"/>
            <w:hideMark/>
          </w:tcPr>
          <w:p w:rsidR="00000000" w:rsidRDefault="00B132B6">
            <w:pPr>
              <w:spacing w:after="100"/>
              <w:rPr>
                <w:rFonts w:eastAsia="Times New Roman"/>
                <w:sz w:val="20"/>
                <w:szCs w:val="20"/>
              </w:rPr>
            </w:pPr>
          </w:p>
        </w:tc>
        <w:tc>
          <w:tcPr>
            <w:tcW w:w="1692"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c>
          <w:tcPr>
            <w:tcW w:w="50" w:type="pct"/>
            <w:vAlign w:val="center"/>
            <w:hideMark/>
          </w:tcPr>
          <w:p w:rsidR="00000000" w:rsidRDefault="00B132B6">
            <w:pPr>
              <w:spacing w:after="100"/>
              <w:rPr>
                <w:rFonts w:eastAsia="Times New Roman"/>
                <w:sz w:val="20"/>
                <w:szCs w:val="20"/>
              </w:rPr>
            </w:pPr>
          </w:p>
        </w:tc>
        <w:tc>
          <w:tcPr>
            <w:tcW w:w="1449"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r>
      <w:tr w:rsidR="00000000">
        <w:trPr>
          <w:divId w:val="1033002456"/>
        </w:trPr>
        <w:tc>
          <w:tcPr>
            <w:tcW w:w="0" w:type="auto"/>
            <w:gridSpan w:val="3"/>
            <w:tcMar>
              <w:top w:w="30" w:type="dxa"/>
              <w:left w:w="20" w:type="dxa"/>
              <w:bottom w:w="30" w:type="dxa"/>
              <w:right w:w="20" w:type="dxa"/>
            </w:tcMar>
            <w:vAlign w:val="bottom"/>
            <w:hideMark/>
          </w:tcPr>
          <w:p w:rsidR="00000000" w:rsidRDefault="00B132B6">
            <w:pPr>
              <w:spacing w:after="100"/>
              <w:ind w:hanging="144"/>
              <w:divId w:val="657416545"/>
              <w:rPr>
                <w:rFonts w:eastAsia="Times New Roman"/>
              </w:rPr>
            </w:pPr>
            <w:r>
              <w:rPr>
                <w:rFonts w:eastAsia="Times New Roman"/>
                <w:color w:val="000000"/>
                <w:sz w:val="20"/>
                <w:szCs w:val="20"/>
              </w:rPr>
              <w:t xml:space="preserve">Large accelerated filer </w:t>
            </w:r>
            <w:r>
              <w:rPr>
                <w:rFonts w:ascii="Wingdings" w:eastAsia="Times New Roman" w:hAnsi="Wingdings"/>
                <w:color w:val="000000"/>
                <w:sz w:val="20"/>
                <w:szCs w:val="20"/>
              </w:rPr>
              <w:t>o</w:t>
            </w:r>
          </w:p>
        </w:tc>
        <w:tc>
          <w:tcPr>
            <w:tcW w:w="0" w:type="auto"/>
            <w:gridSpan w:val="3"/>
            <w:tcMar>
              <w:top w:w="30" w:type="dxa"/>
              <w:left w:w="20" w:type="dxa"/>
              <w:bottom w:w="30" w:type="dxa"/>
              <w:right w:w="20" w:type="dxa"/>
            </w:tcMar>
            <w:vAlign w:val="bottom"/>
            <w:hideMark/>
          </w:tcPr>
          <w:p w:rsidR="00000000" w:rsidRDefault="00B132B6">
            <w:pPr>
              <w:spacing w:after="100"/>
              <w:divId w:val="1714038091"/>
              <w:rPr>
                <w:rFonts w:eastAsia="Times New Roman"/>
              </w:rPr>
            </w:pPr>
            <w:r>
              <w:rPr>
                <w:rFonts w:eastAsia="Times New Roman"/>
                <w:color w:val="000000"/>
                <w:sz w:val="20"/>
                <w:szCs w:val="20"/>
              </w:rPr>
              <w:t xml:space="preserve">Accelerated filer </w:t>
            </w:r>
            <w:r>
              <w:rPr>
                <w:rFonts w:ascii="Wingdings" w:eastAsia="Times New Roman" w:hAnsi="Wingdings"/>
                <w:color w:val="000000"/>
                <w:sz w:val="20"/>
                <w:szCs w:val="20"/>
              </w:rPr>
              <w:t>o</w:t>
            </w:r>
          </w:p>
        </w:tc>
        <w:tc>
          <w:tcPr>
            <w:tcW w:w="0" w:type="auto"/>
            <w:gridSpan w:val="3"/>
            <w:tcMar>
              <w:top w:w="30" w:type="dxa"/>
              <w:left w:w="20" w:type="dxa"/>
              <w:bottom w:w="30" w:type="dxa"/>
              <w:right w:w="20" w:type="dxa"/>
            </w:tcMar>
            <w:vAlign w:val="bottom"/>
            <w:hideMark/>
          </w:tcPr>
          <w:p w:rsidR="00000000" w:rsidRDefault="00B132B6">
            <w:pPr>
              <w:spacing w:after="100"/>
              <w:divId w:val="1063597793"/>
              <w:rPr>
                <w:rFonts w:eastAsia="Times New Roman"/>
              </w:rPr>
            </w:pPr>
            <w:r>
              <w:rPr>
                <w:rFonts w:eastAsia="Times New Roman"/>
                <w:color w:val="000000"/>
                <w:sz w:val="20"/>
                <w:szCs w:val="20"/>
              </w:rPr>
              <w:t xml:space="preserve">Non-accelerated Filer </w:t>
            </w:r>
            <w:r>
              <w:rPr>
                <w:rFonts w:ascii="Segoe UI Symbol" w:eastAsia="Times New Roman" w:hAnsi="Segoe UI Symbol" w:cs="Segoe UI Symbol"/>
                <w:color w:val="000000"/>
                <w:sz w:val="20"/>
                <w:szCs w:val="20"/>
              </w:rPr>
              <w:t>☒</w:t>
            </w:r>
          </w:p>
        </w:tc>
      </w:tr>
      <w:tr w:rsidR="00000000">
        <w:trPr>
          <w:divId w:val="1033002456"/>
          <w:trHeight w:val="280"/>
        </w:trPr>
        <w:tc>
          <w:tcPr>
            <w:tcW w:w="0" w:type="auto"/>
            <w:gridSpan w:val="3"/>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r>
      <w:tr w:rsidR="00000000">
        <w:trPr>
          <w:divId w:val="1033002456"/>
        </w:trPr>
        <w:tc>
          <w:tcPr>
            <w:tcW w:w="0" w:type="auto"/>
            <w:gridSpan w:val="3"/>
            <w:tcMar>
              <w:top w:w="30" w:type="dxa"/>
              <w:left w:w="20" w:type="dxa"/>
              <w:bottom w:w="30" w:type="dxa"/>
              <w:right w:w="20" w:type="dxa"/>
            </w:tcMar>
            <w:vAlign w:val="bottom"/>
            <w:hideMark/>
          </w:tcPr>
          <w:p w:rsidR="00000000" w:rsidRDefault="00B132B6">
            <w:pPr>
              <w:spacing w:after="100"/>
              <w:divId w:val="1982344579"/>
              <w:rPr>
                <w:rFonts w:eastAsia="Times New Roman"/>
              </w:rPr>
            </w:pPr>
            <w:r>
              <w:rPr>
                <w:rFonts w:eastAsia="Times New Roman"/>
                <w:color w:val="000000"/>
                <w:sz w:val="20"/>
                <w:szCs w:val="20"/>
              </w:rPr>
              <w:t xml:space="preserve">Smaller reporting company </w:t>
            </w: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B132B6">
            <w:pPr>
              <w:spacing w:after="100"/>
              <w:divId w:val="69618867"/>
              <w:rPr>
                <w:rFonts w:eastAsia="Times New Roman"/>
              </w:rPr>
            </w:pPr>
            <w:r>
              <w:rPr>
                <w:rFonts w:eastAsia="Times New Roman"/>
                <w:color w:val="000000"/>
                <w:sz w:val="20"/>
                <w:szCs w:val="20"/>
              </w:rPr>
              <w:t xml:space="preserve">Emerging growth company </w:t>
            </w:r>
            <w:r>
              <w:rPr>
                <w:rFonts w:ascii="Segoe UI Symbol" w:eastAsia="Times New Roman" w:hAnsi="Segoe UI Symbol" w:cs="Segoe UI Symbol"/>
                <w:color w:val="000000"/>
                <w:sz w:val="20"/>
                <w:szCs w:val="20"/>
              </w:rPr>
              <w:t>☐</w:t>
            </w: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rPr>
            </w:pPr>
          </w:p>
        </w:tc>
      </w:tr>
    </w:tbl>
    <w:p w:rsidR="00000000" w:rsidRDefault="00B132B6">
      <w:pPr>
        <w:divId w:val="1201548362"/>
        <w:rPr>
          <w:rFonts w:eastAsia="Times New Roman"/>
        </w:rPr>
      </w:pPr>
      <w:r>
        <w:rPr>
          <w:rFonts w:eastAsia="Times New Roman"/>
          <w:color w:val="000000"/>
          <w:sz w:val="16"/>
          <w:szCs w:val="16"/>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Times New Roman" w:hAnsi="Wingdings"/>
          <w:color w:val="000000"/>
          <w:sz w:val="16"/>
          <w:szCs w:val="16"/>
        </w:rPr>
        <w:t>o</w:t>
      </w:r>
    </w:p>
    <w:p w:rsidR="00000000" w:rsidRDefault="00B132B6">
      <w:pPr>
        <w:divId w:val="736130475"/>
        <w:rPr>
          <w:rFonts w:eastAsia="Times New Roman"/>
        </w:rPr>
      </w:pPr>
      <w:r>
        <w:rPr>
          <w:rFonts w:eastAsia="Times New Roman"/>
          <w:color w:val="000000"/>
          <w:sz w:val="16"/>
          <w:szCs w:val="16"/>
        </w:rPr>
        <w:lastRenderedPageBreak/>
        <w:t>Ind</w:t>
      </w:r>
      <w:r>
        <w:rPr>
          <w:rFonts w:eastAsia="Times New Roman"/>
          <w:color w:val="000000"/>
          <w:sz w:val="16"/>
          <w:szCs w:val="16"/>
        </w:rPr>
        <w:t>icate by check mark whether the registrant has filed a report on and attestation to its management's assessment of the effectiveness of its internal control over financial reporting under Section 404(b) of the Sarbanes-Oxley Act (15 U.S.C 7262(b)) by the r</w:t>
      </w:r>
      <w:r>
        <w:rPr>
          <w:rFonts w:eastAsia="Times New Roman"/>
          <w:color w:val="000000"/>
          <w:sz w:val="16"/>
          <w:szCs w:val="16"/>
        </w:rPr>
        <w:t xml:space="preserve">egistered public accounting firm that prepared or issued its audit report. </w:t>
      </w:r>
      <w:r>
        <w:rPr>
          <w:rFonts w:ascii="Wingdings" w:eastAsia="Times New Roman" w:hAnsi="Wingdings"/>
          <w:color w:val="000000"/>
          <w:sz w:val="18"/>
          <w:szCs w:val="18"/>
        </w:rPr>
        <w:t>x</w:t>
      </w:r>
    </w:p>
    <w:p w:rsidR="00000000" w:rsidRDefault="00B132B6">
      <w:pPr>
        <w:divId w:val="968895289"/>
        <w:rPr>
          <w:rFonts w:eastAsia="Times New Roman"/>
        </w:rPr>
      </w:pPr>
      <w:r>
        <w:rPr>
          <w:rFonts w:eastAsia="Times New Roman"/>
          <w:color w:val="000000"/>
          <w:sz w:val="16"/>
          <w:szCs w:val="16"/>
        </w:rPr>
        <w:t>If securities are registered pursuant to Section 12(b) of the Act, indicate by check mark whether the financial statements of the registrant included in the filing reflect the cor</w:t>
      </w:r>
      <w:r>
        <w:rPr>
          <w:rFonts w:eastAsia="Times New Roman"/>
          <w:color w:val="000000"/>
          <w:sz w:val="16"/>
          <w:szCs w:val="16"/>
        </w:rPr>
        <w:t>rection of an error to previously issued financial statements.</w:t>
      </w:r>
      <w:r>
        <w:rPr>
          <w:rFonts w:eastAsia="Times New Roman"/>
          <w:color w:val="000000"/>
        </w:rPr>
        <w:t xml:space="preserve"> </w:t>
      </w:r>
      <w:r>
        <w:rPr>
          <w:rFonts w:ascii="Segoe UI Symbol" w:eastAsia="Times New Roman" w:hAnsi="Segoe UI Symbol" w:cs="Segoe UI Symbol"/>
          <w:color w:val="000000"/>
          <w:sz w:val="16"/>
          <w:szCs w:val="16"/>
        </w:rPr>
        <w:t>☐</w:t>
      </w:r>
      <w:r>
        <w:rPr>
          <w:rFonts w:eastAsia="Times New Roman"/>
          <w:color w:val="000000"/>
        </w:rPr>
        <w:t xml:space="preserve"> </w:t>
      </w:r>
    </w:p>
    <w:p w:rsidR="00000000" w:rsidRDefault="00B132B6">
      <w:pPr>
        <w:divId w:val="1244342435"/>
        <w:rPr>
          <w:rFonts w:eastAsia="Times New Roman"/>
        </w:rPr>
      </w:pPr>
      <w:r>
        <w:rPr>
          <w:rFonts w:eastAsia="Times New Roman"/>
          <w:color w:val="000000"/>
          <w:sz w:val="16"/>
          <w:szCs w:val="16"/>
        </w:rPr>
        <w:t>Indicate by check mark whether any of those error corrections are restatements that required a recovery analysis of incentive-based compensation received by any of the registrant’s executive</w:t>
      </w:r>
      <w:r>
        <w:rPr>
          <w:rFonts w:eastAsia="Times New Roman"/>
          <w:color w:val="000000"/>
          <w:sz w:val="16"/>
          <w:szCs w:val="16"/>
        </w:rPr>
        <w:t xml:space="preserve"> officers during the relevant recovery period pursuant to §240.10D-1(b).</w:t>
      </w:r>
      <w:r>
        <w:rPr>
          <w:rFonts w:eastAsia="Times New Roman"/>
          <w:color w:val="000000"/>
        </w:rPr>
        <w:t xml:space="preserve"> </w:t>
      </w:r>
      <w:r>
        <w:rPr>
          <w:rFonts w:ascii="Segoe UI Symbol" w:eastAsia="Times New Roman" w:hAnsi="Segoe UI Symbol" w:cs="Segoe UI Symbol"/>
          <w:color w:val="000000"/>
          <w:sz w:val="16"/>
          <w:szCs w:val="16"/>
        </w:rPr>
        <w:t>☐</w:t>
      </w:r>
      <w:r>
        <w:rPr>
          <w:rFonts w:eastAsia="Times New Roman"/>
          <w:color w:val="000000"/>
        </w:rPr>
        <w:t xml:space="preserve"> </w:t>
      </w:r>
    </w:p>
    <w:p w:rsidR="00000000" w:rsidRDefault="00B132B6">
      <w:pPr>
        <w:divId w:val="32506112"/>
        <w:rPr>
          <w:rFonts w:eastAsia="Times New Roman"/>
        </w:rPr>
      </w:pPr>
      <w:r>
        <w:rPr>
          <w:rFonts w:eastAsia="Times New Roman"/>
          <w:color w:val="000000"/>
          <w:sz w:val="16"/>
          <w:szCs w:val="16"/>
        </w:rPr>
        <w:t xml:space="preserve">Indicate by check mark whether the registrant is a shell company (as defined in Rule 12b-2 of the Act). Yes </w:t>
      </w:r>
      <w:r>
        <w:rPr>
          <w:rFonts w:ascii="Wingdings" w:eastAsia="Times New Roman" w:hAnsi="Wingdings"/>
          <w:color w:val="000000"/>
          <w:sz w:val="18"/>
          <w:szCs w:val="18"/>
        </w:rPr>
        <w:t>o</w:t>
      </w:r>
      <w:r>
        <w:rPr>
          <w:rFonts w:eastAsia="Times New Roman"/>
          <w:color w:val="000000"/>
          <w:sz w:val="16"/>
          <w:szCs w:val="16"/>
        </w:rPr>
        <w:t xml:space="preserve"> No </w:t>
      </w:r>
      <w:r>
        <w:rPr>
          <w:rFonts w:ascii="Wingdings" w:eastAsia="Times New Roman" w:hAnsi="Wingdings"/>
          <w:color w:val="000000"/>
          <w:sz w:val="18"/>
          <w:szCs w:val="18"/>
        </w:rPr>
        <w:t>x</w:t>
      </w:r>
    </w:p>
    <w:p w:rsidR="00000000" w:rsidRDefault="00B132B6">
      <w:pPr>
        <w:divId w:val="1782141764"/>
        <w:rPr>
          <w:rFonts w:eastAsia="Times New Roman"/>
        </w:rPr>
      </w:pPr>
      <w:r>
        <w:rPr>
          <w:rFonts w:eastAsia="Times New Roman"/>
          <w:color w:val="000000"/>
          <w:sz w:val="16"/>
          <w:szCs w:val="16"/>
        </w:rPr>
        <w:t xml:space="preserve">The aggregate market value of the 5,207,271 shares of voting and </w:t>
      </w:r>
      <w:r>
        <w:rPr>
          <w:rFonts w:eastAsia="Times New Roman"/>
          <w:color w:val="000000"/>
          <w:sz w:val="16"/>
          <w:szCs w:val="16"/>
        </w:rPr>
        <w:t>non-voting common equity of the registrant held by non-affiliates computed by reference to the $25.49 closing price of such common equity on June 30, 2022, the last business day of the registrant's most recently completed second fiscal quarter, was $132,73</w:t>
      </w:r>
      <w:r>
        <w:rPr>
          <w:rFonts w:eastAsia="Times New Roman"/>
          <w:color w:val="000000"/>
          <w:sz w:val="16"/>
          <w:szCs w:val="16"/>
        </w:rPr>
        <w:t>3,338. Aggregate market value excludes an aggregate of 1,561,310 shares of common stock held by officers and directors and by each person known by the registrant to own 5% or more of the outstanding common stock on such date. Exclusion of shares held by an</w:t>
      </w:r>
      <w:r>
        <w:rPr>
          <w:rFonts w:eastAsia="Times New Roman"/>
          <w:color w:val="000000"/>
          <w:sz w:val="16"/>
          <w:szCs w:val="16"/>
        </w:rPr>
        <w:t xml:space="preserve">y of these persons should not be construed to indicate that such person possesses the power, direct or indirect, to direct or cause the direction of the management or policies of the registrant, or that such person is controlled by or under common control </w:t>
      </w:r>
      <w:r>
        <w:rPr>
          <w:rFonts w:eastAsia="Times New Roman"/>
          <w:color w:val="000000"/>
          <w:sz w:val="16"/>
          <w:szCs w:val="16"/>
        </w:rPr>
        <w:t>with the registrant. As of March 29, 2023, the registrant had 7,284,151 shares of common stock, par value $1.00 per share, issued and 6,768,581 shares outstanding.</w:t>
      </w:r>
    </w:p>
    <w:p w:rsidR="00000000" w:rsidRDefault="00B132B6">
      <w:pPr>
        <w:jc w:val="center"/>
        <w:divId w:val="31082398"/>
        <w:rPr>
          <w:rFonts w:eastAsia="Times New Roman"/>
        </w:rPr>
      </w:pPr>
      <w:r>
        <w:rPr>
          <w:rFonts w:eastAsia="Times New Roman"/>
          <w:b/>
          <w:bCs/>
          <w:color w:val="000000"/>
          <w:sz w:val="18"/>
          <w:szCs w:val="18"/>
        </w:rPr>
        <w:t>DOCUMENTS INCORPORATED BY REFERENCE</w:t>
      </w:r>
    </w:p>
    <w:p w:rsidR="00000000" w:rsidRDefault="00B132B6">
      <w:pPr>
        <w:jc w:val="both"/>
        <w:divId w:val="570580281"/>
        <w:rPr>
          <w:rFonts w:eastAsia="Times New Roman"/>
        </w:rPr>
      </w:pPr>
      <w:r>
        <w:rPr>
          <w:rFonts w:eastAsia="Times New Roman"/>
          <w:color w:val="000000"/>
          <w:sz w:val="16"/>
          <w:szCs w:val="16"/>
        </w:rPr>
        <w:t xml:space="preserve">Portions of the following documents are incorporated by reference into the indicated parts of this report: (1) 2022 Annual Report to Shareholders - Part II and (2) definitive Proxy Statement for the 2023 Annual Meeting of Shareholders to be filed with the </w:t>
      </w:r>
      <w:r>
        <w:rPr>
          <w:rFonts w:eastAsia="Times New Roman"/>
          <w:color w:val="000000"/>
          <w:sz w:val="16"/>
          <w:szCs w:val="16"/>
        </w:rPr>
        <w:t>Commission pursuant to Regulation 14A - Part III.</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266163298"/>
        </w:trPr>
        <w:tc>
          <w:tcPr>
            <w:tcW w:w="50" w:type="pct"/>
            <w:vAlign w:val="center"/>
            <w:hideMark/>
          </w:tcPr>
          <w:p w:rsidR="00000000" w:rsidRDefault="00B132B6">
            <w:pPr>
              <w:jc w:val="both"/>
              <w:rPr>
                <w:rFonts w:eastAsia="Times New Roman"/>
              </w:rPr>
            </w:pPr>
          </w:p>
        </w:tc>
        <w:tc>
          <w:tcPr>
            <w:tcW w:w="4945"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r>
      <w:tr w:rsidR="00000000">
        <w:trPr>
          <w:divId w:val="266163298"/>
          <w:trHeight w:val="60"/>
        </w:trPr>
        <w:tc>
          <w:tcPr>
            <w:tcW w:w="0" w:type="auto"/>
            <w:gridSpan w:val="3"/>
            <w:tcBorders>
              <w:bottom w:val="double" w:sz="6" w:space="0" w:color="000000"/>
            </w:tcBorders>
            <w:tcMar>
              <w:top w:w="0" w:type="dxa"/>
              <w:left w:w="20" w:type="dxa"/>
              <w:bottom w:w="0" w:type="dxa"/>
              <w:right w:w="20" w:type="dxa"/>
            </w:tcMar>
            <w:vAlign w:val="center"/>
            <w:hideMark/>
          </w:tcPr>
          <w:p w:rsidR="00000000" w:rsidRDefault="00B132B6">
            <w:pPr>
              <w:spacing w:after="100"/>
              <w:rPr>
                <w:rFonts w:eastAsia="Times New Roman"/>
                <w:sz w:val="20"/>
                <w:szCs w:val="20"/>
              </w:rPr>
            </w:pPr>
          </w:p>
        </w:tc>
      </w:tr>
    </w:tbl>
    <w:p w:rsidR="00000000" w:rsidRDefault="00B132B6">
      <w:pPr>
        <w:jc w:val="center"/>
        <w:divId w:val="1380548011"/>
        <w:rPr>
          <w:rFonts w:eastAsia="Times New Roman"/>
        </w:rPr>
      </w:pPr>
    </w:p>
    <w:p w:rsidR="00000000" w:rsidRDefault="00B132B6">
      <w:pPr>
        <w:rPr>
          <w:rFonts w:eastAsia="Times New Roman"/>
        </w:rPr>
      </w:pPr>
      <w:r>
        <w:rPr>
          <w:rFonts w:eastAsia="Times New Roman"/>
        </w:rPr>
        <w:pict>
          <v:rect id="_x0000_i1025" style="width:0;height:1.5pt" o:hralign="center" o:hrstd="t" o:hr="t" fillcolor="#a0a0a0" stroked="f"/>
        </w:pict>
      </w:r>
    </w:p>
    <w:p w:rsidR="00000000" w:rsidRDefault="00B132B6">
      <w:pPr>
        <w:divId w:val="1497725302"/>
        <w:rPr>
          <w:rFonts w:eastAsia="Times New Roman"/>
        </w:rPr>
      </w:pPr>
    </w:p>
    <w:p w:rsidR="00000000" w:rsidRDefault="00B132B6">
      <w:pPr>
        <w:divId w:val="844323532"/>
        <w:rPr>
          <w:rFonts w:eastAsia="Times New Roman"/>
        </w:rPr>
      </w:pPr>
      <w:r>
        <w:rPr>
          <w:rFonts w:eastAsia="Times New Roman"/>
          <w:b/>
          <w:bCs/>
          <w:color w:val="000000"/>
          <w:sz w:val="20"/>
          <w:szCs w:val="20"/>
          <w:u w:val="single"/>
        </w:rPr>
        <w:t>PART I</w:t>
      </w:r>
    </w:p>
    <w:p w:rsidR="00000000" w:rsidRDefault="00B132B6">
      <w:pPr>
        <w:divId w:val="1678383961"/>
        <w:rPr>
          <w:rFonts w:eastAsia="Times New Roman"/>
        </w:rPr>
      </w:pPr>
      <w:r>
        <w:rPr>
          <w:rFonts w:eastAsia="Times New Roman"/>
          <w:b/>
          <w:bCs/>
          <w:color w:val="000000"/>
          <w:sz w:val="20"/>
          <w:szCs w:val="20"/>
          <w:u w:val="single"/>
        </w:rPr>
        <w:t>Item 1</w:t>
      </w:r>
      <w:r>
        <w:rPr>
          <w:rFonts w:eastAsia="Times New Roman"/>
          <w:b/>
          <w:bCs/>
          <w:color w:val="000000"/>
          <w:sz w:val="20"/>
          <w:szCs w:val="20"/>
        </w:rPr>
        <w:t xml:space="preserve">. </w:t>
      </w:r>
      <w:r>
        <w:rPr>
          <w:rFonts w:eastAsia="Times New Roman"/>
          <w:b/>
          <w:bCs/>
          <w:color w:val="000000"/>
          <w:sz w:val="20"/>
          <w:szCs w:val="20"/>
          <w:u w:val="single"/>
        </w:rPr>
        <w:t>Business</w:t>
      </w:r>
      <w:r>
        <w:rPr>
          <w:rFonts w:eastAsia="Times New Roman"/>
          <w:b/>
          <w:bCs/>
          <w:color w:val="000000"/>
          <w:sz w:val="20"/>
          <w:szCs w:val="20"/>
        </w:rPr>
        <w:t>.</w:t>
      </w:r>
    </w:p>
    <w:p w:rsidR="00000000" w:rsidRDefault="00B132B6">
      <w:pPr>
        <w:ind w:firstLine="720"/>
        <w:jc w:val="both"/>
        <w:divId w:val="1215460370"/>
        <w:rPr>
          <w:rFonts w:eastAsia="Times New Roman"/>
        </w:rPr>
      </w:pPr>
      <w:r>
        <w:rPr>
          <w:rFonts w:eastAsia="Times New Roman"/>
          <w:color w:val="000000"/>
          <w:sz w:val="20"/>
          <w:szCs w:val="20"/>
        </w:rPr>
        <w:t>This report and the documents incorporated by reference herein contain forward-looking statements, which are inherently subject to risks and uncertainties. See "Forward Looking Statements" under Item 7 of this report.</w:t>
      </w:r>
    </w:p>
    <w:p w:rsidR="00000000" w:rsidRDefault="00B132B6">
      <w:pPr>
        <w:divId w:val="1932424222"/>
        <w:rPr>
          <w:rFonts w:eastAsia="Times New Roman"/>
        </w:rPr>
      </w:pPr>
      <w:r>
        <w:rPr>
          <w:rFonts w:eastAsia="Times New Roman"/>
          <w:b/>
          <w:bCs/>
          <w:color w:val="000000"/>
          <w:sz w:val="20"/>
          <w:szCs w:val="20"/>
        </w:rPr>
        <w:t>General</w:t>
      </w:r>
    </w:p>
    <w:p w:rsidR="00000000" w:rsidRDefault="00B132B6">
      <w:pPr>
        <w:ind w:firstLine="720"/>
        <w:jc w:val="both"/>
        <w:divId w:val="1018196646"/>
        <w:rPr>
          <w:rFonts w:eastAsia="Times New Roman"/>
        </w:rPr>
      </w:pPr>
      <w:r>
        <w:rPr>
          <w:rFonts w:eastAsia="Times New Roman"/>
          <w:color w:val="000000"/>
          <w:sz w:val="20"/>
          <w:szCs w:val="20"/>
        </w:rPr>
        <w:t>Hawthorn Bancshares, Inc. (the</w:t>
      </w:r>
      <w:r>
        <w:rPr>
          <w:rFonts w:eastAsia="Times New Roman"/>
          <w:color w:val="000000"/>
          <w:sz w:val="20"/>
          <w:szCs w:val="20"/>
        </w:rPr>
        <w:t xml:space="preserve"> "Company"), is a bank holding company registered under the Bank Holding Company Act of 1956, as amended (the "Bank Holding Company Act"). The Company was incorporated under the laws of the State of Missouri on October 23, 1992 as Exchange National Bancsha</w:t>
      </w:r>
      <w:r>
        <w:rPr>
          <w:rFonts w:eastAsia="Times New Roman"/>
          <w:color w:val="000000"/>
          <w:sz w:val="20"/>
          <w:szCs w:val="20"/>
        </w:rPr>
        <w:t>res, Inc. and changed its name to Hawthorn Bancshares, Inc. in August 2007. The Company owns all of the issued and outstanding capital stock of Union State Bancshares, Inc. ("Union"), which in turn owns all of the issued and outstanding capital stock of Ha</w:t>
      </w:r>
      <w:r>
        <w:rPr>
          <w:rFonts w:eastAsia="Times New Roman"/>
          <w:color w:val="000000"/>
          <w:sz w:val="20"/>
          <w:szCs w:val="20"/>
        </w:rPr>
        <w:t>wthorn Bank. The Company and Union each received approval from the Federal Reserve and elected to become a financial holding company on October 21, 2001.</w:t>
      </w:r>
    </w:p>
    <w:p w:rsidR="00000000" w:rsidRDefault="00B132B6">
      <w:pPr>
        <w:ind w:firstLine="720"/>
        <w:jc w:val="both"/>
        <w:divId w:val="2115704096"/>
        <w:rPr>
          <w:rFonts w:eastAsia="Times New Roman"/>
        </w:rPr>
      </w:pPr>
      <w:r>
        <w:rPr>
          <w:rFonts w:eastAsia="Times New Roman"/>
          <w:color w:val="000000"/>
          <w:sz w:val="20"/>
          <w:szCs w:val="20"/>
        </w:rPr>
        <w:t>The Company acquired Hawthorn Bank and its constituent predecessor banks, as well as Union, in a serie</w:t>
      </w:r>
      <w:r>
        <w:rPr>
          <w:rFonts w:eastAsia="Times New Roman"/>
          <w:color w:val="000000"/>
          <w:sz w:val="20"/>
          <w:szCs w:val="20"/>
        </w:rPr>
        <w:t>s of transactions that are summarized as follows:</w:t>
      </w:r>
    </w:p>
    <w:p w:rsidR="00000000" w:rsidRDefault="00B132B6">
      <w:pPr>
        <w:ind w:hanging="360"/>
        <w:jc w:val="both"/>
        <w:divId w:val="1967659822"/>
        <w:rPr>
          <w:rFonts w:eastAsia="Times New Roman"/>
        </w:rPr>
      </w:pPr>
      <w:r>
        <w:rPr>
          <w:rFonts w:eastAsia="Times New Roman"/>
          <w:color w:val="000000"/>
          <w:sz w:val="20"/>
          <w:szCs w:val="20"/>
        </w:rPr>
        <w:t>•On April 7, 1993 the Company acquired all of the issued and outstanding capital stock of The Exchange National Bank of Jefferson City, a national banking association, pursuant to a corporate reorganization</w:t>
      </w:r>
      <w:r>
        <w:rPr>
          <w:rFonts w:eastAsia="Times New Roman"/>
          <w:color w:val="000000"/>
          <w:sz w:val="20"/>
          <w:szCs w:val="20"/>
        </w:rPr>
        <w:t xml:space="preserve"> involving an exchange of shares;</w:t>
      </w:r>
    </w:p>
    <w:p w:rsidR="00000000" w:rsidRDefault="00B132B6">
      <w:pPr>
        <w:ind w:hanging="360"/>
        <w:jc w:val="both"/>
        <w:divId w:val="1283729882"/>
        <w:rPr>
          <w:rFonts w:eastAsia="Times New Roman"/>
        </w:rPr>
      </w:pPr>
      <w:r>
        <w:rPr>
          <w:rFonts w:eastAsia="Times New Roman"/>
          <w:color w:val="000000"/>
          <w:sz w:val="20"/>
          <w:szCs w:val="20"/>
        </w:rPr>
        <w:t>•On November 3, 1997, the Company acquired Union, and Union's wholly-owned subsidiary, Union State Bank and Trust of Clinton;</w:t>
      </w:r>
    </w:p>
    <w:p w:rsidR="00000000" w:rsidRDefault="00B132B6">
      <w:pPr>
        <w:ind w:hanging="360"/>
        <w:jc w:val="both"/>
        <w:divId w:val="488985383"/>
        <w:rPr>
          <w:rFonts w:eastAsia="Times New Roman"/>
        </w:rPr>
      </w:pPr>
      <w:r>
        <w:rPr>
          <w:rFonts w:eastAsia="Times New Roman"/>
          <w:color w:val="000000"/>
          <w:sz w:val="20"/>
          <w:szCs w:val="20"/>
        </w:rPr>
        <w:t>•On January 3, 2000, the Company acquired Osage Valley Bank;</w:t>
      </w:r>
    </w:p>
    <w:p w:rsidR="00000000" w:rsidRDefault="00B132B6">
      <w:pPr>
        <w:ind w:hanging="360"/>
        <w:jc w:val="both"/>
        <w:divId w:val="505246845"/>
        <w:rPr>
          <w:rFonts w:eastAsia="Times New Roman"/>
        </w:rPr>
      </w:pPr>
      <w:r>
        <w:rPr>
          <w:rFonts w:eastAsia="Times New Roman"/>
          <w:color w:val="000000"/>
          <w:sz w:val="20"/>
          <w:szCs w:val="20"/>
        </w:rPr>
        <w:t>•Following the May 4, 2000 acquisit</w:t>
      </w:r>
      <w:r>
        <w:rPr>
          <w:rFonts w:eastAsia="Times New Roman"/>
          <w:color w:val="000000"/>
          <w:sz w:val="20"/>
          <w:szCs w:val="20"/>
        </w:rPr>
        <w:t>ion of Citizens State Bank of Calhoun by Union State Bank and Trust of Clinton, Citizens State Bank of Calhoun merged into Union State Bank and Trust of Clinton to form Citizens Union State Bank &amp; Trust;</w:t>
      </w:r>
    </w:p>
    <w:p w:rsidR="00000000" w:rsidRDefault="00B132B6">
      <w:pPr>
        <w:ind w:hanging="360"/>
        <w:jc w:val="both"/>
        <w:divId w:val="283654854"/>
        <w:rPr>
          <w:rFonts w:eastAsia="Times New Roman"/>
        </w:rPr>
      </w:pPr>
      <w:r>
        <w:rPr>
          <w:rFonts w:eastAsia="Times New Roman"/>
          <w:color w:val="000000"/>
          <w:sz w:val="20"/>
          <w:szCs w:val="20"/>
        </w:rPr>
        <w:lastRenderedPageBreak/>
        <w:t>•On June 16, 2000, the Company acquired City Nationa</w:t>
      </w:r>
      <w:r>
        <w:rPr>
          <w:rFonts w:eastAsia="Times New Roman"/>
          <w:color w:val="000000"/>
          <w:sz w:val="20"/>
          <w:szCs w:val="20"/>
        </w:rPr>
        <w:t>l Savings Bank, FSB, which was then merged into The Exchange National Bank of Jefferson City; and</w:t>
      </w:r>
    </w:p>
    <w:p w:rsidR="00000000" w:rsidRDefault="00B132B6">
      <w:pPr>
        <w:ind w:hanging="360"/>
        <w:jc w:val="both"/>
        <w:divId w:val="1672559727"/>
        <w:rPr>
          <w:rFonts w:eastAsia="Times New Roman"/>
        </w:rPr>
      </w:pPr>
      <w:r>
        <w:rPr>
          <w:rFonts w:eastAsia="Times New Roman"/>
          <w:color w:val="000000"/>
          <w:sz w:val="20"/>
          <w:szCs w:val="20"/>
        </w:rPr>
        <w:t>•On May 2, 2005, the Company acquired all of the issued and outstanding capital stock of Bank 10, a Missouri state bank.</w:t>
      </w:r>
    </w:p>
    <w:p w:rsidR="00000000" w:rsidRDefault="00B132B6">
      <w:pPr>
        <w:ind w:firstLine="720"/>
        <w:jc w:val="both"/>
        <w:divId w:val="276564639"/>
        <w:rPr>
          <w:rFonts w:eastAsia="Times New Roman"/>
        </w:rPr>
      </w:pPr>
      <w:r>
        <w:rPr>
          <w:rFonts w:eastAsia="Times New Roman"/>
          <w:color w:val="000000"/>
          <w:sz w:val="20"/>
          <w:szCs w:val="20"/>
        </w:rPr>
        <w:t>On December 1, 2006, the Company anno</w:t>
      </w:r>
      <w:r>
        <w:rPr>
          <w:rFonts w:eastAsia="Times New Roman"/>
          <w:color w:val="000000"/>
          <w:sz w:val="20"/>
          <w:szCs w:val="20"/>
        </w:rPr>
        <w:t>unced its development of a strategic plan in which, among other things, The Exchange National Bank of Jefferson City, Citizens Union State Bank &amp; Trust, Osage Valley Bank and Bank 10 would be consolidated into a single bank under a Missouri state trust cha</w:t>
      </w:r>
      <w:r>
        <w:rPr>
          <w:rFonts w:eastAsia="Times New Roman"/>
          <w:color w:val="000000"/>
          <w:sz w:val="20"/>
          <w:szCs w:val="20"/>
        </w:rPr>
        <w:t>rter. This consolidation was completed in October 2007, and the subsidiary bank is now known as Hawthorn Bank (the "Bank").</w:t>
      </w:r>
    </w:p>
    <w:p w:rsidR="00000000" w:rsidRDefault="00B132B6">
      <w:pPr>
        <w:ind w:firstLine="720"/>
        <w:jc w:val="both"/>
        <w:divId w:val="2077434191"/>
        <w:rPr>
          <w:rFonts w:eastAsia="Times New Roman"/>
        </w:rPr>
      </w:pPr>
      <w:r>
        <w:rPr>
          <w:rFonts w:eastAsia="Times New Roman"/>
          <w:color w:val="000000"/>
          <w:sz w:val="20"/>
          <w:szCs w:val="20"/>
        </w:rPr>
        <w:t>Except as otherwise provided herein, references herein to the "Company" refer to Hawthorn Bancshares, Inc. and its consolidated subs</w:t>
      </w:r>
      <w:r>
        <w:rPr>
          <w:rFonts w:eastAsia="Times New Roman"/>
          <w:color w:val="000000"/>
          <w:sz w:val="20"/>
          <w:szCs w:val="20"/>
        </w:rPr>
        <w:t>idiaries, and references herein to the "Bank" refers to Hawthorn Bank and its constituent predecessors.</w:t>
      </w:r>
    </w:p>
    <w:p w:rsidR="00000000" w:rsidRDefault="00B132B6">
      <w:pPr>
        <w:divId w:val="1995717970"/>
        <w:rPr>
          <w:rFonts w:eastAsia="Times New Roman"/>
        </w:rPr>
      </w:pPr>
      <w:r>
        <w:rPr>
          <w:rFonts w:eastAsia="Times New Roman"/>
          <w:b/>
          <w:bCs/>
          <w:color w:val="000000"/>
          <w:sz w:val="20"/>
          <w:szCs w:val="20"/>
        </w:rPr>
        <w:t>Description of Business</w:t>
      </w:r>
    </w:p>
    <w:p w:rsidR="00000000" w:rsidRDefault="00B132B6">
      <w:pPr>
        <w:ind w:firstLine="720"/>
        <w:jc w:val="both"/>
        <w:divId w:val="39089706"/>
        <w:rPr>
          <w:rFonts w:eastAsia="Times New Roman"/>
        </w:rPr>
      </w:pPr>
      <w:r>
        <w:rPr>
          <w:rFonts w:eastAsia="Times New Roman"/>
          <w:b/>
          <w:bCs/>
          <w:color w:val="000000"/>
          <w:sz w:val="20"/>
          <w:szCs w:val="20"/>
        </w:rPr>
        <w:t xml:space="preserve">The Company. </w:t>
      </w:r>
      <w:r>
        <w:rPr>
          <w:rFonts w:eastAsia="Times New Roman"/>
          <w:color w:val="000000"/>
          <w:sz w:val="20"/>
          <w:szCs w:val="20"/>
        </w:rPr>
        <w:t>The Company is a bank holding company registered under the Bank Holding Company Act that has elected to become a fi</w:t>
      </w:r>
      <w:r>
        <w:rPr>
          <w:rFonts w:eastAsia="Times New Roman"/>
          <w:color w:val="000000"/>
          <w:sz w:val="20"/>
          <w:szCs w:val="20"/>
        </w:rPr>
        <w:t>nancial holding company. The Company's activities currently are limited to ownership, indirectly through its subsidiary (Union), of the outstanding capital stock of the Bank. In addition to ownership of its subsidiaries, the Company may seek expansion thro</w:t>
      </w:r>
      <w:r>
        <w:rPr>
          <w:rFonts w:eastAsia="Times New Roman"/>
          <w:color w:val="000000"/>
          <w:sz w:val="20"/>
          <w:szCs w:val="20"/>
        </w:rPr>
        <w:t>ugh acquisition and may engage in those activities (such as investments in banks or operations that are financial in nature) in which it is permitted to engage under applicable law. It is not currently anticipated that the Company will engage in any busine</w:t>
      </w:r>
      <w:r>
        <w:rPr>
          <w:rFonts w:eastAsia="Times New Roman"/>
          <w:color w:val="000000"/>
          <w:sz w:val="20"/>
          <w:szCs w:val="20"/>
        </w:rPr>
        <w:t>ss other than that directly related to its ownership of the Bank or other financial institutions.</w:t>
      </w:r>
    </w:p>
    <w:p w:rsidR="00000000" w:rsidRDefault="00B132B6">
      <w:pPr>
        <w:ind w:firstLine="720"/>
        <w:divId w:val="1238858057"/>
        <w:rPr>
          <w:rFonts w:eastAsia="Times New Roman"/>
        </w:rPr>
      </w:pPr>
      <w:r>
        <w:rPr>
          <w:rFonts w:eastAsia="Times New Roman"/>
          <w:b/>
          <w:bCs/>
          <w:color w:val="000000"/>
          <w:sz w:val="20"/>
          <w:szCs w:val="20"/>
        </w:rPr>
        <w:t xml:space="preserve">Union. </w:t>
      </w:r>
      <w:r>
        <w:rPr>
          <w:rFonts w:eastAsia="Times New Roman"/>
          <w:color w:val="000000"/>
          <w:sz w:val="20"/>
          <w:szCs w:val="20"/>
        </w:rPr>
        <w:t>Union is a bank holding company registered under the Bank Holding Company Act that has elected to become a financial holding company. Union's activitie</w:t>
      </w:r>
      <w:r>
        <w:rPr>
          <w:rFonts w:eastAsia="Times New Roman"/>
          <w:color w:val="000000"/>
          <w:sz w:val="20"/>
          <w:szCs w:val="20"/>
        </w:rPr>
        <w:t>s are currently limited to ownership of the outstanding capital stock of the Bank. It is not currently anticipated that Union will engage in any business other than that directly related to its ownership of the Bank.</w:t>
      </w:r>
    </w:p>
    <w:p w:rsidR="00000000" w:rsidRDefault="00B132B6">
      <w:pPr>
        <w:jc w:val="center"/>
        <w:divId w:val="301034479"/>
        <w:rPr>
          <w:rFonts w:eastAsia="Times New Roman"/>
        </w:rPr>
      </w:pPr>
      <w:r>
        <w:rPr>
          <w:rFonts w:eastAsia="Times New Roman"/>
          <w:color w:val="000000"/>
          <w:sz w:val="20"/>
          <w:szCs w:val="20"/>
        </w:rPr>
        <w:t>2</w:t>
      </w:r>
    </w:p>
    <w:p w:rsidR="00000000" w:rsidRDefault="00B132B6">
      <w:pPr>
        <w:rPr>
          <w:rFonts w:eastAsia="Times New Roman"/>
        </w:rPr>
      </w:pPr>
      <w:r>
        <w:rPr>
          <w:rFonts w:eastAsia="Times New Roman"/>
        </w:rPr>
        <w:pict>
          <v:rect id="_x0000_i1026" style="width:0;height:1.5pt" o:hralign="center" o:hrstd="t" o:hr="t" fillcolor="#a0a0a0" stroked="f"/>
        </w:pict>
      </w:r>
    </w:p>
    <w:p w:rsidR="00000000" w:rsidRDefault="00B132B6">
      <w:pPr>
        <w:divId w:val="1061755399"/>
        <w:rPr>
          <w:rFonts w:eastAsia="Times New Roman"/>
        </w:rPr>
      </w:pPr>
    </w:p>
    <w:p w:rsidR="00000000" w:rsidRDefault="00B132B6">
      <w:pPr>
        <w:ind w:firstLine="720"/>
        <w:jc w:val="both"/>
        <w:divId w:val="2113696244"/>
        <w:rPr>
          <w:rFonts w:eastAsia="Times New Roman"/>
        </w:rPr>
      </w:pPr>
      <w:r>
        <w:rPr>
          <w:rFonts w:eastAsia="Times New Roman"/>
          <w:b/>
          <w:bCs/>
          <w:color w:val="000000"/>
          <w:sz w:val="20"/>
          <w:szCs w:val="20"/>
        </w:rPr>
        <w:t>The Bank</w:t>
      </w:r>
      <w:r>
        <w:rPr>
          <w:rFonts w:eastAsia="Times New Roman"/>
          <w:color w:val="000000"/>
          <w:sz w:val="20"/>
          <w:szCs w:val="20"/>
        </w:rPr>
        <w:t>. The Bank was founded in 1932 as a Missouri bank and converted to a Missouri trust company on August 16, 1989. However, its predecessors trace their lineage back to the founding of Exchange National Bank in 1865. The Bank has 23 banking offices,</w:t>
      </w:r>
      <w:r>
        <w:rPr>
          <w:rFonts w:eastAsia="Times New Roman"/>
          <w:color w:val="000000"/>
          <w:sz w:val="20"/>
          <w:szCs w:val="20"/>
        </w:rPr>
        <w:t xml:space="preserve"> including its principal office at 132 East High Street in the central business district of Jefferson City, MO. See "Item 2. Properties".</w:t>
      </w:r>
    </w:p>
    <w:p w:rsidR="00000000" w:rsidRDefault="00B132B6">
      <w:pPr>
        <w:ind w:firstLine="720"/>
        <w:jc w:val="both"/>
        <w:divId w:val="1513379527"/>
        <w:rPr>
          <w:rFonts w:eastAsia="Times New Roman"/>
        </w:rPr>
      </w:pPr>
      <w:r>
        <w:rPr>
          <w:rFonts w:eastAsia="Times New Roman"/>
          <w:color w:val="000000"/>
          <w:sz w:val="20"/>
          <w:szCs w:val="20"/>
        </w:rPr>
        <w:t>The Bank is a full service bank conducting a general banking and trust business, offering its customers checking and s</w:t>
      </w:r>
      <w:r>
        <w:rPr>
          <w:rFonts w:eastAsia="Times New Roman"/>
          <w:color w:val="000000"/>
          <w:sz w:val="20"/>
          <w:szCs w:val="20"/>
        </w:rPr>
        <w:t>avings accounts, internet banking, debit cards, certificates of deposit, trust services, brokerage services, safety deposit boxes and a wide range of lending services, including commercial and industrial loans, single payment personal loans, installment lo</w:t>
      </w:r>
      <w:r>
        <w:rPr>
          <w:rFonts w:eastAsia="Times New Roman"/>
          <w:color w:val="000000"/>
          <w:sz w:val="20"/>
          <w:szCs w:val="20"/>
        </w:rPr>
        <w:t>ans and commercial and residential real estate loans.</w:t>
      </w:r>
    </w:p>
    <w:p w:rsidR="00000000" w:rsidRDefault="00B132B6">
      <w:pPr>
        <w:ind w:firstLine="720"/>
        <w:jc w:val="both"/>
        <w:divId w:val="1031106689"/>
        <w:rPr>
          <w:rFonts w:eastAsia="Times New Roman"/>
        </w:rPr>
      </w:pPr>
      <w:r>
        <w:rPr>
          <w:rFonts w:eastAsia="Times New Roman"/>
          <w:color w:val="000000"/>
          <w:sz w:val="20"/>
          <w:szCs w:val="20"/>
        </w:rPr>
        <w:t>The Bank's deposit accounts are insured by the Federal Deposit Insurance Corporation (the "FDIC") to the extent provided by law. The Bank's operations are supervised and regulated by the FDIC and the Mi</w:t>
      </w:r>
      <w:r>
        <w:rPr>
          <w:rFonts w:eastAsia="Times New Roman"/>
          <w:color w:val="000000"/>
          <w:sz w:val="20"/>
          <w:szCs w:val="20"/>
        </w:rPr>
        <w:t>ssouri Division of Finance. Periodic examinations of the Bank are conducted by representatives of the FDIC and the Missouri Division of Finance. Such regulations, supervision and examinations are principally for the benefit of depositors, rather than for t</w:t>
      </w:r>
      <w:r>
        <w:rPr>
          <w:rFonts w:eastAsia="Times New Roman"/>
          <w:color w:val="000000"/>
          <w:sz w:val="20"/>
          <w:szCs w:val="20"/>
        </w:rPr>
        <w:t>he benefit of the holders of the Bank's common stock. See "Regulation Applicable to Bank Holding Companies" and "Regulation Applicable to the Bank".</w:t>
      </w:r>
    </w:p>
    <w:p w:rsidR="00000000" w:rsidRDefault="00B132B6">
      <w:pPr>
        <w:ind w:firstLine="720"/>
        <w:jc w:val="both"/>
        <w:divId w:val="973103360"/>
        <w:rPr>
          <w:rFonts w:eastAsia="Times New Roman"/>
        </w:rPr>
      </w:pPr>
      <w:r>
        <w:rPr>
          <w:rFonts w:eastAsia="Times New Roman"/>
          <w:b/>
          <w:bCs/>
          <w:color w:val="000000"/>
          <w:sz w:val="20"/>
          <w:szCs w:val="20"/>
        </w:rPr>
        <w:t>Hawthorn Real Estate, LLC</w:t>
      </w:r>
      <w:r>
        <w:rPr>
          <w:rFonts w:eastAsia="Times New Roman"/>
          <w:color w:val="000000"/>
          <w:sz w:val="20"/>
          <w:szCs w:val="20"/>
        </w:rPr>
        <w:t>. Hawthorn Real Estate, LLC, a non-bank subsidiary of the Company, was formed in D</w:t>
      </w:r>
      <w:r>
        <w:rPr>
          <w:rFonts w:eastAsia="Times New Roman"/>
          <w:color w:val="000000"/>
          <w:sz w:val="20"/>
          <w:szCs w:val="20"/>
        </w:rPr>
        <w:t>ecember 2008 in order to purchase and hold various nonperforming assets of the Bank. The purpose for holding these nonperforming assets in Hawthorn Real Estate, LLC is to allow for the orderly disposition of these assets and strengthen the Bank's financial</w:t>
      </w:r>
      <w:r>
        <w:rPr>
          <w:rFonts w:eastAsia="Times New Roman"/>
          <w:color w:val="000000"/>
          <w:sz w:val="20"/>
          <w:szCs w:val="20"/>
        </w:rPr>
        <w:t xml:space="preserve"> position.</w:t>
      </w:r>
    </w:p>
    <w:p w:rsidR="00000000" w:rsidRDefault="00B132B6">
      <w:pPr>
        <w:ind w:firstLine="720"/>
        <w:jc w:val="both"/>
        <w:divId w:val="1447574866"/>
        <w:rPr>
          <w:rFonts w:eastAsia="Times New Roman"/>
        </w:rPr>
      </w:pPr>
      <w:r>
        <w:rPr>
          <w:rFonts w:eastAsia="Times New Roman"/>
          <w:b/>
          <w:bCs/>
          <w:color w:val="000000"/>
          <w:sz w:val="20"/>
          <w:szCs w:val="20"/>
        </w:rPr>
        <w:lastRenderedPageBreak/>
        <w:t xml:space="preserve">HB Realty, LLC. </w:t>
      </w:r>
      <w:r>
        <w:rPr>
          <w:rFonts w:eastAsia="Times New Roman"/>
          <w:color w:val="000000"/>
          <w:sz w:val="20"/>
          <w:szCs w:val="20"/>
        </w:rPr>
        <w:t>HB Realty, LLC, a Missouri limited liability company ("HB Realty"), was formed in February 2018 and commenced operations in April 2018. HB Realty is intended to qualify as a "real estate investment trust" under the Internal Revenue Code of 1986, as amended</w:t>
      </w:r>
      <w:r>
        <w:rPr>
          <w:rFonts w:eastAsia="Times New Roman"/>
          <w:color w:val="000000"/>
          <w:sz w:val="20"/>
          <w:szCs w:val="20"/>
        </w:rPr>
        <w:t xml:space="preserve"> (the "IRC"). HB Realty was formed in order to hold certain mortgage loans and participation interests contributed to it by the Bank. HB Realty was initially capitalized with mortgage loans and participation interests having an approximate aggregate book v</w:t>
      </w:r>
      <w:r>
        <w:rPr>
          <w:rFonts w:eastAsia="Times New Roman"/>
          <w:color w:val="000000"/>
          <w:sz w:val="20"/>
          <w:szCs w:val="20"/>
        </w:rPr>
        <w:t>alue of $404,665,296. As of December 31, 2022, the approximate aggregate book value of the mortgage loans held by HB Realty was $582,882,696. Effective September 30, 2022, to comply with collateral eligibility requirements of the Federal Home Loan Bank wit</w:t>
      </w:r>
      <w:r>
        <w:rPr>
          <w:rFonts w:eastAsia="Times New Roman"/>
          <w:color w:val="000000"/>
          <w:sz w:val="20"/>
          <w:szCs w:val="20"/>
        </w:rPr>
        <w:t>h whom the Bank maintains credit facilities, any participation interest in mortgage loans owned by HB Realty as of that date were converted into mortgage loans owned by HB Realty and, after that date, HB Realty will only acquire mortgage loans from the Ban</w:t>
      </w:r>
      <w:r>
        <w:rPr>
          <w:rFonts w:eastAsia="Times New Roman"/>
          <w:color w:val="000000"/>
          <w:sz w:val="20"/>
          <w:szCs w:val="20"/>
        </w:rPr>
        <w:t>k, not participation interests.</w:t>
      </w:r>
    </w:p>
    <w:p w:rsidR="00000000" w:rsidRDefault="00B132B6">
      <w:pPr>
        <w:ind w:firstLine="720"/>
        <w:jc w:val="both"/>
        <w:divId w:val="192883062"/>
        <w:rPr>
          <w:rFonts w:eastAsia="Times New Roman"/>
        </w:rPr>
      </w:pPr>
      <w:r>
        <w:rPr>
          <w:rFonts w:eastAsia="Times New Roman"/>
          <w:color w:val="000000"/>
          <w:sz w:val="20"/>
          <w:szCs w:val="20"/>
        </w:rPr>
        <w:t>Initially, the Bank was the sole common member and the sole preferred member of HB Realty, owning all 1,000 common shares and all 1,000 preferred shares. On April 1, 2018, the Bank contributed all 1,000 common shares and 850</w:t>
      </w:r>
      <w:r>
        <w:rPr>
          <w:rFonts w:eastAsia="Times New Roman"/>
          <w:color w:val="000000"/>
          <w:sz w:val="20"/>
          <w:szCs w:val="20"/>
        </w:rPr>
        <w:t xml:space="preserve"> preferred shares to Jefferson City IHC, LLC, a Missouri limited liability company that is wholly owned by the Bank ("JCIHC"). Under the IRC, a real estate investment trust must have at least 100 owners. Pursuant to a newly established Hawthorn Bank Real E</w:t>
      </w:r>
      <w:r>
        <w:rPr>
          <w:rFonts w:eastAsia="Times New Roman"/>
          <w:color w:val="000000"/>
          <w:sz w:val="20"/>
          <w:szCs w:val="20"/>
        </w:rPr>
        <w:t>state Investment Trust Ownership Plan, the Bank made available to certain of its employees, as an employee benefit, up to a total of 150 preferred shares of HB Realty. Each selected employee was given the opportunity to own one preferred share of HB Realty</w:t>
      </w:r>
      <w:r>
        <w:rPr>
          <w:rFonts w:eastAsia="Times New Roman"/>
          <w:color w:val="000000"/>
          <w:sz w:val="20"/>
          <w:szCs w:val="20"/>
        </w:rPr>
        <w:t>. These preferred shares were transferred to employees beginning in January 2019. Each preferred share is generally entitled to an annual dividend of $30 and a liquidation amount of $500. Although dividends are not guaranteed, it is expected that HB Realty</w:t>
      </w:r>
      <w:r>
        <w:rPr>
          <w:rFonts w:eastAsia="Times New Roman"/>
          <w:color w:val="000000"/>
          <w:sz w:val="20"/>
          <w:szCs w:val="20"/>
        </w:rPr>
        <w:t xml:space="preserve"> will pay dividends in December of each year. By virtue of its ownership of JCIHC, the Bank indirectly owns the remaining economic interest associated with membership interests in HB Realty.</w:t>
      </w:r>
    </w:p>
    <w:p w:rsidR="00000000" w:rsidRDefault="00B132B6">
      <w:pPr>
        <w:ind w:firstLine="720"/>
        <w:jc w:val="both"/>
        <w:divId w:val="953053966"/>
        <w:rPr>
          <w:rFonts w:eastAsia="Times New Roman"/>
        </w:rPr>
      </w:pPr>
      <w:r>
        <w:rPr>
          <w:rFonts w:eastAsia="Times New Roman"/>
          <w:color w:val="000000"/>
          <w:sz w:val="20"/>
          <w:szCs w:val="20"/>
        </w:rPr>
        <w:t>Through its ownership of JCIHC, the Bank is, indirectly, the cont</w:t>
      </w:r>
      <w:r>
        <w:rPr>
          <w:rFonts w:eastAsia="Times New Roman"/>
          <w:color w:val="000000"/>
          <w:sz w:val="20"/>
          <w:szCs w:val="20"/>
        </w:rPr>
        <w:t>rolling member of HB Realty and is entitled to control the appointment of managers of HB Realty. The Board of Managers of HB Realty, which is responsible for the management of the business and affairs of HB Realty, is currently comprised of David T. Turner</w:t>
      </w:r>
      <w:r>
        <w:rPr>
          <w:rFonts w:eastAsia="Times New Roman"/>
          <w:color w:val="000000"/>
          <w:sz w:val="20"/>
          <w:szCs w:val="20"/>
        </w:rPr>
        <w:t>, Kathleen L. Bruegenhemke, Gregg A. Bexten and Stephen E. Guthrie.</w:t>
      </w:r>
    </w:p>
    <w:p w:rsidR="00000000" w:rsidRDefault="00B132B6">
      <w:pPr>
        <w:ind w:firstLine="720"/>
        <w:jc w:val="both"/>
        <w:divId w:val="401955016"/>
        <w:rPr>
          <w:rFonts w:eastAsia="Times New Roman"/>
        </w:rPr>
      </w:pPr>
      <w:r>
        <w:rPr>
          <w:rFonts w:eastAsia="Times New Roman"/>
          <w:b/>
          <w:bCs/>
          <w:color w:val="000000"/>
          <w:sz w:val="20"/>
          <w:szCs w:val="20"/>
        </w:rPr>
        <w:t xml:space="preserve">Hawthorn Risk Management, Inc. </w:t>
      </w:r>
      <w:r>
        <w:rPr>
          <w:rFonts w:eastAsia="Times New Roman"/>
          <w:color w:val="000000"/>
          <w:sz w:val="20"/>
          <w:szCs w:val="20"/>
        </w:rPr>
        <w:t>Hawthorn Risk Management, Inc., a non-bank subsidiary of the Company formed on December 28, 2017, is a Missouri-based captive insurance company which provide</w:t>
      </w:r>
      <w:r>
        <w:rPr>
          <w:rFonts w:eastAsia="Times New Roman"/>
          <w:color w:val="000000"/>
          <w:sz w:val="20"/>
          <w:szCs w:val="20"/>
        </w:rPr>
        <w:t>s property and casualty insurance coverage to the Company and the Bank for which insurance may not be currently available or economically feasible in today's insurance marketplace. Hawthorn Risk Management, Inc. pools resources with several other similar i</w:t>
      </w:r>
      <w:r>
        <w:rPr>
          <w:rFonts w:eastAsia="Times New Roman"/>
          <w:color w:val="000000"/>
          <w:sz w:val="20"/>
          <w:szCs w:val="20"/>
        </w:rPr>
        <w:t xml:space="preserve">nsurance company subsidiaries of financial institutions to spread a limited amount of risk among themselves. Hawthorn Risk Management, Inc. is subject to the regulations of the State of Missouri and undergoes periodic examinations by the Missouri Division </w:t>
      </w:r>
      <w:r>
        <w:rPr>
          <w:rFonts w:eastAsia="Times New Roman"/>
          <w:color w:val="000000"/>
          <w:sz w:val="20"/>
          <w:szCs w:val="20"/>
        </w:rPr>
        <w:t>of Finance</w:t>
      </w:r>
      <w:r>
        <w:rPr>
          <w:rFonts w:eastAsia="Times New Roman"/>
          <w:b/>
          <w:bCs/>
          <w:color w:val="000000"/>
          <w:sz w:val="20"/>
          <w:szCs w:val="20"/>
        </w:rPr>
        <w:t>.</w:t>
      </w:r>
    </w:p>
    <w:p w:rsidR="00000000" w:rsidRDefault="00B132B6">
      <w:pPr>
        <w:jc w:val="center"/>
        <w:divId w:val="278222405"/>
        <w:rPr>
          <w:rFonts w:eastAsia="Times New Roman"/>
        </w:rPr>
      </w:pPr>
      <w:r>
        <w:rPr>
          <w:rFonts w:eastAsia="Times New Roman"/>
          <w:color w:val="000000"/>
          <w:sz w:val="20"/>
          <w:szCs w:val="20"/>
        </w:rPr>
        <w:t>3</w:t>
      </w:r>
    </w:p>
    <w:p w:rsidR="00000000" w:rsidRDefault="00B132B6">
      <w:pPr>
        <w:rPr>
          <w:rFonts w:eastAsia="Times New Roman"/>
        </w:rPr>
      </w:pPr>
      <w:r>
        <w:rPr>
          <w:rFonts w:eastAsia="Times New Roman"/>
        </w:rPr>
        <w:pict>
          <v:rect id="_x0000_i1027" style="width:0;height:1.5pt" o:hralign="center" o:hrstd="t" o:hr="t" fillcolor="#a0a0a0" stroked="f"/>
        </w:pict>
      </w:r>
    </w:p>
    <w:p w:rsidR="00000000" w:rsidRDefault="00B132B6">
      <w:pPr>
        <w:divId w:val="1873763691"/>
        <w:rPr>
          <w:rFonts w:eastAsia="Times New Roman"/>
        </w:rPr>
      </w:pPr>
    </w:p>
    <w:p w:rsidR="00000000" w:rsidRDefault="00B132B6">
      <w:pPr>
        <w:divId w:val="665673553"/>
        <w:rPr>
          <w:rFonts w:eastAsia="Times New Roman"/>
        </w:rPr>
      </w:pPr>
      <w:r>
        <w:rPr>
          <w:rFonts w:eastAsia="Times New Roman"/>
          <w:b/>
          <w:bCs/>
          <w:color w:val="000000"/>
          <w:sz w:val="20"/>
          <w:szCs w:val="20"/>
        </w:rPr>
        <w:t>Employees</w:t>
      </w:r>
    </w:p>
    <w:p w:rsidR="00000000" w:rsidRDefault="00B132B6">
      <w:pPr>
        <w:ind w:firstLine="720"/>
        <w:jc w:val="both"/>
        <w:divId w:val="1199660635"/>
        <w:rPr>
          <w:rFonts w:eastAsia="Times New Roman"/>
        </w:rPr>
      </w:pPr>
      <w:r>
        <w:rPr>
          <w:rFonts w:eastAsia="Times New Roman"/>
          <w:color w:val="000000"/>
          <w:sz w:val="20"/>
          <w:szCs w:val="20"/>
        </w:rPr>
        <w:t>As of December 31, 2022, the Company and its subsidiaries had approximately 299 full-time and 21 part-time employees. None of its employees is presently represented by any union or collective ba</w:t>
      </w:r>
      <w:r>
        <w:rPr>
          <w:rFonts w:eastAsia="Times New Roman"/>
          <w:color w:val="000000"/>
          <w:sz w:val="20"/>
          <w:szCs w:val="20"/>
        </w:rPr>
        <w:t>rgaining group, and the Company considers its employee relations to be satisfactory.</w:t>
      </w:r>
    </w:p>
    <w:p w:rsidR="00000000" w:rsidRDefault="00B132B6">
      <w:pPr>
        <w:divId w:val="1555660337"/>
        <w:rPr>
          <w:rFonts w:eastAsia="Times New Roman"/>
        </w:rPr>
      </w:pPr>
      <w:r>
        <w:rPr>
          <w:rFonts w:eastAsia="Times New Roman"/>
          <w:b/>
          <w:bCs/>
          <w:color w:val="000000"/>
          <w:sz w:val="20"/>
          <w:szCs w:val="20"/>
        </w:rPr>
        <w:t>Competition</w:t>
      </w:r>
    </w:p>
    <w:p w:rsidR="00000000" w:rsidRDefault="00B132B6">
      <w:pPr>
        <w:ind w:firstLine="720"/>
        <w:jc w:val="both"/>
        <w:divId w:val="1232807203"/>
        <w:rPr>
          <w:rFonts w:eastAsia="Times New Roman"/>
        </w:rPr>
      </w:pPr>
      <w:r>
        <w:rPr>
          <w:rFonts w:eastAsia="Times New Roman"/>
          <w:color w:val="000000"/>
          <w:sz w:val="20"/>
          <w:szCs w:val="20"/>
        </w:rPr>
        <w:t>Bank holding companies and their subsidiaries and affiliates encounter intense competition from both banking and nonbanking sources in all of their activities.</w:t>
      </w:r>
      <w:r>
        <w:rPr>
          <w:rFonts w:eastAsia="Times New Roman"/>
          <w:color w:val="000000"/>
          <w:sz w:val="20"/>
          <w:szCs w:val="20"/>
        </w:rPr>
        <w:t xml:space="preserve"> The Bank's competitors include other commercial banks, thrifts, savings banks, credit unions, and money market mutual funds. Thrifts and credit unions now have the authority to offer checking accounts and to make corporate and agricultural loans and were </w:t>
      </w:r>
      <w:r>
        <w:rPr>
          <w:rFonts w:eastAsia="Times New Roman"/>
          <w:color w:val="000000"/>
          <w:sz w:val="20"/>
          <w:szCs w:val="20"/>
        </w:rPr>
        <w:t xml:space="preserve">granted expanded investment authority by recent federal regulations. In addition, large national and multinational corporations have in recent years become increasingly visible in offering a broad range of financial services to all types of commercial and </w:t>
      </w:r>
      <w:r>
        <w:rPr>
          <w:rFonts w:eastAsia="Times New Roman"/>
          <w:color w:val="000000"/>
          <w:sz w:val="20"/>
          <w:szCs w:val="20"/>
        </w:rPr>
        <w:t xml:space="preserve">consumer customers. In the Bank's service areas, new competitors, as well as the expanding operations of existing competitors, have had, </w:t>
      </w:r>
      <w:r>
        <w:rPr>
          <w:rFonts w:eastAsia="Times New Roman"/>
          <w:color w:val="000000"/>
          <w:sz w:val="20"/>
          <w:szCs w:val="20"/>
        </w:rPr>
        <w:lastRenderedPageBreak/>
        <w:t>and are expected to continue to have, an adverse impact on the Bank's market share of deposits and loans in such servic</w:t>
      </w:r>
      <w:r>
        <w:rPr>
          <w:rFonts w:eastAsia="Times New Roman"/>
          <w:color w:val="000000"/>
          <w:sz w:val="20"/>
          <w:szCs w:val="20"/>
        </w:rPr>
        <w:t>e areas.</w:t>
      </w:r>
    </w:p>
    <w:p w:rsidR="00000000" w:rsidRDefault="00B132B6">
      <w:pPr>
        <w:ind w:firstLine="720"/>
        <w:jc w:val="both"/>
        <w:divId w:val="960379381"/>
        <w:rPr>
          <w:rFonts w:eastAsia="Times New Roman"/>
        </w:rPr>
      </w:pPr>
      <w:r>
        <w:rPr>
          <w:rFonts w:eastAsia="Times New Roman"/>
          <w:color w:val="000000"/>
          <w:sz w:val="20"/>
          <w:szCs w:val="20"/>
        </w:rPr>
        <w:t xml:space="preserve">The Bank experiences substantial competition for deposits and loans within both its primary service areas of the cities of Jefferson City, Columbia, Clinton, Lee's Summit, Warsaw, and Springfield, Missouri, as well as within its secondary service </w:t>
      </w:r>
      <w:r>
        <w:rPr>
          <w:rFonts w:eastAsia="Times New Roman"/>
          <w:color w:val="000000"/>
          <w:sz w:val="20"/>
          <w:szCs w:val="20"/>
        </w:rPr>
        <w:t>areas of the nearby communities in the Missouri counties of Cole, Boone, Henry, Cass, Benton, and Greene. The Bank's principal competition for deposits and loans comes from other banks within its primary service areas and, to an increasing extent, other ba</w:t>
      </w:r>
      <w:r>
        <w:rPr>
          <w:rFonts w:eastAsia="Times New Roman"/>
          <w:color w:val="000000"/>
          <w:sz w:val="20"/>
          <w:szCs w:val="20"/>
        </w:rPr>
        <w:t>nks located in its secondary service areas. Based on publicly available information, management believes that the Bank is the second largest (in terms of deposits) of the 11 banks within Cole county, the ninth largest (in terms of deposits) of the 20 banks</w:t>
      </w:r>
      <w:r>
        <w:rPr>
          <w:rFonts w:eastAsia="Times New Roman"/>
          <w:color w:val="000000"/>
          <w:sz w:val="20"/>
          <w:szCs w:val="20"/>
        </w:rPr>
        <w:t xml:space="preserve"> within Boone county, the largest (in terms of deposits) of the eight banks within Henry county, the third largest (in terms of deposits) of the 18 banks within Cass county, and the second largest (in terms of deposits) of the five banks within Benton coun</w:t>
      </w:r>
      <w:r>
        <w:rPr>
          <w:rFonts w:eastAsia="Times New Roman"/>
          <w:color w:val="000000"/>
          <w:sz w:val="20"/>
          <w:szCs w:val="20"/>
        </w:rPr>
        <w:t>ty. The main competition for Hawthorn Bank's trust services is from other commercial banks, including those of the Kansas City metropolitan area.</w:t>
      </w:r>
    </w:p>
    <w:p w:rsidR="00000000" w:rsidRDefault="00B132B6">
      <w:pPr>
        <w:divId w:val="2034722586"/>
        <w:rPr>
          <w:rFonts w:eastAsia="Times New Roman"/>
        </w:rPr>
      </w:pPr>
      <w:r>
        <w:rPr>
          <w:rFonts w:eastAsia="Times New Roman"/>
          <w:b/>
          <w:bCs/>
          <w:color w:val="000000"/>
          <w:sz w:val="20"/>
          <w:szCs w:val="20"/>
        </w:rPr>
        <w:t>Regulation Applicable to Bank Holding Companies</w:t>
      </w:r>
    </w:p>
    <w:p w:rsidR="00000000" w:rsidRDefault="00B132B6">
      <w:pPr>
        <w:ind w:firstLine="720"/>
        <w:jc w:val="both"/>
        <w:divId w:val="1975402717"/>
        <w:rPr>
          <w:rFonts w:eastAsia="Times New Roman"/>
        </w:rPr>
      </w:pPr>
      <w:r>
        <w:rPr>
          <w:rFonts w:eastAsia="Times New Roman"/>
          <w:b/>
          <w:bCs/>
          <w:color w:val="000000"/>
          <w:sz w:val="20"/>
          <w:szCs w:val="20"/>
        </w:rPr>
        <w:t xml:space="preserve">General. </w:t>
      </w:r>
      <w:r>
        <w:rPr>
          <w:rFonts w:eastAsia="Times New Roman"/>
          <w:color w:val="000000"/>
          <w:sz w:val="20"/>
          <w:szCs w:val="20"/>
        </w:rPr>
        <w:t>As a registered bank holding company and a financial holding company under the Bank Holding Company Act and the Gramm-Leach-Bliley Act, the Company is subject to supervision and examination by the Board of Governors of the Federal Reserve System (the "FRB"</w:t>
      </w:r>
      <w:r>
        <w:rPr>
          <w:rFonts w:eastAsia="Times New Roman"/>
          <w:color w:val="000000"/>
          <w:sz w:val="20"/>
          <w:szCs w:val="20"/>
        </w:rPr>
        <w:t xml:space="preserve">). The FRB has authority to issue cease and desist orders against bank holding companies if it determines that their actions represent unsafe and unsound practices or violations of law. In addition, the FRB is empowered to impose civil money penalties for </w:t>
      </w:r>
      <w:r>
        <w:rPr>
          <w:rFonts w:eastAsia="Times New Roman"/>
          <w:color w:val="000000"/>
          <w:sz w:val="20"/>
          <w:szCs w:val="20"/>
        </w:rPr>
        <w:t>violations of banking statutes and regulations. Regulation by the FRB is intended to protect depositors of the Bank, not the shareholders of the Company. The Company is also subject to a number of restrictions and requirements imposed by the Sarbanes-Oxley</w:t>
      </w:r>
      <w:r>
        <w:rPr>
          <w:rFonts w:eastAsia="Times New Roman"/>
          <w:color w:val="000000"/>
          <w:sz w:val="20"/>
          <w:szCs w:val="20"/>
        </w:rPr>
        <w:t xml:space="preserve"> Act of 2002 relating to internal control over financial reporting, disclosure controls and procedures, loans to directors or executive officers of the Company and its subsidiaries, the preparation and certification of the Company's consolidated financial </w:t>
      </w:r>
      <w:r>
        <w:rPr>
          <w:rFonts w:eastAsia="Times New Roman"/>
          <w:color w:val="000000"/>
          <w:sz w:val="20"/>
          <w:szCs w:val="20"/>
        </w:rPr>
        <w:t>statements, the duties of the Company's audit committee, relations with and functions performed by the Company's independent registered public accounting firm, and various accounting and corporate governance matters.</w:t>
      </w:r>
    </w:p>
    <w:p w:rsidR="00000000" w:rsidRDefault="00B132B6">
      <w:pPr>
        <w:ind w:firstLine="720"/>
        <w:jc w:val="both"/>
        <w:divId w:val="117989682"/>
        <w:rPr>
          <w:rFonts w:eastAsia="Times New Roman"/>
        </w:rPr>
      </w:pPr>
      <w:r>
        <w:rPr>
          <w:rFonts w:eastAsia="Times New Roman"/>
          <w:b/>
          <w:bCs/>
          <w:color w:val="000000"/>
          <w:sz w:val="20"/>
          <w:szCs w:val="20"/>
        </w:rPr>
        <w:t xml:space="preserve">Limitation on Activities. </w:t>
      </w:r>
      <w:r>
        <w:rPr>
          <w:rFonts w:eastAsia="Times New Roman"/>
          <w:color w:val="000000"/>
          <w:sz w:val="20"/>
          <w:szCs w:val="20"/>
        </w:rPr>
        <w:t>The activitie</w:t>
      </w:r>
      <w:r>
        <w:rPr>
          <w:rFonts w:eastAsia="Times New Roman"/>
          <w:color w:val="000000"/>
          <w:sz w:val="20"/>
          <w:szCs w:val="20"/>
        </w:rPr>
        <w:t>s of bank holding companies are generally limited to the business of banking, managing or controlling banks, and other activities that the FRB has determined to be so closely related to banking or managing or controlling banks as to be a proper incident th</w:t>
      </w:r>
      <w:r>
        <w:rPr>
          <w:rFonts w:eastAsia="Times New Roman"/>
          <w:color w:val="000000"/>
          <w:sz w:val="20"/>
          <w:szCs w:val="20"/>
        </w:rPr>
        <w:t>ereto. In addition, under the Gramm-Leach-Bliley Act, a bank holding company, all of whose controlled depository institutions are "well capitalized" and "well managed" (as defined in federal banking regulations) with "satisfactory" ratings under the Commun</w:t>
      </w:r>
      <w:r>
        <w:rPr>
          <w:rFonts w:eastAsia="Times New Roman"/>
          <w:color w:val="000000"/>
          <w:sz w:val="20"/>
          <w:szCs w:val="20"/>
        </w:rPr>
        <w:t>ity Reinvestment Act, may declare itself to be a "financial holding company" and engage in a broader range of activities. As noted above, the Company is registered as a financial holding company.</w:t>
      </w:r>
    </w:p>
    <w:p w:rsidR="00000000" w:rsidRDefault="00B132B6">
      <w:pPr>
        <w:ind w:firstLine="720"/>
        <w:jc w:val="both"/>
        <w:divId w:val="1705516118"/>
        <w:rPr>
          <w:rFonts w:eastAsia="Times New Roman"/>
        </w:rPr>
      </w:pPr>
      <w:r>
        <w:rPr>
          <w:rFonts w:eastAsia="Times New Roman"/>
          <w:color w:val="000000"/>
          <w:sz w:val="20"/>
          <w:szCs w:val="20"/>
        </w:rPr>
        <w:t>A financial holding company may affiliate with securities fi</w:t>
      </w:r>
      <w:r>
        <w:rPr>
          <w:rFonts w:eastAsia="Times New Roman"/>
          <w:color w:val="000000"/>
          <w:sz w:val="20"/>
          <w:szCs w:val="20"/>
        </w:rPr>
        <w:t>rms and insurance companies and engage in other activities that are financial in nature or incidental or complementary to activities that are financial in nature. "Financial in nature" activities include:</w:t>
      </w:r>
    </w:p>
    <w:p w:rsidR="00000000" w:rsidRDefault="00B132B6">
      <w:pPr>
        <w:ind w:hanging="360"/>
        <w:jc w:val="both"/>
        <w:divId w:val="334573158"/>
        <w:rPr>
          <w:rFonts w:eastAsia="Times New Roman"/>
        </w:rPr>
      </w:pPr>
      <w:r>
        <w:rPr>
          <w:rFonts w:eastAsia="Times New Roman"/>
          <w:color w:val="000000"/>
          <w:sz w:val="20"/>
          <w:szCs w:val="20"/>
        </w:rPr>
        <w:t>•securities underwriting, dealing and market making</w:t>
      </w:r>
      <w:r>
        <w:rPr>
          <w:rFonts w:eastAsia="Times New Roman"/>
          <w:color w:val="000000"/>
          <w:sz w:val="20"/>
          <w:szCs w:val="20"/>
        </w:rPr>
        <w:t>;</w:t>
      </w:r>
    </w:p>
    <w:p w:rsidR="00000000" w:rsidRDefault="00B132B6">
      <w:pPr>
        <w:ind w:hanging="360"/>
        <w:jc w:val="both"/>
        <w:divId w:val="497353900"/>
        <w:rPr>
          <w:rFonts w:eastAsia="Times New Roman"/>
        </w:rPr>
      </w:pPr>
      <w:r>
        <w:rPr>
          <w:rFonts w:eastAsia="Times New Roman"/>
          <w:color w:val="000000"/>
          <w:sz w:val="20"/>
          <w:szCs w:val="20"/>
        </w:rPr>
        <w:t>•sponsoring mutual funds and investment companies;</w:t>
      </w:r>
    </w:p>
    <w:p w:rsidR="00000000" w:rsidRDefault="00B132B6">
      <w:pPr>
        <w:ind w:hanging="360"/>
        <w:jc w:val="both"/>
        <w:divId w:val="1351880376"/>
        <w:rPr>
          <w:rFonts w:eastAsia="Times New Roman"/>
        </w:rPr>
      </w:pPr>
      <w:r>
        <w:rPr>
          <w:rFonts w:eastAsia="Times New Roman"/>
          <w:color w:val="000000"/>
          <w:sz w:val="20"/>
          <w:szCs w:val="20"/>
        </w:rPr>
        <w:t>•insurance underwriting and insurance agency activities;</w:t>
      </w:r>
    </w:p>
    <w:p w:rsidR="00000000" w:rsidRDefault="00B132B6">
      <w:pPr>
        <w:jc w:val="center"/>
        <w:divId w:val="1123497556"/>
        <w:rPr>
          <w:rFonts w:eastAsia="Times New Roman"/>
        </w:rPr>
      </w:pPr>
      <w:r>
        <w:rPr>
          <w:rFonts w:eastAsia="Times New Roman"/>
          <w:color w:val="000000"/>
          <w:sz w:val="20"/>
          <w:szCs w:val="20"/>
        </w:rPr>
        <w:t>4</w:t>
      </w:r>
    </w:p>
    <w:p w:rsidR="00000000" w:rsidRDefault="00B132B6">
      <w:pPr>
        <w:rPr>
          <w:rFonts w:eastAsia="Times New Roman"/>
        </w:rPr>
      </w:pPr>
      <w:r>
        <w:rPr>
          <w:rFonts w:eastAsia="Times New Roman"/>
        </w:rPr>
        <w:pict>
          <v:rect id="_x0000_i1028" style="width:0;height:1.5pt" o:hralign="center" o:hrstd="t" o:hr="t" fillcolor="#a0a0a0" stroked="f"/>
        </w:pict>
      </w:r>
    </w:p>
    <w:p w:rsidR="00000000" w:rsidRDefault="00B132B6">
      <w:pPr>
        <w:divId w:val="1577398791"/>
        <w:rPr>
          <w:rFonts w:eastAsia="Times New Roman"/>
        </w:rPr>
      </w:pPr>
    </w:p>
    <w:p w:rsidR="00000000" w:rsidRDefault="00B132B6">
      <w:pPr>
        <w:ind w:hanging="360"/>
        <w:jc w:val="both"/>
        <w:divId w:val="1542134575"/>
        <w:rPr>
          <w:rFonts w:eastAsia="Times New Roman"/>
        </w:rPr>
      </w:pPr>
      <w:r>
        <w:rPr>
          <w:rFonts w:eastAsia="Times New Roman"/>
          <w:color w:val="000000"/>
          <w:sz w:val="20"/>
          <w:szCs w:val="20"/>
        </w:rPr>
        <w:t>•merchant banking; and</w:t>
      </w:r>
    </w:p>
    <w:p w:rsidR="00000000" w:rsidRDefault="00B132B6">
      <w:pPr>
        <w:ind w:hanging="360"/>
        <w:jc w:val="both"/>
        <w:divId w:val="1571307793"/>
        <w:rPr>
          <w:rFonts w:eastAsia="Times New Roman"/>
        </w:rPr>
      </w:pPr>
      <w:r>
        <w:rPr>
          <w:rFonts w:eastAsia="Times New Roman"/>
          <w:color w:val="000000"/>
          <w:sz w:val="20"/>
          <w:szCs w:val="20"/>
        </w:rPr>
        <w:t>•activities that the FRB determines to be financial in nature or incidental to a fi</w:t>
      </w:r>
      <w:r>
        <w:rPr>
          <w:rFonts w:eastAsia="Times New Roman"/>
          <w:color w:val="000000"/>
          <w:sz w:val="20"/>
          <w:szCs w:val="20"/>
        </w:rPr>
        <w:t>nancial activity or which are complementary to a financial activity and does not pose a safety and soundness risk.</w:t>
      </w:r>
    </w:p>
    <w:p w:rsidR="00000000" w:rsidRDefault="00B132B6">
      <w:pPr>
        <w:ind w:firstLine="720"/>
        <w:jc w:val="both"/>
        <w:divId w:val="1295134046"/>
        <w:rPr>
          <w:rFonts w:eastAsia="Times New Roman"/>
        </w:rPr>
      </w:pPr>
      <w:r>
        <w:rPr>
          <w:rFonts w:eastAsia="Times New Roman"/>
          <w:color w:val="000000"/>
          <w:sz w:val="20"/>
          <w:szCs w:val="20"/>
        </w:rPr>
        <w:lastRenderedPageBreak/>
        <w:t>A financial holding company that desires to engage in activities that are financial in nature or incidental to a financial activity but not p</w:t>
      </w:r>
      <w:r>
        <w:rPr>
          <w:rFonts w:eastAsia="Times New Roman"/>
          <w:color w:val="000000"/>
          <w:sz w:val="20"/>
          <w:szCs w:val="20"/>
        </w:rPr>
        <w:t>reviously authorized by the FRB must obtain approval from the FRB before engaging in such activity. Additionally, a financial holding company may seek FRB approval to engage in an activity that is complementary to a financial activity, if it shows, among o</w:t>
      </w:r>
      <w:r>
        <w:rPr>
          <w:rFonts w:eastAsia="Times New Roman"/>
          <w:color w:val="000000"/>
          <w:sz w:val="20"/>
          <w:szCs w:val="20"/>
        </w:rPr>
        <w:t>ther things, that the activity does not pose a substantial risk to the safety and soundness of its insured depository institutions or the financial system.</w:t>
      </w:r>
    </w:p>
    <w:p w:rsidR="00000000" w:rsidRDefault="00B132B6">
      <w:pPr>
        <w:ind w:firstLine="720"/>
        <w:jc w:val="both"/>
        <w:divId w:val="335815865"/>
        <w:rPr>
          <w:rFonts w:eastAsia="Times New Roman"/>
        </w:rPr>
      </w:pPr>
      <w:r>
        <w:rPr>
          <w:rFonts w:eastAsia="Times New Roman"/>
          <w:color w:val="000000"/>
          <w:sz w:val="20"/>
          <w:szCs w:val="20"/>
        </w:rPr>
        <w:t>A financial holding company generally may acquire a company (other than a bank holding company, bank</w:t>
      </w:r>
      <w:r>
        <w:rPr>
          <w:rFonts w:eastAsia="Times New Roman"/>
          <w:color w:val="000000"/>
          <w:sz w:val="20"/>
          <w:szCs w:val="20"/>
        </w:rPr>
        <w:t xml:space="preserve"> or savings association) engaged in activities that are financial in nature or incidental to activities that are financial in nature without prior approval from the FRB. Prior FRB approval is required, however, before the financial holding company may acqu</w:t>
      </w:r>
      <w:r>
        <w:rPr>
          <w:rFonts w:eastAsia="Times New Roman"/>
          <w:color w:val="000000"/>
          <w:sz w:val="20"/>
          <w:szCs w:val="20"/>
        </w:rPr>
        <w:t>ire control of more than 5% of the voting shares or substantially all of the assets of a bank holding company, bank or savings association. In addition, under the FRB's merchant banking regulations, a financial holding company is authorized to invest in co</w:t>
      </w:r>
      <w:r>
        <w:rPr>
          <w:rFonts w:eastAsia="Times New Roman"/>
          <w:color w:val="000000"/>
          <w:sz w:val="20"/>
          <w:szCs w:val="20"/>
        </w:rPr>
        <w:t>mpanies that engage in activities that are not financial in nature, as long as the financial holding company makes its investment with the intention of limiting the duration of the investment, does not manage the company on a day-to-day basis, and the comp</w:t>
      </w:r>
      <w:r>
        <w:rPr>
          <w:rFonts w:eastAsia="Times New Roman"/>
          <w:color w:val="000000"/>
          <w:sz w:val="20"/>
          <w:szCs w:val="20"/>
        </w:rPr>
        <w:t>any does not cross-market its products or services with any of the financial holding company's controlled depository institutions.</w:t>
      </w:r>
    </w:p>
    <w:p w:rsidR="00000000" w:rsidRDefault="00B132B6">
      <w:pPr>
        <w:ind w:firstLine="720"/>
        <w:jc w:val="both"/>
        <w:divId w:val="1554268349"/>
        <w:rPr>
          <w:rFonts w:eastAsia="Times New Roman"/>
        </w:rPr>
      </w:pPr>
      <w:r>
        <w:rPr>
          <w:rFonts w:eastAsia="Times New Roman"/>
          <w:color w:val="000000"/>
          <w:sz w:val="20"/>
          <w:szCs w:val="20"/>
        </w:rPr>
        <w:t>If any subsidiary bank of a financial holding company ceases to be "well-capitalized" or "well-managed" and fails to correct its condition within the time period that the FRB specifies, the FRB has authority to order the financial holding company to divest</w:t>
      </w:r>
      <w:r>
        <w:rPr>
          <w:rFonts w:eastAsia="Times New Roman"/>
          <w:color w:val="000000"/>
          <w:sz w:val="20"/>
          <w:szCs w:val="20"/>
        </w:rPr>
        <w:t xml:space="preserve"> its subsidiary banks. Alternatively, the financial holding company may elect to limit its activities and the activities of its subsidiaries to those permissible for a bank holding company that is not a financial holding company. If any subsidiary bank of </w:t>
      </w:r>
      <w:r>
        <w:rPr>
          <w:rFonts w:eastAsia="Times New Roman"/>
          <w:color w:val="000000"/>
          <w:sz w:val="20"/>
          <w:szCs w:val="20"/>
        </w:rPr>
        <w:t>a financial holding company receives a rating under the Community Reinvestment Act of less than "satisfactory", then the financial holding company is prohibited from engaging in new activities or acquiring companies other than bank holding companies, banks</w:t>
      </w:r>
      <w:r>
        <w:rPr>
          <w:rFonts w:eastAsia="Times New Roman"/>
          <w:color w:val="000000"/>
          <w:sz w:val="20"/>
          <w:szCs w:val="20"/>
        </w:rPr>
        <w:t xml:space="preserve"> or savings associations until the rating is raised to "satisfactory" or better.</w:t>
      </w:r>
    </w:p>
    <w:p w:rsidR="00000000" w:rsidRDefault="00B132B6">
      <w:pPr>
        <w:ind w:firstLine="720"/>
        <w:jc w:val="both"/>
        <w:divId w:val="933130931"/>
        <w:rPr>
          <w:rFonts w:eastAsia="Times New Roman"/>
        </w:rPr>
      </w:pPr>
      <w:r>
        <w:rPr>
          <w:rFonts w:eastAsia="Times New Roman"/>
          <w:b/>
          <w:bCs/>
          <w:color w:val="000000"/>
          <w:sz w:val="20"/>
          <w:szCs w:val="20"/>
        </w:rPr>
        <w:t>Limitation on Acquisitions</w:t>
      </w:r>
      <w:r>
        <w:rPr>
          <w:rFonts w:eastAsia="Times New Roman"/>
          <w:i/>
          <w:iCs/>
          <w:color w:val="000000"/>
          <w:sz w:val="20"/>
          <w:szCs w:val="20"/>
        </w:rPr>
        <w:t xml:space="preserve">. </w:t>
      </w:r>
      <w:r>
        <w:rPr>
          <w:rFonts w:eastAsia="Times New Roman"/>
          <w:color w:val="000000"/>
          <w:sz w:val="20"/>
          <w:szCs w:val="20"/>
        </w:rPr>
        <w:t>The Bank Holding Company Act requires a bank holding company to obtain prior approval of the FRB before:</w:t>
      </w:r>
    </w:p>
    <w:p w:rsidR="00000000" w:rsidRDefault="00B132B6">
      <w:pPr>
        <w:ind w:hanging="360"/>
        <w:jc w:val="both"/>
        <w:divId w:val="1711220732"/>
        <w:rPr>
          <w:rFonts w:eastAsia="Times New Roman"/>
        </w:rPr>
      </w:pPr>
      <w:r>
        <w:rPr>
          <w:rFonts w:eastAsia="Times New Roman"/>
          <w:color w:val="000000"/>
          <w:sz w:val="20"/>
          <w:szCs w:val="20"/>
        </w:rPr>
        <w:t>•taking any action that causes a bank to b</w:t>
      </w:r>
      <w:r>
        <w:rPr>
          <w:rFonts w:eastAsia="Times New Roman"/>
          <w:color w:val="000000"/>
          <w:sz w:val="20"/>
          <w:szCs w:val="20"/>
        </w:rPr>
        <w:t>ecome a controlled subsidiary of the bank holding company;</w:t>
      </w:r>
    </w:p>
    <w:p w:rsidR="00000000" w:rsidRDefault="00B132B6">
      <w:pPr>
        <w:ind w:hanging="360"/>
        <w:jc w:val="both"/>
        <w:divId w:val="137764697"/>
        <w:rPr>
          <w:rFonts w:eastAsia="Times New Roman"/>
        </w:rPr>
      </w:pPr>
      <w:r>
        <w:rPr>
          <w:rFonts w:eastAsia="Times New Roman"/>
          <w:color w:val="000000"/>
          <w:sz w:val="20"/>
          <w:szCs w:val="20"/>
        </w:rPr>
        <w:t>•acquiring direct or indirect ownership or control of voting shares of any bank or bank holding company, if the acquisition results in the acquiring bank holding company having control of more than</w:t>
      </w:r>
      <w:r>
        <w:rPr>
          <w:rFonts w:eastAsia="Times New Roman"/>
          <w:color w:val="000000"/>
          <w:sz w:val="20"/>
          <w:szCs w:val="20"/>
        </w:rPr>
        <w:t xml:space="preserve"> 5% of the outstanding shares of any class of voting securities of such bank or bank holding company, and such bank or bank holding company is not majority-owned by the acquiring bank holding company prior to the acquisition;</w:t>
      </w:r>
    </w:p>
    <w:p w:rsidR="00000000" w:rsidRDefault="00B132B6">
      <w:pPr>
        <w:ind w:hanging="360"/>
        <w:jc w:val="both"/>
        <w:divId w:val="882445735"/>
        <w:rPr>
          <w:rFonts w:eastAsia="Times New Roman"/>
        </w:rPr>
      </w:pPr>
      <w:r>
        <w:rPr>
          <w:rFonts w:eastAsia="Times New Roman"/>
          <w:color w:val="000000"/>
          <w:sz w:val="20"/>
          <w:szCs w:val="20"/>
        </w:rPr>
        <w:t>•acquiring substantially all o</w:t>
      </w:r>
      <w:r>
        <w:rPr>
          <w:rFonts w:eastAsia="Times New Roman"/>
          <w:color w:val="000000"/>
          <w:sz w:val="20"/>
          <w:szCs w:val="20"/>
        </w:rPr>
        <w:t>f the assets of a bank; or</w:t>
      </w:r>
    </w:p>
    <w:p w:rsidR="00000000" w:rsidRDefault="00B132B6">
      <w:pPr>
        <w:ind w:hanging="360"/>
        <w:jc w:val="both"/>
        <w:divId w:val="1407798416"/>
        <w:rPr>
          <w:rFonts w:eastAsia="Times New Roman"/>
        </w:rPr>
      </w:pPr>
      <w:r>
        <w:rPr>
          <w:rFonts w:eastAsia="Times New Roman"/>
          <w:color w:val="000000"/>
          <w:sz w:val="20"/>
          <w:szCs w:val="20"/>
        </w:rPr>
        <w:t>•merging or consolidating with another bank holding company.</w:t>
      </w:r>
    </w:p>
    <w:p w:rsidR="00000000" w:rsidRDefault="00B132B6">
      <w:pPr>
        <w:ind w:firstLine="720"/>
        <w:jc w:val="both"/>
        <w:divId w:val="1241141406"/>
        <w:rPr>
          <w:rFonts w:eastAsia="Times New Roman"/>
        </w:rPr>
      </w:pPr>
      <w:r>
        <w:rPr>
          <w:rFonts w:eastAsia="Times New Roman"/>
          <w:b/>
          <w:bCs/>
          <w:color w:val="000000"/>
          <w:sz w:val="20"/>
          <w:szCs w:val="20"/>
        </w:rPr>
        <w:t xml:space="preserve">Regulatory Capital Requirements. </w:t>
      </w:r>
      <w:r>
        <w:rPr>
          <w:rFonts w:eastAsia="Times New Roman"/>
          <w:color w:val="000000"/>
          <w:sz w:val="20"/>
          <w:szCs w:val="20"/>
        </w:rPr>
        <w:t>The FRB has issued risk-based and leverage capital guidelines applicable to United States ("U.S.") banking organizations. If a bank hol</w:t>
      </w:r>
      <w:r>
        <w:rPr>
          <w:rFonts w:eastAsia="Times New Roman"/>
          <w:color w:val="000000"/>
          <w:sz w:val="20"/>
          <w:szCs w:val="20"/>
        </w:rPr>
        <w:t>ding company's capital falls below minimum required levels, then the bank holding company must implement a plan to increase its capital, and its ability to pay dividends and make acquisitions of new bank subsidiaries may be restricted or prohibited. The ri</w:t>
      </w:r>
      <w:r>
        <w:rPr>
          <w:rFonts w:eastAsia="Times New Roman"/>
          <w:color w:val="000000"/>
          <w:sz w:val="20"/>
          <w:szCs w:val="20"/>
        </w:rPr>
        <w:t xml:space="preserve">sk-based capital guidelines that applied to us and our subsidiary bank prior to January 1, 2015 were based on the 1988 capital accord, referred to as Basel I, of the International Basel Committee on Banking Supervision (the "Basel Committee"), a committee </w:t>
      </w:r>
      <w:r>
        <w:rPr>
          <w:rFonts w:eastAsia="Times New Roman"/>
          <w:color w:val="000000"/>
          <w:sz w:val="20"/>
          <w:szCs w:val="20"/>
        </w:rPr>
        <w:t>of central banks and bank supervisors, as implemented by federal bank regulators. In 2008, the bank regulatory agencies began to phase-in capital standards based on a second capital accord issued by the Basel Committee, referred to as Basel II, for large o</w:t>
      </w:r>
      <w:r>
        <w:rPr>
          <w:rFonts w:eastAsia="Times New Roman"/>
          <w:color w:val="000000"/>
          <w:sz w:val="20"/>
          <w:szCs w:val="20"/>
        </w:rPr>
        <w:t>r "core" international banks (generally defined for U.S. purposes as having total assets of $250 billion or more or consolidated foreign exposures of $10 billion or more). Because we do not anticipate controlling any large or "core" international bank in t</w:t>
      </w:r>
      <w:r>
        <w:rPr>
          <w:rFonts w:eastAsia="Times New Roman"/>
          <w:color w:val="000000"/>
          <w:sz w:val="20"/>
          <w:szCs w:val="20"/>
        </w:rPr>
        <w:t>he foreseeable future, Basel II presently does not apply to us. On September 12, 2010, the Group of Governors and Heads of Supervision, the oversight body of the Basel Committee, announced agreement on the calibration and phase-in arrangements for a streng</w:t>
      </w:r>
      <w:r>
        <w:rPr>
          <w:rFonts w:eastAsia="Times New Roman"/>
          <w:color w:val="000000"/>
          <w:sz w:val="20"/>
          <w:szCs w:val="20"/>
        </w:rPr>
        <w:t>thened set of capital requirements, known as Basel III. In July 2013, the federal banking agencies announced new risk-based capital and leverage ratios to conform to the Basel III framework and to address provisions of the Dodd-Frank Act (the "Basel III Ru</w:t>
      </w:r>
      <w:r>
        <w:rPr>
          <w:rFonts w:eastAsia="Times New Roman"/>
          <w:color w:val="000000"/>
          <w:sz w:val="20"/>
          <w:szCs w:val="20"/>
        </w:rPr>
        <w:t>les"). With respect to the Company and the Bank, these requirements became effective on January 1, 2015.</w:t>
      </w:r>
    </w:p>
    <w:p w:rsidR="00000000" w:rsidRDefault="00B132B6">
      <w:pPr>
        <w:jc w:val="center"/>
        <w:divId w:val="1399085387"/>
        <w:rPr>
          <w:rFonts w:eastAsia="Times New Roman"/>
        </w:rPr>
      </w:pPr>
      <w:r>
        <w:rPr>
          <w:rFonts w:eastAsia="Times New Roman"/>
          <w:color w:val="000000"/>
          <w:sz w:val="20"/>
          <w:szCs w:val="20"/>
        </w:rPr>
        <w:t>5</w:t>
      </w:r>
    </w:p>
    <w:p w:rsidR="00000000" w:rsidRDefault="00B132B6">
      <w:pPr>
        <w:rPr>
          <w:rFonts w:eastAsia="Times New Roman"/>
        </w:rPr>
      </w:pPr>
      <w:r>
        <w:rPr>
          <w:rFonts w:eastAsia="Times New Roman"/>
        </w:rPr>
        <w:pict>
          <v:rect id="_x0000_i1029" style="width:0;height:1.5pt" o:hralign="center" o:hrstd="t" o:hr="t" fillcolor="#a0a0a0" stroked="f"/>
        </w:pict>
      </w:r>
    </w:p>
    <w:p w:rsidR="00000000" w:rsidRDefault="00B132B6">
      <w:pPr>
        <w:divId w:val="657614100"/>
        <w:rPr>
          <w:rFonts w:eastAsia="Times New Roman"/>
        </w:rPr>
      </w:pPr>
    </w:p>
    <w:p w:rsidR="00000000" w:rsidRDefault="00B132B6">
      <w:pPr>
        <w:ind w:firstLine="720"/>
        <w:jc w:val="both"/>
        <w:divId w:val="1904565896"/>
        <w:rPr>
          <w:rFonts w:eastAsia="Times New Roman"/>
        </w:rPr>
      </w:pPr>
      <w:r>
        <w:rPr>
          <w:rFonts w:eastAsia="Times New Roman"/>
          <w:color w:val="000000"/>
          <w:sz w:val="20"/>
          <w:szCs w:val="20"/>
        </w:rPr>
        <w:t>The Basel III Rules established three components of regulatory capital: (1) common equity tier 1 (“CET1”) capi</w:t>
      </w:r>
      <w:r>
        <w:rPr>
          <w:rFonts w:eastAsia="Times New Roman"/>
          <w:color w:val="000000"/>
          <w:sz w:val="20"/>
          <w:szCs w:val="20"/>
        </w:rPr>
        <w:t>tal, (2) additional tier 1 ("AT1") capital, and (3) tier 2 ("Tier 2") capital. CET1 capital generally includes common stock instruments and related surplus (net of treasury stock), retained earnings, and, subject to certain adjustments, minority common equ</w:t>
      </w:r>
      <w:r>
        <w:rPr>
          <w:rFonts w:eastAsia="Times New Roman"/>
          <w:color w:val="000000"/>
          <w:sz w:val="20"/>
          <w:szCs w:val="20"/>
        </w:rPr>
        <w:t>ity interests in subsidiaries, less goodwill and certain other adjustments. Tier 1 ("Tier 1") capital generally includes CET1 capital plus elements of AT1 capital, such as non-cumulative perpetual preferred stock and similar instruments meeting specified c</w:t>
      </w:r>
      <w:r>
        <w:rPr>
          <w:rFonts w:eastAsia="Times New Roman"/>
          <w:color w:val="000000"/>
          <w:sz w:val="20"/>
          <w:szCs w:val="20"/>
        </w:rPr>
        <w:t>riteria and minority interests in subsidiaries that do not satisfy the requirements for treatment as CET1 capital. Cumulative preferred stock (other than cumulative preferred stock issued to the U.S. Treasury under the Capital Purchase Program or the Small</w:t>
      </w:r>
      <w:r>
        <w:rPr>
          <w:rFonts w:eastAsia="Times New Roman"/>
          <w:color w:val="000000"/>
          <w:sz w:val="20"/>
          <w:szCs w:val="20"/>
        </w:rPr>
        <w:t xml:space="preserve"> Business Lending Fund) does not qualify as AT1 capital. Trust-preferred securities and other non-qualifying capital instruments issued prior to May 19, 2010 by bank and savings and loan holding companies with less than $15 billion in assets as of December</w:t>
      </w:r>
      <w:r>
        <w:rPr>
          <w:rFonts w:eastAsia="Times New Roman"/>
          <w:color w:val="000000"/>
          <w:sz w:val="20"/>
          <w:szCs w:val="20"/>
        </w:rPr>
        <w:t xml:space="preserve"> 31, 2009 or by mutual holding companies may continue to be included in Tier 1 capital but will be phased out over ten years beginning in 2016 for all other banking organizations. These non-qualifying capital instruments, however, may be included in Tier 2</w:t>
      </w:r>
      <w:r>
        <w:rPr>
          <w:rFonts w:eastAsia="Times New Roman"/>
          <w:color w:val="000000"/>
          <w:sz w:val="20"/>
          <w:szCs w:val="20"/>
        </w:rPr>
        <w:t xml:space="preserve"> capital. Tier 2 capital may also include certain qualifying debt and the allowance for credit losses up to 1.25% of risk-weighted assets and other adjustments.</w:t>
      </w:r>
    </w:p>
    <w:p w:rsidR="00000000" w:rsidRDefault="00B132B6">
      <w:pPr>
        <w:ind w:firstLine="720"/>
        <w:jc w:val="both"/>
        <w:divId w:val="457456959"/>
        <w:rPr>
          <w:rFonts w:eastAsia="Times New Roman"/>
        </w:rPr>
      </w:pPr>
      <w:r>
        <w:rPr>
          <w:rFonts w:eastAsia="Times New Roman"/>
          <w:color w:val="000000"/>
          <w:sz w:val="20"/>
          <w:szCs w:val="20"/>
        </w:rPr>
        <w:t>The Basel III Rules provide for a number of deductions from and adjustments to CET1 capital. Th</w:t>
      </w:r>
      <w:r>
        <w:rPr>
          <w:rFonts w:eastAsia="Times New Roman"/>
          <w:color w:val="000000"/>
          <w:sz w:val="20"/>
          <w:szCs w:val="20"/>
        </w:rPr>
        <w:t xml:space="preserve">ese include, for example, the requirement that mortgage servicing rights, deferred tax assets dependent upon future taxable income and investments in the capital of unconsolidated financial institutions be deducted from CET1 capital to the extent that any </w:t>
      </w:r>
      <w:r>
        <w:rPr>
          <w:rFonts w:eastAsia="Times New Roman"/>
          <w:color w:val="000000"/>
          <w:sz w:val="20"/>
          <w:szCs w:val="20"/>
        </w:rPr>
        <w:t>one such category exceeds 10% of CET1 capital or all such categories in the aggregate exceed 15% of CET1 capital. Beginning April 1, 2020, this framework for regulatory capital deductions to CET1 capital was simplified by increasing the deduction threshold</w:t>
      </w:r>
      <w:r>
        <w:rPr>
          <w:rFonts w:eastAsia="Times New Roman"/>
          <w:color w:val="000000"/>
          <w:sz w:val="20"/>
          <w:szCs w:val="20"/>
        </w:rPr>
        <w:t xml:space="preserve"> to 25% at the individual level for each of the aforementioned categories. Pursuant to the Basel III Rules, the effects of certain accumulated other comprehensive income or loss (“AOCI”) items are not excluded; however, “non-advanced approaches banking org</w:t>
      </w:r>
      <w:r>
        <w:rPr>
          <w:rFonts w:eastAsia="Times New Roman"/>
          <w:color w:val="000000"/>
          <w:sz w:val="20"/>
          <w:szCs w:val="20"/>
        </w:rPr>
        <w:t>anizations,” including the Company and the Bank, could make a one-time permanent election to continue to exclude these items. The Company made its one-time, permanent election to continue to exclude AOCI items from capital in its filing with the FRB for th</w:t>
      </w:r>
      <w:r>
        <w:rPr>
          <w:rFonts w:eastAsia="Times New Roman"/>
          <w:color w:val="000000"/>
          <w:sz w:val="20"/>
          <w:szCs w:val="20"/>
        </w:rPr>
        <w:t>e quarter ended March 31, 2015. If the Company would not have made this election, unrealized gains and losses would have been included in the calculation of its regulatory capital.</w:t>
      </w:r>
    </w:p>
    <w:p w:rsidR="00000000" w:rsidRDefault="00B132B6">
      <w:pPr>
        <w:ind w:firstLine="720"/>
        <w:jc w:val="both"/>
        <w:divId w:val="964312714"/>
        <w:rPr>
          <w:rFonts w:eastAsia="Times New Roman"/>
        </w:rPr>
      </w:pPr>
      <w:r>
        <w:rPr>
          <w:rFonts w:eastAsia="Times New Roman"/>
          <w:color w:val="000000"/>
          <w:sz w:val="20"/>
          <w:szCs w:val="20"/>
        </w:rPr>
        <w:t>The sum of the three tiers of capital less investments in unconsolidated su</w:t>
      </w:r>
      <w:r>
        <w:rPr>
          <w:rFonts w:eastAsia="Times New Roman"/>
          <w:color w:val="000000"/>
          <w:sz w:val="20"/>
          <w:szCs w:val="20"/>
        </w:rPr>
        <w:t>bsidiaries represents the total capital. The risk-based capital ratios are calculated by dividing CET1 capital, Tier 1 capital and total capital by risk-weighted assets (including certain off-balance sheet activities). Under the Basel III Rules, the minimu</w:t>
      </w:r>
      <w:r>
        <w:rPr>
          <w:rFonts w:eastAsia="Times New Roman"/>
          <w:color w:val="000000"/>
          <w:sz w:val="20"/>
          <w:szCs w:val="20"/>
        </w:rPr>
        <w:t xml:space="preserve">m capital ratios effective as of January 1, 2015 are: </w:t>
      </w:r>
    </w:p>
    <w:p w:rsidR="00000000" w:rsidRDefault="00B132B6">
      <w:pPr>
        <w:ind w:hanging="360"/>
        <w:divId w:val="1031876424"/>
        <w:rPr>
          <w:rFonts w:eastAsia="Times New Roman"/>
        </w:rPr>
      </w:pPr>
      <w:r>
        <w:rPr>
          <w:rFonts w:eastAsia="Times New Roman"/>
          <w:color w:val="000000"/>
          <w:sz w:val="20"/>
          <w:szCs w:val="20"/>
        </w:rPr>
        <w:t>•CET1 risk-based capital ratio equal to at least 4.5% of its risk-weighted assets;</w:t>
      </w:r>
    </w:p>
    <w:p w:rsidR="00000000" w:rsidRDefault="00B132B6">
      <w:pPr>
        <w:ind w:hanging="360"/>
        <w:jc w:val="both"/>
        <w:divId w:val="1670058354"/>
        <w:rPr>
          <w:rFonts w:eastAsia="Times New Roman"/>
        </w:rPr>
      </w:pPr>
      <w:r>
        <w:rPr>
          <w:rFonts w:eastAsia="Times New Roman"/>
          <w:color w:val="000000"/>
          <w:sz w:val="20"/>
          <w:szCs w:val="20"/>
        </w:rPr>
        <w:t>•Tier 1 risk-based capital ratio equal to at least 6% of its risk-weighted assets;</w:t>
      </w:r>
    </w:p>
    <w:p w:rsidR="00000000" w:rsidRDefault="00B132B6">
      <w:pPr>
        <w:ind w:hanging="360"/>
        <w:jc w:val="both"/>
        <w:divId w:val="1534612368"/>
        <w:rPr>
          <w:rFonts w:eastAsia="Times New Roman"/>
        </w:rPr>
      </w:pPr>
      <w:r>
        <w:rPr>
          <w:rFonts w:eastAsia="Times New Roman"/>
          <w:color w:val="000000"/>
          <w:sz w:val="20"/>
          <w:szCs w:val="20"/>
        </w:rPr>
        <w:t>•Total risk-based capital ratio equ</w:t>
      </w:r>
      <w:r>
        <w:rPr>
          <w:rFonts w:eastAsia="Times New Roman"/>
          <w:color w:val="000000"/>
          <w:sz w:val="20"/>
          <w:szCs w:val="20"/>
        </w:rPr>
        <w:t>al to at least 8% of its risk-weighted assets; and</w:t>
      </w:r>
    </w:p>
    <w:p w:rsidR="00000000" w:rsidRDefault="00B132B6">
      <w:pPr>
        <w:ind w:hanging="360"/>
        <w:jc w:val="both"/>
        <w:divId w:val="1468552506"/>
        <w:rPr>
          <w:rFonts w:eastAsia="Times New Roman"/>
        </w:rPr>
      </w:pPr>
      <w:r>
        <w:rPr>
          <w:rFonts w:eastAsia="Times New Roman"/>
          <w:color w:val="000000"/>
          <w:sz w:val="20"/>
          <w:szCs w:val="20"/>
        </w:rPr>
        <w:t>•Tier 1 capital to average consolidated assets (leverage ratio) of at least 4%.</w:t>
      </w:r>
    </w:p>
    <w:p w:rsidR="00000000" w:rsidRDefault="00B132B6">
      <w:pPr>
        <w:ind w:firstLine="720"/>
        <w:jc w:val="both"/>
        <w:divId w:val="764158197"/>
        <w:rPr>
          <w:rFonts w:eastAsia="Times New Roman"/>
        </w:rPr>
      </w:pPr>
      <w:r>
        <w:rPr>
          <w:rFonts w:eastAsia="Times New Roman"/>
          <w:color w:val="000000"/>
          <w:sz w:val="20"/>
          <w:szCs w:val="20"/>
        </w:rPr>
        <w:t>In addition to the higher requirements, the Basel III Rules established bank holding companies are required to maintain a CET</w:t>
      </w:r>
      <w:r>
        <w:rPr>
          <w:rFonts w:eastAsia="Times New Roman"/>
          <w:color w:val="000000"/>
          <w:sz w:val="20"/>
          <w:szCs w:val="20"/>
        </w:rPr>
        <w:t>1 capital conservation buffer of at least 2.5% of risk-weighted assets over and above the minimum risk-based capital requirements. Institutions that do not maintain the required capital buffer will become subject to progressively more stringent limitations</w:t>
      </w:r>
      <w:r>
        <w:rPr>
          <w:rFonts w:eastAsia="Times New Roman"/>
          <w:color w:val="000000"/>
          <w:sz w:val="20"/>
          <w:szCs w:val="20"/>
        </w:rPr>
        <w:t xml:space="preserve"> on the percentage of earnings that can be paid out in dividends or used for stock repurchases and on the payment of discretionary bonuses to senior executive management. The capital conservation buffer requirement was phased in over four years beginning i</w:t>
      </w:r>
      <w:r>
        <w:rPr>
          <w:rFonts w:eastAsia="Times New Roman"/>
          <w:color w:val="000000"/>
          <w:sz w:val="20"/>
          <w:szCs w:val="20"/>
        </w:rPr>
        <w:t>n 2016. On January 1, 2016, the first phase of the requirement went into effect at 0.625% of risk-weighted assets, and increased each subsequent year by an additional 0.625 percentage points, to reach its final level of 2.5% of risk weighted assets on Janu</w:t>
      </w:r>
      <w:r>
        <w:rPr>
          <w:rFonts w:eastAsia="Times New Roman"/>
          <w:color w:val="000000"/>
          <w:sz w:val="20"/>
          <w:szCs w:val="20"/>
        </w:rPr>
        <w:t>ary 1, 2019. At December 31, 2019, the capital conservation buffer requirement of 2.5%, effectively raised the minimum required risk-based capital ratios to 7% CET1 capital, 8.5% Tier 1 capital and 10.5% total capital on a fully phased-in basis.</w:t>
      </w:r>
    </w:p>
    <w:p w:rsidR="00000000" w:rsidRDefault="00B132B6">
      <w:pPr>
        <w:ind w:firstLine="720"/>
        <w:jc w:val="both"/>
        <w:divId w:val="2060009857"/>
        <w:rPr>
          <w:rFonts w:eastAsia="Times New Roman"/>
        </w:rPr>
      </w:pPr>
      <w:r>
        <w:rPr>
          <w:rFonts w:eastAsia="Times New Roman"/>
          <w:color w:val="000000"/>
          <w:sz w:val="20"/>
          <w:szCs w:val="20"/>
        </w:rPr>
        <w:t>On Decembe</w:t>
      </w:r>
      <w:r>
        <w:rPr>
          <w:rFonts w:eastAsia="Times New Roman"/>
          <w:color w:val="000000"/>
          <w:sz w:val="20"/>
          <w:szCs w:val="20"/>
        </w:rPr>
        <w:t>r 31, 2022 the Company was in compliance with the FRB's capital adequacy guidelines. The Company's capital ratios calculated under the Basel III Rules (minimum plus a 2.5% capital conservation buffer) on December 31, 2022 are as follows:</w:t>
      </w:r>
    </w:p>
    <w:tbl>
      <w:tblPr>
        <w:tblW w:w="5000" w:type="pct"/>
        <w:tblCellMar>
          <w:top w:w="15" w:type="dxa"/>
          <w:left w:w="15" w:type="dxa"/>
          <w:bottom w:w="15" w:type="dxa"/>
          <w:right w:w="15" w:type="dxa"/>
        </w:tblCellMar>
        <w:tblLook w:val="04A0" w:firstRow="1" w:lastRow="0" w:firstColumn="1" w:lastColumn="0" w:noHBand="0" w:noVBand="1"/>
      </w:tblPr>
      <w:tblGrid>
        <w:gridCol w:w="47"/>
        <w:gridCol w:w="1911"/>
        <w:gridCol w:w="36"/>
        <w:gridCol w:w="36"/>
        <w:gridCol w:w="36"/>
        <w:gridCol w:w="36"/>
        <w:gridCol w:w="48"/>
        <w:gridCol w:w="1912"/>
        <w:gridCol w:w="36"/>
        <w:gridCol w:w="36"/>
        <w:gridCol w:w="36"/>
        <w:gridCol w:w="36"/>
        <w:gridCol w:w="48"/>
        <w:gridCol w:w="1912"/>
        <w:gridCol w:w="36"/>
        <w:gridCol w:w="36"/>
        <w:gridCol w:w="36"/>
        <w:gridCol w:w="36"/>
        <w:gridCol w:w="48"/>
        <w:gridCol w:w="1912"/>
        <w:gridCol w:w="36"/>
      </w:tblGrid>
      <w:tr w:rsidR="00000000">
        <w:trPr>
          <w:divId w:val="466896740"/>
        </w:trPr>
        <w:tc>
          <w:tcPr>
            <w:tcW w:w="50" w:type="pct"/>
            <w:vAlign w:val="center"/>
            <w:hideMark/>
          </w:tcPr>
          <w:p w:rsidR="00000000" w:rsidRDefault="00B132B6">
            <w:pPr>
              <w:ind w:firstLine="720"/>
              <w:jc w:val="both"/>
              <w:rPr>
                <w:rFonts w:eastAsia="Times New Roman"/>
              </w:rPr>
            </w:pPr>
          </w:p>
        </w:tc>
        <w:tc>
          <w:tcPr>
            <w:tcW w:w="1172"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c>
          <w:tcPr>
            <w:tcW w:w="20"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c>
          <w:tcPr>
            <w:tcW w:w="50" w:type="pct"/>
            <w:vAlign w:val="center"/>
            <w:hideMark/>
          </w:tcPr>
          <w:p w:rsidR="00000000" w:rsidRDefault="00B132B6">
            <w:pPr>
              <w:spacing w:after="100"/>
              <w:rPr>
                <w:rFonts w:eastAsia="Times New Roman"/>
                <w:sz w:val="20"/>
                <w:szCs w:val="20"/>
              </w:rPr>
            </w:pPr>
          </w:p>
        </w:tc>
        <w:tc>
          <w:tcPr>
            <w:tcW w:w="1172"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c>
          <w:tcPr>
            <w:tcW w:w="20"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c>
          <w:tcPr>
            <w:tcW w:w="50" w:type="pct"/>
            <w:vAlign w:val="center"/>
            <w:hideMark/>
          </w:tcPr>
          <w:p w:rsidR="00000000" w:rsidRDefault="00B132B6">
            <w:pPr>
              <w:spacing w:after="100"/>
              <w:rPr>
                <w:rFonts w:eastAsia="Times New Roman"/>
                <w:sz w:val="20"/>
                <w:szCs w:val="20"/>
              </w:rPr>
            </w:pPr>
          </w:p>
        </w:tc>
        <w:tc>
          <w:tcPr>
            <w:tcW w:w="1172"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c>
          <w:tcPr>
            <w:tcW w:w="20"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c>
          <w:tcPr>
            <w:tcW w:w="50" w:type="pct"/>
            <w:vAlign w:val="center"/>
            <w:hideMark/>
          </w:tcPr>
          <w:p w:rsidR="00000000" w:rsidRDefault="00B132B6">
            <w:pPr>
              <w:spacing w:after="100"/>
              <w:rPr>
                <w:rFonts w:eastAsia="Times New Roman"/>
                <w:sz w:val="20"/>
                <w:szCs w:val="20"/>
              </w:rPr>
            </w:pPr>
          </w:p>
        </w:tc>
        <w:tc>
          <w:tcPr>
            <w:tcW w:w="1172"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r>
      <w:tr w:rsidR="00000000">
        <w:trPr>
          <w:divId w:val="466896740"/>
        </w:trPr>
        <w:tc>
          <w:tcPr>
            <w:tcW w:w="0" w:type="auto"/>
            <w:gridSpan w:val="3"/>
            <w:tcMar>
              <w:top w:w="30" w:type="dxa"/>
              <w:left w:w="92" w:type="dxa"/>
              <w:bottom w:w="30" w:type="dxa"/>
              <w:right w:w="92" w:type="dxa"/>
            </w:tcMar>
            <w:vAlign w:val="bottom"/>
            <w:hideMark/>
          </w:tcPr>
          <w:p w:rsidR="00000000" w:rsidRDefault="00B132B6">
            <w:pPr>
              <w:spacing w:after="100"/>
              <w:ind w:hanging="144"/>
              <w:jc w:val="center"/>
              <w:rPr>
                <w:rFonts w:eastAsia="Times New Roman"/>
              </w:rPr>
            </w:pPr>
            <w:r>
              <w:rPr>
                <w:rFonts w:eastAsia="Times New Roman"/>
                <w:b/>
                <w:bCs/>
                <w:color w:val="000000"/>
                <w:sz w:val="16"/>
                <w:szCs w:val="16"/>
              </w:rPr>
              <w:t>Tier 1 Leverage Ratio (4%)</w:t>
            </w:r>
          </w:p>
          <w:p w:rsidR="00000000" w:rsidRDefault="00B132B6">
            <w:pPr>
              <w:spacing w:after="100"/>
              <w:ind w:hanging="144"/>
              <w:jc w:val="center"/>
              <w:divId w:val="447892492"/>
              <w:rPr>
                <w:rFonts w:eastAsia="Times New Roman"/>
              </w:rPr>
            </w:pPr>
            <w:r>
              <w:rPr>
                <w:rFonts w:eastAsia="Times New Roman"/>
                <w:b/>
                <w:bCs/>
                <w:color w:val="000000"/>
                <w:sz w:val="16"/>
                <w:szCs w:val="16"/>
              </w:rPr>
              <w:t>(min requirement)</w:t>
            </w:r>
          </w:p>
        </w:tc>
        <w:tc>
          <w:tcPr>
            <w:tcW w:w="0" w:type="auto"/>
            <w:gridSpan w:val="3"/>
            <w:tcMar>
              <w:top w:w="0" w:type="dxa"/>
              <w:left w:w="20" w:type="dxa"/>
              <w:bottom w:w="0" w:type="dxa"/>
              <w:right w:w="20" w:type="dxa"/>
            </w:tcMar>
            <w:vAlign w:val="center"/>
            <w:hideMark/>
          </w:tcPr>
          <w:p w:rsidR="00000000" w:rsidRDefault="00B132B6">
            <w:pPr>
              <w:spacing w:after="100"/>
              <w:ind w:hanging="144"/>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132B6">
            <w:pPr>
              <w:spacing w:after="100"/>
              <w:jc w:val="center"/>
              <w:rPr>
                <w:rFonts w:eastAsia="Times New Roman"/>
              </w:rPr>
            </w:pPr>
            <w:r>
              <w:rPr>
                <w:rFonts w:eastAsia="Times New Roman"/>
                <w:b/>
                <w:bCs/>
                <w:color w:val="000000"/>
                <w:sz w:val="16"/>
                <w:szCs w:val="16"/>
              </w:rPr>
              <w:t xml:space="preserve">CET1 Risk- </w:t>
            </w:r>
            <w:r>
              <w:rPr>
                <w:rFonts w:eastAsia="Times New Roman"/>
                <w:b/>
                <w:bCs/>
                <w:color w:val="000000"/>
                <w:sz w:val="16"/>
                <w:szCs w:val="16"/>
              </w:rPr>
              <w:br/>
              <w:t>Based Capital Ratio (7.0%)</w:t>
            </w:r>
            <w:r>
              <w:rPr>
                <w:rFonts w:eastAsia="Times New Roman"/>
                <w:b/>
                <w:bCs/>
                <w:color w:val="000000"/>
                <w:sz w:val="16"/>
                <w:szCs w:val="16"/>
              </w:rPr>
              <w:br/>
              <w:t>(min requirement plus buffer)</w:t>
            </w:r>
          </w:p>
        </w:tc>
        <w:tc>
          <w:tcPr>
            <w:tcW w:w="0" w:type="auto"/>
            <w:gridSpan w:val="3"/>
            <w:tcMar>
              <w:top w:w="0" w:type="dxa"/>
              <w:left w:w="20" w:type="dxa"/>
              <w:bottom w:w="0" w:type="dxa"/>
              <w:right w:w="20" w:type="dxa"/>
            </w:tcMar>
            <w:vAlign w:val="center"/>
            <w:hideMark/>
          </w:tcPr>
          <w:p w:rsidR="00000000" w:rsidRDefault="00B132B6">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132B6">
            <w:pPr>
              <w:spacing w:after="100"/>
              <w:jc w:val="center"/>
              <w:rPr>
                <w:rFonts w:eastAsia="Times New Roman"/>
              </w:rPr>
            </w:pPr>
            <w:r>
              <w:rPr>
                <w:rFonts w:eastAsia="Times New Roman"/>
                <w:b/>
                <w:bCs/>
                <w:color w:val="000000"/>
                <w:sz w:val="16"/>
                <w:szCs w:val="16"/>
              </w:rPr>
              <w:t xml:space="preserve">Tier 1 Risk-Based Capital </w:t>
            </w:r>
            <w:r>
              <w:rPr>
                <w:rFonts w:eastAsia="Times New Roman"/>
                <w:b/>
                <w:bCs/>
                <w:color w:val="000000"/>
                <w:sz w:val="16"/>
                <w:szCs w:val="16"/>
              </w:rPr>
              <w:br/>
              <w:t xml:space="preserve">Ratio (8.5%) </w:t>
            </w:r>
            <w:r>
              <w:rPr>
                <w:rFonts w:eastAsia="Times New Roman"/>
                <w:b/>
                <w:bCs/>
                <w:color w:val="000000"/>
                <w:sz w:val="16"/>
                <w:szCs w:val="16"/>
              </w:rPr>
              <w:br/>
              <w:t>(min requirement plus buffer)</w:t>
            </w:r>
          </w:p>
        </w:tc>
        <w:tc>
          <w:tcPr>
            <w:tcW w:w="0" w:type="auto"/>
            <w:gridSpan w:val="3"/>
            <w:tcMar>
              <w:top w:w="0" w:type="dxa"/>
              <w:left w:w="20" w:type="dxa"/>
              <w:bottom w:w="0" w:type="dxa"/>
              <w:right w:w="20" w:type="dxa"/>
            </w:tcMar>
            <w:vAlign w:val="center"/>
            <w:hideMark/>
          </w:tcPr>
          <w:p w:rsidR="00000000" w:rsidRDefault="00B132B6">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132B6">
            <w:pPr>
              <w:spacing w:after="100"/>
              <w:jc w:val="center"/>
              <w:rPr>
                <w:rFonts w:eastAsia="Times New Roman"/>
              </w:rPr>
            </w:pPr>
            <w:r>
              <w:rPr>
                <w:rFonts w:eastAsia="Times New Roman"/>
                <w:b/>
                <w:bCs/>
                <w:color w:val="000000"/>
                <w:sz w:val="16"/>
                <w:szCs w:val="16"/>
              </w:rPr>
              <w:t xml:space="preserve">Total Risk-Based </w:t>
            </w:r>
            <w:r>
              <w:rPr>
                <w:rFonts w:eastAsia="Times New Roman"/>
                <w:b/>
                <w:bCs/>
                <w:color w:val="000000"/>
                <w:sz w:val="16"/>
                <w:szCs w:val="16"/>
              </w:rPr>
              <w:br/>
            </w:r>
            <w:r>
              <w:rPr>
                <w:rFonts w:eastAsia="Times New Roman"/>
                <w:b/>
                <w:bCs/>
                <w:color w:val="000000"/>
                <w:sz w:val="16"/>
                <w:szCs w:val="16"/>
              </w:rPr>
              <w:t xml:space="preserve">Capital Ratio (10.5%) </w:t>
            </w:r>
            <w:r>
              <w:rPr>
                <w:rFonts w:eastAsia="Times New Roman"/>
                <w:b/>
                <w:bCs/>
                <w:color w:val="000000"/>
                <w:sz w:val="16"/>
                <w:szCs w:val="16"/>
              </w:rPr>
              <w:br/>
              <w:t xml:space="preserve">(min requirement plus buffer) </w:t>
            </w:r>
          </w:p>
        </w:tc>
      </w:tr>
      <w:tr w:rsidR="00000000">
        <w:trPr>
          <w:divId w:val="466896740"/>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132B6">
            <w:pPr>
              <w:spacing w:after="100"/>
              <w:ind w:hanging="144"/>
              <w:jc w:val="right"/>
              <w:rPr>
                <w:rFonts w:eastAsia="Times New Roman"/>
              </w:rPr>
            </w:pPr>
            <w:r>
              <w:rPr>
                <w:rFonts w:eastAsia="Times New Roman"/>
                <w:color w:val="000000"/>
                <w:sz w:val="20"/>
                <w:szCs w:val="20"/>
              </w:rPr>
              <w:t>10.76%</w:t>
            </w:r>
          </w:p>
        </w:tc>
        <w:tc>
          <w:tcPr>
            <w:tcW w:w="0" w:type="auto"/>
            <w:gridSpan w:val="3"/>
            <w:shd w:val="clear" w:color="auto" w:fill="CCEEFF"/>
            <w:tcMar>
              <w:top w:w="0" w:type="dxa"/>
              <w:left w:w="20" w:type="dxa"/>
              <w:bottom w:w="0" w:type="dxa"/>
              <w:right w:w="20" w:type="dxa"/>
            </w:tcMar>
            <w:vAlign w:val="center"/>
            <w:hideMark/>
          </w:tcPr>
          <w:p w:rsidR="00000000" w:rsidRDefault="00B132B6">
            <w:pPr>
              <w:spacing w:after="100"/>
              <w:ind w:hanging="144"/>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132B6">
            <w:pPr>
              <w:spacing w:after="100"/>
              <w:jc w:val="right"/>
              <w:rPr>
                <w:rFonts w:eastAsia="Times New Roman"/>
              </w:rPr>
            </w:pPr>
            <w:r>
              <w:rPr>
                <w:rFonts w:eastAsia="Times New Roman"/>
                <w:color w:val="000000"/>
                <w:sz w:val="20"/>
                <w:szCs w:val="20"/>
              </w:rPr>
              <w:t>9.89%</w:t>
            </w:r>
          </w:p>
        </w:tc>
        <w:tc>
          <w:tcPr>
            <w:tcW w:w="0" w:type="auto"/>
            <w:gridSpan w:val="3"/>
            <w:shd w:val="clear" w:color="auto" w:fill="CCEEFF"/>
            <w:tcMar>
              <w:top w:w="0" w:type="dxa"/>
              <w:left w:w="20" w:type="dxa"/>
              <w:bottom w:w="0" w:type="dxa"/>
              <w:right w:w="20" w:type="dxa"/>
            </w:tcMar>
            <w:vAlign w:val="center"/>
            <w:hideMark/>
          </w:tcPr>
          <w:p w:rsidR="00000000" w:rsidRDefault="00B132B6">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132B6">
            <w:pPr>
              <w:spacing w:after="100"/>
              <w:jc w:val="right"/>
              <w:rPr>
                <w:rFonts w:eastAsia="Times New Roman"/>
              </w:rPr>
            </w:pPr>
            <w:r>
              <w:rPr>
                <w:rFonts w:eastAsia="Times New Roman"/>
                <w:color w:val="000000"/>
                <w:sz w:val="20"/>
                <w:szCs w:val="20"/>
              </w:rPr>
              <w:t>12.52%</w:t>
            </w:r>
          </w:p>
        </w:tc>
        <w:tc>
          <w:tcPr>
            <w:tcW w:w="0" w:type="auto"/>
            <w:gridSpan w:val="3"/>
            <w:shd w:val="clear" w:color="auto" w:fill="CCEEFF"/>
            <w:tcMar>
              <w:top w:w="0" w:type="dxa"/>
              <w:left w:w="20" w:type="dxa"/>
              <w:bottom w:w="0" w:type="dxa"/>
              <w:right w:w="20" w:type="dxa"/>
            </w:tcMar>
            <w:vAlign w:val="center"/>
            <w:hideMark/>
          </w:tcPr>
          <w:p w:rsidR="00000000" w:rsidRDefault="00B132B6">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132B6">
            <w:pPr>
              <w:spacing w:after="100"/>
              <w:jc w:val="right"/>
              <w:rPr>
                <w:rFonts w:eastAsia="Times New Roman"/>
              </w:rPr>
            </w:pPr>
            <w:r>
              <w:rPr>
                <w:rFonts w:eastAsia="Times New Roman"/>
                <w:color w:val="000000"/>
                <w:sz w:val="20"/>
                <w:szCs w:val="20"/>
              </w:rPr>
              <w:t>13.85%</w:t>
            </w:r>
          </w:p>
        </w:tc>
      </w:tr>
    </w:tbl>
    <w:p w:rsidR="00000000" w:rsidRDefault="00B132B6">
      <w:pPr>
        <w:jc w:val="center"/>
        <w:divId w:val="1821381116"/>
        <w:rPr>
          <w:rFonts w:eastAsia="Times New Roman"/>
        </w:rPr>
      </w:pPr>
      <w:r>
        <w:rPr>
          <w:rFonts w:eastAsia="Times New Roman"/>
          <w:color w:val="000000"/>
          <w:sz w:val="20"/>
          <w:szCs w:val="20"/>
        </w:rPr>
        <w:t>6</w:t>
      </w:r>
    </w:p>
    <w:p w:rsidR="00000000" w:rsidRDefault="00B132B6">
      <w:pPr>
        <w:rPr>
          <w:rFonts w:eastAsia="Times New Roman"/>
        </w:rPr>
      </w:pPr>
      <w:r>
        <w:rPr>
          <w:rFonts w:eastAsia="Times New Roman"/>
        </w:rPr>
        <w:pict>
          <v:rect id="_x0000_i1030" style="width:0;height:1.5pt" o:hralign="center" o:hrstd="t" o:hr="t" fillcolor="#a0a0a0" stroked="f"/>
        </w:pict>
      </w:r>
    </w:p>
    <w:p w:rsidR="00000000" w:rsidRDefault="00B132B6">
      <w:pPr>
        <w:divId w:val="917792875"/>
        <w:rPr>
          <w:rFonts w:eastAsia="Times New Roman"/>
        </w:rPr>
      </w:pPr>
    </w:p>
    <w:p w:rsidR="00000000" w:rsidRDefault="00B132B6">
      <w:pPr>
        <w:ind w:firstLine="720"/>
        <w:jc w:val="both"/>
        <w:divId w:val="1734936156"/>
        <w:rPr>
          <w:rFonts w:eastAsia="Times New Roman"/>
        </w:rPr>
      </w:pPr>
      <w:r>
        <w:rPr>
          <w:rFonts w:eastAsia="Times New Roman"/>
          <w:color w:val="000000"/>
          <w:sz w:val="20"/>
          <w:szCs w:val="20"/>
        </w:rPr>
        <w:t>The Economic Growth, Regulatory Relief, and Consumer Protection Act (the "EGRRCPA") directs the federal banking agencies to develop a specified community bank leverage ratio (the "CBLR") (that is, the ratio of a bank's</w:t>
      </w:r>
      <w:r>
        <w:rPr>
          <w:rFonts w:eastAsia="Times New Roman"/>
          <w:color w:val="000000"/>
          <w:sz w:val="20"/>
          <w:szCs w:val="20"/>
        </w:rPr>
        <w:t xml:space="preserve"> equity capital to its consolidated assets) of not less than 8% and not more than 10%. On November 4, 2019, federal regulators issued final rules that provide certain banks and their holding companies with the option to elect out of complying with the Base</w:t>
      </w:r>
      <w:r>
        <w:rPr>
          <w:rFonts w:eastAsia="Times New Roman"/>
          <w:color w:val="000000"/>
          <w:sz w:val="20"/>
          <w:szCs w:val="20"/>
        </w:rPr>
        <w:t>l III Rules. Under this new rule, a qualifying community banking organization is eligible to elect the CBLR framework if it has a CBLR greater than 9% at the time of election.</w:t>
      </w:r>
    </w:p>
    <w:p w:rsidR="00000000" w:rsidRDefault="00B132B6">
      <w:pPr>
        <w:ind w:firstLine="720"/>
        <w:divId w:val="2048481993"/>
        <w:rPr>
          <w:rFonts w:eastAsia="Times New Roman"/>
        </w:rPr>
      </w:pPr>
      <w:r>
        <w:rPr>
          <w:rFonts w:eastAsia="Times New Roman"/>
          <w:color w:val="000000"/>
          <w:sz w:val="20"/>
          <w:szCs w:val="20"/>
        </w:rPr>
        <w:t>A qualifying community banking organization ("QCBO") is defined as a bank, a savings association, a bank holding company or a savings and loan holding company with:</w:t>
      </w:r>
    </w:p>
    <w:p w:rsidR="00000000" w:rsidRDefault="00B132B6">
      <w:pPr>
        <w:ind w:hanging="360"/>
        <w:divId w:val="1796824658"/>
        <w:rPr>
          <w:rFonts w:eastAsia="Times New Roman"/>
        </w:rPr>
      </w:pPr>
      <w:r>
        <w:rPr>
          <w:rFonts w:eastAsia="Times New Roman"/>
          <w:color w:val="000000"/>
          <w:sz w:val="20"/>
          <w:szCs w:val="20"/>
        </w:rPr>
        <w:t>•a CBLR greater than 9%;</w:t>
      </w:r>
    </w:p>
    <w:p w:rsidR="00000000" w:rsidRDefault="00B132B6">
      <w:pPr>
        <w:ind w:hanging="360"/>
        <w:divId w:val="640423295"/>
        <w:rPr>
          <w:rFonts w:eastAsia="Times New Roman"/>
        </w:rPr>
      </w:pPr>
      <w:r>
        <w:rPr>
          <w:rFonts w:eastAsia="Times New Roman"/>
          <w:color w:val="000000"/>
          <w:sz w:val="20"/>
          <w:szCs w:val="20"/>
        </w:rPr>
        <w:t>•total consolidated assets of less than $10 billion;</w:t>
      </w:r>
    </w:p>
    <w:p w:rsidR="00000000" w:rsidRDefault="00B132B6">
      <w:pPr>
        <w:ind w:hanging="360"/>
        <w:divId w:val="759837048"/>
        <w:rPr>
          <w:rFonts w:eastAsia="Times New Roman"/>
        </w:rPr>
      </w:pPr>
      <w:r>
        <w:rPr>
          <w:rFonts w:eastAsia="Times New Roman"/>
          <w:color w:val="000000"/>
          <w:sz w:val="20"/>
          <w:szCs w:val="20"/>
        </w:rPr>
        <w:t>•total off-ba</w:t>
      </w:r>
      <w:r>
        <w:rPr>
          <w:rFonts w:eastAsia="Times New Roman"/>
          <w:color w:val="000000"/>
          <w:sz w:val="20"/>
          <w:szCs w:val="20"/>
        </w:rPr>
        <w:t>lance sheet exposures (excluding derivatives other than credit derivatives and unconditionally cancelable commitments) of 25% or less of total consolidated assets; and</w:t>
      </w:r>
    </w:p>
    <w:p w:rsidR="00000000" w:rsidRDefault="00B132B6">
      <w:pPr>
        <w:ind w:hanging="360"/>
        <w:divId w:val="1616138884"/>
        <w:rPr>
          <w:rFonts w:eastAsia="Times New Roman"/>
        </w:rPr>
      </w:pPr>
      <w:r>
        <w:rPr>
          <w:rFonts w:eastAsia="Times New Roman"/>
          <w:color w:val="000000"/>
          <w:sz w:val="20"/>
          <w:szCs w:val="20"/>
        </w:rPr>
        <w:t>•total trading assets and trading liabilities of 5% or less of total consolidated assets</w:t>
      </w:r>
      <w:r>
        <w:rPr>
          <w:rFonts w:eastAsia="Times New Roman"/>
          <w:color w:val="000000"/>
          <w:sz w:val="20"/>
          <w:szCs w:val="20"/>
        </w:rPr>
        <w:t>.</w:t>
      </w:r>
    </w:p>
    <w:p w:rsidR="00000000" w:rsidRDefault="00B132B6">
      <w:pPr>
        <w:ind w:firstLine="720"/>
        <w:jc w:val="both"/>
        <w:divId w:val="794104226"/>
        <w:rPr>
          <w:rFonts w:eastAsia="Times New Roman"/>
        </w:rPr>
      </w:pPr>
      <w:r>
        <w:rPr>
          <w:rFonts w:eastAsia="Times New Roman"/>
          <w:color w:val="000000"/>
          <w:sz w:val="20"/>
          <w:szCs w:val="20"/>
        </w:rPr>
        <w:t>A QCBO may elect out of complying with the Basel III Rules if, at the time of the election, the QCBO has a CBLR above 9%. The CBLR is generally calculated in accordance with the regulations for calculating the Tier 1 leverage ratio under the regulatory c</w:t>
      </w:r>
      <w:r>
        <w:rPr>
          <w:rFonts w:eastAsia="Times New Roman"/>
          <w:color w:val="000000"/>
          <w:sz w:val="20"/>
          <w:szCs w:val="20"/>
        </w:rPr>
        <w:t>apital framework discussed above and below, with certain specified exceptions. As of December 31, 2020, the Company and the Bank each qualified to elect the CBLR framework because they had a CBLR of greater than 9% and satisfied the other requirements. The</w:t>
      </w:r>
      <w:r>
        <w:rPr>
          <w:rFonts w:eastAsia="Times New Roman"/>
          <w:color w:val="000000"/>
          <w:sz w:val="20"/>
          <w:szCs w:val="20"/>
        </w:rPr>
        <w:t xml:space="preserve"> Company does not have immediate plans to elect to use the CBLR framework but may make such an election in the future.</w:t>
      </w:r>
    </w:p>
    <w:p w:rsidR="00000000" w:rsidRDefault="00B132B6">
      <w:pPr>
        <w:ind w:firstLine="720"/>
        <w:jc w:val="both"/>
        <w:divId w:val="203912104"/>
        <w:rPr>
          <w:rFonts w:eastAsia="Times New Roman"/>
        </w:rPr>
      </w:pPr>
      <w:r>
        <w:rPr>
          <w:rFonts w:eastAsia="Times New Roman"/>
          <w:b/>
          <w:bCs/>
          <w:color w:val="000000"/>
          <w:sz w:val="20"/>
          <w:szCs w:val="20"/>
        </w:rPr>
        <w:t xml:space="preserve">Interstate Banking and Branching. </w:t>
      </w:r>
      <w:r>
        <w:rPr>
          <w:rFonts w:eastAsia="Times New Roman"/>
          <w:color w:val="000000"/>
          <w:sz w:val="20"/>
          <w:szCs w:val="20"/>
        </w:rPr>
        <w:t xml:space="preserve">Under the Riegle-Neal Interstate Banking and Branching Efficiency Act of 1994 (the "Riegle-Neal Act"), </w:t>
      </w:r>
      <w:r>
        <w:rPr>
          <w:rFonts w:eastAsia="Times New Roman"/>
          <w:color w:val="000000"/>
          <w:sz w:val="20"/>
          <w:szCs w:val="20"/>
        </w:rPr>
        <w:t>a bank holding company is permitted to acquire the stock or substantially all of the assets of banks located in any state regardless of whether such transaction is prohibited under the laws of any state. The FRB will not approve an interstate acquisition i</w:t>
      </w:r>
      <w:r>
        <w:rPr>
          <w:rFonts w:eastAsia="Times New Roman"/>
          <w:color w:val="000000"/>
          <w:sz w:val="20"/>
          <w:szCs w:val="20"/>
        </w:rPr>
        <w:t>f, as a result of the acquisition, the bank holding company would control more than 10% of the total amount of insured deposits in the U.S. or would control more than 30% of the insured deposits in the home state of the acquired bank. The 30% of insured de</w:t>
      </w:r>
      <w:r>
        <w:rPr>
          <w:rFonts w:eastAsia="Times New Roman"/>
          <w:color w:val="000000"/>
          <w:sz w:val="20"/>
          <w:szCs w:val="20"/>
        </w:rPr>
        <w:t>posits state limit does not apply if the acquisition is the initial entry into a state by a bank holding company or if the home state waives such limit. The Riegle-Neal Act also authorizes banks to merge across state lines, thereby creating interstate bran</w:t>
      </w:r>
      <w:r>
        <w:rPr>
          <w:rFonts w:eastAsia="Times New Roman"/>
          <w:color w:val="000000"/>
          <w:sz w:val="20"/>
          <w:szCs w:val="20"/>
        </w:rPr>
        <w:t>ches. The Bank and Savings Association Holding Company and Depository Institution Regulatory Improvements Act of 2010, a subset of the Dodd-Frank Act (defined below), permits banks to acquire and establish de novo branches in other states if a state bank i</w:t>
      </w:r>
      <w:r>
        <w:rPr>
          <w:rFonts w:eastAsia="Times New Roman"/>
          <w:color w:val="000000"/>
          <w:sz w:val="20"/>
          <w:szCs w:val="20"/>
        </w:rPr>
        <w:t>n that other state would be permitted to establish the branch.</w:t>
      </w:r>
    </w:p>
    <w:p w:rsidR="00000000" w:rsidRDefault="00B132B6">
      <w:pPr>
        <w:ind w:firstLine="720"/>
        <w:jc w:val="both"/>
        <w:divId w:val="622539080"/>
        <w:rPr>
          <w:rFonts w:eastAsia="Times New Roman"/>
        </w:rPr>
      </w:pPr>
      <w:r>
        <w:rPr>
          <w:rFonts w:eastAsia="Times New Roman"/>
          <w:color w:val="000000"/>
          <w:sz w:val="20"/>
          <w:szCs w:val="20"/>
        </w:rPr>
        <w:t>Under the Riegle-Neal Act, individual states may restrict interstate acquisitions in two ways. A state may prohibit an out-of-state bank holding company from acquiring a bank located in the sta</w:t>
      </w:r>
      <w:r>
        <w:rPr>
          <w:rFonts w:eastAsia="Times New Roman"/>
          <w:color w:val="000000"/>
          <w:sz w:val="20"/>
          <w:szCs w:val="20"/>
        </w:rPr>
        <w:t>te unless the target bank has been in existence for a specified minimum period of time (not to exceed five years). A state may also establish limits on the total amount of insured deposits within the state which are controlled by a single bank holding comp</w:t>
      </w:r>
      <w:r>
        <w:rPr>
          <w:rFonts w:eastAsia="Times New Roman"/>
          <w:color w:val="000000"/>
          <w:sz w:val="20"/>
          <w:szCs w:val="20"/>
        </w:rPr>
        <w:t>any, provided that such deposit limit does not discriminate against out-of-state bank holding companies.</w:t>
      </w:r>
    </w:p>
    <w:p w:rsidR="00000000" w:rsidRDefault="00B132B6">
      <w:pPr>
        <w:ind w:firstLine="720"/>
        <w:jc w:val="both"/>
        <w:divId w:val="557782606"/>
        <w:rPr>
          <w:rFonts w:eastAsia="Times New Roman"/>
        </w:rPr>
      </w:pPr>
      <w:r>
        <w:rPr>
          <w:rFonts w:eastAsia="Times New Roman"/>
          <w:b/>
          <w:bCs/>
          <w:color w:val="000000"/>
          <w:sz w:val="20"/>
          <w:szCs w:val="20"/>
        </w:rPr>
        <w:t xml:space="preserve">Source of Strength. </w:t>
      </w:r>
      <w:r>
        <w:rPr>
          <w:rFonts w:eastAsia="Times New Roman"/>
          <w:color w:val="000000"/>
          <w:sz w:val="20"/>
          <w:szCs w:val="20"/>
        </w:rPr>
        <w:t>Bank holding companies, such as the Company, are required by statute to serve as a source of financial strength for their subsidiar</w:t>
      </w:r>
      <w:r>
        <w:rPr>
          <w:rFonts w:eastAsia="Times New Roman"/>
          <w:color w:val="000000"/>
          <w:sz w:val="20"/>
          <w:szCs w:val="20"/>
        </w:rPr>
        <w:t>y depository institutions, by providing financial assistance to their insured depository institution subsidiaries in the event of financial distress. Under the source of strength requirement, the Company could be required to provide financial assistance to</w:t>
      </w:r>
      <w:r>
        <w:rPr>
          <w:rFonts w:eastAsia="Times New Roman"/>
          <w:color w:val="000000"/>
          <w:sz w:val="20"/>
          <w:szCs w:val="20"/>
        </w:rPr>
        <w:t xml:space="preserve"> the Bank should it experience financial distress. Furthermore, the FRB has the right to order a bank holding company to terminate any activity that the FRB believes is a serious risk to the financial safety, soundness or stability of any subsidiary bank. </w:t>
      </w:r>
      <w:r>
        <w:rPr>
          <w:rFonts w:eastAsia="Times New Roman"/>
          <w:color w:val="000000"/>
          <w:sz w:val="20"/>
          <w:szCs w:val="20"/>
        </w:rPr>
        <w:t>The regulators may require these and other actions in support of controlled banks even if such action is not in the best interests of the bank holding company or its stockholders.</w:t>
      </w:r>
    </w:p>
    <w:p w:rsidR="00000000" w:rsidRDefault="00B132B6">
      <w:pPr>
        <w:ind w:firstLine="720"/>
        <w:jc w:val="both"/>
        <w:divId w:val="1011184073"/>
        <w:rPr>
          <w:rFonts w:eastAsia="Times New Roman"/>
        </w:rPr>
      </w:pPr>
      <w:r>
        <w:rPr>
          <w:rFonts w:eastAsia="Times New Roman"/>
          <w:b/>
          <w:bCs/>
          <w:color w:val="000000"/>
          <w:sz w:val="20"/>
          <w:szCs w:val="20"/>
        </w:rPr>
        <w:t xml:space="preserve">Liability of Commonly Controlled Institutions. </w:t>
      </w:r>
      <w:r>
        <w:rPr>
          <w:rFonts w:eastAsia="Times New Roman"/>
          <w:color w:val="000000"/>
          <w:sz w:val="20"/>
          <w:szCs w:val="20"/>
        </w:rPr>
        <w:t>Under cross-guaranty provisio</w:t>
      </w:r>
      <w:r>
        <w:rPr>
          <w:rFonts w:eastAsia="Times New Roman"/>
          <w:color w:val="000000"/>
          <w:sz w:val="20"/>
          <w:szCs w:val="20"/>
        </w:rPr>
        <w:t>ns of the Federal Deposit Insurance Act (the "FDIA"), bank subsidiaries of a bank holding company are liable for any loss incurred by the Deposit Insurance Fund (the "DIF"), the federal deposit insurance fund for banks, in connection with the failure of an</w:t>
      </w:r>
      <w:r>
        <w:rPr>
          <w:rFonts w:eastAsia="Times New Roman"/>
          <w:color w:val="000000"/>
          <w:sz w:val="20"/>
          <w:szCs w:val="20"/>
        </w:rPr>
        <w:t>y other bank subsidiary of the bank holding company.</w:t>
      </w:r>
    </w:p>
    <w:p w:rsidR="00000000" w:rsidRDefault="00B132B6">
      <w:pPr>
        <w:ind w:firstLine="720"/>
        <w:jc w:val="both"/>
        <w:divId w:val="1388921159"/>
        <w:rPr>
          <w:rFonts w:eastAsia="Times New Roman"/>
        </w:rPr>
      </w:pPr>
      <w:r>
        <w:rPr>
          <w:rFonts w:eastAsia="Times New Roman"/>
          <w:b/>
          <w:bCs/>
          <w:color w:val="000000"/>
          <w:sz w:val="20"/>
          <w:szCs w:val="20"/>
        </w:rPr>
        <w:t>Bank Secrecy Act and USA PATRIOT Act</w:t>
      </w:r>
      <w:r>
        <w:rPr>
          <w:rFonts w:eastAsia="Times New Roman"/>
          <w:color w:val="000000"/>
          <w:sz w:val="20"/>
          <w:szCs w:val="20"/>
        </w:rPr>
        <w:t>. The Company and the Bank must comply with the requirements of the Bank Secrecy Act, which was enacted to prevent banks and other financial service providers from bei</w:t>
      </w:r>
      <w:r>
        <w:rPr>
          <w:rFonts w:eastAsia="Times New Roman"/>
          <w:color w:val="000000"/>
          <w:sz w:val="20"/>
          <w:szCs w:val="20"/>
        </w:rPr>
        <w:t xml:space="preserve">ng used as intermediaries for, or to hide the transfer or deposit of money derived from, drug trafficking, money laundering, and other </w:t>
      </w:r>
    </w:p>
    <w:p w:rsidR="00000000" w:rsidRDefault="00B132B6">
      <w:pPr>
        <w:jc w:val="center"/>
        <w:divId w:val="1845971618"/>
        <w:rPr>
          <w:rFonts w:eastAsia="Times New Roman"/>
        </w:rPr>
      </w:pPr>
      <w:r>
        <w:rPr>
          <w:rFonts w:eastAsia="Times New Roman"/>
          <w:color w:val="000000"/>
          <w:sz w:val="20"/>
          <w:szCs w:val="20"/>
        </w:rPr>
        <w:t>7</w:t>
      </w:r>
    </w:p>
    <w:p w:rsidR="00000000" w:rsidRDefault="00B132B6">
      <w:pPr>
        <w:rPr>
          <w:rFonts w:eastAsia="Times New Roman"/>
        </w:rPr>
      </w:pPr>
      <w:r>
        <w:rPr>
          <w:rFonts w:eastAsia="Times New Roman"/>
        </w:rPr>
        <w:pict>
          <v:rect id="_x0000_i1031" style="width:0;height:1.5pt" o:hralign="center" o:hrstd="t" o:hr="t" fillcolor="#a0a0a0" stroked="f"/>
        </w:pict>
      </w:r>
    </w:p>
    <w:p w:rsidR="00000000" w:rsidRDefault="00B132B6">
      <w:pPr>
        <w:divId w:val="542179475"/>
        <w:rPr>
          <w:rFonts w:eastAsia="Times New Roman"/>
        </w:rPr>
      </w:pPr>
    </w:p>
    <w:p w:rsidR="00000000" w:rsidRDefault="00B132B6">
      <w:pPr>
        <w:jc w:val="both"/>
        <w:divId w:val="1724715851"/>
        <w:rPr>
          <w:rFonts w:eastAsia="Times New Roman"/>
        </w:rPr>
      </w:pPr>
      <w:r>
        <w:rPr>
          <w:rFonts w:eastAsia="Times New Roman"/>
          <w:color w:val="000000"/>
          <w:sz w:val="20"/>
          <w:szCs w:val="20"/>
        </w:rPr>
        <w:t xml:space="preserve">crimes. Since its passage, the Bank Secrecy Act has been amended several times. </w:t>
      </w:r>
      <w:r>
        <w:rPr>
          <w:rFonts w:eastAsia="Times New Roman"/>
          <w:color w:val="000000"/>
          <w:sz w:val="20"/>
          <w:szCs w:val="20"/>
        </w:rPr>
        <w:t>These amendments include the Money Laundering Control Act of 1986, which made money laundering a criminal act, as well as the Money Laundering Suppression Act of 1994, which required regulators to develop enhanced examination procedures and increased exami</w:t>
      </w:r>
      <w:r>
        <w:rPr>
          <w:rFonts w:eastAsia="Times New Roman"/>
          <w:color w:val="000000"/>
          <w:sz w:val="20"/>
          <w:szCs w:val="20"/>
        </w:rPr>
        <w:t>ner training to improve the identification of money laundering schemes in financial institutions. The USA PATRIOT Act, established in 2001, substantially broadened the scope of U.S. anti-money laundering laws and regulations by imposing significant new com</w:t>
      </w:r>
      <w:r>
        <w:rPr>
          <w:rFonts w:eastAsia="Times New Roman"/>
          <w:color w:val="000000"/>
          <w:sz w:val="20"/>
          <w:szCs w:val="20"/>
        </w:rPr>
        <w:t xml:space="preserve">pliance and due diligence obligations, creating new crimes and penalties and expanding the extra-territorial jurisdiction of the U.S. The regulations impose obligations on financial institutions to maintain appropriate policies, procedures and controls to </w:t>
      </w:r>
      <w:r>
        <w:rPr>
          <w:rFonts w:eastAsia="Times New Roman"/>
          <w:color w:val="000000"/>
          <w:sz w:val="20"/>
          <w:szCs w:val="20"/>
        </w:rPr>
        <w:t>detect, prevent, and report money laundering and terrorist financing. The regulations include significant penalties for non-compliance.</w:t>
      </w:r>
    </w:p>
    <w:p w:rsidR="00000000" w:rsidRDefault="00B132B6">
      <w:pPr>
        <w:ind w:firstLine="720"/>
        <w:jc w:val="both"/>
        <w:divId w:val="1100370145"/>
        <w:rPr>
          <w:rFonts w:eastAsia="Times New Roman"/>
        </w:rPr>
      </w:pPr>
      <w:r>
        <w:rPr>
          <w:rFonts w:eastAsia="Times New Roman"/>
          <w:b/>
          <w:bCs/>
          <w:color w:val="000000"/>
          <w:sz w:val="20"/>
          <w:szCs w:val="20"/>
        </w:rPr>
        <w:t>Missouri Bank Holding Company Regulation</w:t>
      </w:r>
      <w:r>
        <w:rPr>
          <w:rFonts w:eastAsia="Times New Roman"/>
          <w:color w:val="000000"/>
          <w:sz w:val="20"/>
          <w:szCs w:val="20"/>
        </w:rPr>
        <w:t>. Missouri prohibits any bank holding company from acquiring ownership or contro</w:t>
      </w:r>
      <w:r>
        <w:rPr>
          <w:rFonts w:eastAsia="Times New Roman"/>
          <w:color w:val="000000"/>
          <w:sz w:val="20"/>
          <w:szCs w:val="20"/>
        </w:rPr>
        <w:t>l of any bank or Missouri depository trust company that has Missouri deposits if, after such acquisition, the bank holding company would hold or control more than 13% of total Missouri deposits. Because of this restriction, among others, a bank holding com</w:t>
      </w:r>
      <w:r>
        <w:rPr>
          <w:rFonts w:eastAsia="Times New Roman"/>
          <w:color w:val="000000"/>
          <w:sz w:val="20"/>
          <w:szCs w:val="20"/>
        </w:rPr>
        <w:t>pany, prior to acquiring control of a bank or depository trust company that has deposits in Missouri, must receive the approval of the Missouri Division of Finance.</w:t>
      </w:r>
    </w:p>
    <w:p w:rsidR="00000000" w:rsidRDefault="00B132B6">
      <w:pPr>
        <w:divId w:val="1940333362"/>
        <w:rPr>
          <w:rFonts w:eastAsia="Times New Roman"/>
        </w:rPr>
      </w:pPr>
      <w:r>
        <w:rPr>
          <w:rFonts w:eastAsia="Times New Roman"/>
          <w:b/>
          <w:bCs/>
          <w:color w:val="000000"/>
          <w:sz w:val="20"/>
          <w:szCs w:val="20"/>
        </w:rPr>
        <w:t>Regulation Applicable to the Bank</w:t>
      </w:r>
    </w:p>
    <w:p w:rsidR="00000000" w:rsidRDefault="00B132B6">
      <w:pPr>
        <w:ind w:firstLine="720"/>
        <w:jc w:val="both"/>
        <w:divId w:val="1497039676"/>
        <w:rPr>
          <w:rFonts w:eastAsia="Times New Roman"/>
        </w:rPr>
      </w:pPr>
      <w:r>
        <w:rPr>
          <w:rFonts w:eastAsia="Times New Roman"/>
          <w:b/>
          <w:bCs/>
          <w:color w:val="000000"/>
          <w:sz w:val="20"/>
          <w:szCs w:val="20"/>
        </w:rPr>
        <w:t xml:space="preserve">General. </w:t>
      </w:r>
      <w:r>
        <w:rPr>
          <w:rFonts w:eastAsia="Times New Roman"/>
          <w:color w:val="000000"/>
          <w:sz w:val="20"/>
          <w:szCs w:val="20"/>
        </w:rPr>
        <w:t>The Bank, a Missouri state non-member depository</w:t>
      </w:r>
      <w:r>
        <w:rPr>
          <w:rFonts w:eastAsia="Times New Roman"/>
          <w:color w:val="000000"/>
          <w:sz w:val="20"/>
          <w:szCs w:val="20"/>
        </w:rPr>
        <w:t xml:space="preserve"> trust company, is subject to the regulation of the Missouri Division of Finance and the FDIC. The FDIC is empowered to issue cease and desist orders against the Bank if it determines that any activities of the Bank represent unsafe and unsound banking pra</w:t>
      </w:r>
      <w:r>
        <w:rPr>
          <w:rFonts w:eastAsia="Times New Roman"/>
          <w:color w:val="000000"/>
          <w:sz w:val="20"/>
          <w:szCs w:val="20"/>
        </w:rPr>
        <w:t>ctices or violations of law. In addition, the FDIC has the power to impose civil money penalties for violations of banking statutes and regulations. Regulation by these agencies is designed to protect the depositors of the Bank, not the shareholders of the</w:t>
      </w:r>
      <w:r>
        <w:rPr>
          <w:rFonts w:eastAsia="Times New Roman"/>
          <w:color w:val="000000"/>
          <w:sz w:val="20"/>
          <w:szCs w:val="20"/>
        </w:rPr>
        <w:t xml:space="preserve"> Company.</w:t>
      </w:r>
    </w:p>
    <w:p w:rsidR="00000000" w:rsidRDefault="00B132B6">
      <w:pPr>
        <w:ind w:firstLine="720"/>
        <w:jc w:val="both"/>
        <w:divId w:val="369959372"/>
        <w:rPr>
          <w:rFonts w:eastAsia="Times New Roman"/>
        </w:rPr>
      </w:pPr>
      <w:r>
        <w:rPr>
          <w:rFonts w:eastAsia="Times New Roman"/>
          <w:b/>
          <w:bCs/>
          <w:color w:val="000000"/>
          <w:sz w:val="20"/>
          <w:szCs w:val="20"/>
        </w:rPr>
        <w:t xml:space="preserve">Bank Regulatory Capital Requirements. </w:t>
      </w:r>
      <w:r>
        <w:rPr>
          <w:rFonts w:eastAsia="Times New Roman"/>
          <w:color w:val="000000"/>
          <w:sz w:val="20"/>
          <w:szCs w:val="20"/>
        </w:rPr>
        <w:t xml:space="preserve">The FDIC has adopted minimum capital requirements applicable to state non-member banks, which are similar to the capital adequacy guidelines established by the FRB for bank holding companies. Federal banking </w:t>
      </w:r>
      <w:r>
        <w:rPr>
          <w:rFonts w:eastAsia="Times New Roman"/>
          <w:color w:val="000000"/>
          <w:sz w:val="20"/>
          <w:szCs w:val="20"/>
        </w:rPr>
        <w:t>laws classified an insured financial institution in one of the following five categories, depending upon the amount of its regulatory capital:</w:t>
      </w:r>
    </w:p>
    <w:p w:rsidR="00000000" w:rsidRDefault="00B132B6">
      <w:pPr>
        <w:ind w:hanging="360"/>
        <w:jc w:val="both"/>
        <w:divId w:val="607591023"/>
        <w:rPr>
          <w:rFonts w:eastAsia="Times New Roman"/>
        </w:rPr>
      </w:pPr>
      <w:r>
        <w:rPr>
          <w:rFonts w:eastAsia="Times New Roman"/>
          <w:color w:val="000000"/>
          <w:sz w:val="20"/>
          <w:szCs w:val="20"/>
        </w:rPr>
        <w:t xml:space="preserve">•"well-capitalized" if it has a total Tier 1 leverage ratio of 5% or greater, a CET1 risk-based capital ratio of </w:t>
      </w:r>
      <w:r>
        <w:rPr>
          <w:rFonts w:eastAsia="Times New Roman"/>
          <w:color w:val="000000"/>
          <w:sz w:val="20"/>
          <w:szCs w:val="20"/>
        </w:rPr>
        <w:t>6.5% or greater, a Tier 1 risk-based capital ratio of 8% or greater and a total risk-based capital ratio of 10% or greater (and is not subject to any order or written directive requiring the bank to adhere to a higher capital ratio);</w:t>
      </w:r>
    </w:p>
    <w:p w:rsidR="00000000" w:rsidRDefault="00B132B6">
      <w:pPr>
        <w:ind w:hanging="360"/>
        <w:jc w:val="both"/>
        <w:divId w:val="576020529"/>
        <w:rPr>
          <w:rFonts w:eastAsia="Times New Roman"/>
        </w:rPr>
      </w:pPr>
      <w:r>
        <w:rPr>
          <w:rFonts w:eastAsia="Times New Roman"/>
          <w:color w:val="000000"/>
          <w:sz w:val="20"/>
          <w:szCs w:val="20"/>
        </w:rPr>
        <w:t>•"adequately capitaliz</w:t>
      </w:r>
      <w:r>
        <w:rPr>
          <w:rFonts w:eastAsia="Times New Roman"/>
          <w:color w:val="000000"/>
          <w:sz w:val="20"/>
          <w:szCs w:val="20"/>
        </w:rPr>
        <w:t>ed" if it has a total Tier 1 leverage ratio of 4% or greater, a CET1 risk-based capital ratio of 4.5% or greater, a Tier 1 risk-based capital ratio of 6% or greater, and a total risk-based capital ratio of 8% or greater;</w:t>
      </w:r>
    </w:p>
    <w:p w:rsidR="00000000" w:rsidRDefault="00B132B6">
      <w:pPr>
        <w:ind w:hanging="360"/>
        <w:jc w:val="both"/>
        <w:divId w:val="1714816236"/>
        <w:rPr>
          <w:rFonts w:eastAsia="Times New Roman"/>
        </w:rPr>
      </w:pPr>
      <w:r>
        <w:rPr>
          <w:rFonts w:eastAsia="Times New Roman"/>
          <w:color w:val="000000"/>
          <w:sz w:val="20"/>
          <w:szCs w:val="20"/>
        </w:rPr>
        <w:t>•</w:t>
      </w:r>
      <w:r>
        <w:rPr>
          <w:rFonts w:eastAsia="Times New Roman"/>
          <w:color w:val="000000"/>
          <w:sz w:val="20"/>
          <w:szCs w:val="20"/>
        </w:rPr>
        <w:t>"undercapitalized" if it has a total Tier 1 leverage ratio that is less than 4%, a CET1 risk-based capital ratio that is less than 4.5%, a Tier 1 risk-based capital ratio that is less than 6% or a total risk-based capital ratio that is less than 8%;</w:t>
      </w:r>
    </w:p>
    <w:p w:rsidR="00000000" w:rsidRDefault="00B132B6">
      <w:pPr>
        <w:ind w:hanging="360"/>
        <w:jc w:val="both"/>
        <w:divId w:val="1267932303"/>
        <w:rPr>
          <w:rFonts w:eastAsia="Times New Roman"/>
        </w:rPr>
      </w:pPr>
      <w:r>
        <w:rPr>
          <w:rFonts w:eastAsia="Times New Roman"/>
          <w:color w:val="000000"/>
          <w:sz w:val="20"/>
          <w:szCs w:val="20"/>
        </w:rPr>
        <w:t>•"sign</w:t>
      </w:r>
      <w:r>
        <w:rPr>
          <w:rFonts w:eastAsia="Times New Roman"/>
          <w:color w:val="000000"/>
          <w:sz w:val="20"/>
          <w:szCs w:val="20"/>
        </w:rPr>
        <w:t>ificantly undercapitalized" if it has a total Tier 1 leverage ratio that is less than 3%, a CET1 risk-based capital ratio that is less than 3%, a Tier 1 risk-based capital ratio that is less than 4% or a total risk-based ratio that is less than 6%; and</w:t>
      </w:r>
    </w:p>
    <w:p w:rsidR="00000000" w:rsidRDefault="00B132B6">
      <w:pPr>
        <w:ind w:hanging="360"/>
        <w:jc w:val="both"/>
        <w:divId w:val="722406820"/>
        <w:rPr>
          <w:rFonts w:eastAsia="Times New Roman"/>
        </w:rPr>
      </w:pPr>
      <w:r>
        <w:rPr>
          <w:rFonts w:eastAsia="Times New Roman"/>
          <w:color w:val="000000"/>
          <w:sz w:val="20"/>
          <w:szCs w:val="20"/>
        </w:rPr>
        <w:t>•"c</w:t>
      </w:r>
      <w:r>
        <w:rPr>
          <w:rFonts w:eastAsia="Times New Roman"/>
          <w:color w:val="000000"/>
          <w:sz w:val="20"/>
          <w:szCs w:val="20"/>
        </w:rPr>
        <w:t>ritically undercapitalized" if it has a Tier 1 leverage ratio that is equal to or less than 2%.</w:t>
      </w:r>
    </w:p>
    <w:p w:rsidR="00000000" w:rsidRDefault="00B132B6">
      <w:pPr>
        <w:ind w:firstLine="720"/>
        <w:jc w:val="both"/>
        <w:divId w:val="1410232862"/>
        <w:rPr>
          <w:rFonts w:eastAsia="Times New Roman"/>
        </w:rPr>
      </w:pPr>
      <w:r>
        <w:rPr>
          <w:rFonts w:eastAsia="Times New Roman"/>
          <w:color w:val="000000"/>
          <w:sz w:val="20"/>
          <w:szCs w:val="20"/>
        </w:rPr>
        <w:t>Federal regulatory agencies are required to take prompt corrective action against undercapitalized financial institutions. As of December 31, 2022, the Bank was classified as "well-capitalized," which is required for the Company to remain a financial holdi</w:t>
      </w:r>
      <w:r>
        <w:rPr>
          <w:rFonts w:eastAsia="Times New Roman"/>
          <w:color w:val="000000"/>
          <w:sz w:val="20"/>
          <w:szCs w:val="20"/>
        </w:rPr>
        <w:t xml:space="preserve">ng company. </w:t>
      </w:r>
    </w:p>
    <w:p w:rsidR="00000000" w:rsidRDefault="00B132B6">
      <w:pPr>
        <w:ind w:firstLine="720"/>
        <w:jc w:val="both"/>
        <w:divId w:val="607935317"/>
        <w:rPr>
          <w:rFonts w:eastAsia="Times New Roman"/>
        </w:rPr>
      </w:pPr>
      <w:r>
        <w:rPr>
          <w:rFonts w:eastAsia="Times New Roman"/>
          <w:color w:val="000000"/>
          <w:sz w:val="20"/>
          <w:szCs w:val="20"/>
        </w:rPr>
        <w:t>The capital ratios and classifications of the Bank as of December 31, 2022 and the minimum requirements to be considered well-capitalized are as follows:</w:t>
      </w:r>
    </w:p>
    <w:tbl>
      <w:tblPr>
        <w:tblW w:w="5000" w:type="pct"/>
        <w:tblCellMar>
          <w:top w:w="15" w:type="dxa"/>
          <w:left w:w="15" w:type="dxa"/>
          <w:bottom w:w="15" w:type="dxa"/>
          <w:right w:w="15" w:type="dxa"/>
        </w:tblCellMar>
        <w:tblLook w:val="04A0" w:firstRow="1" w:lastRow="0" w:firstColumn="1" w:lastColumn="0" w:noHBand="0" w:noVBand="1"/>
      </w:tblPr>
      <w:tblGrid>
        <w:gridCol w:w="47"/>
        <w:gridCol w:w="1911"/>
        <w:gridCol w:w="36"/>
        <w:gridCol w:w="36"/>
        <w:gridCol w:w="36"/>
        <w:gridCol w:w="36"/>
        <w:gridCol w:w="48"/>
        <w:gridCol w:w="1912"/>
        <w:gridCol w:w="36"/>
        <w:gridCol w:w="36"/>
        <w:gridCol w:w="36"/>
        <w:gridCol w:w="36"/>
        <w:gridCol w:w="48"/>
        <w:gridCol w:w="1912"/>
        <w:gridCol w:w="36"/>
        <w:gridCol w:w="36"/>
        <w:gridCol w:w="36"/>
        <w:gridCol w:w="36"/>
        <w:gridCol w:w="48"/>
        <w:gridCol w:w="1912"/>
        <w:gridCol w:w="36"/>
      </w:tblGrid>
      <w:tr w:rsidR="00000000">
        <w:trPr>
          <w:divId w:val="1651903539"/>
        </w:trPr>
        <w:tc>
          <w:tcPr>
            <w:tcW w:w="50" w:type="pct"/>
            <w:vAlign w:val="center"/>
            <w:hideMark/>
          </w:tcPr>
          <w:p w:rsidR="00000000" w:rsidRDefault="00B132B6">
            <w:pPr>
              <w:ind w:firstLine="720"/>
              <w:jc w:val="both"/>
              <w:rPr>
                <w:rFonts w:eastAsia="Times New Roman"/>
              </w:rPr>
            </w:pPr>
          </w:p>
        </w:tc>
        <w:tc>
          <w:tcPr>
            <w:tcW w:w="1172"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c>
          <w:tcPr>
            <w:tcW w:w="20"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c>
          <w:tcPr>
            <w:tcW w:w="50" w:type="pct"/>
            <w:vAlign w:val="center"/>
            <w:hideMark/>
          </w:tcPr>
          <w:p w:rsidR="00000000" w:rsidRDefault="00B132B6">
            <w:pPr>
              <w:spacing w:after="100"/>
              <w:rPr>
                <w:rFonts w:eastAsia="Times New Roman"/>
                <w:sz w:val="20"/>
                <w:szCs w:val="20"/>
              </w:rPr>
            </w:pPr>
          </w:p>
        </w:tc>
        <w:tc>
          <w:tcPr>
            <w:tcW w:w="1172"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c>
          <w:tcPr>
            <w:tcW w:w="20"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c>
          <w:tcPr>
            <w:tcW w:w="50" w:type="pct"/>
            <w:vAlign w:val="center"/>
            <w:hideMark/>
          </w:tcPr>
          <w:p w:rsidR="00000000" w:rsidRDefault="00B132B6">
            <w:pPr>
              <w:spacing w:after="100"/>
              <w:rPr>
                <w:rFonts w:eastAsia="Times New Roman"/>
                <w:sz w:val="20"/>
                <w:szCs w:val="20"/>
              </w:rPr>
            </w:pPr>
          </w:p>
        </w:tc>
        <w:tc>
          <w:tcPr>
            <w:tcW w:w="1172"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c>
          <w:tcPr>
            <w:tcW w:w="20"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c>
          <w:tcPr>
            <w:tcW w:w="50" w:type="pct"/>
            <w:vAlign w:val="center"/>
            <w:hideMark/>
          </w:tcPr>
          <w:p w:rsidR="00000000" w:rsidRDefault="00B132B6">
            <w:pPr>
              <w:spacing w:after="100"/>
              <w:rPr>
                <w:rFonts w:eastAsia="Times New Roman"/>
                <w:sz w:val="20"/>
                <w:szCs w:val="20"/>
              </w:rPr>
            </w:pPr>
          </w:p>
        </w:tc>
        <w:tc>
          <w:tcPr>
            <w:tcW w:w="1172"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r>
      <w:tr w:rsidR="00000000">
        <w:trPr>
          <w:divId w:val="1651903539"/>
        </w:trPr>
        <w:tc>
          <w:tcPr>
            <w:tcW w:w="0" w:type="auto"/>
            <w:gridSpan w:val="3"/>
            <w:tcMar>
              <w:top w:w="30" w:type="dxa"/>
              <w:left w:w="92" w:type="dxa"/>
              <w:bottom w:w="30" w:type="dxa"/>
              <w:right w:w="92" w:type="dxa"/>
            </w:tcMar>
            <w:vAlign w:val="bottom"/>
            <w:hideMark/>
          </w:tcPr>
          <w:p w:rsidR="00000000" w:rsidRDefault="00B132B6">
            <w:pPr>
              <w:spacing w:after="100"/>
              <w:ind w:hanging="144"/>
              <w:jc w:val="center"/>
              <w:rPr>
                <w:rFonts w:eastAsia="Times New Roman"/>
              </w:rPr>
            </w:pPr>
            <w:r>
              <w:rPr>
                <w:rFonts w:eastAsia="Times New Roman"/>
                <w:b/>
                <w:bCs/>
                <w:color w:val="000000"/>
                <w:sz w:val="16"/>
                <w:szCs w:val="16"/>
              </w:rPr>
              <w:t>Tier 1 Leverage Ratio</w:t>
            </w:r>
          </w:p>
          <w:p w:rsidR="00000000" w:rsidRDefault="00B132B6">
            <w:pPr>
              <w:spacing w:after="100"/>
              <w:ind w:hanging="144"/>
              <w:jc w:val="center"/>
              <w:divId w:val="1595433414"/>
              <w:rPr>
                <w:rFonts w:eastAsia="Times New Roman"/>
              </w:rPr>
            </w:pPr>
            <w:r>
              <w:rPr>
                <w:rFonts w:eastAsia="Times New Roman"/>
                <w:b/>
                <w:bCs/>
                <w:color w:val="000000"/>
                <w:sz w:val="16"/>
                <w:szCs w:val="16"/>
              </w:rPr>
              <w:t>(5.0% minimum</w:t>
            </w:r>
          </w:p>
          <w:p w:rsidR="00000000" w:rsidRDefault="00B132B6">
            <w:pPr>
              <w:spacing w:after="100"/>
              <w:ind w:hanging="144"/>
              <w:jc w:val="center"/>
              <w:divId w:val="163126769"/>
              <w:rPr>
                <w:rFonts w:eastAsia="Times New Roman"/>
              </w:rPr>
            </w:pPr>
            <w:r>
              <w:rPr>
                <w:rFonts w:eastAsia="Times New Roman"/>
                <w:b/>
                <w:bCs/>
                <w:color w:val="000000"/>
                <w:sz w:val="16"/>
                <w:szCs w:val="16"/>
              </w:rPr>
              <w:t xml:space="preserve">requirement) </w:t>
            </w:r>
          </w:p>
        </w:tc>
        <w:tc>
          <w:tcPr>
            <w:tcW w:w="0" w:type="auto"/>
            <w:gridSpan w:val="3"/>
            <w:tcMar>
              <w:top w:w="0" w:type="dxa"/>
              <w:left w:w="20" w:type="dxa"/>
              <w:bottom w:w="0" w:type="dxa"/>
              <w:right w:w="20" w:type="dxa"/>
            </w:tcMar>
            <w:vAlign w:val="center"/>
            <w:hideMark/>
          </w:tcPr>
          <w:p w:rsidR="00000000" w:rsidRDefault="00B132B6">
            <w:pPr>
              <w:spacing w:after="100"/>
              <w:ind w:hanging="144"/>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132B6">
            <w:pPr>
              <w:spacing w:after="100"/>
              <w:jc w:val="center"/>
              <w:rPr>
                <w:rFonts w:eastAsia="Times New Roman"/>
              </w:rPr>
            </w:pPr>
            <w:r>
              <w:rPr>
                <w:rFonts w:eastAsia="Times New Roman"/>
                <w:b/>
                <w:bCs/>
                <w:color w:val="000000"/>
                <w:sz w:val="16"/>
                <w:szCs w:val="16"/>
              </w:rPr>
              <w:t>CET1 Risk-</w:t>
            </w:r>
            <w:r>
              <w:rPr>
                <w:rFonts w:eastAsia="Times New Roman"/>
                <w:b/>
                <w:bCs/>
                <w:color w:val="000000"/>
                <w:sz w:val="16"/>
                <w:szCs w:val="16"/>
              </w:rPr>
              <w:br/>
              <w:t>Based Capital Ratio (6.5%)</w:t>
            </w:r>
            <w:r>
              <w:rPr>
                <w:rFonts w:eastAsia="Times New Roman"/>
                <w:b/>
                <w:bCs/>
                <w:color w:val="000000"/>
                <w:sz w:val="16"/>
                <w:szCs w:val="16"/>
              </w:rPr>
              <w:br/>
              <w:t>(min requirement)</w:t>
            </w:r>
          </w:p>
        </w:tc>
        <w:tc>
          <w:tcPr>
            <w:tcW w:w="0" w:type="auto"/>
            <w:gridSpan w:val="3"/>
            <w:tcMar>
              <w:top w:w="0" w:type="dxa"/>
              <w:left w:w="20" w:type="dxa"/>
              <w:bottom w:w="0" w:type="dxa"/>
              <w:right w:w="20" w:type="dxa"/>
            </w:tcMar>
            <w:vAlign w:val="center"/>
            <w:hideMark/>
          </w:tcPr>
          <w:p w:rsidR="00000000" w:rsidRDefault="00B132B6">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132B6">
            <w:pPr>
              <w:spacing w:after="100"/>
              <w:jc w:val="center"/>
              <w:rPr>
                <w:rFonts w:eastAsia="Times New Roman"/>
              </w:rPr>
            </w:pPr>
            <w:r>
              <w:rPr>
                <w:rFonts w:eastAsia="Times New Roman"/>
                <w:b/>
                <w:bCs/>
                <w:color w:val="000000"/>
                <w:sz w:val="16"/>
                <w:szCs w:val="16"/>
              </w:rPr>
              <w:t>Tier 1 Risk-Based Capital</w:t>
            </w:r>
            <w:r>
              <w:rPr>
                <w:rFonts w:eastAsia="Times New Roman"/>
                <w:b/>
                <w:bCs/>
                <w:color w:val="000000"/>
                <w:sz w:val="16"/>
                <w:szCs w:val="16"/>
              </w:rPr>
              <w:br/>
              <w:t xml:space="preserve">Ratio (8.0%) </w:t>
            </w:r>
            <w:r>
              <w:rPr>
                <w:rFonts w:eastAsia="Times New Roman"/>
                <w:b/>
                <w:bCs/>
                <w:color w:val="000000"/>
                <w:sz w:val="16"/>
                <w:szCs w:val="16"/>
              </w:rPr>
              <w:br/>
              <w:t>(min requirement)</w:t>
            </w:r>
          </w:p>
        </w:tc>
        <w:tc>
          <w:tcPr>
            <w:tcW w:w="0" w:type="auto"/>
            <w:gridSpan w:val="3"/>
            <w:tcMar>
              <w:top w:w="0" w:type="dxa"/>
              <w:left w:w="20" w:type="dxa"/>
              <w:bottom w:w="0" w:type="dxa"/>
              <w:right w:w="20" w:type="dxa"/>
            </w:tcMar>
            <w:vAlign w:val="center"/>
            <w:hideMark/>
          </w:tcPr>
          <w:p w:rsidR="00000000" w:rsidRDefault="00B132B6">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132B6">
            <w:pPr>
              <w:spacing w:after="100"/>
              <w:jc w:val="center"/>
              <w:rPr>
                <w:rFonts w:eastAsia="Times New Roman"/>
              </w:rPr>
            </w:pPr>
            <w:r>
              <w:rPr>
                <w:rFonts w:eastAsia="Times New Roman"/>
                <w:b/>
                <w:bCs/>
                <w:color w:val="000000"/>
                <w:sz w:val="16"/>
                <w:szCs w:val="16"/>
              </w:rPr>
              <w:t xml:space="preserve">Total Risk-Based </w:t>
            </w:r>
            <w:r>
              <w:rPr>
                <w:rFonts w:eastAsia="Times New Roman"/>
                <w:b/>
                <w:bCs/>
                <w:color w:val="000000"/>
                <w:sz w:val="16"/>
                <w:szCs w:val="16"/>
              </w:rPr>
              <w:br/>
              <w:t xml:space="preserve">Capital Ratio (10.0%) </w:t>
            </w:r>
            <w:r>
              <w:rPr>
                <w:rFonts w:eastAsia="Times New Roman"/>
                <w:b/>
                <w:bCs/>
                <w:color w:val="000000"/>
                <w:sz w:val="16"/>
                <w:szCs w:val="16"/>
              </w:rPr>
              <w:br/>
              <w:t>(min requirement)</w:t>
            </w:r>
          </w:p>
        </w:tc>
      </w:tr>
      <w:tr w:rsidR="00000000">
        <w:trPr>
          <w:divId w:val="1651903539"/>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B132B6">
            <w:pPr>
              <w:spacing w:after="100"/>
              <w:ind w:hanging="144"/>
              <w:jc w:val="right"/>
              <w:rPr>
                <w:rFonts w:eastAsia="Times New Roman"/>
              </w:rPr>
            </w:pPr>
            <w:r>
              <w:rPr>
                <w:rFonts w:eastAsia="Times New Roman"/>
                <w:color w:val="000000"/>
                <w:sz w:val="20"/>
                <w:szCs w:val="20"/>
              </w:rPr>
              <w:t>10.85%</w:t>
            </w:r>
          </w:p>
        </w:tc>
        <w:tc>
          <w:tcPr>
            <w:tcW w:w="0" w:type="auto"/>
            <w:gridSpan w:val="3"/>
            <w:shd w:val="clear" w:color="auto" w:fill="CCEEFF"/>
            <w:tcMar>
              <w:top w:w="0" w:type="dxa"/>
              <w:left w:w="20" w:type="dxa"/>
              <w:bottom w:w="0" w:type="dxa"/>
              <w:right w:w="20" w:type="dxa"/>
            </w:tcMar>
            <w:vAlign w:val="center"/>
            <w:hideMark/>
          </w:tcPr>
          <w:p w:rsidR="00000000" w:rsidRDefault="00B132B6">
            <w:pPr>
              <w:spacing w:after="100"/>
              <w:ind w:hanging="144"/>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B132B6">
            <w:pPr>
              <w:spacing w:after="100"/>
              <w:jc w:val="right"/>
              <w:rPr>
                <w:rFonts w:eastAsia="Times New Roman"/>
              </w:rPr>
            </w:pPr>
            <w:r>
              <w:rPr>
                <w:rFonts w:eastAsia="Times New Roman"/>
                <w:color w:val="000000"/>
                <w:sz w:val="20"/>
                <w:szCs w:val="20"/>
              </w:rPr>
              <w:t>12.80%</w:t>
            </w:r>
          </w:p>
        </w:tc>
        <w:tc>
          <w:tcPr>
            <w:tcW w:w="0" w:type="auto"/>
            <w:gridSpan w:val="3"/>
            <w:shd w:val="clear" w:color="auto" w:fill="CCEEFF"/>
            <w:tcMar>
              <w:top w:w="0" w:type="dxa"/>
              <w:left w:w="20" w:type="dxa"/>
              <w:bottom w:w="0" w:type="dxa"/>
              <w:right w:w="20" w:type="dxa"/>
            </w:tcMar>
            <w:vAlign w:val="center"/>
            <w:hideMark/>
          </w:tcPr>
          <w:p w:rsidR="00000000" w:rsidRDefault="00B132B6">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B132B6">
            <w:pPr>
              <w:spacing w:after="100"/>
              <w:jc w:val="right"/>
              <w:rPr>
                <w:rFonts w:eastAsia="Times New Roman"/>
              </w:rPr>
            </w:pPr>
            <w:r>
              <w:rPr>
                <w:rFonts w:eastAsia="Times New Roman"/>
                <w:color w:val="000000"/>
                <w:sz w:val="20"/>
                <w:szCs w:val="20"/>
              </w:rPr>
              <w:t>12.80%</w:t>
            </w:r>
          </w:p>
        </w:tc>
        <w:tc>
          <w:tcPr>
            <w:tcW w:w="0" w:type="auto"/>
            <w:gridSpan w:val="3"/>
            <w:shd w:val="clear" w:color="auto" w:fill="CCEEFF"/>
            <w:tcMar>
              <w:top w:w="0" w:type="dxa"/>
              <w:left w:w="20" w:type="dxa"/>
              <w:bottom w:w="0" w:type="dxa"/>
              <w:right w:w="20" w:type="dxa"/>
            </w:tcMar>
            <w:vAlign w:val="center"/>
            <w:hideMark/>
          </w:tcPr>
          <w:p w:rsidR="00000000" w:rsidRDefault="00B132B6">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B132B6">
            <w:pPr>
              <w:spacing w:after="100"/>
              <w:jc w:val="right"/>
              <w:rPr>
                <w:rFonts w:eastAsia="Times New Roman"/>
              </w:rPr>
            </w:pPr>
            <w:r>
              <w:rPr>
                <w:rFonts w:eastAsia="Times New Roman"/>
                <w:color w:val="000000"/>
                <w:sz w:val="20"/>
                <w:szCs w:val="20"/>
              </w:rPr>
              <w:t>13.78%</w:t>
            </w:r>
          </w:p>
        </w:tc>
      </w:tr>
    </w:tbl>
    <w:p w:rsidR="00000000" w:rsidRDefault="00B132B6">
      <w:pPr>
        <w:jc w:val="center"/>
        <w:divId w:val="2121217689"/>
        <w:rPr>
          <w:rFonts w:eastAsia="Times New Roman"/>
        </w:rPr>
      </w:pPr>
      <w:r>
        <w:rPr>
          <w:rFonts w:eastAsia="Times New Roman"/>
          <w:color w:val="000000"/>
          <w:sz w:val="20"/>
          <w:szCs w:val="20"/>
        </w:rPr>
        <w:t>8</w:t>
      </w:r>
    </w:p>
    <w:p w:rsidR="00000000" w:rsidRDefault="00B132B6">
      <w:pPr>
        <w:rPr>
          <w:rFonts w:eastAsia="Times New Roman"/>
        </w:rPr>
      </w:pPr>
      <w:r>
        <w:rPr>
          <w:rFonts w:eastAsia="Times New Roman"/>
        </w:rPr>
        <w:pict>
          <v:rect id="_x0000_i1032" style="width:0;height:1.5pt" o:hralign="center" o:hrstd="t" o:hr="t" fillcolor="#a0a0a0" stroked="f"/>
        </w:pict>
      </w:r>
    </w:p>
    <w:p w:rsidR="00000000" w:rsidRDefault="00B132B6">
      <w:pPr>
        <w:divId w:val="270477407"/>
        <w:rPr>
          <w:rFonts w:eastAsia="Times New Roman"/>
        </w:rPr>
      </w:pPr>
    </w:p>
    <w:p w:rsidR="00000000" w:rsidRDefault="00B132B6">
      <w:pPr>
        <w:ind w:firstLine="720"/>
        <w:jc w:val="both"/>
        <w:divId w:val="888686548"/>
        <w:rPr>
          <w:rFonts w:eastAsia="Times New Roman"/>
        </w:rPr>
      </w:pPr>
      <w:r>
        <w:rPr>
          <w:rFonts w:eastAsia="Times New Roman"/>
          <w:b/>
          <w:bCs/>
          <w:color w:val="000000"/>
          <w:sz w:val="20"/>
          <w:szCs w:val="20"/>
        </w:rPr>
        <w:t xml:space="preserve">Limitations on Interest Rates and Loans to One Borrower. </w:t>
      </w:r>
      <w:r>
        <w:rPr>
          <w:rFonts w:eastAsia="Times New Roman"/>
          <w:color w:val="000000"/>
          <w:sz w:val="20"/>
          <w:szCs w:val="20"/>
        </w:rPr>
        <w:t>The rate of interest a bank may charge on certain classes of loans is limited by state and federal law. At certain times in the past, these limitations have resu</w:t>
      </w:r>
      <w:r>
        <w:rPr>
          <w:rFonts w:eastAsia="Times New Roman"/>
          <w:color w:val="000000"/>
          <w:sz w:val="20"/>
          <w:szCs w:val="20"/>
        </w:rPr>
        <w:t>lted in reductions of net interest margins on certain classes of loans. Federal and state laws impose additional restrictions on the lending activities of banks. The maximum amount that a Missouri state-chartered bank may lend to any one person or entity i</w:t>
      </w:r>
      <w:r>
        <w:rPr>
          <w:rFonts w:eastAsia="Times New Roman"/>
          <w:color w:val="000000"/>
          <w:sz w:val="20"/>
          <w:szCs w:val="20"/>
        </w:rPr>
        <w:t>s generally limited to 15% of the unimpaired capital of the bank located in a city having a population of 100,000 or more, 20% of the unimpaired capital of the bank located in a city having a population of less than 100,000 and over 7,000, and 25% of the u</w:t>
      </w:r>
      <w:r>
        <w:rPr>
          <w:rFonts w:eastAsia="Times New Roman"/>
          <w:color w:val="000000"/>
          <w:sz w:val="20"/>
          <w:szCs w:val="20"/>
        </w:rPr>
        <w:t xml:space="preserve">nimpaired capital of the bank if located elsewhere in the state. In the case of Missouri state-chartered banks with a composite rating of 1 or 2 under the Capital, Assets, Management, Earnings, Liquidity and Sensitivity (CAMELS) rating system, the maximum </w:t>
      </w:r>
      <w:r>
        <w:rPr>
          <w:rFonts w:eastAsia="Times New Roman"/>
          <w:color w:val="000000"/>
          <w:sz w:val="20"/>
          <w:szCs w:val="20"/>
        </w:rPr>
        <w:t>amount is the greater of (i) the limits listed in the foregoing sentence or (ii) 25% of the unimpaired capital of the bank.</w:t>
      </w:r>
    </w:p>
    <w:p w:rsidR="00000000" w:rsidRDefault="00B132B6">
      <w:pPr>
        <w:ind w:firstLine="720"/>
        <w:jc w:val="both"/>
        <w:divId w:val="715860666"/>
        <w:rPr>
          <w:rFonts w:eastAsia="Times New Roman"/>
        </w:rPr>
      </w:pPr>
      <w:r>
        <w:rPr>
          <w:rFonts w:eastAsia="Times New Roman"/>
          <w:b/>
          <w:bCs/>
          <w:color w:val="000000"/>
          <w:sz w:val="20"/>
          <w:szCs w:val="20"/>
        </w:rPr>
        <w:t xml:space="preserve">Payment of Dividends. </w:t>
      </w:r>
      <w:r>
        <w:rPr>
          <w:rFonts w:eastAsia="Times New Roman"/>
          <w:color w:val="000000"/>
          <w:sz w:val="20"/>
          <w:szCs w:val="20"/>
        </w:rPr>
        <w:t>The Company's primary source of funds is dividends from the Bank, and the Bank is subject to federal and state laws limiting the payment of dividends. Under the FDIA, an FDIC-insured institution may not pay dividends while it is undercapitalized or if paym</w:t>
      </w:r>
      <w:r>
        <w:rPr>
          <w:rFonts w:eastAsia="Times New Roman"/>
          <w:color w:val="000000"/>
          <w:sz w:val="20"/>
          <w:szCs w:val="20"/>
        </w:rPr>
        <w:t>ent would cause it to become undercapitalized. The National Bank Act and Missouri banking law also prohibit the declaration of a dividend out of the capital and surplus of the Bank.</w:t>
      </w:r>
    </w:p>
    <w:p w:rsidR="00000000" w:rsidRDefault="00B132B6">
      <w:pPr>
        <w:ind w:firstLine="720"/>
        <w:jc w:val="both"/>
        <w:divId w:val="688723629"/>
        <w:rPr>
          <w:rFonts w:eastAsia="Times New Roman"/>
        </w:rPr>
      </w:pPr>
      <w:r>
        <w:rPr>
          <w:rFonts w:eastAsia="Times New Roman"/>
          <w:b/>
          <w:bCs/>
          <w:color w:val="000000"/>
          <w:sz w:val="20"/>
          <w:szCs w:val="20"/>
        </w:rPr>
        <w:t xml:space="preserve">Community Reinvestment Act. </w:t>
      </w:r>
      <w:r>
        <w:rPr>
          <w:rFonts w:eastAsia="Times New Roman"/>
          <w:color w:val="000000"/>
          <w:sz w:val="20"/>
          <w:szCs w:val="20"/>
        </w:rPr>
        <w:t>The Bank is subject to the Community Reinvestm</w:t>
      </w:r>
      <w:r>
        <w:rPr>
          <w:rFonts w:eastAsia="Times New Roman"/>
          <w:color w:val="000000"/>
          <w:sz w:val="20"/>
          <w:szCs w:val="20"/>
        </w:rPr>
        <w:t>ent Act and implementing regulations. These regulations establish the framework and criteria by which the bank regulatory agencies assess an institution's record of helping to meet the credit needs of its community, including low- and moderate-income neigh</w:t>
      </w:r>
      <w:r>
        <w:rPr>
          <w:rFonts w:eastAsia="Times New Roman"/>
          <w:color w:val="000000"/>
          <w:sz w:val="20"/>
          <w:szCs w:val="20"/>
        </w:rPr>
        <w:t>borhoods. Community Reinvestment Act ratings are taken into account by regulators in reviewing certain applications made by the Company and the Bank.</w:t>
      </w:r>
    </w:p>
    <w:p w:rsidR="00000000" w:rsidRDefault="00B132B6">
      <w:pPr>
        <w:ind w:firstLine="720"/>
        <w:jc w:val="both"/>
        <w:divId w:val="8266377"/>
        <w:rPr>
          <w:rFonts w:eastAsia="Times New Roman"/>
        </w:rPr>
      </w:pPr>
      <w:r>
        <w:rPr>
          <w:rFonts w:eastAsia="Times New Roman"/>
          <w:b/>
          <w:bCs/>
          <w:color w:val="000000"/>
          <w:sz w:val="20"/>
          <w:szCs w:val="20"/>
        </w:rPr>
        <w:t xml:space="preserve">Limitations on Transactions with Affiliates. </w:t>
      </w:r>
      <w:r>
        <w:rPr>
          <w:rFonts w:eastAsia="Times New Roman"/>
          <w:color w:val="000000"/>
          <w:sz w:val="20"/>
          <w:szCs w:val="20"/>
        </w:rPr>
        <w:t>The Company and its non-bank subsidiaries are "affiliates" wi</w:t>
      </w:r>
      <w:r>
        <w:rPr>
          <w:rFonts w:eastAsia="Times New Roman"/>
          <w:color w:val="000000"/>
          <w:sz w:val="20"/>
          <w:szCs w:val="20"/>
        </w:rPr>
        <w:t>thin the meaning of the Federal Reserve Act. The amount of loans or extensions of credit which the Bank may make to non-bank affiliates, or to third parties secured by securities or obligations of the non-bank affiliates, are substantially limited by the F</w:t>
      </w:r>
      <w:r>
        <w:rPr>
          <w:rFonts w:eastAsia="Times New Roman"/>
          <w:color w:val="000000"/>
          <w:sz w:val="20"/>
          <w:szCs w:val="20"/>
        </w:rPr>
        <w:t>ederal Reserve Act and the FDIA. Such acts further restrict the range of permissible transactions between a bank and an affiliated company. A bank and its subsidiaries may engage in certain transactions, including loans and purchases of assets, with an aff</w:t>
      </w:r>
      <w:r>
        <w:rPr>
          <w:rFonts w:eastAsia="Times New Roman"/>
          <w:color w:val="000000"/>
          <w:sz w:val="20"/>
          <w:szCs w:val="20"/>
        </w:rPr>
        <w:t xml:space="preserve">iliated company only if the terms and conditions of the transaction, including credit standards, are substantially the same as, or at least as favorable to the bank as, those prevailing at the time for comparable transactions with non-affiliated companies </w:t>
      </w:r>
      <w:r>
        <w:rPr>
          <w:rFonts w:eastAsia="Times New Roman"/>
          <w:color w:val="000000"/>
          <w:sz w:val="20"/>
          <w:szCs w:val="20"/>
        </w:rPr>
        <w:t>or, in the absence of comparable transactions, on terms and conditions that would be offered to non-affiliated companies.</w:t>
      </w:r>
    </w:p>
    <w:p w:rsidR="00000000" w:rsidRDefault="00B132B6">
      <w:pPr>
        <w:ind w:firstLine="720"/>
        <w:jc w:val="both"/>
        <w:divId w:val="2138328982"/>
        <w:rPr>
          <w:rFonts w:eastAsia="Times New Roman"/>
        </w:rPr>
      </w:pPr>
      <w:r>
        <w:rPr>
          <w:rFonts w:eastAsia="Times New Roman"/>
          <w:b/>
          <w:bCs/>
          <w:color w:val="000000"/>
          <w:sz w:val="20"/>
          <w:szCs w:val="20"/>
        </w:rPr>
        <w:t xml:space="preserve">Other Banking Activities. </w:t>
      </w:r>
      <w:r>
        <w:rPr>
          <w:rFonts w:eastAsia="Times New Roman"/>
          <w:color w:val="000000"/>
          <w:sz w:val="20"/>
          <w:szCs w:val="20"/>
        </w:rPr>
        <w:t>The investments and activities of the Bank are also subject to regulation by federal and state banking agenc</w:t>
      </w:r>
      <w:r>
        <w:rPr>
          <w:rFonts w:eastAsia="Times New Roman"/>
          <w:color w:val="000000"/>
          <w:sz w:val="20"/>
          <w:szCs w:val="20"/>
        </w:rPr>
        <w:t>ies regarding, among other things, investments in subsidiaries, investments for their own account (including limitations on investments in junk bonds and equity securities), loans to officers, directors and their affiliates, security requirements, anti-tyi</w:t>
      </w:r>
      <w:r>
        <w:rPr>
          <w:rFonts w:eastAsia="Times New Roman"/>
          <w:color w:val="000000"/>
          <w:sz w:val="20"/>
          <w:szCs w:val="20"/>
        </w:rPr>
        <w:t>ng limitations, anti-money laundering, financial privacy and customer identity verification requirements, truth-in-lending, the types of interest bearing deposit accounts which it can offer, trust department operations, brokered deposits, audit requirement</w:t>
      </w:r>
      <w:r>
        <w:rPr>
          <w:rFonts w:eastAsia="Times New Roman"/>
          <w:color w:val="000000"/>
          <w:sz w:val="20"/>
          <w:szCs w:val="20"/>
        </w:rPr>
        <w:t>s, issuance of securities, branching and mergers and acquisitions.</w:t>
      </w:r>
    </w:p>
    <w:p w:rsidR="00000000" w:rsidRDefault="00B132B6">
      <w:pPr>
        <w:divId w:val="1429156236"/>
        <w:rPr>
          <w:rFonts w:eastAsia="Times New Roman"/>
        </w:rPr>
      </w:pPr>
      <w:r>
        <w:rPr>
          <w:rFonts w:eastAsia="Times New Roman"/>
          <w:b/>
          <w:bCs/>
          <w:color w:val="000000"/>
          <w:sz w:val="20"/>
          <w:szCs w:val="20"/>
        </w:rPr>
        <w:t>Changes in Laws and Monetary Policies</w:t>
      </w:r>
    </w:p>
    <w:p w:rsidR="00000000" w:rsidRDefault="00B132B6">
      <w:pPr>
        <w:ind w:firstLine="720"/>
        <w:jc w:val="both"/>
        <w:divId w:val="1423524610"/>
        <w:rPr>
          <w:rFonts w:eastAsia="Times New Roman"/>
        </w:rPr>
      </w:pPr>
      <w:r>
        <w:rPr>
          <w:rFonts w:eastAsia="Times New Roman"/>
          <w:b/>
          <w:bCs/>
          <w:color w:val="000000"/>
          <w:sz w:val="20"/>
          <w:szCs w:val="20"/>
        </w:rPr>
        <w:t xml:space="preserve">Recent Legislation. </w:t>
      </w:r>
      <w:r>
        <w:rPr>
          <w:rFonts w:eastAsia="Times New Roman"/>
          <w:color w:val="000000"/>
          <w:sz w:val="20"/>
          <w:szCs w:val="20"/>
        </w:rPr>
        <w:t>Various pieces of legislation, including proposals to change substantially the financial institution regulatory system, are from ti</w:t>
      </w:r>
      <w:r>
        <w:rPr>
          <w:rFonts w:eastAsia="Times New Roman"/>
          <w:color w:val="000000"/>
          <w:sz w:val="20"/>
          <w:szCs w:val="20"/>
        </w:rPr>
        <w:t>me to time introduced and considered by the Missouri state legislature and the U.S. Congress. In July 2010, President Barack Obama signed into law the Dodd-Frank Wall Street Reform and Consumer Protection Act (the "Dodd-Frank Act"), which enacted substanti</w:t>
      </w:r>
      <w:r>
        <w:rPr>
          <w:rFonts w:eastAsia="Times New Roman"/>
          <w:color w:val="000000"/>
          <w:sz w:val="20"/>
          <w:szCs w:val="20"/>
        </w:rPr>
        <w:t>al changes to the legal framework of the entire financial services industry. The Dodd-Frank Act mandates the passage of numerous rules and regulations by various regulatory agencies over the next few years. It also creates the Consumer Financial Protection</w:t>
      </w:r>
      <w:r>
        <w:rPr>
          <w:rFonts w:eastAsia="Times New Roman"/>
          <w:color w:val="000000"/>
          <w:sz w:val="20"/>
          <w:szCs w:val="20"/>
        </w:rPr>
        <w:t xml:space="preserve"> Bureau, which will overtake supervision of most providers of consumer financial products and services, and will be empowered to declare acts or practices related to the delivery of a consumer financial product or service to be "unfair, deceptive or abusiv</w:t>
      </w:r>
      <w:r>
        <w:rPr>
          <w:rFonts w:eastAsia="Times New Roman"/>
          <w:color w:val="000000"/>
          <w:sz w:val="20"/>
          <w:szCs w:val="20"/>
        </w:rPr>
        <w:t>e." This law will continue to change banking regulation and the operating environment of the Company in substantial and unpredictable ways. These changes could increase or decrease the cost of doing business, limit or expand permissible activities or affec</w:t>
      </w:r>
      <w:r>
        <w:rPr>
          <w:rFonts w:eastAsia="Times New Roman"/>
          <w:color w:val="000000"/>
          <w:sz w:val="20"/>
          <w:szCs w:val="20"/>
        </w:rPr>
        <w:t>t the competitive balance among banks, savings associations, credit unions and other financial institutions. The Company cannot predict the impact that the Dodd-Frank Act, and the various regulations issued thereunder will have on its business.</w:t>
      </w:r>
    </w:p>
    <w:p w:rsidR="00000000" w:rsidRDefault="00B132B6">
      <w:pPr>
        <w:ind w:firstLine="720"/>
        <w:jc w:val="both"/>
        <w:divId w:val="921719097"/>
        <w:rPr>
          <w:rFonts w:eastAsia="Times New Roman"/>
        </w:rPr>
      </w:pPr>
      <w:r>
        <w:rPr>
          <w:rFonts w:eastAsia="Times New Roman"/>
          <w:color w:val="000000"/>
          <w:sz w:val="20"/>
          <w:szCs w:val="20"/>
        </w:rPr>
        <w:t>Key provisi</w:t>
      </w:r>
      <w:r>
        <w:rPr>
          <w:rFonts w:eastAsia="Times New Roman"/>
          <w:color w:val="000000"/>
          <w:sz w:val="20"/>
          <w:szCs w:val="20"/>
        </w:rPr>
        <w:t>ons of the EGRRCPA as it relates to community banks and bank holding companies include, but are not limited to: (i) designating mortgages held in portfolio as "qualified mortgages" for banks with less than $10 billion in assets, subject to certain document</w:t>
      </w:r>
      <w:r>
        <w:rPr>
          <w:rFonts w:eastAsia="Times New Roman"/>
          <w:color w:val="000000"/>
          <w:sz w:val="20"/>
          <w:szCs w:val="20"/>
        </w:rPr>
        <w:t xml:space="preserve">ation and product limitations; (ii) exempting banks with less than $10 billion in assets (and total trading assets and trading liabilities of 5% or less of total assets) from Volcker Rule requirements relating to </w:t>
      </w:r>
    </w:p>
    <w:p w:rsidR="00000000" w:rsidRDefault="00B132B6">
      <w:pPr>
        <w:jc w:val="center"/>
        <w:divId w:val="283466156"/>
        <w:rPr>
          <w:rFonts w:eastAsia="Times New Roman"/>
        </w:rPr>
      </w:pPr>
      <w:r>
        <w:rPr>
          <w:rFonts w:eastAsia="Times New Roman"/>
          <w:color w:val="000000"/>
          <w:sz w:val="20"/>
          <w:szCs w:val="20"/>
        </w:rPr>
        <w:t>9</w:t>
      </w:r>
    </w:p>
    <w:p w:rsidR="00000000" w:rsidRDefault="00B132B6">
      <w:pPr>
        <w:rPr>
          <w:rFonts w:eastAsia="Times New Roman"/>
        </w:rPr>
      </w:pPr>
      <w:r>
        <w:rPr>
          <w:rFonts w:eastAsia="Times New Roman"/>
        </w:rPr>
        <w:pict>
          <v:rect id="_x0000_i1033" style="width:0;height:1.5pt" o:hralign="center" o:hrstd="t" o:hr="t" fillcolor="#a0a0a0" stroked="f"/>
        </w:pict>
      </w:r>
    </w:p>
    <w:p w:rsidR="00000000" w:rsidRDefault="00B132B6">
      <w:pPr>
        <w:divId w:val="179585964"/>
        <w:rPr>
          <w:rFonts w:eastAsia="Times New Roman"/>
        </w:rPr>
      </w:pPr>
    </w:p>
    <w:p w:rsidR="00000000" w:rsidRDefault="00B132B6">
      <w:pPr>
        <w:jc w:val="both"/>
        <w:divId w:val="1005133407"/>
        <w:rPr>
          <w:rFonts w:eastAsia="Times New Roman"/>
        </w:rPr>
      </w:pPr>
      <w:r>
        <w:rPr>
          <w:rFonts w:eastAsia="Times New Roman"/>
          <w:color w:val="000000"/>
          <w:sz w:val="20"/>
          <w:szCs w:val="20"/>
        </w:rPr>
        <w:t>pr</w:t>
      </w:r>
      <w:r>
        <w:rPr>
          <w:rFonts w:eastAsia="Times New Roman"/>
          <w:color w:val="000000"/>
          <w:sz w:val="20"/>
          <w:szCs w:val="20"/>
        </w:rPr>
        <w:t>oprietary trading; (iii) simplifying capital calculations for banks with less than $10 billion in assets by requiring federal banking agencies to establish a CBLR of tangible equity to average consolidated assets of not less than 8% or more than 10%, and p</w:t>
      </w:r>
      <w:r>
        <w:rPr>
          <w:rFonts w:eastAsia="Times New Roman"/>
          <w:color w:val="000000"/>
          <w:sz w:val="20"/>
          <w:szCs w:val="20"/>
        </w:rPr>
        <w:t>rovide that banks that maintain tangible equity in excess of such ratio will be deemed to be in compliance with risk-based capital and leverage requirements; (iv) assisting smaller banks with obtaining stable funding by providing an exception for reciproca</w:t>
      </w:r>
      <w:r>
        <w:rPr>
          <w:rFonts w:eastAsia="Times New Roman"/>
          <w:color w:val="000000"/>
          <w:sz w:val="20"/>
          <w:szCs w:val="20"/>
        </w:rPr>
        <w:t xml:space="preserve">l deposits from FDIC restrictions on acceptance of brokered deposits; (v) raising the eligibility for use of short-form Call Reports from $1 billion to $5 billion in assets; (vi) clarifying definitions pertaining to high-volatility commercial real estate, </w:t>
      </w:r>
      <w:r>
        <w:rPr>
          <w:rFonts w:eastAsia="Times New Roman"/>
          <w:color w:val="000000"/>
          <w:sz w:val="20"/>
          <w:szCs w:val="20"/>
        </w:rPr>
        <w:t>which require higher capital allocations, so that only loans with increased risk are subject to higher risk weightings; and (vii) changing the eligibility for use of the small bank holding company policy statement from institutions with under $1 billion in</w:t>
      </w:r>
      <w:r>
        <w:rPr>
          <w:rFonts w:eastAsia="Times New Roman"/>
          <w:color w:val="000000"/>
          <w:sz w:val="20"/>
          <w:szCs w:val="20"/>
        </w:rPr>
        <w:t xml:space="preserve"> assets to institutions with under $3 billion in assets.</w:t>
      </w:r>
    </w:p>
    <w:p w:rsidR="00000000" w:rsidRDefault="00B132B6">
      <w:pPr>
        <w:ind w:firstLine="720"/>
        <w:jc w:val="both"/>
        <w:divId w:val="614681313"/>
        <w:rPr>
          <w:rFonts w:eastAsia="Times New Roman"/>
        </w:rPr>
      </w:pPr>
      <w:r>
        <w:rPr>
          <w:rFonts w:eastAsia="Times New Roman"/>
          <w:b/>
          <w:bCs/>
          <w:color w:val="000000"/>
          <w:sz w:val="20"/>
          <w:szCs w:val="20"/>
        </w:rPr>
        <w:t xml:space="preserve">Fiscal Monetary Policies. </w:t>
      </w:r>
      <w:r>
        <w:rPr>
          <w:rFonts w:eastAsia="Times New Roman"/>
          <w:color w:val="000000"/>
          <w:sz w:val="20"/>
          <w:szCs w:val="20"/>
        </w:rPr>
        <w:t>The Company's business and earnings are affected significantly by the fiscal and monetary policies of the federal government and its agencies. The Company is particularly af</w:t>
      </w:r>
      <w:r>
        <w:rPr>
          <w:rFonts w:eastAsia="Times New Roman"/>
          <w:color w:val="000000"/>
          <w:sz w:val="20"/>
          <w:szCs w:val="20"/>
        </w:rPr>
        <w:t>fected by the policies of the FRB, which regulates the supply of money and credit in the U.S. Among the instruments of monetary policy available to the FRB are:</w:t>
      </w:r>
    </w:p>
    <w:p w:rsidR="00000000" w:rsidRDefault="00B132B6">
      <w:pPr>
        <w:ind w:hanging="360"/>
        <w:jc w:val="both"/>
        <w:divId w:val="1105610359"/>
        <w:rPr>
          <w:rFonts w:eastAsia="Times New Roman"/>
        </w:rPr>
      </w:pPr>
      <w:r>
        <w:rPr>
          <w:rFonts w:eastAsia="Times New Roman"/>
          <w:color w:val="000000"/>
          <w:sz w:val="20"/>
          <w:szCs w:val="20"/>
        </w:rPr>
        <w:t>•conducting open market operations in U.S. government securities;</w:t>
      </w:r>
    </w:p>
    <w:p w:rsidR="00000000" w:rsidRDefault="00B132B6">
      <w:pPr>
        <w:ind w:hanging="360"/>
        <w:jc w:val="both"/>
        <w:divId w:val="1674455314"/>
        <w:rPr>
          <w:rFonts w:eastAsia="Times New Roman"/>
        </w:rPr>
      </w:pPr>
      <w:r>
        <w:rPr>
          <w:rFonts w:eastAsia="Times New Roman"/>
          <w:color w:val="000000"/>
          <w:sz w:val="20"/>
          <w:szCs w:val="20"/>
        </w:rPr>
        <w:t>•</w:t>
      </w:r>
      <w:r>
        <w:rPr>
          <w:rFonts w:eastAsia="Times New Roman"/>
          <w:color w:val="000000"/>
          <w:sz w:val="20"/>
          <w:szCs w:val="20"/>
        </w:rPr>
        <w:t>changing the discount rates of borrowings of depository institutions;</w:t>
      </w:r>
    </w:p>
    <w:p w:rsidR="00000000" w:rsidRDefault="00B132B6">
      <w:pPr>
        <w:ind w:hanging="360"/>
        <w:jc w:val="both"/>
        <w:divId w:val="1027482226"/>
        <w:rPr>
          <w:rFonts w:eastAsia="Times New Roman"/>
        </w:rPr>
      </w:pPr>
      <w:r>
        <w:rPr>
          <w:rFonts w:eastAsia="Times New Roman"/>
          <w:color w:val="000000"/>
          <w:sz w:val="20"/>
          <w:szCs w:val="20"/>
        </w:rPr>
        <w:t>•imposing or changing reserve requirements against depository institutions' deposits; and</w:t>
      </w:r>
    </w:p>
    <w:p w:rsidR="00000000" w:rsidRDefault="00B132B6">
      <w:pPr>
        <w:ind w:hanging="360"/>
        <w:jc w:val="both"/>
        <w:divId w:val="1955942386"/>
        <w:rPr>
          <w:rFonts w:eastAsia="Times New Roman"/>
        </w:rPr>
      </w:pPr>
      <w:r>
        <w:rPr>
          <w:rFonts w:eastAsia="Times New Roman"/>
          <w:color w:val="000000"/>
          <w:sz w:val="20"/>
          <w:szCs w:val="20"/>
        </w:rPr>
        <w:t>•imposing or changing reserve requirements against certain borrowings by bank and their affiliat</w:t>
      </w:r>
      <w:r>
        <w:rPr>
          <w:rFonts w:eastAsia="Times New Roman"/>
          <w:color w:val="000000"/>
          <w:sz w:val="20"/>
          <w:szCs w:val="20"/>
        </w:rPr>
        <w:t>es.</w:t>
      </w:r>
    </w:p>
    <w:p w:rsidR="00000000" w:rsidRDefault="00B132B6">
      <w:pPr>
        <w:ind w:firstLine="720"/>
        <w:jc w:val="both"/>
        <w:divId w:val="400950802"/>
        <w:rPr>
          <w:rFonts w:eastAsia="Times New Roman"/>
        </w:rPr>
      </w:pPr>
      <w:r>
        <w:rPr>
          <w:rFonts w:eastAsia="Times New Roman"/>
          <w:color w:val="000000"/>
          <w:sz w:val="20"/>
          <w:szCs w:val="20"/>
        </w:rPr>
        <w:t>These methods are used in varying degrees and combinations to directly affect the availability of bank loans and deposits, as well as the interest rates charged on loans and paid on deposits. The policies of the FRB have a material effect on the Compan</w:t>
      </w:r>
      <w:r>
        <w:rPr>
          <w:rFonts w:eastAsia="Times New Roman"/>
          <w:color w:val="000000"/>
          <w:sz w:val="20"/>
          <w:szCs w:val="20"/>
        </w:rPr>
        <w:t>y's business, results of operations and financial condition.</w:t>
      </w:r>
    </w:p>
    <w:p w:rsidR="00000000" w:rsidRDefault="00B132B6">
      <w:pPr>
        <w:ind w:firstLine="720"/>
        <w:jc w:val="both"/>
        <w:divId w:val="1896626583"/>
        <w:rPr>
          <w:rFonts w:eastAsia="Times New Roman"/>
        </w:rPr>
      </w:pPr>
      <w:r>
        <w:rPr>
          <w:rFonts w:eastAsia="Times New Roman"/>
          <w:color w:val="000000"/>
          <w:sz w:val="20"/>
          <w:szCs w:val="20"/>
        </w:rPr>
        <w:t>The references in the foregoing discussion to various aspects of statutes and regulation are merely summaries, which do not purport to be complete and which are qualified in their entirety by ref</w:t>
      </w:r>
      <w:r>
        <w:rPr>
          <w:rFonts w:eastAsia="Times New Roman"/>
          <w:color w:val="000000"/>
          <w:sz w:val="20"/>
          <w:szCs w:val="20"/>
        </w:rPr>
        <w:t>erence to the actual statutes and regulations.</w:t>
      </w:r>
    </w:p>
    <w:p w:rsidR="00000000" w:rsidRDefault="00B132B6">
      <w:pPr>
        <w:divId w:val="1708751717"/>
        <w:rPr>
          <w:rFonts w:eastAsia="Times New Roman"/>
        </w:rPr>
      </w:pPr>
      <w:r>
        <w:rPr>
          <w:rFonts w:eastAsia="Times New Roman"/>
          <w:b/>
          <w:bCs/>
          <w:color w:val="000000"/>
          <w:sz w:val="20"/>
          <w:szCs w:val="20"/>
        </w:rPr>
        <w:t>Available Information</w:t>
      </w:r>
    </w:p>
    <w:p w:rsidR="00000000" w:rsidRDefault="00B132B6">
      <w:pPr>
        <w:ind w:firstLine="720"/>
        <w:jc w:val="both"/>
        <w:divId w:val="2141536287"/>
        <w:rPr>
          <w:rFonts w:eastAsia="Times New Roman"/>
        </w:rPr>
      </w:pPr>
      <w:r>
        <w:rPr>
          <w:rFonts w:eastAsia="Times New Roman"/>
          <w:color w:val="000000"/>
          <w:sz w:val="20"/>
          <w:szCs w:val="20"/>
        </w:rPr>
        <w:t xml:space="preserve">The address of the Company's principal executive offices is 132 East High Street, Jefferson City, Missouri 65101 and the telephone number at this location is (573)761-6100. The Company's </w:t>
      </w:r>
      <w:r>
        <w:rPr>
          <w:rFonts w:eastAsia="Times New Roman"/>
          <w:color w:val="000000"/>
          <w:sz w:val="20"/>
          <w:szCs w:val="20"/>
        </w:rPr>
        <w:t>common stock trades on the Nasdaq Global Select Market under the symbol "HWBK".</w:t>
      </w:r>
    </w:p>
    <w:p w:rsidR="00000000" w:rsidRDefault="00B132B6">
      <w:pPr>
        <w:ind w:firstLine="720"/>
        <w:jc w:val="both"/>
        <w:divId w:val="1848060296"/>
        <w:rPr>
          <w:rFonts w:eastAsia="Times New Roman"/>
        </w:rPr>
      </w:pPr>
      <w:r>
        <w:rPr>
          <w:rFonts w:eastAsia="Times New Roman"/>
          <w:color w:val="000000"/>
          <w:sz w:val="20"/>
          <w:szCs w:val="20"/>
        </w:rPr>
        <w:t>We electronically file certain documents with the Securities and Exchange Commission (the "SEC"). We file annual reports on Form 10-K, quarterly reports on Form 10-Q, current r</w:t>
      </w:r>
      <w:r>
        <w:rPr>
          <w:rFonts w:eastAsia="Times New Roman"/>
          <w:color w:val="000000"/>
          <w:sz w:val="20"/>
          <w:szCs w:val="20"/>
        </w:rPr>
        <w:t>eports on Form 8-K (as appropriate), along with any related amendments and supplements. From time-to-time, we also may file registration and related statements pertaining to equity or debt offerings. You may read and download the Company's SEC filings over</w:t>
      </w:r>
      <w:r>
        <w:rPr>
          <w:rFonts w:eastAsia="Times New Roman"/>
          <w:color w:val="000000"/>
          <w:sz w:val="20"/>
          <w:szCs w:val="20"/>
        </w:rPr>
        <w:t xml:space="preserve"> the internet from several commercial document retrieval services as well as at the SEC's internet website (www.sec.gov). </w:t>
      </w:r>
    </w:p>
    <w:p w:rsidR="00000000" w:rsidRDefault="00B132B6">
      <w:pPr>
        <w:ind w:firstLine="720"/>
        <w:jc w:val="both"/>
        <w:divId w:val="1713266983"/>
        <w:rPr>
          <w:rFonts w:eastAsia="Times New Roman"/>
        </w:rPr>
      </w:pPr>
      <w:r>
        <w:rPr>
          <w:rFonts w:eastAsia="Times New Roman"/>
          <w:color w:val="000000"/>
          <w:sz w:val="20"/>
          <w:szCs w:val="20"/>
        </w:rPr>
        <w:t>The Company's internet website address is www.hawthornbancshares.com. Under the "Documents" menu tab of our website, we make availabl</w:t>
      </w:r>
      <w:r>
        <w:rPr>
          <w:rFonts w:eastAsia="Times New Roman"/>
          <w:color w:val="000000"/>
          <w:sz w:val="20"/>
          <w:szCs w:val="20"/>
        </w:rPr>
        <w:t xml:space="preserve">e, without charge, the Company's public filings with the SEC, including the Annual Report on Form 10-K, Quarterly Reports on Form 10-Q, Current Reports on Form 8-K, or any amendments to those reports filed or furnished to the SEC pursuant to Section 13(a) </w:t>
      </w:r>
      <w:r>
        <w:rPr>
          <w:rFonts w:eastAsia="Times New Roman"/>
          <w:color w:val="000000"/>
          <w:sz w:val="20"/>
          <w:szCs w:val="20"/>
        </w:rPr>
        <w:t>of the Securities Exchange Act of 1934, as amended (the "Exchange Act"). Please note that any internet addresses provided in this report are for information purposes only and are not intended to be hyperlinks. Accordingly, no information found and/or provi</w:t>
      </w:r>
      <w:r>
        <w:rPr>
          <w:rFonts w:eastAsia="Times New Roman"/>
          <w:color w:val="000000"/>
          <w:sz w:val="20"/>
          <w:szCs w:val="20"/>
        </w:rPr>
        <w:t>ded at such internet addresses is intended or deemed to be incorporated by reference herein.</w:t>
      </w:r>
    </w:p>
    <w:p w:rsidR="00000000" w:rsidRDefault="00B132B6">
      <w:pPr>
        <w:divId w:val="761877066"/>
        <w:rPr>
          <w:rFonts w:eastAsia="Times New Roman"/>
        </w:rPr>
      </w:pPr>
      <w:r>
        <w:rPr>
          <w:rFonts w:eastAsia="Times New Roman"/>
          <w:b/>
          <w:bCs/>
          <w:color w:val="000000"/>
          <w:sz w:val="20"/>
          <w:szCs w:val="20"/>
          <w:u w:val="single"/>
        </w:rPr>
        <w:t>Item 1A</w:t>
      </w:r>
      <w:r>
        <w:rPr>
          <w:rFonts w:eastAsia="Times New Roman"/>
          <w:b/>
          <w:bCs/>
          <w:color w:val="000000"/>
          <w:sz w:val="20"/>
          <w:szCs w:val="20"/>
        </w:rPr>
        <w:t xml:space="preserve">. </w:t>
      </w:r>
      <w:r>
        <w:rPr>
          <w:rFonts w:eastAsia="Times New Roman"/>
          <w:b/>
          <w:bCs/>
          <w:color w:val="000000"/>
          <w:sz w:val="20"/>
          <w:szCs w:val="20"/>
          <w:u w:val="single"/>
        </w:rPr>
        <w:t>Risk Factors</w:t>
      </w:r>
      <w:r>
        <w:rPr>
          <w:rFonts w:eastAsia="Times New Roman"/>
          <w:b/>
          <w:bCs/>
          <w:color w:val="000000"/>
          <w:sz w:val="20"/>
          <w:szCs w:val="20"/>
        </w:rPr>
        <w:t>.</w:t>
      </w:r>
    </w:p>
    <w:p w:rsidR="00000000" w:rsidRDefault="00B132B6">
      <w:pPr>
        <w:divId w:val="1963077195"/>
        <w:rPr>
          <w:rFonts w:eastAsia="Times New Roman"/>
        </w:rPr>
      </w:pPr>
      <w:r>
        <w:rPr>
          <w:rFonts w:eastAsia="Times New Roman"/>
          <w:b/>
          <w:bCs/>
          <w:color w:val="000000"/>
          <w:sz w:val="20"/>
          <w:szCs w:val="20"/>
        </w:rPr>
        <w:t>Risk Factors</w:t>
      </w:r>
    </w:p>
    <w:p w:rsidR="00000000" w:rsidRDefault="00B132B6">
      <w:pPr>
        <w:ind w:firstLine="720"/>
        <w:jc w:val="both"/>
        <w:divId w:val="352460982"/>
        <w:rPr>
          <w:rFonts w:eastAsia="Times New Roman"/>
        </w:rPr>
      </w:pPr>
      <w:r>
        <w:rPr>
          <w:rFonts w:eastAsia="Times New Roman"/>
          <w:color w:val="000000"/>
          <w:sz w:val="20"/>
          <w:szCs w:val="20"/>
        </w:rPr>
        <w:t>We are identifying important risks and uncertainties that could affect the Company's results of operations, financial condition</w:t>
      </w:r>
      <w:r>
        <w:rPr>
          <w:rFonts w:eastAsia="Times New Roman"/>
          <w:color w:val="000000"/>
          <w:sz w:val="20"/>
          <w:szCs w:val="20"/>
        </w:rPr>
        <w:t xml:space="preserve"> or business and that could cause them to differ materially from the Company's historical results of operations, financial condition or business, or those contemplated by forward-looking statements made herein or elsewhere, by, or on behalf of, the Company</w:t>
      </w:r>
      <w:r>
        <w:rPr>
          <w:rFonts w:eastAsia="Times New Roman"/>
          <w:color w:val="000000"/>
          <w:sz w:val="20"/>
          <w:szCs w:val="20"/>
        </w:rPr>
        <w:t>. Factors that could cause or contribute to such differences include, but are not limited to, those factors described below. The risk factors highlighted below are not necessarily the only ones that the Company faces.</w:t>
      </w:r>
    </w:p>
    <w:p w:rsidR="00000000" w:rsidRDefault="00B132B6">
      <w:pPr>
        <w:jc w:val="center"/>
        <w:divId w:val="1701201793"/>
        <w:rPr>
          <w:rFonts w:eastAsia="Times New Roman"/>
        </w:rPr>
      </w:pPr>
      <w:r>
        <w:rPr>
          <w:rFonts w:eastAsia="Times New Roman"/>
          <w:color w:val="000000"/>
          <w:sz w:val="20"/>
          <w:szCs w:val="20"/>
        </w:rPr>
        <w:t>10</w:t>
      </w:r>
    </w:p>
    <w:p w:rsidR="00000000" w:rsidRDefault="00B132B6">
      <w:pPr>
        <w:rPr>
          <w:rFonts w:eastAsia="Times New Roman"/>
        </w:rPr>
      </w:pPr>
      <w:r>
        <w:rPr>
          <w:rFonts w:eastAsia="Times New Roman"/>
        </w:rPr>
        <w:pict>
          <v:rect id="_x0000_i1034" style="width:0;height:1.5pt" o:hralign="center" o:hrstd="t" o:hr="t" fillcolor="#a0a0a0" stroked="f"/>
        </w:pict>
      </w:r>
    </w:p>
    <w:p w:rsidR="00000000" w:rsidRDefault="00B132B6">
      <w:pPr>
        <w:divId w:val="118643525"/>
        <w:rPr>
          <w:rFonts w:eastAsia="Times New Roman"/>
        </w:rPr>
      </w:pPr>
    </w:p>
    <w:p w:rsidR="00000000" w:rsidRDefault="00B132B6">
      <w:pPr>
        <w:divId w:val="500042992"/>
        <w:rPr>
          <w:rFonts w:eastAsia="Times New Roman"/>
        </w:rPr>
      </w:pPr>
      <w:r>
        <w:rPr>
          <w:rFonts w:eastAsia="Times New Roman"/>
          <w:b/>
          <w:bCs/>
          <w:color w:val="000000"/>
          <w:sz w:val="20"/>
          <w:szCs w:val="20"/>
          <w:u w:val="single"/>
        </w:rPr>
        <w:t>Risks Relating to Our Business and Market</w:t>
      </w:r>
    </w:p>
    <w:p w:rsidR="00000000" w:rsidRDefault="00B132B6">
      <w:pPr>
        <w:ind w:firstLine="720"/>
        <w:jc w:val="both"/>
        <w:divId w:val="1865820780"/>
        <w:rPr>
          <w:rFonts w:eastAsia="Times New Roman"/>
        </w:rPr>
      </w:pPr>
      <w:r>
        <w:rPr>
          <w:rFonts w:eastAsia="Times New Roman"/>
          <w:b/>
          <w:bCs/>
          <w:color w:val="000000"/>
          <w:sz w:val="20"/>
          <w:szCs w:val="20"/>
        </w:rPr>
        <w:t>Public Health Threats or Outbreaks of Communicable Diseases May Adversely Affect the Company's Operations and Financial Results.</w:t>
      </w:r>
      <w:r>
        <w:rPr>
          <w:rFonts w:eastAsia="Times New Roman"/>
          <w:color w:val="000000"/>
          <w:sz w:val="20"/>
          <w:szCs w:val="20"/>
        </w:rPr>
        <w:t xml:space="preserve"> The Company and the Bank may face risks related</w:t>
      </w:r>
      <w:r>
        <w:rPr>
          <w:rFonts w:eastAsia="Times New Roman"/>
          <w:color w:val="000000"/>
          <w:sz w:val="20"/>
          <w:szCs w:val="20"/>
        </w:rPr>
        <w:t xml:space="preserve"> to public health threats or outbreaks of communicable diseases. A widespread healthcare crisis, such as an outbreak of a communicable disease could adversely affect the global economy and the Company's financial performance. For example, COVID-19 pandemic</w:t>
      </w:r>
      <w:r>
        <w:rPr>
          <w:rFonts w:eastAsia="Times New Roman"/>
          <w:color w:val="000000"/>
          <w:sz w:val="20"/>
          <w:szCs w:val="20"/>
        </w:rPr>
        <w:t xml:space="preserve"> destabilized the financial markets in which the Bank operates, and the effects of the pandemic continue to cause disruption in the global economies and financial markets, including the Bank's local markets. The Company and the Bank are dependent upon the </w:t>
      </w:r>
      <w:r>
        <w:rPr>
          <w:rFonts w:eastAsia="Times New Roman"/>
          <w:color w:val="000000"/>
          <w:sz w:val="20"/>
          <w:szCs w:val="20"/>
        </w:rPr>
        <w:t>willingness and ability of the Bank's customers to conduct banking and other financial transactions, which could be limited in the event of a disease outbreak or pandemic. For example, in reaction to and as a preventative measure to attempt to slow the spr</w:t>
      </w:r>
      <w:r>
        <w:rPr>
          <w:rFonts w:eastAsia="Times New Roman"/>
          <w:color w:val="000000"/>
          <w:sz w:val="20"/>
          <w:szCs w:val="20"/>
        </w:rPr>
        <w:t>ead of COVID-19, government authorities in many states and municipalities implemented mandatory closures, shelter-in-place orders, and social distancing protocols, including orders within many of the geographic areas that the Bank operates. Although the Ba</w:t>
      </w:r>
      <w:r>
        <w:rPr>
          <w:rFonts w:eastAsia="Times New Roman"/>
          <w:color w:val="000000"/>
          <w:sz w:val="20"/>
          <w:szCs w:val="20"/>
        </w:rPr>
        <w:t>nk is typically considered an essential business, access to its branches and office locations may be restricted at times for the safety of its employees and customers. Limiting customer access to the Bank's physical business could prevent some customers fr</w:t>
      </w:r>
      <w:r>
        <w:rPr>
          <w:rFonts w:eastAsia="Times New Roman"/>
          <w:color w:val="000000"/>
          <w:sz w:val="20"/>
          <w:szCs w:val="20"/>
        </w:rPr>
        <w:t>om transacting with the Bank and lower demand for lending and other services offered by the Bank, adversely affecting the Bank's and the Company's cash flows, financial condition, results of operations, profitability and asset quality for an indefinite per</w:t>
      </w:r>
      <w:r>
        <w:rPr>
          <w:rFonts w:eastAsia="Times New Roman"/>
          <w:color w:val="000000"/>
          <w:sz w:val="20"/>
          <w:szCs w:val="20"/>
        </w:rPr>
        <w:t>iod of time. This could have a material adverse effect on the Bank's and Company's results of operations, financial condition, and liquidity. A resurgence of the COVID-19 pandemic, or the outbreak of another illness, disease or virus, and efforts to contai</w:t>
      </w:r>
      <w:r>
        <w:rPr>
          <w:rFonts w:eastAsia="Times New Roman"/>
          <w:color w:val="000000"/>
          <w:sz w:val="20"/>
          <w:szCs w:val="20"/>
        </w:rPr>
        <w:t>n such pandemic or outbreak could:</w:t>
      </w:r>
    </w:p>
    <w:p w:rsidR="00000000" w:rsidRDefault="00B132B6">
      <w:pPr>
        <w:ind w:hanging="360"/>
        <w:jc w:val="both"/>
        <w:divId w:val="4328954"/>
        <w:rPr>
          <w:rFonts w:eastAsia="Times New Roman"/>
        </w:rPr>
      </w:pPr>
      <w:r>
        <w:rPr>
          <w:rFonts w:eastAsia="Times New Roman"/>
          <w:color w:val="000000"/>
          <w:sz w:val="20"/>
          <w:szCs w:val="20"/>
        </w:rPr>
        <w:t>•negatively impact customer demand of the Bank's lending and related services;</w:t>
      </w:r>
    </w:p>
    <w:p w:rsidR="00000000" w:rsidRDefault="00B132B6">
      <w:pPr>
        <w:ind w:hanging="360"/>
        <w:jc w:val="both"/>
        <w:divId w:val="792676609"/>
        <w:rPr>
          <w:rFonts w:eastAsia="Times New Roman"/>
        </w:rPr>
      </w:pPr>
      <w:r>
        <w:rPr>
          <w:rFonts w:eastAsia="Times New Roman"/>
          <w:color w:val="000000"/>
          <w:sz w:val="20"/>
          <w:szCs w:val="20"/>
        </w:rPr>
        <w:t>•cause the Bank to experience an increase in costs as a result of the Bank implementing operational changes to accommodate its newly-remote wo</w:t>
      </w:r>
      <w:r>
        <w:rPr>
          <w:rFonts w:eastAsia="Times New Roman"/>
          <w:color w:val="000000"/>
          <w:sz w:val="20"/>
          <w:szCs w:val="20"/>
        </w:rPr>
        <w:t>rkforce;</w:t>
      </w:r>
    </w:p>
    <w:p w:rsidR="00000000" w:rsidRDefault="00B132B6">
      <w:pPr>
        <w:ind w:hanging="360"/>
        <w:jc w:val="both"/>
        <w:divId w:val="1030230200"/>
        <w:rPr>
          <w:rFonts w:eastAsia="Times New Roman"/>
        </w:rPr>
      </w:pPr>
      <w:r>
        <w:rPr>
          <w:rFonts w:eastAsia="Times New Roman"/>
          <w:color w:val="000000"/>
          <w:sz w:val="20"/>
          <w:szCs w:val="20"/>
        </w:rPr>
        <w:t>•cause delayed payments from customers and uncollectible accounts, defaults, foreclosures, and declining collateral values, resulting in losses to the Bank and the Company;</w:t>
      </w:r>
    </w:p>
    <w:p w:rsidR="00000000" w:rsidRDefault="00B132B6">
      <w:pPr>
        <w:ind w:hanging="360"/>
        <w:jc w:val="both"/>
        <w:divId w:val="1895659378"/>
        <w:rPr>
          <w:rFonts w:eastAsia="Times New Roman"/>
        </w:rPr>
      </w:pPr>
      <w:r>
        <w:rPr>
          <w:rFonts w:eastAsia="Times New Roman"/>
          <w:color w:val="000000"/>
          <w:sz w:val="20"/>
          <w:szCs w:val="20"/>
        </w:rPr>
        <w:t>•result in losses on the Bank's investment portfolio, due to volatility in</w:t>
      </w:r>
      <w:r>
        <w:rPr>
          <w:rFonts w:eastAsia="Times New Roman"/>
          <w:color w:val="000000"/>
          <w:sz w:val="20"/>
          <w:szCs w:val="20"/>
        </w:rPr>
        <w:t xml:space="preserve"> the markets and lower trading volume driven by economic uncertainty;</w:t>
      </w:r>
    </w:p>
    <w:p w:rsidR="00000000" w:rsidRDefault="00B132B6">
      <w:pPr>
        <w:ind w:hanging="360"/>
        <w:jc w:val="both"/>
        <w:divId w:val="2082946907"/>
        <w:rPr>
          <w:rFonts w:eastAsia="Times New Roman"/>
        </w:rPr>
      </w:pPr>
      <w:r>
        <w:rPr>
          <w:rFonts w:eastAsia="Times New Roman"/>
          <w:color w:val="000000"/>
          <w:sz w:val="20"/>
          <w:szCs w:val="20"/>
        </w:rPr>
        <w:t>•cause market interest rates to continue to decline, which could adversely affect the Bank's and the Company's net interest income and profitability;</w:t>
      </w:r>
    </w:p>
    <w:p w:rsidR="00000000" w:rsidRDefault="00B132B6">
      <w:pPr>
        <w:ind w:hanging="360"/>
        <w:jc w:val="both"/>
        <w:divId w:val="571933269"/>
        <w:rPr>
          <w:rFonts w:eastAsia="Times New Roman"/>
        </w:rPr>
      </w:pPr>
      <w:r>
        <w:rPr>
          <w:rFonts w:eastAsia="Times New Roman"/>
          <w:color w:val="000000"/>
          <w:sz w:val="20"/>
          <w:szCs w:val="20"/>
        </w:rPr>
        <w:t>•cause the Bank's credit losses to g</w:t>
      </w:r>
      <w:r>
        <w:rPr>
          <w:rFonts w:eastAsia="Times New Roman"/>
          <w:color w:val="000000"/>
          <w:sz w:val="20"/>
          <w:szCs w:val="20"/>
        </w:rPr>
        <w:t>row substantially; and</w:t>
      </w:r>
    </w:p>
    <w:p w:rsidR="00000000" w:rsidRDefault="00B132B6">
      <w:pPr>
        <w:ind w:hanging="360"/>
        <w:jc w:val="both"/>
        <w:divId w:val="253560418"/>
        <w:rPr>
          <w:rFonts w:eastAsia="Times New Roman"/>
        </w:rPr>
      </w:pPr>
      <w:r>
        <w:rPr>
          <w:rFonts w:eastAsia="Times New Roman"/>
          <w:color w:val="000000"/>
          <w:sz w:val="20"/>
          <w:szCs w:val="20"/>
        </w:rPr>
        <w:t>•impact availability of qualified personnel.</w:t>
      </w:r>
    </w:p>
    <w:p w:rsidR="00000000" w:rsidRDefault="00B132B6">
      <w:pPr>
        <w:ind w:firstLine="720"/>
        <w:jc w:val="both"/>
        <w:divId w:val="1461067335"/>
        <w:rPr>
          <w:rFonts w:eastAsia="Times New Roman"/>
        </w:rPr>
      </w:pPr>
      <w:r>
        <w:rPr>
          <w:rFonts w:eastAsia="Times New Roman"/>
          <w:color w:val="000000"/>
          <w:sz w:val="20"/>
          <w:szCs w:val="20"/>
        </w:rPr>
        <w:t xml:space="preserve">The ultimate extent of the COVID-19 pandemic's negative impact on the Bank and the Company are highly uncertain and cannot be predicted. Beyond the recent COVID-19 pandemic, the potential </w:t>
      </w:r>
      <w:r>
        <w:rPr>
          <w:rFonts w:eastAsia="Times New Roman"/>
          <w:color w:val="000000"/>
          <w:sz w:val="20"/>
          <w:szCs w:val="20"/>
        </w:rPr>
        <w:t>impacts of epidemics, pandemics, or other outbreaks of an illness, disease, or virus could therefore materially and adversely affect the Bank's and the Company's business, revenue, operations, financial condition, liquidity and cash flows.</w:t>
      </w:r>
    </w:p>
    <w:p w:rsidR="00000000" w:rsidRDefault="00B132B6">
      <w:pPr>
        <w:ind w:firstLine="720"/>
        <w:jc w:val="both"/>
        <w:divId w:val="422070094"/>
        <w:rPr>
          <w:rFonts w:eastAsia="Times New Roman"/>
        </w:rPr>
      </w:pPr>
      <w:r>
        <w:rPr>
          <w:rFonts w:eastAsia="Times New Roman"/>
          <w:b/>
          <w:bCs/>
          <w:color w:val="000000"/>
          <w:sz w:val="20"/>
          <w:szCs w:val="20"/>
        </w:rPr>
        <w:t>Because We Prima</w:t>
      </w:r>
      <w:r>
        <w:rPr>
          <w:rFonts w:eastAsia="Times New Roman"/>
          <w:b/>
          <w:bCs/>
          <w:color w:val="000000"/>
          <w:sz w:val="20"/>
          <w:szCs w:val="20"/>
        </w:rPr>
        <w:t>rily Serve Central and West Central Missouri, a Decline in the Local Economic Conditions Could Lower the Company's Profitability.</w:t>
      </w:r>
      <w:r>
        <w:rPr>
          <w:rFonts w:eastAsia="Times New Roman"/>
          <w:color w:val="000000"/>
          <w:sz w:val="20"/>
          <w:szCs w:val="20"/>
        </w:rPr>
        <w:t xml:space="preserve"> The profitability of the Company is dependent on the profitability of the Bank, which operates out of central and west-central</w:t>
      </w:r>
      <w:r>
        <w:rPr>
          <w:rFonts w:eastAsia="Times New Roman"/>
          <w:color w:val="000000"/>
          <w:sz w:val="20"/>
          <w:szCs w:val="20"/>
        </w:rPr>
        <w:t xml:space="preserve"> Missouri. The financial condition of the Bank is affected by slowing or recessionary economic conditions and business activity prevailing in the portion of Missouri in which its operations are located. Although our customers' business and financial intere</w:t>
      </w:r>
      <w:r>
        <w:rPr>
          <w:rFonts w:eastAsia="Times New Roman"/>
          <w:color w:val="000000"/>
          <w:sz w:val="20"/>
          <w:szCs w:val="20"/>
        </w:rPr>
        <w:t>sts may extend well beyond our market areas, the financial conditions of both the Company and the Bank would be adversely affected by deterioration in the general economic and real estate climate in Missouri.</w:t>
      </w:r>
    </w:p>
    <w:p w:rsidR="00000000" w:rsidRDefault="00B132B6">
      <w:pPr>
        <w:ind w:firstLine="720"/>
        <w:jc w:val="both"/>
        <w:divId w:val="570894469"/>
        <w:rPr>
          <w:rFonts w:eastAsia="Times New Roman"/>
        </w:rPr>
      </w:pPr>
      <w:r>
        <w:rPr>
          <w:rFonts w:eastAsia="Times New Roman"/>
          <w:color w:val="000000"/>
          <w:sz w:val="20"/>
          <w:szCs w:val="20"/>
        </w:rPr>
        <w:t>An increase in unemployment, a decrease in prof</w:t>
      </w:r>
      <w:r>
        <w:rPr>
          <w:rFonts w:eastAsia="Times New Roman"/>
          <w:color w:val="000000"/>
          <w:sz w:val="20"/>
          <w:szCs w:val="20"/>
        </w:rPr>
        <w:t>itability of regional businesses or real estate values, or an increase in interest rates are among the factors that could weaken the local economy. With a weaker local economy:</w:t>
      </w:r>
    </w:p>
    <w:p w:rsidR="00000000" w:rsidRDefault="00B132B6">
      <w:pPr>
        <w:ind w:hanging="360"/>
        <w:jc w:val="both"/>
        <w:divId w:val="143670375"/>
        <w:rPr>
          <w:rFonts w:eastAsia="Times New Roman"/>
        </w:rPr>
      </w:pPr>
      <w:r>
        <w:rPr>
          <w:rFonts w:eastAsia="Times New Roman"/>
          <w:color w:val="000000"/>
          <w:sz w:val="20"/>
          <w:szCs w:val="20"/>
        </w:rPr>
        <w:t>•customers may not want or need the products and services of the Bank,</w:t>
      </w:r>
    </w:p>
    <w:p w:rsidR="00000000" w:rsidRDefault="00B132B6">
      <w:pPr>
        <w:ind w:hanging="360"/>
        <w:jc w:val="both"/>
        <w:divId w:val="1749840809"/>
        <w:rPr>
          <w:rFonts w:eastAsia="Times New Roman"/>
        </w:rPr>
      </w:pPr>
      <w:r>
        <w:rPr>
          <w:rFonts w:eastAsia="Times New Roman"/>
          <w:color w:val="000000"/>
          <w:sz w:val="20"/>
          <w:szCs w:val="20"/>
        </w:rPr>
        <w:t>•borrowe</w:t>
      </w:r>
      <w:r>
        <w:rPr>
          <w:rFonts w:eastAsia="Times New Roman"/>
          <w:color w:val="000000"/>
          <w:sz w:val="20"/>
          <w:szCs w:val="20"/>
        </w:rPr>
        <w:t>rs may be unable to repay their loans,</w:t>
      </w:r>
    </w:p>
    <w:p w:rsidR="00000000" w:rsidRDefault="00B132B6">
      <w:pPr>
        <w:ind w:hanging="360"/>
        <w:jc w:val="both"/>
        <w:divId w:val="909926777"/>
        <w:rPr>
          <w:rFonts w:eastAsia="Times New Roman"/>
        </w:rPr>
      </w:pPr>
      <w:r>
        <w:rPr>
          <w:rFonts w:eastAsia="Times New Roman"/>
          <w:color w:val="000000"/>
          <w:sz w:val="20"/>
          <w:szCs w:val="20"/>
        </w:rPr>
        <w:t>•the value of the collateral security of the Bank's loans to borrowers may decline,</w:t>
      </w:r>
    </w:p>
    <w:p w:rsidR="00000000" w:rsidRDefault="00B132B6">
      <w:pPr>
        <w:ind w:hanging="360"/>
        <w:jc w:val="both"/>
        <w:divId w:val="330377917"/>
        <w:rPr>
          <w:rFonts w:eastAsia="Times New Roman"/>
        </w:rPr>
      </w:pPr>
      <w:r>
        <w:rPr>
          <w:rFonts w:eastAsia="Times New Roman"/>
          <w:color w:val="000000"/>
          <w:sz w:val="20"/>
          <w:szCs w:val="20"/>
        </w:rPr>
        <w:t>•the number of loan delinquencies and foreclosures may increase, and</w:t>
      </w:r>
    </w:p>
    <w:p w:rsidR="00000000" w:rsidRDefault="00B132B6">
      <w:pPr>
        <w:jc w:val="center"/>
        <w:divId w:val="653483933"/>
        <w:rPr>
          <w:rFonts w:eastAsia="Times New Roman"/>
        </w:rPr>
      </w:pPr>
      <w:r>
        <w:rPr>
          <w:rFonts w:eastAsia="Times New Roman"/>
          <w:color w:val="000000"/>
          <w:sz w:val="20"/>
          <w:szCs w:val="20"/>
        </w:rPr>
        <w:t>11</w:t>
      </w:r>
    </w:p>
    <w:p w:rsidR="00000000" w:rsidRDefault="00B132B6">
      <w:pPr>
        <w:rPr>
          <w:rFonts w:eastAsia="Times New Roman"/>
        </w:rPr>
      </w:pPr>
      <w:r>
        <w:rPr>
          <w:rFonts w:eastAsia="Times New Roman"/>
        </w:rPr>
        <w:pict>
          <v:rect id="_x0000_i1035" style="width:0;height:1.5pt" o:hralign="center" o:hrstd="t" o:hr="t" fillcolor="#a0a0a0" stroked="f"/>
        </w:pict>
      </w:r>
    </w:p>
    <w:p w:rsidR="00000000" w:rsidRDefault="00B132B6">
      <w:pPr>
        <w:divId w:val="1670864124"/>
        <w:rPr>
          <w:rFonts w:eastAsia="Times New Roman"/>
        </w:rPr>
      </w:pPr>
    </w:p>
    <w:p w:rsidR="00000000" w:rsidRDefault="00B132B6">
      <w:pPr>
        <w:ind w:hanging="360"/>
        <w:jc w:val="both"/>
        <w:divId w:val="1270308987"/>
        <w:rPr>
          <w:rFonts w:eastAsia="Times New Roman"/>
        </w:rPr>
      </w:pPr>
      <w:r>
        <w:rPr>
          <w:rFonts w:eastAsia="Times New Roman"/>
          <w:color w:val="000000"/>
          <w:sz w:val="20"/>
          <w:szCs w:val="20"/>
        </w:rPr>
        <w:t>•the overall quality o</w:t>
      </w:r>
      <w:r>
        <w:rPr>
          <w:rFonts w:eastAsia="Times New Roman"/>
          <w:color w:val="000000"/>
          <w:sz w:val="20"/>
          <w:szCs w:val="20"/>
        </w:rPr>
        <w:t>f the Bank's loan portfolio may decline.</w:t>
      </w:r>
    </w:p>
    <w:p w:rsidR="00000000" w:rsidRDefault="00B132B6">
      <w:pPr>
        <w:ind w:firstLine="720"/>
        <w:jc w:val="both"/>
        <w:divId w:val="1904679856"/>
        <w:rPr>
          <w:rFonts w:eastAsia="Times New Roman"/>
        </w:rPr>
      </w:pPr>
      <w:r>
        <w:rPr>
          <w:rFonts w:eastAsia="Times New Roman"/>
          <w:color w:val="000000"/>
          <w:sz w:val="20"/>
          <w:szCs w:val="20"/>
        </w:rPr>
        <w:t>Originating mortgage loans and consumer loans are a significant source of profits for the Bank. If individual customers in the local area do not want or need these loans, profits may decrease. Although the Bank coul</w:t>
      </w:r>
      <w:r>
        <w:rPr>
          <w:rFonts w:eastAsia="Times New Roman"/>
          <w:color w:val="000000"/>
          <w:sz w:val="20"/>
          <w:szCs w:val="20"/>
        </w:rPr>
        <w:t>d make other investments, the Bank may earn less revenue on these investments than on loans. Additionally, the Bank's losses on loans may increase if borrowers are unable to make payments on their loans.</w:t>
      </w:r>
    </w:p>
    <w:p w:rsidR="00000000" w:rsidRDefault="00B132B6">
      <w:pPr>
        <w:ind w:firstLine="720"/>
        <w:jc w:val="both"/>
        <w:divId w:val="810757371"/>
        <w:rPr>
          <w:rFonts w:eastAsia="Times New Roman"/>
        </w:rPr>
      </w:pPr>
      <w:r>
        <w:rPr>
          <w:rFonts w:eastAsia="Times New Roman"/>
          <w:b/>
          <w:bCs/>
          <w:color w:val="000000"/>
          <w:sz w:val="20"/>
          <w:szCs w:val="20"/>
        </w:rPr>
        <w:t>Interest Rate Changes May Reduce the Profitability o</w:t>
      </w:r>
      <w:r>
        <w:rPr>
          <w:rFonts w:eastAsia="Times New Roman"/>
          <w:b/>
          <w:bCs/>
          <w:color w:val="000000"/>
          <w:sz w:val="20"/>
          <w:szCs w:val="20"/>
        </w:rPr>
        <w:t>f the Company and the Bank.</w:t>
      </w:r>
      <w:r>
        <w:rPr>
          <w:rFonts w:eastAsia="Times New Roman"/>
          <w:color w:val="000000"/>
          <w:sz w:val="20"/>
          <w:szCs w:val="20"/>
        </w:rPr>
        <w:t xml:space="preserve"> The primary source of earnings for the Bank is net interest income. To be profitable, the Bank has to earn more money in interest and fees on loans and other interest-earning assets than it pays as interest on deposits and other</w:t>
      </w:r>
      <w:r>
        <w:rPr>
          <w:rFonts w:eastAsia="Times New Roman"/>
          <w:color w:val="000000"/>
          <w:sz w:val="20"/>
          <w:szCs w:val="20"/>
        </w:rPr>
        <w:t xml:space="preserve"> interest-bearing liabilities and as other expenses. If prevailing interest rates decrease, the amount of interest the Bank earn on loans and investment securities may decrease more rapidly than the amount of interest the Bank has to pay on deposits and ot</w:t>
      </w:r>
      <w:r>
        <w:rPr>
          <w:rFonts w:eastAsia="Times New Roman"/>
          <w:color w:val="000000"/>
          <w:sz w:val="20"/>
          <w:szCs w:val="20"/>
        </w:rPr>
        <w:t>her interest-bearing liabilities. This would result in a decrease in the profitability of the Company and the Bank.</w:t>
      </w:r>
    </w:p>
    <w:p w:rsidR="00000000" w:rsidRDefault="00B132B6">
      <w:pPr>
        <w:ind w:firstLine="720"/>
        <w:jc w:val="both"/>
        <w:divId w:val="498279152"/>
        <w:rPr>
          <w:rFonts w:eastAsia="Times New Roman"/>
        </w:rPr>
      </w:pPr>
      <w:r>
        <w:rPr>
          <w:rFonts w:eastAsia="Times New Roman"/>
          <w:color w:val="000000"/>
          <w:sz w:val="20"/>
          <w:szCs w:val="20"/>
        </w:rPr>
        <w:t>Changes in the level or structure of interest rates also affect:</w:t>
      </w:r>
    </w:p>
    <w:p w:rsidR="00000000" w:rsidRDefault="00B132B6">
      <w:pPr>
        <w:ind w:hanging="360"/>
        <w:jc w:val="both"/>
        <w:divId w:val="1755778344"/>
        <w:rPr>
          <w:rFonts w:eastAsia="Times New Roman"/>
        </w:rPr>
      </w:pPr>
      <w:r>
        <w:rPr>
          <w:rFonts w:eastAsia="Times New Roman"/>
          <w:color w:val="000000"/>
          <w:sz w:val="20"/>
          <w:szCs w:val="20"/>
        </w:rPr>
        <w:t>•</w:t>
      </w:r>
      <w:r>
        <w:rPr>
          <w:rFonts w:eastAsia="Times New Roman"/>
          <w:color w:val="000000"/>
          <w:sz w:val="20"/>
          <w:szCs w:val="20"/>
        </w:rPr>
        <w:t>the Bank's ability to originate loans,</w:t>
      </w:r>
    </w:p>
    <w:p w:rsidR="00000000" w:rsidRDefault="00B132B6">
      <w:pPr>
        <w:ind w:hanging="360"/>
        <w:jc w:val="both"/>
        <w:divId w:val="891385753"/>
        <w:rPr>
          <w:rFonts w:eastAsia="Times New Roman"/>
        </w:rPr>
      </w:pPr>
      <w:r>
        <w:rPr>
          <w:rFonts w:eastAsia="Times New Roman"/>
          <w:color w:val="000000"/>
          <w:sz w:val="20"/>
          <w:szCs w:val="20"/>
        </w:rPr>
        <w:t>•the value of the Bank's loan and securities portfolios,</w:t>
      </w:r>
    </w:p>
    <w:p w:rsidR="00000000" w:rsidRDefault="00B132B6">
      <w:pPr>
        <w:ind w:hanging="360"/>
        <w:jc w:val="both"/>
        <w:divId w:val="1294099424"/>
        <w:rPr>
          <w:rFonts w:eastAsia="Times New Roman"/>
        </w:rPr>
      </w:pPr>
      <w:r>
        <w:rPr>
          <w:rFonts w:eastAsia="Times New Roman"/>
          <w:color w:val="000000"/>
          <w:sz w:val="20"/>
          <w:szCs w:val="20"/>
        </w:rPr>
        <w:t>•the Bank's ability to realize gains from the sale of loans and securities,</w:t>
      </w:r>
    </w:p>
    <w:p w:rsidR="00000000" w:rsidRDefault="00B132B6">
      <w:pPr>
        <w:ind w:hanging="360"/>
        <w:jc w:val="both"/>
        <w:divId w:val="1074861523"/>
        <w:rPr>
          <w:rFonts w:eastAsia="Times New Roman"/>
        </w:rPr>
      </w:pPr>
      <w:r>
        <w:rPr>
          <w:rFonts w:eastAsia="Times New Roman"/>
          <w:color w:val="000000"/>
          <w:sz w:val="20"/>
          <w:szCs w:val="20"/>
        </w:rPr>
        <w:t>•</w:t>
      </w:r>
      <w:r>
        <w:rPr>
          <w:rFonts w:eastAsia="Times New Roman"/>
          <w:color w:val="000000"/>
          <w:sz w:val="20"/>
          <w:szCs w:val="20"/>
        </w:rPr>
        <w:t>the average life of the Bank's deposits, and</w:t>
      </w:r>
    </w:p>
    <w:p w:rsidR="00000000" w:rsidRDefault="00B132B6">
      <w:pPr>
        <w:ind w:hanging="360"/>
        <w:jc w:val="both"/>
        <w:divId w:val="1453356449"/>
        <w:rPr>
          <w:rFonts w:eastAsia="Times New Roman"/>
        </w:rPr>
      </w:pPr>
      <w:r>
        <w:rPr>
          <w:rFonts w:eastAsia="Times New Roman"/>
          <w:color w:val="000000"/>
          <w:sz w:val="20"/>
          <w:szCs w:val="20"/>
        </w:rPr>
        <w:t>•the Bank's ability to obtain deposits.</w:t>
      </w:r>
    </w:p>
    <w:p w:rsidR="00000000" w:rsidRDefault="00B132B6">
      <w:pPr>
        <w:ind w:firstLine="720"/>
        <w:jc w:val="both"/>
        <w:divId w:val="1097292759"/>
        <w:rPr>
          <w:rFonts w:eastAsia="Times New Roman"/>
        </w:rPr>
      </w:pPr>
      <w:r>
        <w:rPr>
          <w:rFonts w:eastAsia="Times New Roman"/>
          <w:color w:val="000000"/>
          <w:sz w:val="20"/>
          <w:szCs w:val="20"/>
        </w:rPr>
        <w:t>Fluctuations in interest rates will ultimately affect both the level of income and expense recorded on a large portion of the Bank's assets and liabilities, and the fair v</w:t>
      </w:r>
      <w:r>
        <w:rPr>
          <w:rFonts w:eastAsia="Times New Roman"/>
          <w:color w:val="000000"/>
          <w:sz w:val="20"/>
          <w:szCs w:val="20"/>
        </w:rPr>
        <w:t>alue of all interest-earning assets, other than interest-earning assets that mature in the short term. The Bank's interest rate management strategy is designed to stabilize net interest income and preserve capital over a broad range of interest rate moveme</w:t>
      </w:r>
      <w:r>
        <w:rPr>
          <w:rFonts w:eastAsia="Times New Roman"/>
          <w:color w:val="000000"/>
          <w:sz w:val="20"/>
          <w:szCs w:val="20"/>
        </w:rPr>
        <w:t xml:space="preserve">nts by matching the interest rate sensitivity of assets and liabilities. Although the Company believes that the Bank's current mix of loans, mortgage-backed securities, investment securities and deposits is reasonable, significant fluctuations in interest </w:t>
      </w:r>
      <w:r>
        <w:rPr>
          <w:rFonts w:eastAsia="Times New Roman"/>
          <w:color w:val="000000"/>
          <w:sz w:val="20"/>
          <w:szCs w:val="20"/>
        </w:rPr>
        <w:t>rates may have a negative effect on the profitability of the Bank.</w:t>
      </w:r>
    </w:p>
    <w:p w:rsidR="00000000" w:rsidRDefault="00B132B6">
      <w:pPr>
        <w:ind w:firstLine="720"/>
        <w:jc w:val="both"/>
        <w:divId w:val="1818842532"/>
        <w:rPr>
          <w:rFonts w:eastAsia="Times New Roman"/>
        </w:rPr>
      </w:pPr>
      <w:r>
        <w:rPr>
          <w:rFonts w:eastAsia="Times New Roman"/>
          <w:b/>
          <w:bCs/>
          <w:color w:val="000000"/>
          <w:sz w:val="20"/>
          <w:szCs w:val="20"/>
        </w:rPr>
        <w:t>Our Business Depends On Our Ability to Successfully Manage Credit Risk.</w:t>
      </w:r>
      <w:r>
        <w:rPr>
          <w:rFonts w:eastAsia="Times New Roman"/>
          <w:color w:val="000000"/>
          <w:sz w:val="20"/>
          <w:szCs w:val="20"/>
        </w:rPr>
        <w:t xml:space="preserve"> The operation of our business requires us to manage credit risk. As a lender, the Bank is exposed to the risk that bo</w:t>
      </w:r>
      <w:r>
        <w:rPr>
          <w:rFonts w:eastAsia="Times New Roman"/>
          <w:color w:val="000000"/>
          <w:sz w:val="20"/>
          <w:szCs w:val="20"/>
        </w:rPr>
        <w:t>rrowers will be unable to repay their loans according to their terms, and that the collateral securing repayment of their loans, if any, may not be sufficient to ensure repayment. In addition, there are risks inherent in making any loan, including risks wi</w:t>
      </w:r>
      <w:r>
        <w:rPr>
          <w:rFonts w:eastAsia="Times New Roman"/>
          <w:color w:val="000000"/>
          <w:sz w:val="20"/>
          <w:szCs w:val="20"/>
        </w:rPr>
        <w:t>th respect to the period of time over which the loan may be repaid, risks relating to proper loan underwriting, risks resulting from changes in economic and industry conditions and risks inherent in dealing with individual borrowers. In order to successful</w:t>
      </w:r>
      <w:r>
        <w:rPr>
          <w:rFonts w:eastAsia="Times New Roman"/>
          <w:color w:val="000000"/>
          <w:sz w:val="20"/>
          <w:szCs w:val="20"/>
        </w:rPr>
        <w:t>ly manage credit risk, we must, among other things, maintain disciplined and prudent underwriting standards and ensure that our loan officers follow those standards. The weakening of these standards for any reason, such as an attempt to attract higher yiel</w:t>
      </w:r>
      <w:r>
        <w:rPr>
          <w:rFonts w:eastAsia="Times New Roman"/>
          <w:color w:val="000000"/>
          <w:sz w:val="20"/>
          <w:szCs w:val="20"/>
        </w:rPr>
        <w:t xml:space="preserve">ding loans, a lack of discipline or diligence by our employees in underwriting and monitoring loans, the inability of our employees to adequately adapt policies and procedures to address changes in economic or other conditions affecting borrowers (such as </w:t>
      </w:r>
      <w:r>
        <w:rPr>
          <w:rFonts w:eastAsia="Times New Roman"/>
          <w:color w:val="000000"/>
          <w:sz w:val="20"/>
          <w:szCs w:val="20"/>
        </w:rPr>
        <w:t>the current recessionary environment and rising interest rates) and the quality of our loan portfolio, may result in loan defaults, foreclosures and additional charge-offs and may necessitate that we significantly increase our allowance for loan losses, ea</w:t>
      </w:r>
      <w:r>
        <w:rPr>
          <w:rFonts w:eastAsia="Times New Roman"/>
          <w:color w:val="000000"/>
          <w:sz w:val="20"/>
          <w:szCs w:val="20"/>
        </w:rPr>
        <w:t>ch of which could adversely affect our net income. As a result, our inability to successfully manage credit risk could have a material adverse effect on our business, financial condition or results of operations.</w:t>
      </w:r>
    </w:p>
    <w:p w:rsidR="00000000" w:rsidRDefault="00B132B6">
      <w:pPr>
        <w:ind w:firstLine="720"/>
        <w:jc w:val="both"/>
        <w:divId w:val="590889461"/>
        <w:rPr>
          <w:rFonts w:eastAsia="Times New Roman"/>
        </w:rPr>
      </w:pPr>
      <w:r>
        <w:rPr>
          <w:rFonts w:eastAsia="Times New Roman"/>
          <w:b/>
          <w:bCs/>
          <w:color w:val="000000"/>
          <w:sz w:val="20"/>
          <w:szCs w:val="20"/>
        </w:rPr>
        <w:t xml:space="preserve">The Company's Profitability Depends On The </w:t>
      </w:r>
      <w:r>
        <w:rPr>
          <w:rFonts w:eastAsia="Times New Roman"/>
          <w:b/>
          <w:bCs/>
          <w:color w:val="000000"/>
          <w:sz w:val="20"/>
          <w:szCs w:val="20"/>
        </w:rPr>
        <w:t>Bank's Asset Quality and Lending Risks.</w:t>
      </w:r>
      <w:r>
        <w:rPr>
          <w:rFonts w:eastAsia="Times New Roman"/>
          <w:color w:val="000000"/>
          <w:sz w:val="20"/>
          <w:szCs w:val="20"/>
        </w:rPr>
        <w:t xml:space="preserve"> Success in the banking industry largely depends on the quality of loans and other assets. A significant source of risk for us arises from the possibility that losses will be sustained because borrowers, guarantors an</w:t>
      </w:r>
      <w:r>
        <w:rPr>
          <w:rFonts w:eastAsia="Times New Roman"/>
          <w:color w:val="000000"/>
          <w:sz w:val="20"/>
          <w:szCs w:val="20"/>
        </w:rPr>
        <w:t>d related parties may fail to perform in accordance with the terms of their loans. The Bank's loan officers are actively encouraged to identify deteriorating loans. Loans are also monitored and categorized through an analysis of their payment status. The B</w:t>
      </w:r>
      <w:r>
        <w:rPr>
          <w:rFonts w:eastAsia="Times New Roman"/>
          <w:color w:val="000000"/>
          <w:sz w:val="20"/>
          <w:szCs w:val="20"/>
        </w:rPr>
        <w:t>ank's failure to timely and accurately monitor the quality of its loans and other assets could have a materially adverse effect on the operations and financial condition of the Company and the Bank. There is a degree of credit risk associated with any lend</w:t>
      </w:r>
      <w:r>
        <w:rPr>
          <w:rFonts w:eastAsia="Times New Roman"/>
          <w:color w:val="000000"/>
          <w:sz w:val="20"/>
          <w:szCs w:val="20"/>
        </w:rPr>
        <w:t>ing activity. The Bank attempts to minimize its credit risk through loan diversification. Although the Bank's loan portfolio is varied, with no undue concentration in any one industry, substantially all of the loans in the portfolio have been made to borro</w:t>
      </w:r>
      <w:r>
        <w:rPr>
          <w:rFonts w:eastAsia="Times New Roman"/>
          <w:color w:val="000000"/>
          <w:sz w:val="20"/>
          <w:szCs w:val="20"/>
        </w:rPr>
        <w:t xml:space="preserve">wers in central, west central, and southwest Missouri. Therefore, the loan portfolio is susceptible to factors affecting the central, west central, and southwest Missouri area and the level of non-performing assets is heavily dependent upon local </w:t>
      </w:r>
    </w:p>
    <w:p w:rsidR="00000000" w:rsidRDefault="00B132B6">
      <w:pPr>
        <w:jc w:val="center"/>
        <w:divId w:val="22099737"/>
        <w:rPr>
          <w:rFonts w:eastAsia="Times New Roman"/>
        </w:rPr>
      </w:pPr>
      <w:r>
        <w:rPr>
          <w:rFonts w:eastAsia="Times New Roman"/>
          <w:color w:val="000000"/>
          <w:sz w:val="20"/>
          <w:szCs w:val="20"/>
        </w:rPr>
        <w:t>12</w:t>
      </w:r>
    </w:p>
    <w:p w:rsidR="00000000" w:rsidRDefault="00B132B6">
      <w:pPr>
        <w:rPr>
          <w:rFonts w:eastAsia="Times New Roman"/>
        </w:rPr>
      </w:pPr>
      <w:r>
        <w:rPr>
          <w:rFonts w:eastAsia="Times New Roman"/>
        </w:rPr>
        <w:pict>
          <v:rect id="_x0000_i1036" style="width:0;height:1.5pt" o:hralign="center" o:hrstd="t" o:hr="t" fillcolor="#a0a0a0" stroked="f"/>
        </w:pict>
      </w:r>
    </w:p>
    <w:p w:rsidR="00000000" w:rsidRDefault="00B132B6">
      <w:pPr>
        <w:divId w:val="812528277"/>
        <w:rPr>
          <w:rFonts w:eastAsia="Times New Roman"/>
        </w:rPr>
      </w:pPr>
    </w:p>
    <w:p w:rsidR="00000000" w:rsidRDefault="00B132B6">
      <w:pPr>
        <w:jc w:val="both"/>
        <w:divId w:val="929200050"/>
        <w:rPr>
          <w:rFonts w:eastAsia="Times New Roman"/>
        </w:rPr>
      </w:pPr>
      <w:r>
        <w:rPr>
          <w:rFonts w:eastAsia="Times New Roman"/>
          <w:color w:val="000000"/>
          <w:sz w:val="20"/>
          <w:szCs w:val="20"/>
        </w:rPr>
        <w:t>conditions. There can be no assurance that the level of the Bank's non-performing assets will not increase above current levels. High levels of non-performing assets could have a materially adverse effect on the operations</w:t>
      </w:r>
      <w:r>
        <w:rPr>
          <w:rFonts w:eastAsia="Times New Roman"/>
          <w:color w:val="000000"/>
          <w:sz w:val="20"/>
          <w:szCs w:val="20"/>
        </w:rPr>
        <w:t xml:space="preserve"> and financial condition of the Company and the Bank.</w:t>
      </w:r>
    </w:p>
    <w:p w:rsidR="00000000" w:rsidRDefault="00B132B6">
      <w:pPr>
        <w:ind w:firstLine="720"/>
        <w:jc w:val="both"/>
        <w:divId w:val="121576950"/>
        <w:rPr>
          <w:rFonts w:eastAsia="Times New Roman"/>
        </w:rPr>
      </w:pPr>
      <w:r>
        <w:rPr>
          <w:rFonts w:eastAsia="Times New Roman"/>
          <w:b/>
          <w:bCs/>
          <w:color w:val="000000"/>
          <w:sz w:val="20"/>
          <w:szCs w:val="20"/>
        </w:rPr>
        <w:t>The Provision for Probable Loan Losses May Need to Be Increased.</w:t>
      </w:r>
      <w:r>
        <w:rPr>
          <w:rFonts w:eastAsia="Times New Roman"/>
          <w:color w:val="000000"/>
          <w:sz w:val="20"/>
          <w:szCs w:val="20"/>
        </w:rPr>
        <w:t xml:space="preserve"> The Bank makes a provision for loan losses based upon management's estimate of probable losses in the loan portfolio and its consideratio</w:t>
      </w:r>
      <w:r>
        <w:rPr>
          <w:rFonts w:eastAsia="Times New Roman"/>
          <w:color w:val="000000"/>
          <w:sz w:val="20"/>
          <w:szCs w:val="20"/>
        </w:rPr>
        <w:t xml:space="preserve">n of prevailing economic and environmental conditions. The amount of future loan losses is susceptible to changes in economic, operating and other conditions, including changes in interest rates, which may be beyond the Company's control, and these losses </w:t>
      </w:r>
      <w:r>
        <w:rPr>
          <w:rFonts w:eastAsia="Times New Roman"/>
          <w:color w:val="000000"/>
          <w:sz w:val="20"/>
          <w:szCs w:val="20"/>
        </w:rPr>
        <w:t>may exceed current estimates. We cannot fully predict the amount or timing of losses or whether the loss allowance will be adequate in the future. The Bank may need to increase the provision for loan losses through additional provisions in the future if, a</w:t>
      </w:r>
      <w:r>
        <w:rPr>
          <w:rFonts w:eastAsia="Times New Roman"/>
          <w:color w:val="000000"/>
          <w:sz w:val="20"/>
          <w:szCs w:val="20"/>
        </w:rPr>
        <w:t>mong other things, the financial condition of any of its borrowers deteriorates, if its borrower fails to perform its obligations to it, or if real estate values decline. Furthermore, various regulatory agencies, as an integral part of their examination pr</w:t>
      </w:r>
      <w:r>
        <w:rPr>
          <w:rFonts w:eastAsia="Times New Roman"/>
          <w:color w:val="000000"/>
          <w:sz w:val="20"/>
          <w:szCs w:val="20"/>
        </w:rPr>
        <w:t>ocess, periodically review the Bank's loan portfolio, provision for loan losses, and real estate acquired by foreclosure. Such agencies may require the Bank to recognize additions to the provision for loan losses based on their judgments of information ava</w:t>
      </w:r>
      <w:r>
        <w:rPr>
          <w:rFonts w:eastAsia="Times New Roman"/>
          <w:color w:val="000000"/>
          <w:sz w:val="20"/>
          <w:szCs w:val="20"/>
        </w:rPr>
        <w:t>ilable to them at the time of the examination. Any additional provision for probable loan losses, whether required as a result of regulatory review or initiated by the Company itself, may materially alter the financial outlook of the Company and the Bank a</w:t>
      </w:r>
      <w:r>
        <w:rPr>
          <w:rFonts w:eastAsia="Times New Roman"/>
          <w:color w:val="000000"/>
          <w:sz w:val="20"/>
          <w:szCs w:val="20"/>
        </w:rPr>
        <w:t>nd may have a material adverse effect on the Company's financial condition and results of operations.</w:t>
      </w:r>
    </w:p>
    <w:p w:rsidR="00000000" w:rsidRDefault="00B132B6">
      <w:pPr>
        <w:ind w:firstLine="720"/>
        <w:jc w:val="both"/>
        <w:divId w:val="1700086753"/>
        <w:rPr>
          <w:rFonts w:eastAsia="Times New Roman"/>
        </w:rPr>
      </w:pPr>
      <w:r>
        <w:rPr>
          <w:rFonts w:eastAsia="Times New Roman"/>
          <w:color w:val="000000"/>
          <w:sz w:val="20"/>
          <w:szCs w:val="20"/>
        </w:rPr>
        <w:t>In June of 2016, the Financial Accounting Standards Board, or FASB, decided to review how banks estimate losses in the allowance calculation, and it issue</w:t>
      </w:r>
      <w:r>
        <w:rPr>
          <w:rFonts w:eastAsia="Times New Roman"/>
          <w:color w:val="000000"/>
          <w:sz w:val="20"/>
          <w:szCs w:val="20"/>
        </w:rPr>
        <w:t>d the final current expected credit loss standard, or CECL. Currently, the impairment model is based on incurred losses, and investments are recognized as impaired when there is no longer an assumption that future cash flows will be collected in full under</w:t>
      </w:r>
      <w:r>
        <w:rPr>
          <w:rFonts w:eastAsia="Times New Roman"/>
          <w:color w:val="000000"/>
          <w:sz w:val="20"/>
          <w:szCs w:val="20"/>
        </w:rPr>
        <w:t xml:space="preserve"> the originally contracted terms. This model will be replaced by the new CECL model that will become effective for the Company in January 2023. Under the new CECL model promulgated under ASU 2016-13 "Financial Instruments-Credit Losses (Topic 326): Measure</w:t>
      </w:r>
      <w:r>
        <w:rPr>
          <w:rFonts w:eastAsia="Times New Roman"/>
          <w:color w:val="000000"/>
          <w:sz w:val="20"/>
          <w:szCs w:val="20"/>
        </w:rPr>
        <w:t>ment of Credit Losses on Financial Instruments", we will be required to use historical information, current conditions and reasonable forecasts to estimate the expected loss over the life of the loan and record an allowance that, when deducted from the amo</w:t>
      </w:r>
      <w:r>
        <w:rPr>
          <w:rFonts w:eastAsia="Times New Roman"/>
          <w:color w:val="000000"/>
          <w:sz w:val="20"/>
          <w:szCs w:val="20"/>
        </w:rPr>
        <w:t>rtized cost basis of the financial asset, presents the net amount expected to be collected on the financial asset. The CECL model is expected to result in more timely recognition of credit losses. The ASU will require new disclosures for financial assets m</w:t>
      </w:r>
      <w:r>
        <w:rPr>
          <w:rFonts w:eastAsia="Times New Roman"/>
          <w:color w:val="000000"/>
          <w:sz w:val="20"/>
          <w:szCs w:val="20"/>
        </w:rPr>
        <w:t>easured at amortized cost, loans and available-for-sale debt securities. Entities will apply the standard's provisions as a cumulative-effect adjustment to retained earnings as of the beginning of the first reporting period in which the guidance is adopted</w:t>
      </w:r>
      <w:r>
        <w:rPr>
          <w:rFonts w:eastAsia="Times New Roman"/>
          <w:color w:val="000000"/>
          <w:sz w:val="20"/>
          <w:szCs w:val="20"/>
        </w:rPr>
        <w:t>. The transition to the CECL model will bring with it significantly greater data requirements and changes to methodologies to accurately account for expected losses under the new parameters.</w:t>
      </w:r>
    </w:p>
    <w:p w:rsidR="00000000" w:rsidRDefault="00B132B6">
      <w:pPr>
        <w:ind w:firstLine="720"/>
        <w:jc w:val="both"/>
        <w:divId w:val="1017728598"/>
        <w:rPr>
          <w:rFonts w:eastAsia="Times New Roman"/>
        </w:rPr>
      </w:pPr>
      <w:r>
        <w:rPr>
          <w:rFonts w:eastAsia="Times New Roman"/>
          <w:color w:val="000000"/>
          <w:sz w:val="20"/>
          <w:szCs w:val="20"/>
        </w:rPr>
        <w:t>The Company's CECL committee implemented a model from a third-par</w:t>
      </w:r>
      <w:r>
        <w:rPr>
          <w:rFonts w:eastAsia="Times New Roman"/>
          <w:color w:val="000000"/>
          <w:sz w:val="20"/>
          <w:szCs w:val="20"/>
        </w:rPr>
        <w:t>ty vendor and continues to refine documentation and assumptions for transitioning to the CECL model effective January 1, 2023. In addition, the Company engaged a third-party, independent firm experienced in CECL matters to perform a validation of the model</w:t>
      </w:r>
      <w:r>
        <w:rPr>
          <w:rFonts w:eastAsia="Times New Roman"/>
          <w:color w:val="000000"/>
          <w:sz w:val="20"/>
          <w:szCs w:val="20"/>
        </w:rPr>
        <w:t>. The Company currently expects to record a one-time adjustment to retained earnings to increase the allowance for loan losses. The amount of the adjustments will be impacted by each portfolio’s composition and credit quality at the adoption date as well a</w:t>
      </w:r>
      <w:r>
        <w:rPr>
          <w:rFonts w:eastAsia="Times New Roman"/>
          <w:color w:val="000000"/>
          <w:sz w:val="20"/>
          <w:szCs w:val="20"/>
        </w:rPr>
        <w:t>s economic conditions and forecasts at that time. Based on implementation progress to date, the Company believes the capital adequacy requirements to which it and the Bank are subject to, and its business strategies and practices, was not materially impact</w:t>
      </w:r>
      <w:r>
        <w:rPr>
          <w:rFonts w:eastAsia="Times New Roman"/>
          <w:color w:val="000000"/>
          <w:sz w:val="20"/>
          <w:szCs w:val="20"/>
        </w:rPr>
        <w:t>ed following the adoption in the first quarter of 2023.</w:t>
      </w:r>
    </w:p>
    <w:p w:rsidR="00000000" w:rsidRDefault="00B132B6">
      <w:pPr>
        <w:ind w:firstLine="720"/>
        <w:jc w:val="both"/>
        <w:divId w:val="1291664074"/>
        <w:rPr>
          <w:rFonts w:eastAsia="Times New Roman"/>
        </w:rPr>
      </w:pPr>
      <w:r>
        <w:rPr>
          <w:rFonts w:eastAsia="Times New Roman"/>
          <w:b/>
          <w:bCs/>
          <w:color w:val="000000"/>
          <w:sz w:val="20"/>
          <w:szCs w:val="20"/>
        </w:rPr>
        <w:t xml:space="preserve">Adverse Market Conditions in the U.S. Economy and the Markets in Which We Operate Could Adversely Impact the Company's Business. </w:t>
      </w:r>
      <w:r>
        <w:rPr>
          <w:rFonts w:eastAsia="Times New Roman"/>
          <w:color w:val="000000"/>
          <w:sz w:val="20"/>
          <w:szCs w:val="20"/>
        </w:rPr>
        <w:t>General downward economic trends, such as the current recessionary econ</w:t>
      </w:r>
      <w:r>
        <w:rPr>
          <w:rFonts w:eastAsia="Times New Roman"/>
          <w:color w:val="000000"/>
          <w:sz w:val="20"/>
          <w:szCs w:val="20"/>
        </w:rPr>
        <w:t>omic environment, reduced availability of commercial credit, and increasing unemployment have negatively impacted the credit performance of commercial and consumer credit, resulting in additional write-downs. Concerns over the stability of the financial ma</w:t>
      </w:r>
      <w:r>
        <w:rPr>
          <w:rFonts w:eastAsia="Times New Roman"/>
          <w:color w:val="000000"/>
          <w:sz w:val="20"/>
          <w:szCs w:val="20"/>
        </w:rPr>
        <w:t>rkets and the economy have resulted in decreased lending by financial institutions to their customers and to each other. This market turmoil and tightening of credit has led to increased commercial and consumer deficiencies, lack of customer confidence, in</w:t>
      </w:r>
      <w:r>
        <w:rPr>
          <w:rFonts w:eastAsia="Times New Roman"/>
          <w:color w:val="000000"/>
          <w:sz w:val="20"/>
          <w:szCs w:val="20"/>
        </w:rPr>
        <w:t>creased market volatility and widespread reduction in general business activity. Competition among depository institutions for deposits has increased significantly. Financial institutions have experienced decreased access to deposits or borrowings.</w:t>
      </w:r>
    </w:p>
    <w:p w:rsidR="00000000" w:rsidRDefault="00B132B6">
      <w:pPr>
        <w:ind w:firstLine="720"/>
        <w:jc w:val="both"/>
        <w:divId w:val="2040232616"/>
        <w:rPr>
          <w:rFonts w:eastAsia="Times New Roman"/>
        </w:rPr>
      </w:pPr>
      <w:r>
        <w:rPr>
          <w:rFonts w:eastAsia="Times New Roman"/>
          <w:color w:val="000000"/>
          <w:sz w:val="20"/>
          <w:szCs w:val="20"/>
        </w:rPr>
        <w:t>The eco</w:t>
      </w:r>
      <w:r>
        <w:rPr>
          <w:rFonts w:eastAsia="Times New Roman"/>
          <w:color w:val="000000"/>
          <w:sz w:val="20"/>
          <w:szCs w:val="20"/>
        </w:rPr>
        <w:t>nomy is currently experiencing a period of heightened inflation and rising interest rates. In addition, during the COVID-19 pandemic, our growth was bolstered by temporary government programs, such as the SBA Paycheck Protection Program (PPP) pursuant to w</w:t>
      </w:r>
      <w:r>
        <w:rPr>
          <w:rFonts w:eastAsia="Times New Roman"/>
          <w:color w:val="000000"/>
          <w:sz w:val="20"/>
          <w:szCs w:val="20"/>
        </w:rPr>
        <w:t>hich we issued PPP loans in 2020 and 2021. Furthermore, real estate values and the demand for commercial real estate loans have not fully recovered, and reduced availability of commercial credit and continuing unemployment have negatively impacted the cred</w:t>
      </w:r>
      <w:r>
        <w:rPr>
          <w:rFonts w:eastAsia="Times New Roman"/>
          <w:color w:val="000000"/>
          <w:sz w:val="20"/>
          <w:szCs w:val="20"/>
        </w:rPr>
        <w:t xml:space="preserve">it performance of commercial and consumer credit. Additional market developments such as worsening of economic conditions in other parts of the world would likely exacerbate the </w:t>
      </w:r>
    </w:p>
    <w:p w:rsidR="00000000" w:rsidRDefault="00B132B6">
      <w:pPr>
        <w:jc w:val="center"/>
        <w:divId w:val="686949194"/>
        <w:rPr>
          <w:rFonts w:eastAsia="Times New Roman"/>
        </w:rPr>
      </w:pPr>
      <w:r>
        <w:rPr>
          <w:rFonts w:eastAsia="Times New Roman"/>
          <w:color w:val="000000"/>
          <w:sz w:val="20"/>
          <w:szCs w:val="20"/>
        </w:rPr>
        <w:t>13</w:t>
      </w:r>
    </w:p>
    <w:p w:rsidR="00000000" w:rsidRDefault="00B132B6">
      <w:pPr>
        <w:rPr>
          <w:rFonts w:eastAsia="Times New Roman"/>
        </w:rPr>
      </w:pPr>
      <w:r>
        <w:rPr>
          <w:rFonts w:eastAsia="Times New Roman"/>
        </w:rPr>
        <w:pict>
          <v:rect id="_x0000_i1037" style="width:0;height:1.5pt" o:hralign="center" o:hrstd="t" o:hr="t" fillcolor="#a0a0a0" stroked="f"/>
        </w:pict>
      </w:r>
    </w:p>
    <w:p w:rsidR="00000000" w:rsidRDefault="00B132B6">
      <w:pPr>
        <w:divId w:val="170876893"/>
        <w:rPr>
          <w:rFonts w:eastAsia="Times New Roman"/>
        </w:rPr>
      </w:pPr>
    </w:p>
    <w:p w:rsidR="00000000" w:rsidRDefault="00B132B6">
      <w:pPr>
        <w:jc w:val="both"/>
        <w:divId w:val="761494571"/>
        <w:rPr>
          <w:rFonts w:eastAsia="Times New Roman"/>
        </w:rPr>
      </w:pPr>
      <w:r>
        <w:rPr>
          <w:rFonts w:eastAsia="Times New Roman"/>
          <w:color w:val="000000"/>
          <w:sz w:val="20"/>
          <w:szCs w:val="20"/>
        </w:rPr>
        <w:t>lingering effects of the difficult m</w:t>
      </w:r>
      <w:r>
        <w:rPr>
          <w:rFonts w:eastAsia="Times New Roman"/>
          <w:color w:val="000000"/>
          <w:sz w:val="20"/>
          <w:szCs w:val="20"/>
        </w:rPr>
        <w:t>arket conditions experienced by us and others in the financial services industry and could further slow, stall or reverse the slow economic recovery in the U.S. A further deterioration of overall market conditions, a continuation of the economic downturn o</w:t>
      </w:r>
      <w:r>
        <w:rPr>
          <w:rFonts w:eastAsia="Times New Roman"/>
          <w:color w:val="000000"/>
          <w:sz w:val="20"/>
          <w:szCs w:val="20"/>
        </w:rPr>
        <w:t>r prolonged economic stagnation in the Company's markets may have a negative impact on its business, financial condition, results of operations and the trading price of its common stock. If the strength of the U.S. economy in general and the strength of th</w:t>
      </w:r>
      <w:r>
        <w:rPr>
          <w:rFonts w:eastAsia="Times New Roman"/>
          <w:color w:val="000000"/>
          <w:sz w:val="20"/>
          <w:szCs w:val="20"/>
        </w:rPr>
        <w:t>e economy in areas where we lend were to stagnate or further decline, this could result in, among other things, a deterioration in credit quality or a reduced demand for credit, including a resultant adverse effect on the Company's loan portfolio and provi</w:t>
      </w:r>
      <w:r>
        <w:rPr>
          <w:rFonts w:eastAsia="Times New Roman"/>
          <w:color w:val="000000"/>
          <w:sz w:val="20"/>
          <w:szCs w:val="20"/>
        </w:rPr>
        <w:t>sion for losses on loans. This may exacerbate the Company's exposure to credit risk, impair the Company's ability to assess the creditworthiness of its customers or to estimate the values of its assets and adversely affect the ability of borrowers to perfo</w:t>
      </w:r>
      <w:r>
        <w:rPr>
          <w:rFonts w:eastAsia="Times New Roman"/>
          <w:color w:val="000000"/>
          <w:sz w:val="20"/>
          <w:szCs w:val="20"/>
        </w:rPr>
        <w:t>rm under the terms of their lending arrangements with us. Negative conditions in the real estate markets where we operate could adversely affect borrowers' ability to repay their loans and the value of the underlying collateral. Real estate values are affe</w:t>
      </w:r>
      <w:r>
        <w:rPr>
          <w:rFonts w:eastAsia="Times New Roman"/>
          <w:color w:val="000000"/>
          <w:sz w:val="20"/>
          <w:szCs w:val="20"/>
        </w:rPr>
        <w:t>cted by various factors, including general economic conditions, governmental rules or policies and natural disasters. These factors may adversely impact borrowers' ability to make required payments, which in turn, may negatively impact the Company's financ</w:t>
      </w:r>
      <w:r>
        <w:rPr>
          <w:rFonts w:eastAsia="Times New Roman"/>
          <w:color w:val="000000"/>
          <w:sz w:val="20"/>
          <w:szCs w:val="20"/>
        </w:rPr>
        <w:t>ial results. As a result of the difficult market and economic conditions referred to above, there is a potential for new federal or state laws and regulations regarding lending and funding practices and liquidity standards, and for bank regulatory agencies</w:t>
      </w:r>
      <w:r>
        <w:rPr>
          <w:rFonts w:eastAsia="Times New Roman"/>
          <w:color w:val="000000"/>
          <w:sz w:val="20"/>
          <w:szCs w:val="20"/>
        </w:rPr>
        <w:t xml:space="preserve"> to be very aggressive in responding to concerns and trends identified in examinations. This increased government action may increase costs and limit the Company's ability to pursue certain business opportunities.</w:t>
      </w:r>
    </w:p>
    <w:p w:rsidR="00000000" w:rsidRDefault="00B132B6">
      <w:pPr>
        <w:ind w:firstLine="720"/>
        <w:jc w:val="both"/>
        <w:divId w:val="422724289"/>
        <w:rPr>
          <w:rFonts w:eastAsia="Times New Roman"/>
        </w:rPr>
      </w:pPr>
      <w:r>
        <w:rPr>
          <w:rFonts w:eastAsia="Times New Roman"/>
          <w:color w:val="000000"/>
          <w:sz w:val="20"/>
          <w:szCs w:val="20"/>
        </w:rPr>
        <w:t>We cannot predict whether the difficult ma</w:t>
      </w:r>
      <w:r>
        <w:rPr>
          <w:rFonts w:eastAsia="Times New Roman"/>
          <w:color w:val="000000"/>
          <w:sz w:val="20"/>
          <w:szCs w:val="20"/>
        </w:rPr>
        <w:t>rket and economic conditions will improve in the near future. A worsening of these conditions would likely exacerbate the adverse effects of these difficult conditions on the Company, its customers and the other financial institutions in its market. As a r</w:t>
      </w:r>
      <w:r>
        <w:rPr>
          <w:rFonts w:eastAsia="Times New Roman"/>
          <w:color w:val="000000"/>
          <w:sz w:val="20"/>
          <w:szCs w:val="20"/>
        </w:rPr>
        <w:t>esult, we may experience increases in foreclosures, delinquencies and customer bankruptcies, as well as more restricted access to funds, and the Company's business, financial condition, results of operations and stock price may be adversely affected.</w:t>
      </w:r>
    </w:p>
    <w:p w:rsidR="00000000" w:rsidRDefault="00B132B6">
      <w:pPr>
        <w:ind w:firstLine="720"/>
        <w:jc w:val="both"/>
        <w:divId w:val="39481219"/>
        <w:rPr>
          <w:rFonts w:eastAsia="Times New Roman"/>
        </w:rPr>
      </w:pPr>
      <w:r>
        <w:rPr>
          <w:rFonts w:eastAsia="Times New Roman"/>
          <w:b/>
          <w:bCs/>
          <w:color w:val="000000"/>
          <w:sz w:val="20"/>
          <w:szCs w:val="20"/>
        </w:rPr>
        <w:t>Small</w:t>
      </w:r>
      <w:r>
        <w:rPr>
          <w:rFonts w:eastAsia="Times New Roman"/>
          <w:b/>
          <w:bCs/>
          <w:color w:val="000000"/>
          <w:sz w:val="20"/>
          <w:szCs w:val="20"/>
        </w:rPr>
        <w:t>er Commercial Borrowers May Have Fewer Financial Resources, Which May Impair Their Ability to Repay Loans.</w:t>
      </w:r>
      <w:r>
        <w:rPr>
          <w:rFonts w:eastAsia="Times New Roman"/>
          <w:color w:val="000000"/>
          <w:sz w:val="20"/>
          <w:szCs w:val="20"/>
        </w:rPr>
        <w:t xml:space="preserve"> We provide lending to many small- to medium-sized customers, which frequently have fewer financial resources than larger entities (in terms of capita</w:t>
      </w:r>
      <w:r>
        <w:rPr>
          <w:rFonts w:eastAsia="Times New Roman"/>
          <w:color w:val="000000"/>
          <w:sz w:val="20"/>
          <w:szCs w:val="20"/>
        </w:rPr>
        <w:t>l or borrowing capacity). Accordingly, these businesses may be more vulnerable to economic downturns, often need substantial additional capital to expand or compete, and may experience substantial volatility in operating results, any of which may impair th</w:t>
      </w:r>
      <w:r>
        <w:rPr>
          <w:rFonts w:eastAsia="Times New Roman"/>
          <w:color w:val="000000"/>
          <w:sz w:val="20"/>
          <w:szCs w:val="20"/>
        </w:rPr>
        <w:t>e borrower's ability to repay a loan. If these or other borrowers are harmed by adverse business conditions in the markets in which we operate, it may result in an adverse effect to the business, financial condition and results of operations of the Company</w:t>
      </w:r>
      <w:r>
        <w:rPr>
          <w:rFonts w:eastAsia="Times New Roman"/>
          <w:color w:val="000000"/>
          <w:sz w:val="20"/>
          <w:szCs w:val="20"/>
        </w:rPr>
        <w:t xml:space="preserve"> or the Bank.</w:t>
      </w:r>
    </w:p>
    <w:p w:rsidR="00000000" w:rsidRDefault="00B132B6">
      <w:pPr>
        <w:ind w:firstLine="720"/>
        <w:jc w:val="both"/>
        <w:divId w:val="710376653"/>
        <w:rPr>
          <w:rFonts w:eastAsia="Times New Roman"/>
        </w:rPr>
      </w:pPr>
      <w:r>
        <w:rPr>
          <w:rFonts w:eastAsia="Times New Roman"/>
          <w:b/>
          <w:bCs/>
          <w:color w:val="000000"/>
          <w:sz w:val="20"/>
          <w:szCs w:val="20"/>
        </w:rPr>
        <w:t xml:space="preserve">The Soundness of Other Financial Institutions Could Adversely Affect Us. </w:t>
      </w:r>
      <w:r>
        <w:rPr>
          <w:rFonts w:eastAsia="Times New Roman"/>
          <w:color w:val="000000"/>
          <w:sz w:val="20"/>
          <w:szCs w:val="20"/>
        </w:rPr>
        <w:t>The Company's ability to engage in routine funding transactions could be adversely affected by the actions and commercial soundness of other financial institutions. Fina</w:t>
      </w:r>
      <w:r>
        <w:rPr>
          <w:rFonts w:eastAsia="Times New Roman"/>
          <w:color w:val="000000"/>
          <w:sz w:val="20"/>
          <w:szCs w:val="20"/>
        </w:rPr>
        <w:t>ncial services institutions are interrelated as a result of trading, clearing, counterparty or other relationships. We have exposure to many different industries and counterparties, and we routinely execute transactions with counterparties in the financial</w:t>
      </w:r>
      <w:r>
        <w:rPr>
          <w:rFonts w:eastAsia="Times New Roman"/>
          <w:color w:val="000000"/>
          <w:sz w:val="20"/>
          <w:szCs w:val="20"/>
        </w:rPr>
        <w:t xml:space="preserve"> industry, including brokers and dealers, commercial banks, investment banks, mutual and hedge funds, and other institutional clients. As a result, defaults by, or even rumors or questions about, one or more financial services institutions, or the financia</w:t>
      </w:r>
      <w:r>
        <w:rPr>
          <w:rFonts w:eastAsia="Times New Roman"/>
          <w:color w:val="000000"/>
          <w:sz w:val="20"/>
          <w:szCs w:val="20"/>
        </w:rPr>
        <w:t>l services industry generally, have led to market-wide liquidity problems and could lead to losses or defaults by us or by other institutions. Many of these transactions expose us to credit risk in the event of default of a counterparty or client. In addit</w:t>
      </w:r>
      <w:r>
        <w:rPr>
          <w:rFonts w:eastAsia="Times New Roman"/>
          <w:color w:val="000000"/>
          <w:sz w:val="20"/>
          <w:szCs w:val="20"/>
        </w:rPr>
        <w:t>ion, the Company's credit risk may be exacerbated when the collateral held by us cannot be realized upon or is liquidated at prices not sufficient to recover the full amount of the loan or derivative exposure due us. There is no assurance that any such los</w:t>
      </w:r>
      <w:r>
        <w:rPr>
          <w:rFonts w:eastAsia="Times New Roman"/>
          <w:color w:val="000000"/>
          <w:sz w:val="20"/>
          <w:szCs w:val="20"/>
        </w:rPr>
        <w:t>ses would not materially and adversely affect the Company's results of operations.</w:t>
      </w:r>
    </w:p>
    <w:p w:rsidR="00000000" w:rsidRDefault="00B132B6">
      <w:pPr>
        <w:ind w:firstLine="720"/>
        <w:jc w:val="both"/>
        <w:divId w:val="1862358911"/>
        <w:rPr>
          <w:rFonts w:eastAsia="Times New Roman"/>
        </w:rPr>
      </w:pPr>
      <w:r>
        <w:rPr>
          <w:rFonts w:eastAsia="Times New Roman"/>
          <w:b/>
          <w:bCs/>
          <w:color w:val="000000"/>
          <w:sz w:val="20"/>
          <w:szCs w:val="20"/>
        </w:rPr>
        <w:t>Liquidity risk could impair our ability to fund operations and meet our obligations as they become due, and failure to maintain sufficient liquidity could materially adverse</w:t>
      </w:r>
      <w:r>
        <w:rPr>
          <w:rFonts w:eastAsia="Times New Roman"/>
          <w:b/>
          <w:bCs/>
          <w:color w:val="000000"/>
          <w:sz w:val="20"/>
          <w:szCs w:val="20"/>
        </w:rPr>
        <w:t xml:space="preserve">ly affect our growth, business, profitability and financial condition. </w:t>
      </w:r>
      <w:r>
        <w:rPr>
          <w:rFonts w:eastAsia="Times New Roman"/>
          <w:color w:val="000000"/>
          <w:sz w:val="20"/>
          <w:szCs w:val="20"/>
        </w:rPr>
        <w:t xml:space="preserve">Liquidity is essential to our business. Liquidity risk is the potential that we will be unable to meet our obligations as they become due because of an inability to liquidate assets or </w:t>
      </w:r>
      <w:r>
        <w:rPr>
          <w:rFonts w:eastAsia="Times New Roman"/>
          <w:color w:val="000000"/>
          <w:sz w:val="20"/>
          <w:szCs w:val="20"/>
        </w:rPr>
        <w:t>obtain adequate funding at a reasonable cost, in a timely manner and without adverse conditions or consequences. We require sufficient liquidity to fund asset growth, meet customer loan requests, customer deposit maturities and withdrawals, payments on our</w:t>
      </w:r>
      <w:r>
        <w:rPr>
          <w:rFonts w:eastAsia="Times New Roman"/>
          <w:color w:val="000000"/>
          <w:sz w:val="20"/>
          <w:szCs w:val="20"/>
        </w:rPr>
        <w:t xml:space="preserve"> debt obligations as they become due and other cash commitments under both normal operating conditions and other unpredictable circumstances, including events causing industry or general financial market stress. Liquidity risk can increase due to a number </w:t>
      </w:r>
      <w:r>
        <w:rPr>
          <w:rFonts w:eastAsia="Times New Roman"/>
          <w:color w:val="000000"/>
          <w:sz w:val="20"/>
          <w:szCs w:val="20"/>
        </w:rPr>
        <w:t>of factors, including an over-reliance on a particular source of funding or market-wide phenomena such as market dislocation and major disasters. Factors that could detrimentally impact access to liquidity sources include, but are not limited to, a decreas</w:t>
      </w:r>
      <w:r>
        <w:rPr>
          <w:rFonts w:eastAsia="Times New Roman"/>
          <w:color w:val="000000"/>
          <w:sz w:val="20"/>
          <w:szCs w:val="20"/>
        </w:rPr>
        <w:t>e in the level of our business activity as a result of a slowdown in our market, adverse regulatory actions against us, or changes in the liquidity needs of our depositors. Market conditions or other events could also negatively affect the level or cost of</w:t>
      </w:r>
      <w:r>
        <w:rPr>
          <w:rFonts w:eastAsia="Times New Roman"/>
          <w:color w:val="000000"/>
          <w:sz w:val="20"/>
          <w:szCs w:val="20"/>
        </w:rPr>
        <w:t xml:space="preserve"> funding, affecting our ongoing ability to accommodate liability maturities and deposit withdrawals, meet contractual obligations, and fund asset growth and new business transactions at a reasonable cost, in a timely manner, and without </w:t>
      </w:r>
    </w:p>
    <w:p w:rsidR="00000000" w:rsidRDefault="00B132B6">
      <w:pPr>
        <w:jc w:val="center"/>
        <w:divId w:val="1430004341"/>
        <w:rPr>
          <w:rFonts w:eastAsia="Times New Roman"/>
        </w:rPr>
      </w:pPr>
      <w:r>
        <w:rPr>
          <w:rFonts w:eastAsia="Times New Roman"/>
          <w:color w:val="000000"/>
          <w:sz w:val="20"/>
          <w:szCs w:val="20"/>
        </w:rPr>
        <w:t>14</w:t>
      </w:r>
    </w:p>
    <w:p w:rsidR="00000000" w:rsidRDefault="00B132B6">
      <w:pPr>
        <w:rPr>
          <w:rFonts w:eastAsia="Times New Roman"/>
        </w:rPr>
      </w:pPr>
      <w:r>
        <w:rPr>
          <w:rFonts w:eastAsia="Times New Roman"/>
        </w:rPr>
        <w:pict>
          <v:rect id="_x0000_i1038" style="width:0;height:1.5pt" o:hralign="center" o:hrstd="t" o:hr="t" fillcolor="#a0a0a0" stroked="f"/>
        </w:pict>
      </w:r>
    </w:p>
    <w:p w:rsidR="00000000" w:rsidRDefault="00B132B6">
      <w:pPr>
        <w:divId w:val="183135851"/>
        <w:rPr>
          <w:rFonts w:eastAsia="Times New Roman"/>
        </w:rPr>
      </w:pPr>
    </w:p>
    <w:p w:rsidR="00000000" w:rsidRDefault="00B132B6">
      <w:pPr>
        <w:jc w:val="both"/>
        <w:divId w:val="1781759540"/>
        <w:rPr>
          <w:rFonts w:eastAsia="Times New Roman"/>
        </w:rPr>
      </w:pPr>
      <w:r>
        <w:rPr>
          <w:rFonts w:eastAsia="Times New Roman"/>
          <w:color w:val="000000"/>
          <w:sz w:val="20"/>
          <w:szCs w:val="20"/>
        </w:rPr>
        <w:t>adverse consequences. Our inability to raise funds through deposits, borrowings, the sale of loans, other sources, and our ability to maintain sufficient deposits, could have a substantial negative effect on our business, and could result in the closure of</w:t>
      </w:r>
      <w:r>
        <w:rPr>
          <w:rFonts w:eastAsia="Times New Roman"/>
          <w:color w:val="000000"/>
          <w:sz w:val="20"/>
          <w:szCs w:val="20"/>
        </w:rPr>
        <w:t xml:space="preserve"> the Bank. Our access to funding sources in amounts adequate to finance our activities or on acceptable terms could be impaired by factors that affect our organization specifically or the financial services industry or economy in general. Any substantial, </w:t>
      </w:r>
      <w:r>
        <w:rPr>
          <w:rFonts w:eastAsia="Times New Roman"/>
          <w:color w:val="000000"/>
          <w:sz w:val="20"/>
          <w:szCs w:val="20"/>
        </w:rPr>
        <w:t>unexpected, and/or prolonged change in the level or cost of liquidity could impair our ability to fund operations and meet our obligations as they become due and could have a material adverse effect on our business, financial condition and results of opera</w:t>
      </w:r>
      <w:r>
        <w:rPr>
          <w:rFonts w:eastAsia="Times New Roman"/>
          <w:color w:val="000000"/>
          <w:sz w:val="20"/>
          <w:szCs w:val="20"/>
        </w:rPr>
        <w:t>tions.</w:t>
      </w:r>
    </w:p>
    <w:p w:rsidR="00000000" w:rsidRDefault="00B132B6">
      <w:pPr>
        <w:ind w:firstLine="360"/>
        <w:jc w:val="both"/>
        <w:rPr>
          <w:rFonts w:eastAsia="Times New Roman"/>
        </w:rPr>
      </w:pPr>
      <w:r>
        <w:rPr>
          <w:rFonts w:eastAsia="Times New Roman"/>
          <w:color w:val="000000"/>
          <w:sz w:val="20"/>
          <w:szCs w:val="20"/>
        </w:rPr>
        <w:t>We rely on customer deposits, including brokered deposits, and to a lesser extent on advances from the FHLB and federal funds purchased to fund our operations. Although we have historically been able to replace customer deposit withdrawals, maturing</w:t>
      </w:r>
      <w:r>
        <w:rPr>
          <w:rFonts w:eastAsia="Times New Roman"/>
          <w:color w:val="000000"/>
          <w:sz w:val="20"/>
          <w:szCs w:val="20"/>
        </w:rPr>
        <w:t xml:space="preserve"> deposits, and advances if desired, we may not be able to replace such funds in the future if our financial condition, the financial condition of the FHLB or market conditions were to change. FHLB borrowings and other current sources of liquidity may not b</w:t>
      </w:r>
      <w:r>
        <w:rPr>
          <w:rFonts w:eastAsia="Times New Roman"/>
          <w:color w:val="000000"/>
          <w:sz w:val="20"/>
          <w:szCs w:val="20"/>
        </w:rPr>
        <w:t>e available or, if available, sufficient to provide adequate funding for operations.</w:t>
      </w:r>
    </w:p>
    <w:p w:rsidR="00000000" w:rsidRDefault="00B132B6">
      <w:pPr>
        <w:ind w:firstLine="720"/>
        <w:jc w:val="both"/>
        <w:divId w:val="978151352"/>
        <w:rPr>
          <w:rFonts w:eastAsia="Times New Roman"/>
        </w:rPr>
      </w:pPr>
      <w:r>
        <w:rPr>
          <w:rFonts w:eastAsia="Times New Roman"/>
          <w:b/>
          <w:bCs/>
          <w:color w:val="000000"/>
          <w:sz w:val="20"/>
          <w:szCs w:val="20"/>
        </w:rPr>
        <w:t xml:space="preserve">Deterioration in the Housing Market Could Cause Further Increases in Delinquencies and Non-Performing Assets, Including Loan Charge-Offs, and Depress the Company's Income </w:t>
      </w:r>
      <w:r>
        <w:rPr>
          <w:rFonts w:eastAsia="Times New Roman"/>
          <w:b/>
          <w:bCs/>
          <w:color w:val="000000"/>
          <w:sz w:val="20"/>
          <w:szCs w:val="20"/>
        </w:rPr>
        <w:t xml:space="preserve">and Growth. </w:t>
      </w:r>
      <w:r>
        <w:rPr>
          <w:rFonts w:eastAsia="Times New Roman"/>
          <w:color w:val="000000"/>
          <w:sz w:val="20"/>
          <w:szCs w:val="20"/>
        </w:rPr>
        <w:t>The volume of one-to-four family residential mortgages and home equity lines of credit may decrease during economic downturns as a result of, among other things, a decrease in real estate values, an increase in unemployment, a slowdown in housi</w:t>
      </w:r>
      <w:r>
        <w:rPr>
          <w:rFonts w:eastAsia="Times New Roman"/>
          <w:color w:val="000000"/>
          <w:sz w:val="20"/>
          <w:szCs w:val="20"/>
        </w:rPr>
        <w:t>ng price appreciation or increases in interest rates. These factors could reduce earnings and consequently the Company's financial condition because:</w:t>
      </w:r>
    </w:p>
    <w:p w:rsidR="00000000" w:rsidRDefault="00B132B6">
      <w:pPr>
        <w:ind w:hanging="360"/>
        <w:jc w:val="both"/>
        <w:divId w:val="442266816"/>
        <w:rPr>
          <w:rFonts w:eastAsia="Times New Roman"/>
        </w:rPr>
      </w:pPr>
      <w:r>
        <w:rPr>
          <w:rFonts w:eastAsia="Times New Roman"/>
          <w:color w:val="000000"/>
          <w:sz w:val="20"/>
          <w:szCs w:val="20"/>
        </w:rPr>
        <w:t>•borrowers may not be able to repay their loans;</w:t>
      </w:r>
    </w:p>
    <w:p w:rsidR="00000000" w:rsidRDefault="00B132B6">
      <w:pPr>
        <w:ind w:hanging="360"/>
        <w:jc w:val="both"/>
        <w:divId w:val="162550112"/>
        <w:rPr>
          <w:rFonts w:eastAsia="Times New Roman"/>
        </w:rPr>
      </w:pPr>
      <w:r>
        <w:rPr>
          <w:rFonts w:eastAsia="Times New Roman"/>
          <w:color w:val="000000"/>
          <w:sz w:val="20"/>
          <w:szCs w:val="20"/>
        </w:rPr>
        <w:t>•the value of the collateral securing loans may decline f</w:t>
      </w:r>
      <w:r>
        <w:rPr>
          <w:rFonts w:eastAsia="Times New Roman"/>
          <w:color w:val="000000"/>
          <w:sz w:val="20"/>
          <w:szCs w:val="20"/>
        </w:rPr>
        <w:t>urther;</w:t>
      </w:r>
    </w:p>
    <w:p w:rsidR="00000000" w:rsidRDefault="00B132B6">
      <w:pPr>
        <w:ind w:hanging="360"/>
        <w:jc w:val="both"/>
        <w:divId w:val="2106264858"/>
        <w:rPr>
          <w:rFonts w:eastAsia="Times New Roman"/>
        </w:rPr>
      </w:pPr>
      <w:r>
        <w:rPr>
          <w:rFonts w:eastAsia="Times New Roman"/>
          <w:color w:val="000000"/>
          <w:sz w:val="20"/>
          <w:szCs w:val="20"/>
        </w:rPr>
        <w:t>•the quality of the Company's loan portfolio may decline further; and</w:t>
      </w:r>
    </w:p>
    <w:p w:rsidR="00000000" w:rsidRDefault="00B132B6">
      <w:pPr>
        <w:ind w:hanging="360"/>
        <w:jc w:val="both"/>
        <w:divId w:val="822819884"/>
        <w:rPr>
          <w:rFonts w:eastAsia="Times New Roman"/>
        </w:rPr>
      </w:pPr>
      <w:r>
        <w:rPr>
          <w:rFonts w:eastAsia="Times New Roman"/>
          <w:color w:val="000000"/>
          <w:sz w:val="20"/>
          <w:szCs w:val="20"/>
        </w:rPr>
        <w:t>•customers may not want or need the Company's products and services.</w:t>
      </w:r>
    </w:p>
    <w:p w:rsidR="00000000" w:rsidRDefault="00B132B6">
      <w:pPr>
        <w:ind w:firstLine="720"/>
        <w:jc w:val="both"/>
        <w:divId w:val="2029285903"/>
        <w:rPr>
          <w:rFonts w:eastAsia="Times New Roman"/>
        </w:rPr>
      </w:pPr>
      <w:r>
        <w:rPr>
          <w:rFonts w:eastAsia="Times New Roman"/>
          <w:color w:val="000000"/>
          <w:sz w:val="20"/>
          <w:szCs w:val="20"/>
        </w:rPr>
        <w:t>Any of these scenarios could cause an increase in delinquencies and non-performing assets, require us to char</w:t>
      </w:r>
      <w:r>
        <w:rPr>
          <w:rFonts w:eastAsia="Times New Roman"/>
          <w:color w:val="000000"/>
          <w:sz w:val="20"/>
          <w:szCs w:val="20"/>
        </w:rPr>
        <w:t>ge-off a higher percentage of loans, increase substantially the provision for losses on loans, or make fewer loans, which would reduce income.</w:t>
      </w:r>
    </w:p>
    <w:p w:rsidR="00000000" w:rsidRDefault="00B132B6">
      <w:pPr>
        <w:ind w:firstLine="720"/>
        <w:jc w:val="both"/>
        <w:divId w:val="1085804103"/>
        <w:rPr>
          <w:rFonts w:eastAsia="Times New Roman"/>
        </w:rPr>
      </w:pPr>
      <w:r>
        <w:rPr>
          <w:rFonts w:eastAsia="Times New Roman"/>
          <w:b/>
          <w:bCs/>
          <w:color w:val="000000"/>
          <w:sz w:val="20"/>
          <w:szCs w:val="20"/>
        </w:rPr>
        <w:t>The FDIC's Changes in the Calculation of Deposit Insurance Premiums and Ability to Levy Special Assessments Could</w:t>
      </w:r>
      <w:r>
        <w:rPr>
          <w:rFonts w:eastAsia="Times New Roman"/>
          <w:b/>
          <w:bCs/>
          <w:color w:val="000000"/>
          <w:sz w:val="20"/>
          <w:szCs w:val="20"/>
        </w:rPr>
        <w:t xml:space="preserve"> Increase the Company's Non-Interest Expense and May Reduce Its Profitability. </w:t>
      </w:r>
      <w:r>
        <w:rPr>
          <w:rFonts w:eastAsia="Times New Roman"/>
          <w:color w:val="000000"/>
          <w:sz w:val="20"/>
          <w:szCs w:val="20"/>
        </w:rPr>
        <w:t>The range of base assessment rates historically varies from 12 to 45 basis points depending on an institution's risk category, with newly added financial measures resulting in i</w:t>
      </w:r>
      <w:r>
        <w:rPr>
          <w:rFonts w:eastAsia="Times New Roman"/>
          <w:color w:val="000000"/>
          <w:sz w:val="20"/>
          <w:szCs w:val="20"/>
        </w:rPr>
        <w:t>ncreased assessment rates for institutions heavily relying on brokered deposits to support rapid asset growth. However, the Dodd-Frank Act requires the FDIC to amend its regulations to redefine the assessment base used for calculating deposit insurance ass</w:t>
      </w:r>
      <w:r>
        <w:rPr>
          <w:rFonts w:eastAsia="Times New Roman"/>
          <w:color w:val="000000"/>
          <w:sz w:val="20"/>
          <w:szCs w:val="20"/>
        </w:rPr>
        <w:t>essments. On February 9, 2011, the FDIC adopted a final rule that defines the assessment base as the average consolidated total assets during the assessment period minus the average tangible equity of the insured depository institution during the assessmen</w:t>
      </w:r>
      <w:r>
        <w:rPr>
          <w:rFonts w:eastAsia="Times New Roman"/>
          <w:color w:val="000000"/>
          <w:sz w:val="20"/>
          <w:szCs w:val="20"/>
        </w:rPr>
        <w:t>t period. The FDIC also imposed a new assessment rate scale (which was revised further in 2016). Under the new system, banks will pay assessments at a rate between 2.5 and 32 basis points per assets minus tangible equity, depending upon an institution's ri</w:t>
      </w:r>
      <w:r>
        <w:rPr>
          <w:rFonts w:eastAsia="Times New Roman"/>
          <w:color w:val="000000"/>
          <w:sz w:val="20"/>
          <w:szCs w:val="20"/>
        </w:rPr>
        <w:t>sk category (the final rule also includes progressively lower assessment rate schedules when the FDIC's reserve ratio reaches certain levels). The rulemaking changes the current assessment rate schedule so the schedule will result in the collection of asse</w:t>
      </w:r>
      <w:r>
        <w:rPr>
          <w:rFonts w:eastAsia="Times New Roman"/>
          <w:color w:val="000000"/>
          <w:sz w:val="20"/>
          <w:szCs w:val="20"/>
        </w:rPr>
        <w:t>ssment revenue that is approximately the same as generated under the current rate schedule and current assessment base. Nearly all banks with assets less than $10 billion will pay smaller deposit insurance assessments as a result of the new rule. The major</w:t>
      </w:r>
      <w:r>
        <w:rPr>
          <w:rFonts w:eastAsia="Times New Roman"/>
          <w:color w:val="000000"/>
          <w:sz w:val="20"/>
          <w:szCs w:val="20"/>
        </w:rPr>
        <w:t>ity of the changes in the FDIC's final rule became effective on April 1, 2011. The FDIC has the statutory authority to impose special assessments on insured depository institutions in an amount, and for such purposes, as the FDIC may deem necessary. The ch</w:t>
      </w:r>
      <w:r>
        <w:rPr>
          <w:rFonts w:eastAsia="Times New Roman"/>
          <w:color w:val="000000"/>
          <w:sz w:val="20"/>
          <w:szCs w:val="20"/>
        </w:rPr>
        <w:t>ange in the calculation methodology for deposit insurance premiums and the possible emergency special assessments could increase non-interest expense and may adversely affect the Company's profitability.</w:t>
      </w:r>
    </w:p>
    <w:p w:rsidR="00000000" w:rsidRDefault="00B132B6">
      <w:pPr>
        <w:ind w:firstLine="720"/>
        <w:jc w:val="both"/>
        <w:divId w:val="1049960418"/>
        <w:rPr>
          <w:rFonts w:eastAsia="Times New Roman"/>
        </w:rPr>
      </w:pPr>
      <w:r>
        <w:rPr>
          <w:rFonts w:eastAsia="Times New Roman"/>
          <w:b/>
          <w:bCs/>
          <w:color w:val="000000"/>
          <w:sz w:val="20"/>
          <w:szCs w:val="20"/>
        </w:rPr>
        <w:t>We May Elect Or Be Compelled To Seek Additional Capi</w:t>
      </w:r>
      <w:r>
        <w:rPr>
          <w:rFonts w:eastAsia="Times New Roman"/>
          <w:b/>
          <w:bCs/>
          <w:color w:val="000000"/>
          <w:sz w:val="20"/>
          <w:szCs w:val="20"/>
        </w:rPr>
        <w:t xml:space="preserve">tal In The Future, But That Capital May Not Be Available When It Is Needed. </w:t>
      </w:r>
      <w:r>
        <w:rPr>
          <w:rFonts w:eastAsia="Times New Roman"/>
          <w:color w:val="000000"/>
          <w:sz w:val="20"/>
          <w:szCs w:val="20"/>
        </w:rPr>
        <w:t xml:space="preserve">We are required by regulatory authorities to maintain adequate levels of capital to support operations. In addition, we may elect to raise additional capital to support the growth </w:t>
      </w:r>
      <w:r>
        <w:rPr>
          <w:rFonts w:eastAsia="Times New Roman"/>
          <w:color w:val="000000"/>
          <w:sz w:val="20"/>
          <w:szCs w:val="20"/>
        </w:rPr>
        <w:t>of the Company's business or to finance acquisitions, if any, or we may elect to raise additional capital for other reasons. In that regard, a number of financial institutions have recently raised considerable amounts of capital as a result of a deteriorat</w:t>
      </w:r>
      <w:r>
        <w:rPr>
          <w:rFonts w:eastAsia="Times New Roman"/>
          <w:color w:val="000000"/>
          <w:sz w:val="20"/>
          <w:szCs w:val="20"/>
        </w:rPr>
        <w:t>ion in their results of operations and financial condition arising from the turmoil in the mortgage loan market, deteriorating economic conditions, declines in real estate values and other factors. Should we elect or be required by regulatory authorities t</w:t>
      </w:r>
      <w:r>
        <w:rPr>
          <w:rFonts w:eastAsia="Times New Roman"/>
          <w:color w:val="000000"/>
          <w:sz w:val="20"/>
          <w:szCs w:val="20"/>
        </w:rPr>
        <w:t xml:space="preserve">o raise additional capital, we may seek to do so through the issuance of, among other things, common stock or securities convertible into </w:t>
      </w:r>
    </w:p>
    <w:p w:rsidR="00000000" w:rsidRDefault="00B132B6">
      <w:pPr>
        <w:jc w:val="center"/>
        <w:divId w:val="857237606"/>
        <w:rPr>
          <w:rFonts w:eastAsia="Times New Roman"/>
        </w:rPr>
      </w:pPr>
      <w:r>
        <w:rPr>
          <w:rFonts w:eastAsia="Times New Roman"/>
          <w:color w:val="000000"/>
          <w:sz w:val="20"/>
          <w:szCs w:val="20"/>
        </w:rPr>
        <w:t>15</w:t>
      </w:r>
    </w:p>
    <w:p w:rsidR="00000000" w:rsidRDefault="00B132B6">
      <w:pPr>
        <w:rPr>
          <w:rFonts w:eastAsia="Times New Roman"/>
        </w:rPr>
      </w:pPr>
      <w:r>
        <w:rPr>
          <w:rFonts w:eastAsia="Times New Roman"/>
        </w:rPr>
        <w:pict>
          <v:rect id="_x0000_i1039" style="width:0;height:1.5pt" o:hralign="center" o:hrstd="t" o:hr="t" fillcolor="#a0a0a0" stroked="f"/>
        </w:pict>
      </w:r>
    </w:p>
    <w:p w:rsidR="00000000" w:rsidRDefault="00B132B6">
      <w:pPr>
        <w:divId w:val="1321808850"/>
        <w:rPr>
          <w:rFonts w:eastAsia="Times New Roman"/>
        </w:rPr>
      </w:pPr>
    </w:p>
    <w:p w:rsidR="00000000" w:rsidRDefault="00B132B6">
      <w:pPr>
        <w:jc w:val="both"/>
        <w:divId w:val="973407945"/>
        <w:rPr>
          <w:rFonts w:eastAsia="Times New Roman"/>
        </w:rPr>
      </w:pPr>
      <w:r>
        <w:rPr>
          <w:rFonts w:eastAsia="Times New Roman"/>
          <w:color w:val="000000"/>
          <w:sz w:val="20"/>
          <w:szCs w:val="20"/>
        </w:rPr>
        <w:t xml:space="preserve">common stock, which could dilute your ownership interest in the Company. Although we remain "well-capitalized" and have not had a deterioration in liquidity, the future cost and availability of capital may be adversely affected by illiquid credit markets, </w:t>
      </w:r>
      <w:r>
        <w:rPr>
          <w:rFonts w:eastAsia="Times New Roman"/>
          <w:color w:val="000000"/>
          <w:sz w:val="20"/>
          <w:szCs w:val="20"/>
        </w:rPr>
        <w:t>economic conditions and a number of other factors, many of which are outside of the Company's control. Accordingly, we cannot assure you of the ability to raise additional capital if needed or on terms acceptable to us. If we cannot raise additional capita</w:t>
      </w:r>
      <w:r>
        <w:rPr>
          <w:rFonts w:eastAsia="Times New Roman"/>
          <w:color w:val="000000"/>
          <w:sz w:val="20"/>
          <w:szCs w:val="20"/>
        </w:rPr>
        <w:t>l when needed or on terms acceptable to us, it may have a material adverse effect on the Company's financial condition and results of operations.</w:t>
      </w:r>
    </w:p>
    <w:p w:rsidR="00000000" w:rsidRDefault="00B132B6">
      <w:pPr>
        <w:ind w:firstLine="720"/>
        <w:jc w:val="both"/>
        <w:divId w:val="1147548786"/>
        <w:rPr>
          <w:rFonts w:eastAsia="Times New Roman"/>
        </w:rPr>
      </w:pPr>
      <w:r>
        <w:rPr>
          <w:rFonts w:eastAsia="Times New Roman"/>
          <w:b/>
          <w:bCs/>
          <w:color w:val="000000"/>
          <w:sz w:val="20"/>
          <w:szCs w:val="20"/>
        </w:rPr>
        <w:t>If We Are Unable to Successfully Compete for Customers in the Company's Market Area, the Company's Financial C</w:t>
      </w:r>
      <w:r>
        <w:rPr>
          <w:rFonts w:eastAsia="Times New Roman"/>
          <w:b/>
          <w:bCs/>
          <w:color w:val="000000"/>
          <w:sz w:val="20"/>
          <w:szCs w:val="20"/>
        </w:rPr>
        <w:t>ondition and Results of Operations Could Be Adversely Affected.</w:t>
      </w:r>
      <w:r>
        <w:rPr>
          <w:rFonts w:eastAsia="Times New Roman"/>
          <w:color w:val="000000"/>
          <w:sz w:val="20"/>
          <w:szCs w:val="20"/>
        </w:rPr>
        <w:t xml:space="preserve"> The Bank faces substantial competition in making loans, attracting deposits and providing other financial products and services. The Bank has numerous competitors for customers in its market a</w:t>
      </w:r>
      <w:r>
        <w:rPr>
          <w:rFonts w:eastAsia="Times New Roman"/>
          <w:color w:val="000000"/>
          <w:sz w:val="20"/>
          <w:szCs w:val="20"/>
        </w:rPr>
        <w:t xml:space="preserve">rea. </w:t>
      </w:r>
    </w:p>
    <w:p w:rsidR="00000000" w:rsidRDefault="00B132B6">
      <w:pPr>
        <w:ind w:firstLine="720"/>
        <w:jc w:val="both"/>
        <w:divId w:val="505554466"/>
        <w:rPr>
          <w:rFonts w:eastAsia="Times New Roman"/>
        </w:rPr>
      </w:pPr>
      <w:r>
        <w:rPr>
          <w:rFonts w:eastAsia="Times New Roman"/>
          <w:color w:val="000000"/>
          <w:sz w:val="20"/>
          <w:szCs w:val="20"/>
        </w:rPr>
        <w:t>Such competition for loans comes principally from:</w:t>
      </w:r>
    </w:p>
    <w:tbl>
      <w:tblPr>
        <w:tblW w:w="5000" w:type="pct"/>
        <w:tblCellMar>
          <w:top w:w="15" w:type="dxa"/>
          <w:left w:w="15" w:type="dxa"/>
          <w:bottom w:w="15" w:type="dxa"/>
          <w:right w:w="15" w:type="dxa"/>
        </w:tblCellMar>
        <w:tblLook w:val="04A0" w:firstRow="1" w:lastRow="0" w:firstColumn="1" w:lastColumn="0" w:noHBand="0" w:noVBand="1"/>
      </w:tblPr>
      <w:tblGrid>
        <w:gridCol w:w="69"/>
        <w:gridCol w:w="4048"/>
        <w:gridCol w:w="36"/>
        <w:gridCol w:w="69"/>
        <w:gridCol w:w="4048"/>
        <w:gridCol w:w="36"/>
      </w:tblGrid>
      <w:tr w:rsidR="00000000">
        <w:trPr>
          <w:divId w:val="1272476622"/>
        </w:trPr>
        <w:tc>
          <w:tcPr>
            <w:tcW w:w="50" w:type="pct"/>
            <w:vAlign w:val="center"/>
            <w:hideMark/>
          </w:tcPr>
          <w:p w:rsidR="00000000" w:rsidRDefault="00B132B6">
            <w:pPr>
              <w:ind w:firstLine="720"/>
              <w:jc w:val="both"/>
              <w:rPr>
                <w:rFonts w:eastAsia="Times New Roman"/>
              </w:rPr>
            </w:pPr>
          </w:p>
        </w:tc>
        <w:tc>
          <w:tcPr>
            <w:tcW w:w="2445"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c>
          <w:tcPr>
            <w:tcW w:w="50" w:type="pct"/>
            <w:vAlign w:val="center"/>
            <w:hideMark/>
          </w:tcPr>
          <w:p w:rsidR="00000000" w:rsidRDefault="00B132B6">
            <w:pPr>
              <w:spacing w:after="100"/>
              <w:rPr>
                <w:rFonts w:eastAsia="Times New Roman"/>
                <w:sz w:val="20"/>
                <w:szCs w:val="20"/>
              </w:rPr>
            </w:pPr>
          </w:p>
        </w:tc>
        <w:tc>
          <w:tcPr>
            <w:tcW w:w="2445"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r>
      <w:tr w:rsidR="00000000">
        <w:trPr>
          <w:divId w:val="1272476622"/>
        </w:trPr>
        <w:tc>
          <w:tcPr>
            <w:tcW w:w="0" w:type="auto"/>
            <w:gridSpan w:val="3"/>
            <w:tcMar>
              <w:top w:w="30" w:type="dxa"/>
              <w:left w:w="20" w:type="dxa"/>
              <w:bottom w:w="30" w:type="dxa"/>
              <w:right w:w="20" w:type="dxa"/>
            </w:tcMar>
            <w:vAlign w:val="bottom"/>
            <w:hideMark/>
          </w:tcPr>
          <w:p w:rsidR="00000000" w:rsidRDefault="00B132B6">
            <w:pPr>
              <w:spacing w:after="100"/>
              <w:ind w:hanging="720"/>
              <w:divId w:val="72896700"/>
              <w:rPr>
                <w:rFonts w:eastAsia="Times New Roman"/>
              </w:rPr>
            </w:pPr>
            <w:r>
              <w:rPr>
                <w:rFonts w:eastAsia="Times New Roman"/>
                <w:color w:val="000000"/>
                <w:sz w:val="20"/>
                <w:szCs w:val="20"/>
              </w:rPr>
              <w:t>•other commercial banks</w:t>
            </w:r>
          </w:p>
          <w:p w:rsidR="00000000" w:rsidRDefault="00B132B6">
            <w:pPr>
              <w:spacing w:after="100"/>
              <w:ind w:hanging="720"/>
              <w:divId w:val="1315067261"/>
              <w:rPr>
                <w:rFonts w:eastAsia="Times New Roman"/>
              </w:rPr>
            </w:pPr>
            <w:r>
              <w:rPr>
                <w:rFonts w:eastAsia="Times New Roman"/>
                <w:color w:val="000000"/>
                <w:sz w:val="20"/>
                <w:szCs w:val="20"/>
              </w:rPr>
              <w:t>•savings banks</w:t>
            </w:r>
          </w:p>
          <w:p w:rsidR="00000000" w:rsidRDefault="00B132B6">
            <w:pPr>
              <w:spacing w:after="100"/>
              <w:ind w:hanging="720"/>
              <w:divId w:val="782457090"/>
              <w:rPr>
                <w:rFonts w:eastAsia="Times New Roman"/>
              </w:rPr>
            </w:pPr>
            <w:r>
              <w:rPr>
                <w:rFonts w:eastAsia="Times New Roman"/>
                <w:color w:val="000000"/>
                <w:sz w:val="20"/>
                <w:szCs w:val="20"/>
              </w:rPr>
              <w:t>•savings and loan associations</w:t>
            </w:r>
          </w:p>
        </w:tc>
        <w:tc>
          <w:tcPr>
            <w:tcW w:w="0" w:type="auto"/>
            <w:gridSpan w:val="3"/>
            <w:tcMar>
              <w:top w:w="30" w:type="dxa"/>
              <w:left w:w="20" w:type="dxa"/>
              <w:bottom w:w="30" w:type="dxa"/>
              <w:right w:w="20" w:type="dxa"/>
            </w:tcMar>
            <w:vAlign w:val="bottom"/>
            <w:hideMark/>
          </w:tcPr>
          <w:p w:rsidR="00000000" w:rsidRDefault="00B132B6">
            <w:pPr>
              <w:spacing w:after="100"/>
              <w:ind w:hanging="720"/>
              <w:divId w:val="1378815066"/>
              <w:rPr>
                <w:rFonts w:eastAsia="Times New Roman"/>
              </w:rPr>
            </w:pPr>
            <w:r>
              <w:rPr>
                <w:rFonts w:eastAsia="Times New Roman"/>
                <w:color w:val="000000"/>
                <w:sz w:val="20"/>
                <w:szCs w:val="20"/>
              </w:rPr>
              <w:t>•mortgage banking companies</w:t>
            </w:r>
          </w:p>
          <w:p w:rsidR="00000000" w:rsidRDefault="00B132B6">
            <w:pPr>
              <w:spacing w:after="100"/>
              <w:ind w:hanging="720"/>
              <w:divId w:val="1789734769"/>
              <w:rPr>
                <w:rFonts w:eastAsia="Times New Roman"/>
              </w:rPr>
            </w:pPr>
            <w:r>
              <w:rPr>
                <w:rFonts w:eastAsia="Times New Roman"/>
                <w:color w:val="000000"/>
                <w:sz w:val="20"/>
                <w:szCs w:val="20"/>
              </w:rPr>
              <w:t>•finance companies</w:t>
            </w:r>
          </w:p>
          <w:p w:rsidR="00000000" w:rsidRDefault="00B132B6">
            <w:pPr>
              <w:spacing w:after="100"/>
              <w:ind w:hanging="720"/>
              <w:divId w:val="687609850"/>
              <w:rPr>
                <w:rFonts w:eastAsia="Times New Roman"/>
              </w:rPr>
            </w:pPr>
            <w:r>
              <w:rPr>
                <w:rFonts w:eastAsia="Times New Roman"/>
                <w:color w:val="000000"/>
                <w:sz w:val="20"/>
                <w:szCs w:val="20"/>
              </w:rPr>
              <w:t>•credit unions</w:t>
            </w:r>
          </w:p>
        </w:tc>
      </w:tr>
    </w:tbl>
    <w:p w:rsidR="00000000" w:rsidRDefault="00B132B6">
      <w:pPr>
        <w:ind w:firstLine="720"/>
        <w:jc w:val="both"/>
        <w:divId w:val="1397164907"/>
        <w:rPr>
          <w:rFonts w:eastAsia="Times New Roman"/>
        </w:rPr>
      </w:pPr>
      <w:r>
        <w:rPr>
          <w:rFonts w:eastAsia="Times New Roman"/>
          <w:color w:val="000000"/>
          <w:sz w:val="20"/>
          <w:szCs w:val="20"/>
        </w:rPr>
        <w:t>Competition for deposits comes principally from:</w:t>
      </w:r>
    </w:p>
    <w:tbl>
      <w:tblPr>
        <w:tblW w:w="5000" w:type="pct"/>
        <w:tblCellMar>
          <w:top w:w="15" w:type="dxa"/>
          <w:left w:w="15" w:type="dxa"/>
          <w:bottom w:w="15" w:type="dxa"/>
          <w:right w:w="15" w:type="dxa"/>
        </w:tblCellMar>
        <w:tblLook w:val="04A0" w:firstRow="1" w:lastRow="0" w:firstColumn="1" w:lastColumn="0" w:noHBand="0" w:noVBand="1"/>
      </w:tblPr>
      <w:tblGrid>
        <w:gridCol w:w="69"/>
        <w:gridCol w:w="4048"/>
        <w:gridCol w:w="36"/>
        <w:gridCol w:w="69"/>
        <w:gridCol w:w="4048"/>
        <w:gridCol w:w="36"/>
      </w:tblGrid>
      <w:tr w:rsidR="00000000">
        <w:trPr>
          <w:divId w:val="305472188"/>
        </w:trPr>
        <w:tc>
          <w:tcPr>
            <w:tcW w:w="50" w:type="pct"/>
            <w:vAlign w:val="center"/>
            <w:hideMark/>
          </w:tcPr>
          <w:p w:rsidR="00000000" w:rsidRDefault="00B132B6">
            <w:pPr>
              <w:ind w:firstLine="720"/>
              <w:jc w:val="both"/>
              <w:rPr>
                <w:rFonts w:eastAsia="Times New Roman"/>
              </w:rPr>
            </w:pPr>
          </w:p>
        </w:tc>
        <w:tc>
          <w:tcPr>
            <w:tcW w:w="2445"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c>
          <w:tcPr>
            <w:tcW w:w="50" w:type="pct"/>
            <w:vAlign w:val="center"/>
            <w:hideMark/>
          </w:tcPr>
          <w:p w:rsidR="00000000" w:rsidRDefault="00B132B6">
            <w:pPr>
              <w:spacing w:after="100"/>
              <w:rPr>
                <w:rFonts w:eastAsia="Times New Roman"/>
                <w:sz w:val="20"/>
                <w:szCs w:val="20"/>
              </w:rPr>
            </w:pPr>
          </w:p>
        </w:tc>
        <w:tc>
          <w:tcPr>
            <w:tcW w:w="2445"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r>
      <w:tr w:rsidR="00000000">
        <w:trPr>
          <w:divId w:val="305472188"/>
        </w:trPr>
        <w:tc>
          <w:tcPr>
            <w:tcW w:w="0" w:type="auto"/>
            <w:gridSpan w:val="3"/>
            <w:tcMar>
              <w:top w:w="30" w:type="dxa"/>
              <w:left w:w="20" w:type="dxa"/>
              <w:bottom w:w="30" w:type="dxa"/>
              <w:right w:w="20" w:type="dxa"/>
            </w:tcMar>
            <w:hideMark/>
          </w:tcPr>
          <w:p w:rsidR="00000000" w:rsidRDefault="00B132B6">
            <w:pPr>
              <w:spacing w:after="100"/>
              <w:ind w:hanging="720"/>
              <w:divId w:val="384261996"/>
              <w:rPr>
                <w:rFonts w:eastAsia="Times New Roman"/>
              </w:rPr>
            </w:pPr>
            <w:r>
              <w:rPr>
                <w:rFonts w:eastAsia="Times New Roman"/>
                <w:color w:val="000000"/>
                <w:sz w:val="20"/>
                <w:szCs w:val="20"/>
              </w:rPr>
              <w:t>•other commercial banks</w:t>
            </w:r>
          </w:p>
          <w:p w:rsidR="00000000" w:rsidRDefault="00B132B6">
            <w:pPr>
              <w:spacing w:after="100"/>
              <w:ind w:hanging="720"/>
              <w:divId w:val="1654021984"/>
              <w:rPr>
                <w:rFonts w:eastAsia="Times New Roman"/>
              </w:rPr>
            </w:pPr>
            <w:r>
              <w:rPr>
                <w:rFonts w:eastAsia="Times New Roman"/>
                <w:color w:val="000000"/>
                <w:sz w:val="20"/>
                <w:szCs w:val="20"/>
              </w:rPr>
              <w:t>•savings banks</w:t>
            </w:r>
          </w:p>
          <w:p w:rsidR="00000000" w:rsidRDefault="00B132B6">
            <w:pPr>
              <w:spacing w:after="100"/>
              <w:ind w:hanging="720"/>
              <w:divId w:val="165748082"/>
              <w:rPr>
                <w:rFonts w:eastAsia="Times New Roman"/>
              </w:rPr>
            </w:pPr>
            <w:r>
              <w:rPr>
                <w:rFonts w:eastAsia="Times New Roman"/>
                <w:color w:val="000000"/>
                <w:sz w:val="20"/>
                <w:szCs w:val="20"/>
              </w:rPr>
              <w:t>•savings and loan associations</w:t>
            </w:r>
          </w:p>
          <w:p w:rsidR="00000000" w:rsidRDefault="00B132B6">
            <w:pPr>
              <w:spacing w:after="100"/>
              <w:ind w:hanging="720"/>
              <w:divId w:val="804548746"/>
              <w:rPr>
                <w:rFonts w:eastAsia="Times New Roman"/>
              </w:rPr>
            </w:pPr>
            <w:r>
              <w:rPr>
                <w:rFonts w:eastAsia="Times New Roman"/>
                <w:color w:val="000000"/>
                <w:sz w:val="20"/>
                <w:szCs w:val="20"/>
              </w:rPr>
              <w:t>•credit unions</w:t>
            </w:r>
          </w:p>
        </w:tc>
        <w:tc>
          <w:tcPr>
            <w:tcW w:w="0" w:type="auto"/>
            <w:gridSpan w:val="3"/>
            <w:tcMar>
              <w:top w:w="30" w:type="dxa"/>
              <w:left w:w="20" w:type="dxa"/>
              <w:bottom w:w="30" w:type="dxa"/>
              <w:right w:w="20" w:type="dxa"/>
            </w:tcMar>
            <w:hideMark/>
          </w:tcPr>
          <w:p w:rsidR="00000000" w:rsidRDefault="00B132B6">
            <w:pPr>
              <w:spacing w:after="100"/>
              <w:ind w:hanging="720"/>
              <w:divId w:val="74673790"/>
              <w:rPr>
                <w:rFonts w:eastAsia="Times New Roman"/>
              </w:rPr>
            </w:pPr>
            <w:r>
              <w:rPr>
                <w:rFonts w:eastAsia="Times New Roman"/>
                <w:color w:val="000000"/>
                <w:sz w:val="20"/>
                <w:szCs w:val="20"/>
              </w:rPr>
              <w:t>•brokerage firms</w:t>
            </w:r>
          </w:p>
          <w:p w:rsidR="00000000" w:rsidRDefault="00B132B6">
            <w:pPr>
              <w:spacing w:after="100"/>
              <w:ind w:hanging="720"/>
              <w:divId w:val="1998991699"/>
              <w:rPr>
                <w:rFonts w:eastAsia="Times New Roman"/>
              </w:rPr>
            </w:pPr>
            <w:r>
              <w:rPr>
                <w:rFonts w:eastAsia="Times New Roman"/>
                <w:color w:val="000000"/>
                <w:sz w:val="20"/>
                <w:szCs w:val="20"/>
              </w:rPr>
              <w:t>•insurance companies</w:t>
            </w:r>
          </w:p>
          <w:p w:rsidR="00000000" w:rsidRDefault="00B132B6">
            <w:pPr>
              <w:spacing w:after="100"/>
              <w:ind w:hanging="720"/>
              <w:divId w:val="1284077382"/>
              <w:rPr>
                <w:rFonts w:eastAsia="Times New Roman"/>
              </w:rPr>
            </w:pPr>
            <w:r>
              <w:rPr>
                <w:rFonts w:eastAsia="Times New Roman"/>
                <w:color w:val="000000"/>
                <w:sz w:val="20"/>
                <w:szCs w:val="20"/>
              </w:rPr>
              <w:t>•money market mutual funds</w:t>
            </w:r>
          </w:p>
          <w:p w:rsidR="00000000" w:rsidRDefault="00B132B6">
            <w:pPr>
              <w:spacing w:after="100"/>
              <w:ind w:hanging="720"/>
              <w:divId w:val="1800144683"/>
              <w:rPr>
                <w:rFonts w:eastAsia="Times New Roman"/>
              </w:rPr>
            </w:pPr>
            <w:r>
              <w:rPr>
                <w:rFonts w:eastAsia="Times New Roman"/>
                <w:color w:val="000000"/>
                <w:sz w:val="20"/>
                <w:szCs w:val="20"/>
              </w:rPr>
              <w:t>•</w:t>
            </w:r>
            <w:r>
              <w:rPr>
                <w:rFonts w:eastAsia="Times New Roman"/>
                <w:color w:val="000000"/>
                <w:sz w:val="20"/>
                <w:szCs w:val="20"/>
              </w:rPr>
              <w:t>mutual funds (such as corporate and government securities funds)</w:t>
            </w:r>
          </w:p>
        </w:tc>
      </w:tr>
    </w:tbl>
    <w:p w:rsidR="00000000" w:rsidRDefault="00B132B6">
      <w:pPr>
        <w:ind w:firstLine="720"/>
        <w:jc w:val="both"/>
        <w:divId w:val="226843349"/>
        <w:rPr>
          <w:rFonts w:eastAsia="Times New Roman"/>
        </w:rPr>
      </w:pPr>
      <w:r>
        <w:rPr>
          <w:rFonts w:eastAsia="Times New Roman"/>
          <w:color w:val="000000"/>
          <w:sz w:val="20"/>
          <w:szCs w:val="20"/>
        </w:rPr>
        <w:t>Many of these competitors have greater financial resources and name recognition, more locations, more advanced technology and more financial products to offer than the Bank. Competition from larger institutions may increase due to an acceleration of bank m</w:t>
      </w:r>
      <w:r>
        <w:rPr>
          <w:rFonts w:eastAsia="Times New Roman"/>
          <w:color w:val="000000"/>
          <w:sz w:val="20"/>
          <w:szCs w:val="20"/>
        </w:rPr>
        <w:t>ergers and consolidations in Missouri and the rest of the nation. In addition, the Gramm-Leach-Bliley Act removes many of the remaining restrictions in federal banking law against cross-ownership between banks and other financial institutions, such as insu</w:t>
      </w:r>
      <w:r>
        <w:rPr>
          <w:rFonts w:eastAsia="Times New Roman"/>
          <w:color w:val="000000"/>
          <w:sz w:val="20"/>
          <w:szCs w:val="20"/>
        </w:rPr>
        <w:t xml:space="preserve">rance companies and securities firms. The law will likely increase the number and financial strength of companies that compete directly with the Bank. </w:t>
      </w:r>
    </w:p>
    <w:p w:rsidR="00000000" w:rsidRDefault="00B132B6">
      <w:pPr>
        <w:ind w:firstLine="720"/>
        <w:jc w:val="both"/>
        <w:divId w:val="1293824158"/>
        <w:rPr>
          <w:rFonts w:eastAsia="Times New Roman"/>
        </w:rPr>
      </w:pPr>
      <w:r>
        <w:rPr>
          <w:rFonts w:eastAsia="Times New Roman"/>
          <w:color w:val="000000"/>
          <w:sz w:val="20"/>
          <w:szCs w:val="20"/>
        </w:rPr>
        <w:t>The profitability of the Bank depends on its continued ability to attract new customers and compete in i</w:t>
      </w:r>
      <w:r>
        <w:rPr>
          <w:rFonts w:eastAsia="Times New Roman"/>
          <w:color w:val="000000"/>
          <w:sz w:val="20"/>
          <w:szCs w:val="20"/>
        </w:rPr>
        <w:t>ts service areas. Increased competition in our markets from new competitors, as well as the expanding operations of existing competitors, may result in:</w:t>
      </w:r>
    </w:p>
    <w:p w:rsidR="00000000" w:rsidRDefault="00B132B6">
      <w:pPr>
        <w:ind w:firstLine="720"/>
        <w:divId w:val="967517404"/>
        <w:rPr>
          <w:rFonts w:eastAsia="Times New Roman"/>
        </w:rPr>
      </w:pPr>
      <w:r>
        <w:rPr>
          <w:rFonts w:eastAsia="Times New Roman"/>
          <w:color w:val="000000"/>
          <w:sz w:val="20"/>
          <w:szCs w:val="20"/>
        </w:rPr>
        <w:t>•interest rate changes to various types of accounts;</w:t>
      </w:r>
    </w:p>
    <w:p w:rsidR="00000000" w:rsidRDefault="00B132B6">
      <w:pPr>
        <w:ind w:firstLine="720"/>
        <w:divId w:val="722601877"/>
        <w:rPr>
          <w:rFonts w:eastAsia="Times New Roman"/>
        </w:rPr>
      </w:pPr>
      <w:r>
        <w:rPr>
          <w:rFonts w:eastAsia="Times New Roman"/>
          <w:color w:val="000000"/>
          <w:sz w:val="20"/>
          <w:szCs w:val="20"/>
        </w:rPr>
        <w:t>•a decrease in the amounts of the Bank's loans and</w:t>
      </w:r>
      <w:r>
        <w:rPr>
          <w:rFonts w:eastAsia="Times New Roman"/>
          <w:color w:val="000000"/>
          <w:sz w:val="20"/>
          <w:szCs w:val="20"/>
        </w:rPr>
        <w:t xml:space="preserve"> deposits;</w:t>
      </w:r>
    </w:p>
    <w:p w:rsidR="00000000" w:rsidRDefault="00B132B6">
      <w:pPr>
        <w:ind w:firstLine="720"/>
        <w:divId w:val="2020424462"/>
        <w:rPr>
          <w:rFonts w:eastAsia="Times New Roman"/>
        </w:rPr>
      </w:pPr>
      <w:r>
        <w:rPr>
          <w:rFonts w:eastAsia="Times New Roman"/>
          <w:color w:val="000000"/>
          <w:sz w:val="20"/>
          <w:szCs w:val="20"/>
        </w:rPr>
        <w:t>•reduced spreads between loan rates and deposit rates; and</w:t>
      </w:r>
    </w:p>
    <w:p w:rsidR="00000000" w:rsidRDefault="00B132B6">
      <w:pPr>
        <w:ind w:firstLine="720"/>
        <w:divId w:val="712969478"/>
        <w:rPr>
          <w:rFonts w:eastAsia="Times New Roman"/>
        </w:rPr>
      </w:pPr>
      <w:r>
        <w:rPr>
          <w:rFonts w:eastAsia="Times New Roman"/>
          <w:color w:val="000000"/>
          <w:sz w:val="20"/>
          <w:szCs w:val="20"/>
        </w:rPr>
        <w:t>•loan terms that are less favorable to the bank.</w:t>
      </w:r>
    </w:p>
    <w:p w:rsidR="00000000" w:rsidRDefault="00B132B6">
      <w:pPr>
        <w:jc w:val="both"/>
        <w:divId w:val="684404309"/>
        <w:rPr>
          <w:rFonts w:eastAsia="Times New Roman"/>
        </w:rPr>
      </w:pPr>
      <w:r>
        <w:rPr>
          <w:rFonts w:eastAsia="Times New Roman"/>
          <w:color w:val="000000"/>
          <w:sz w:val="20"/>
          <w:szCs w:val="20"/>
        </w:rPr>
        <w:t>Any of these results could have a material adverse impact on the Bank's market share of deposits and loans in the Bank's service areas. I</w:t>
      </w:r>
      <w:r>
        <w:rPr>
          <w:rFonts w:eastAsia="Times New Roman"/>
          <w:color w:val="000000"/>
          <w:sz w:val="20"/>
          <w:szCs w:val="20"/>
        </w:rPr>
        <w:t>f the Bank is unable to successfully compete, its financial condition and results of operations will be adversely affected.</w:t>
      </w:r>
    </w:p>
    <w:p w:rsidR="00000000" w:rsidRDefault="00B132B6">
      <w:pPr>
        <w:ind w:firstLine="720"/>
        <w:jc w:val="both"/>
        <w:divId w:val="418453555"/>
        <w:rPr>
          <w:rFonts w:eastAsia="Times New Roman"/>
        </w:rPr>
      </w:pPr>
      <w:r>
        <w:rPr>
          <w:rFonts w:eastAsia="Times New Roman"/>
          <w:b/>
          <w:bCs/>
          <w:color w:val="000000"/>
          <w:sz w:val="20"/>
          <w:szCs w:val="20"/>
        </w:rPr>
        <w:t>We May Experience Difficulties in Managing Growth and in Effectively Integrating Newly Acquired Companies.</w:t>
      </w:r>
      <w:r>
        <w:rPr>
          <w:rFonts w:eastAsia="Times New Roman"/>
          <w:color w:val="000000"/>
          <w:sz w:val="20"/>
          <w:szCs w:val="20"/>
        </w:rPr>
        <w:t xml:space="preserve"> As part of the Company's </w:t>
      </w:r>
      <w:r>
        <w:rPr>
          <w:rFonts w:eastAsia="Times New Roman"/>
          <w:color w:val="000000"/>
          <w:sz w:val="20"/>
          <w:szCs w:val="20"/>
        </w:rPr>
        <w:t>general strategy, it may continue to acquire banks and businesses that it believes provide a strategic fit with its business. To the extent that the Company does grow, there can be no assurances that we will be able to adequately and profitably manage such</w:t>
      </w:r>
      <w:r>
        <w:rPr>
          <w:rFonts w:eastAsia="Times New Roman"/>
          <w:color w:val="000000"/>
          <w:sz w:val="20"/>
          <w:szCs w:val="20"/>
        </w:rPr>
        <w:t xml:space="preserve"> growth. Acquiring other banks and businesses will involve risks commonly associated with acquisitions, including:</w:t>
      </w:r>
    </w:p>
    <w:p w:rsidR="00000000" w:rsidRDefault="00B132B6">
      <w:pPr>
        <w:ind w:hanging="360"/>
        <w:jc w:val="both"/>
        <w:divId w:val="1523858664"/>
        <w:rPr>
          <w:rFonts w:eastAsia="Times New Roman"/>
        </w:rPr>
      </w:pPr>
      <w:r>
        <w:rPr>
          <w:rFonts w:eastAsia="Times New Roman"/>
          <w:color w:val="000000"/>
          <w:sz w:val="20"/>
          <w:szCs w:val="20"/>
        </w:rPr>
        <w:t>•potential exposure to liabilities of the banks and businesses acquired;</w:t>
      </w:r>
    </w:p>
    <w:p w:rsidR="00000000" w:rsidRDefault="00B132B6">
      <w:pPr>
        <w:ind w:hanging="360"/>
        <w:jc w:val="both"/>
        <w:divId w:val="573198342"/>
        <w:rPr>
          <w:rFonts w:eastAsia="Times New Roman"/>
        </w:rPr>
      </w:pPr>
      <w:r>
        <w:rPr>
          <w:rFonts w:eastAsia="Times New Roman"/>
          <w:color w:val="000000"/>
          <w:sz w:val="20"/>
          <w:szCs w:val="20"/>
        </w:rPr>
        <w:t xml:space="preserve">•difficulty and expense of integrating the operations and personnel </w:t>
      </w:r>
      <w:r>
        <w:rPr>
          <w:rFonts w:eastAsia="Times New Roman"/>
          <w:color w:val="000000"/>
          <w:sz w:val="20"/>
          <w:szCs w:val="20"/>
        </w:rPr>
        <w:t>of the banks and businesses acquired;</w:t>
      </w:r>
    </w:p>
    <w:p w:rsidR="00000000" w:rsidRDefault="00B132B6">
      <w:pPr>
        <w:ind w:hanging="360"/>
        <w:jc w:val="both"/>
        <w:divId w:val="492988234"/>
        <w:rPr>
          <w:rFonts w:eastAsia="Times New Roman"/>
        </w:rPr>
      </w:pPr>
      <w:r>
        <w:rPr>
          <w:rFonts w:eastAsia="Times New Roman"/>
          <w:color w:val="000000"/>
          <w:sz w:val="20"/>
          <w:szCs w:val="20"/>
        </w:rPr>
        <w:t>•difficulty and expense of instituting the necessary systems and procedures, including accounting and financial reporting systems, to manage the combined enterprises on a profitable basis;</w:t>
      </w:r>
    </w:p>
    <w:p w:rsidR="00000000" w:rsidRDefault="00B132B6">
      <w:pPr>
        <w:jc w:val="center"/>
        <w:divId w:val="747926287"/>
        <w:rPr>
          <w:rFonts w:eastAsia="Times New Roman"/>
        </w:rPr>
      </w:pPr>
      <w:r>
        <w:rPr>
          <w:rFonts w:eastAsia="Times New Roman"/>
          <w:color w:val="000000"/>
          <w:sz w:val="20"/>
          <w:szCs w:val="20"/>
        </w:rPr>
        <w:t>16</w:t>
      </w:r>
    </w:p>
    <w:p w:rsidR="00000000" w:rsidRDefault="00B132B6">
      <w:pPr>
        <w:rPr>
          <w:rFonts w:eastAsia="Times New Roman"/>
        </w:rPr>
      </w:pPr>
      <w:r>
        <w:rPr>
          <w:rFonts w:eastAsia="Times New Roman"/>
        </w:rPr>
        <w:pict>
          <v:rect id="_x0000_i1040" style="width:0;height:1.5pt" o:hralign="center" o:hrstd="t" o:hr="t" fillcolor="#a0a0a0" stroked="f"/>
        </w:pict>
      </w:r>
    </w:p>
    <w:p w:rsidR="00000000" w:rsidRDefault="00B132B6">
      <w:pPr>
        <w:divId w:val="1009867607"/>
        <w:rPr>
          <w:rFonts w:eastAsia="Times New Roman"/>
        </w:rPr>
      </w:pPr>
    </w:p>
    <w:p w:rsidR="00000000" w:rsidRDefault="00B132B6">
      <w:pPr>
        <w:ind w:hanging="360"/>
        <w:divId w:val="787698502"/>
        <w:rPr>
          <w:rFonts w:eastAsia="Times New Roman"/>
        </w:rPr>
      </w:pPr>
      <w:r>
        <w:rPr>
          <w:rFonts w:eastAsia="Times New Roman"/>
          <w:color w:val="000000"/>
          <w:sz w:val="20"/>
          <w:szCs w:val="20"/>
        </w:rPr>
        <w:t>•potential disruption to existing business and operations;</w:t>
      </w:r>
    </w:p>
    <w:p w:rsidR="00000000" w:rsidRDefault="00B132B6">
      <w:pPr>
        <w:ind w:hanging="360"/>
        <w:jc w:val="both"/>
        <w:divId w:val="1171682917"/>
        <w:rPr>
          <w:rFonts w:eastAsia="Times New Roman"/>
        </w:rPr>
      </w:pPr>
      <w:r>
        <w:rPr>
          <w:rFonts w:eastAsia="Times New Roman"/>
          <w:color w:val="000000"/>
          <w:sz w:val="20"/>
          <w:szCs w:val="20"/>
        </w:rPr>
        <w:t>•potential diversion of the time and attention of management; and</w:t>
      </w:r>
    </w:p>
    <w:p w:rsidR="00000000" w:rsidRDefault="00B132B6">
      <w:pPr>
        <w:ind w:hanging="360"/>
        <w:jc w:val="both"/>
        <w:divId w:val="463432626"/>
        <w:rPr>
          <w:rFonts w:eastAsia="Times New Roman"/>
        </w:rPr>
      </w:pPr>
      <w:r>
        <w:rPr>
          <w:rFonts w:eastAsia="Times New Roman"/>
          <w:color w:val="000000"/>
          <w:sz w:val="20"/>
          <w:szCs w:val="20"/>
        </w:rPr>
        <w:t>•</w:t>
      </w:r>
      <w:r>
        <w:rPr>
          <w:rFonts w:eastAsia="Times New Roman"/>
          <w:color w:val="000000"/>
          <w:sz w:val="20"/>
          <w:szCs w:val="20"/>
        </w:rPr>
        <w:t>impairment of relationships with and the possible loss of key employees and customers of the banks and businesses acquired.</w:t>
      </w:r>
    </w:p>
    <w:p w:rsidR="00000000" w:rsidRDefault="00B132B6">
      <w:pPr>
        <w:ind w:firstLine="720"/>
        <w:jc w:val="both"/>
        <w:divId w:val="604046133"/>
        <w:rPr>
          <w:rFonts w:eastAsia="Times New Roman"/>
        </w:rPr>
      </w:pPr>
      <w:r>
        <w:rPr>
          <w:rFonts w:eastAsia="Times New Roman"/>
          <w:color w:val="000000"/>
          <w:sz w:val="20"/>
          <w:szCs w:val="20"/>
        </w:rPr>
        <w:t>The success of the Company's internal growth strategy will depend primarily on the ability of the Bank to generate an increasing lev</w:t>
      </w:r>
      <w:r>
        <w:rPr>
          <w:rFonts w:eastAsia="Times New Roman"/>
          <w:color w:val="000000"/>
          <w:sz w:val="20"/>
          <w:szCs w:val="20"/>
        </w:rPr>
        <w:t>el of loans and deposits at acceptable risk levels and on acceptable terms without significant increases in non-interest expenses relative to revenues generated. There is no assurance that we will be successful in implementing the Company's internal growth</w:t>
      </w:r>
      <w:r>
        <w:rPr>
          <w:rFonts w:eastAsia="Times New Roman"/>
          <w:color w:val="000000"/>
          <w:sz w:val="20"/>
          <w:szCs w:val="20"/>
        </w:rPr>
        <w:t xml:space="preserve"> strategy.</w:t>
      </w:r>
    </w:p>
    <w:p w:rsidR="00000000" w:rsidRDefault="00B132B6">
      <w:pPr>
        <w:ind w:firstLine="720"/>
        <w:jc w:val="both"/>
        <w:divId w:val="604465933"/>
        <w:rPr>
          <w:rFonts w:eastAsia="Times New Roman"/>
        </w:rPr>
      </w:pPr>
      <w:r>
        <w:rPr>
          <w:rFonts w:eastAsia="Times New Roman"/>
          <w:b/>
          <w:bCs/>
          <w:color w:val="000000"/>
          <w:sz w:val="20"/>
          <w:szCs w:val="20"/>
        </w:rPr>
        <w:t xml:space="preserve">The Bank is a Community Bank and Our Ability to Maintain the Bank's Reputation is Critical to the Success of Our Business and the Failure to Do So Could Materially Adversely Affect Our Performance. </w:t>
      </w:r>
      <w:r>
        <w:rPr>
          <w:rFonts w:eastAsia="Times New Roman"/>
          <w:color w:val="000000"/>
          <w:sz w:val="20"/>
          <w:szCs w:val="20"/>
        </w:rPr>
        <w:t>The Bank is a community bank, and its reputatio</w:t>
      </w:r>
      <w:r>
        <w:rPr>
          <w:rFonts w:eastAsia="Times New Roman"/>
          <w:color w:val="000000"/>
          <w:sz w:val="20"/>
          <w:szCs w:val="20"/>
        </w:rPr>
        <w:t>n is one of the most valuable components of our business. As such, we strive to conduct our business in a manner that enhances our reputation. This is done, in part, by recruiting, hiring and retaining employees who share our core values of being an integr</w:t>
      </w:r>
      <w:r>
        <w:rPr>
          <w:rFonts w:eastAsia="Times New Roman"/>
          <w:color w:val="000000"/>
          <w:sz w:val="20"/>
          <w:szCs w:val="20"/>
        </w:rPr>
        <w:t>al part of the communities we serve, delivering superior service to our customers and caring about our customers and associates. However, employee error or employee and customer misconduct could subject us to financial losses or regulatory sanctions and se</w:t>
      </w:r>
      <w:r>
        <w:rPr>
          <w:rFonts w:eastAsia="Times New Roman"/>
          <w:color w:val="000000"/>
          <w:sz w:val="20"/>
          <w:szCs w:val="20"/>
        </w:rPr>
        <w:t>riously harm our reputation. Misconduct by our employees could include hiding unauthorized activities from us, improper or unauthorized activities on behalf of our clients or improper use of confidential information. It is not always possible to prevent em</w:t>
      </w:r>
      <w:r>
        <w:rPr>
          <w:rFonts w:eastAsia="Times New Roman"/>
          <w:color w:val="000000"/>
          <w:sz w:val="20"/>
          <w:szCs w:val="20"/>
        </w:rPr>
        <w:t>ployee error or misconduct, and the precautions we take to prevent and detect this activity may not be effective in all cases. Because the nature of the financial services business involves a high volume of transactions, certain errors may be repeated or c</w:t>
      </w:r>
      <w:r>
        <w:rPr>
          <w:rFonts w:eastAsia="Times New Roman"/>
          <w:color w:val="000000"/>
          <w:sz w:val="20"/>
          <w:szCs w:val="20"/>
        </w:rPr>
        <w:t>ompounded before they are discovered and successfully rectified. If our reputation is negatively affected, by the actions of our employees or otherwise, our business and, therefore, our operating results could be materially adversely affected.</w:t>
      </w:r>
    </w:p>
    <w:p w:rsidR="00000000" w:rsidRDefault="00B132B6">
      <w:pPr>
        <w:ind w:firstLine="720"/>
        <w:jc w:val="both"/>
        <w:divId w:val="2013796593"/>
        <w:rPr>
          <w:rFonts w:eastAsia="Times New Roman"/>
        </w:rPr>
      </w:pPr>
      <w:r>
        <w:rPr>
          <w:rFonts w:eastAsia="Times New Roman"/>
          <w:b/>
          <w:bCs/>
          <w:color w:val="000000"/>
          <w:sz w:val="20"/>
          <w:szCs w:val="20"/>
        </w:rPr>
        <w:t>Fraudulent Activity Could Damage Our Reputation, Disrupt Our Business, Increase our Costs and Cause Losses.</w:t>
      </w:r>
      <w:r>
        <w:rPr>
          <w:rFonts w:eastAsia="Times New Roman"/>
          <w:color w:val="000000"/>
          <w:sz w:val="20"/>
          <w:szCs w:val="20"/>
        </w:rPr>
        <w:t xml:space="preserve"> Financial institutions are inherently exposed to operational risk in the form of theft and other fraudulent activity by employees, clients and other</w:t>
      </w:r>
      <w:r>
        <w:rPr>
          <w:rFonts w:eastAsia="Times New Roman"/>
          <w:color w:val="000000"/>
          <w:sz w:val="20"/>
          <w:szCs w:val="20"/>
        </w:rPr>
        <w:t xml:space="preserve"> third parties targeting us and our customers or data. Such activity may take many forms, including check fraud, electronic fraud, wire fraud, phishing, social engineering, and other dishonest acts. Although the Company devotes substantial resources to mai</w:t>
      </w:r>
      <w:r>
        <w:rPr>
          <w:rFonts w:eastAsia="Times New Roman"/>
          <w:color w:val="000000"/>
          <w:sz w:val="20"/>
          <w:szCs w:val="20"/>
        </w:rPr>
        <w:t>ntaining effective policies and internal controls to identify and prevent such incidents, given the increasing sophistication of possible perpetrators, the Company or the Bank may experience financial losses or reputational harm as a result of fraud. In ad</w:t>
      </w:r>
      <w:r>
        <w:rPr>
          <w:rFonts w:eastAsia="Times New Roman"/>
          <w:color w:val="000000"/>
          <w:sz w:val="20"/>
          <w:szCs w:val="20"/>
        </w:rPr>
        <w:t>dition, we may be required to make significant capital expenditures in order to modify and enhance our protective measures or to investigate and remediate fraudulent activity. Although we have not experienced any material business or reputational harm as a</w:t>
      </w:r>
      <w:r>
        <w:rPr>
          <w:rFonts w:eastAsia="Times New Roman"/>
          <w:color w:val="000000"/>
          <w:sz w:val="20"/>
          <w:szCs w:val="20"/>
        </w:rPr>
        <w:t xml:space="preserve"> result of fraudulent activities in the past, the occurrence of fraudulent activity could damage our reputation, disrupt our business, increase our costs and cause losses in the future</w:t>
      </w:r>
      <w:r>
        <w:rPr>
          <w:rFonts w:eastAsia="Times New Roman"/>
          <w:color w:val="0000FF"/>
          <w:sz w:val="20"/>
          <w:szCs w:val="20"/>
        </w:rPr>
        <w:t>.</w:t>
      </w:r>
    </w:p>
    <w:p w:rsidR="00000000" w:rsidRDefault="00B132B6">
      <w:pPr>
        <w:ind w:firstLine="720"/>
        <w:jc w:val="both"/>
        <w:divId w:val="1567908929"/>
        <w:rPr>
          <w:rFonts w:eastAsia="Times New Roman"/>
        </w:rPr>
      </w:pPr>
      <w:r>
        <w:rPr>
          <w:rFonts w:eastAsia="Times New Roman"/>
          <w:b/>
          <w:bCs/>
          <w:color w:val="000000"/>
          <w:sz w:val="20"/>
          <w:szCs w:val="20"/>
        </w:rPr>
        <w:t>Phase-out of the London Inter-Bank Offered Rate ("LIBOR") and Uncertai</w:t>
      </w:r>
      <w:r>
        <w:rPr>
          <w:rFonts w:eastAsia="Times New Roman"/>
          <w:b/>
          <w:bCs/>
          <w:color w:val="000000"/>
          <w:sz w:val="20"/>
          <w:szCs w:val="20"/>
        </w:rPr>
        <w:t>nty Relating to Alternative Reference Rates May Adversely Affect Our Results of Operations.</w:t>
      </w:r>
      <w:r>
        <w:rPr>
          <w:rFonts w:eastAsia="Times New Roman"/>
          <w:b/>
          <w:bCs/>
          <w:i/>
          <w:iCs/>
          <w:color w:val="000000"/>
        </w:rPr>
        <w:t xml:space="preserve"> </w:t>
      </w:r>
      <w:r>
        <w:rPr>
          <w:rFonts w:eastAsia="Times New Roman"/>
          <w:color w:val="000000"/>
          <w:sz w:val="20"/>
          <w:szCs w:val="20"/>
        </w:rPr>
        <w:t>LIBOR is used extensively as a reference rate for various financial contracts, including adjustable-rate loans, asset-backed securities, and interest rate swaps. In</w:t>
      </w:r>
      <w:r>
        <w:rPr>
          <w:rFonts w:eastAsia="Times New Roman"/>
          <w:color w:val="000000"/>
          <w:sz w:val="20"/>
          <w:szCs w:val="20"/>
        </w:rPr>
        <w:t xml:space="preserve"> July 2017, the United Kingdom's Financial Conduct Authority, which regulates LIBOR, announced that it intends to stop persuading or compelling banks to submit LIBOR rates after 2021, and such date was later extended to June 30, 2023. Accordingly, continua</w:t>
      </w:r>
      <w:r>
        <w:rPr>
          <w:rFonts w:eastAsia="Times New Roman"/>
          <w:color w:val="000000"/>
          <w:sz w:val="20"/>
          <w:szCs w:val="20"/>
        </w:rPr>
        <w:t>tion of LIBOR cannot be guaranteed after June 30, 2023 and alternative reference rates must be established. Management is currently evaluating the impact of this transition as it relates to new and existing contracts and customers. We will be required to i</w:t>
      </w:r>
      <w:r>
        <w:rPr>
          <w:rFonts w:eastAsia="Times New Roman"/>
          <w:color w:val="000000"/>
          <w:sz w:val="20"/>
          <w:szCs w:val="20"/>
        </w:rPr>
        <w:t xml:space="preserve">mplement substitute indices for the calculation of interest rates under our loan agreements and we are currently evaluating appropriate alternatives to LIBOR. Implementing the LIBOR phase-out will involve additional expense and may reduce the value of our </w:t>
      </w:r>
      <w:r>
        <w:rPr>
          <w:rFonts w:eastAsia="Times New Roman"/>
          <w:color w:val="000000"/>
          <w:sz w:val="20"/>
          <w:szCs w:val="20"/>
        </w:rPr>
        <w:t xml:space="preserve">LIBOR-based loans and securities and impact the availability and cost of hedging instruments and borrowings. If we fail to successfully execute the transition, we may be subject to disputes or litigation with clients over the appropriateness of substitute </w:t>
      </w:r>
      <w:r>
        <w:rPr>
          <w:rFonts w:eastAsia="Times New Roman"/>
          <w:color w:val="000000"/>
          <w:sz w:val="20"/>
          <w:szCs w:val="20"/>
        </w:rPr>
        <w:t>LIBOR indices. The ultimate impact of the LIBOR phase-out on the valuations, pricing and operation of our financial instruments is not yet known and difficult to predict and may adversely affect our results of operations. At December 31, 2022, $10.0 millio</w:t>
      </w:r>
      <w:r>
        <w:rPr>
          <w:rFonts w:eastAsia="Times New Roman"/>
          <w:color w:val="000000"/>
          <w:sz w:val="20"/>
          <w:szCs w:val="20"/>
        </w:rPr>
        <w:t>n of our loans were tied to LIBOR.</w:t>
      </w:r>
    </w:p>
    <w:p w:rsidR="00000000" w:rsidRDefault="00B132B6">
      <w:pPr>
        <w:ind w:firstLine="720"/>
        <w:jc w:val="both"/>
        <w:divId w:val="1128553164"/>
        <w:rPr>
          <w:rFonts w:eastAsia="Times New Roman"/>
        </w:rPr>
      </w:pPr>
      <w:r>
        <w:rPr>
          <w:rFonts w:eastAsia="Times New Roman"/>
          <w:b/>
          <w:bCs/>
          <w:color w:val="000000"/>
          <w:sz w:val="20"/>
          <w:szCs w:val="20"/>
        </w:rPr>
        <w:t>The Company's Success Largely Depends on the Efforts of its Executive Officers</w:t>
      </w:r>
      <w:r>
        <w:rPr>
          <w:rFonts w:eastAsia="Times New Roman"/>
          <w:color w:val="000000"/>
          <w:sz w:val="20"/>
          <w:szCs w:val="20"/>
        </w:rPr>
        <w:t>. The success of the Company and the Bank has been largely dependent on the efforts of David Turner, Chairman, CEO, President, and Director, an</w:t>
      </w:r>
      <w:r>
        <w:rPr>
          <w:rFonts w:eastAsia="Times New Roman"/>
          <w:color w:val="000000"/>
          <w:sz w:val="20"/>
          <w:szCs w:val="20"/>
        </w:rPr>
        <w:t xml:space="preserve">d the other executive officers. These individuals are expected to continue to perform their services. However, the loss of the services of Mr. Turner, or any of the other key executive officers could have a materially adverse effect on the Company and the </w:t>
      </w:r>
      <w:r>
        <w:rPr>
          <w:rFonts w:eastAsia="Times New Roman"/>
          <w:color w:val="000000"/>
          <w:sz w:val="20"/>
          <w:szCs w:val="20"/>
        </w:rPr>
        <w:t>Bank.</w:t>
      </w:r>
    </w:p>
    <w:p w:rsidR="00000000" w:rsidRDefault="00B132B6">
      <w:pPr>
        <w:ind w:firstLine="720"/>
        <w:jc w:val="both"/>
        <w:divId w:val="1424375961"/>
        <w:rPr>
          <w:rFonts w:eastAsia="Times New Roman"/>
        </w:rPr>
      </w:pPr>
      <w:r>
        <w:rPr>
          <w:rFonts w:eastAsia="Times New Roman"/>
          <w:b/>
          <w:bCs/>
          <w:color w:val="000000"/>
          <w:sz w:val="20"/>
          <w:szCs w:val="20"/>
        </w:rPr>
        <w:t xml:space="preserve">If We Fail to Maintain an Effective System of Internal Control Over Financial Reporting, We May Not Be Able to Accurately Report Our Financial Results or Prevent Fraud, and, As a Result, Investors and Depositors </w:t>
      </w:r>
    </w:p>
    <w:p w:rsidR="00000000" w:rsidRDefault="00B132B6">
      <w:pPr>
        <w:jc w:val="center"/>
        <w:divId w:val="1162739806"/>
        <w:rPr>
          <w:rFonts w:eastAsia="Times New Roman"/>
        </w:rPr>
      </w:pPr>
      <w:r>
        <w:rPr>
          <w:rFonts w:eastAsia="Times New Roman"/>
          <w:color w:val="000000"/>
          <w:sz w:val="20"/>
          <w:szCs w:val="20"/>
        </w:rPr>
        <w:t>17</w:t>
      </w:r>
    </w:p>
    <w:p w:rsidR="00000000" w:rsidRDefault="00B132B6">
      <w:pPr>
        <w:rPr>
          <w:rFonts w:eastAsia="Times New Roman"/>
        </w:rPr>
      </w:pPr>
      <w:r>
        <w:rPr>
          <w:rFonts w:eastAsia="Times New Roman"/>
        </w:rPr>
        <w:pict>
          <v:rect id="_x0000_i1041" style="width:0;height:1.5pt" o:hralign="center" o:hrstd="t" o:hr="t" fillcolor="#a0a0a0" stroked="f"/>
        </w:pict>
      </w:r>
    </w:p>
    <w:p w:rsidR="00000000" w:rsidRDefault="00B132B6">
      <w:pPr>
        <w:divId w:val="415976188"/>
        <w:rPr>
          <w:rFonts w:eastAsia="Times New Roman"/>
        </w:rPr>
      </w:pPr>
    </w:p>
    <w:p w:rsidR="00000000" w:rsidRDefault="00B132B6">
      <w:pPr>
        <w:jc w:val="both"/>
        <w:divId w:val="1952467487"/>
        <w:rPr>
          <w:rFonts w:eastAsia="Times New Roman"/>
        </w:rPr>
      </w:pPr>
      <w:r>
        <w:rPr>
          <w:rFonts w:eastAsia="Times New Roman"/>
          <w:b/>
          <w:bCs/>
          <w:color w:val="000000"/>
          <w:sz w:val="20"/>
          <w:szCs w:val="20"/>
        </w:rPr>
        <w:t>Could Lose Confidence in Our Financial Reporting, Which Could Adversely Affect Our Business, the Trading Price of Our Stock, and Our Ability to Attract Additional Deposits</w:t>
      </w:r>
      <w:r>
        <w:rPr>
          <w:rFonts w:eastAsia="Times New Roman"/>
          <w:color w:val="000000"/>
          <w:sz w:val="20"/>
          <w:szCs w:val="20"/>
        </w:rPr>
        <w:t>. We are required to include in our annual reports filed with the SEC a report fr</w:t>
      </w:r>
      <w:r>
        <w:rPr>
          <w:rFonts w:eastAsia="Times New Roman"/>
          <w:color w:val="000000"/>
          <w:sz w:val="20"/>
          <w:szCs w:val="20"/>
        </w:rPr>
        <w:t>om our management regarding internal control over financial reporting. As a result, we documented and evaluated our internal control over financial reporting in order to satisfy the requirements of Section 404 of the Sarbanes-Oxley Act and SEC rules and re</w:t>
      </w:r>
      <w:r>
        <w:rPr>
          <w:rFonts w:eastAsia="Times New Roman"/>
          <w:color w:val="000000"/>
          <w:sz w:val="20"/>
          <w:szCs w:val="20"/>
        </w:rPr>
        <w:t>gulations, which require an annual management report on our internal control over financial reporting, including, among other matters, management's assessment of the effectiveness of internal control over financial reporting. Failure or circumvention of ou</w:t>
      </w:r>
      <w:r>
        <w:rPr>
          <w:rFonts w:eastAsia="Times New Roman"/>
          <w:color w:val="000000"/>
          <w:sz w:val="20"/>
          <w:szCs w:val="20"/>
        </w:rPr>
        <w:t>r system of internal control could have an adverse effect on our business, profitability, and financial condition, and could result in regulatory actions and loss of investor confidence. Additionally, if we fail to identify and correct any significant defi</w:t>
      </w:r>
      <w:r>
        <w:rPr>
          <w:rFonts w:eastAsia="Times New Roman"/>
          <w:color w:val="000000"/>
          <w:sz w:val="20"/>
          <w:szCs w:val="20"/>
        </w:rPr>
        <w:t>ciencies or material weaknesses in the design or operating effectiveness of our internal control over financial reporting or fail to prevent fraud, current and potential stockholders and depositors could lose confidence in our financial reporting, which co</w:t>
      </w:r>
      <w:r>
        <w:rPr>
          <w:rFonts w:eastAsia="Times New Roman"/>
          <w:color w:val="000000"/>
          <w:sz w:val="20"/>
          <w:szCs w:val="20"/>
        </w:rPr>
        <w:t>uld adversely affect our business, financial condition and results of operations, the trading price of our stock and our ability to attract additional deposits.</w:t>
      </w:r>
    </w:p>
    <w:p w:rsidR="00000000" w:rsidRDefault="00B132B6">
      <w:pPr>
        <w:ind w:firstLine="720"/>
        <w:jc w:val="both"/>
        <w:divId w:val="792480294"/>
        <w:rPr>
          <w:rFonts w:eastAsia="Times New Roman"/>
        </w:rPr>
      </w:pPr>
      <w:r>
        <w:rPr>
          <w:rFonts w:eastAsia="Times New Roman"/>
          <w:b/>
          <w:bCs/>
          <w:color w:val="000000"/>
          <w:sz w:val="20"/>
          <w:szCs w:val="20"/>
        </w:rPr>
        <w:t>Severe Weather, Natural Disasters, Pandemics, and Other External Events Could Significantly Imp</w:t>
      </w:r>
      <w:r>
        <w:rPr>
          <w:rFonts w:eastAsia="Times New Roman"/>
          <w:b/>
          <w:bCs/>
          <w:color w:val="000000"/>
          <w:sz w:val="20"/>
          <w:szCs w:val="20"/>
        </w:rPr>
        <w:t>act Our Business.</w:t>
      </w:r>
      <w:r>
        <w:rPr>
          <w:rFonts w:eastAsia="Times New Roman"/>
          <w:color w:val="000000"/>
          <w:sz w:val="20"/>
          <w:szCs w:val="20"/>
        </w:rPr>
        <w:t xml:space="preserve"> Severe weather, including tornadoes, droughts, hailstorms and other natural disasters, pandemics, such as the outbreak of COVID-19, acts of war or terrorism and other adverse external events could have a significant impact on our ability </w:t>
      </w:r>
      <w:r>
        <w:rPr>
          <w:rFonts w:eastAsia="Times New Roman"/>
          <w:color w:val="000000"/>
          <w:sz w:val="20"/>
          <w:szCs w:val="20"/>
        </w:rPr>
        <w:t>to conduct business. Such events could affect the stability of our deposit base, impair the ability of borrowers to repay outstanding loans, impair the value of collateral securing loans, cause significant property damage, result in loss of revenue or caus</w:t>
      </w:r>
      <w:r>
        <w:rPr>
          <w:rFonts w:eastAsia="Times New Roman"/>
          <w:color w:val="000000"/>
          <w:sz w:val="20"/>
          <w:szCs w:val="20"/>
        </w:rPr>
        <w:t>e us to incur additional expenses. Operations in our markets could be disrupted by both the evacuation of large portions of the population as well as damage or lack of access to our banking and operation facilities. Military and political conflicts, includ</w:t>
      </w:r>
      <w:r>
        <w:rPr>
          <w:rFonts w:eastAsia="Times New Roman"/>
          <w:color w:val="000000"/>
          <w:sz w:val="20"/>
          <w:szCs w:val="20"/>
        </w:rPr>
        <w:t>ing the current military conflict between Russia and Ukraine, may increase volatility in commodity and energy prices, create supply chain issues and cause instability in financial markets, which may adversely affect us and our clients. Other severe weather</w:t>
      </w:r>
      <w:r>
        <w:rPr>
          <w:rFonts w:eastAsia="Times New Roman"/>
          <w:color w:val="000000"/>
          <w:sz w:val="20"/>
          <w:szCs w:val="20"/>
        </w:rPr>
        <w:t xml:space="preserve"> or natural disasters, pandemics, acts of war or terrorism or other adverse external events may occur in the future. Although management has established business continuity plans and procedures, the occurrence of any such events could have a material adver</w:t>
      </w:r>
      <w:r>
        <w:rPr>
          <w:rFonts w:eastAsia="Times New Roman"/>
          <w:color w:val="000000"/>
          <w:sz w:val="20"/>
          <w:szCs w:val="20"/>
        </w:rPr>
        <w:t>se effect on our business, financial condition and results of operations.</w:t>
      </w:r>
    </w:p>
    <w:p w:rsidR="00000000" w:rsidRDefault="00B132B6">
      <w:pPr>
        <w:ind w:firstLine="720"/>
        <w:jc w:val="both"/>
        <w:divId w:val="1048066309"/>
        <w:rPr>
          <w:rFonts w:eastAsia="Times New Roman"/>
        </w:rPr>
      </w:pPr>
      <w:r>
        <w:rPr>
          <w:rFonts w:eastAsia="Times New Roman"/>
          <w:b/>
          <w:bCs/>
          <w:color w:val="000000"/>
          <w:sz w:val="20"/>
          <w:szCs w:val="20"/>
        </w:rPr>
        <w:t>Climate Change and Responses to Climate Change May Adversely Impact Our Business, Financial Condition and Results of Operations.</w:t>
      </w:r>
      <w:r>
        <w:rPr>
          <w:rFonts w:eastAsia="Times New Roman"/>
          <w:color w:val="000000"/>
          <w:sz w:val="20"/>
          <w:szCs w:val="20"/>
        </w:rPr>
        <w:t xml:space="preserve"> Concerns over the long-term impacts of climate change</w:t>
      </w:r>
      <w:r>
        <w:rPr>
          <w:rFonts w:eastAsia="Times New Roman"/>
          <w:color w:val="000000"/>
          <w:sz w:val="20"/>
          <w:szCs w:val="20"/>
        </w:rPr>
        <w:t xml:space="preserve"> have led and will continue to lead to governmental efforts to mitigate those impacts. Consumers and businesses are also changing their behavior and business preferences as a result of these concerns. New governmental regulations or guidance relating to cl</w:t>
      </w:r>
      <w:r>
        <w:rPr>
          <w:rFonts w:eastAsia="Times New Roman"/>
          <w:color w:val="000000"/>
          <w:sz w:val="20"/>
          <w:szCs w:val="20"/>
        </w:rPr>
        <w:t>imate change, as well as changes in consumers’ and businesses’ behaviors and business preferences, may cause us and our customers to experience cost increases, asset value reductions, operating process changes and delays in completion of projects. To the e</w:t>
      </w:r>
      <w:r>
        <w:rPr>
          <w:rFonts w:eastAsia="Times New Roman"/>
          <w:color w:val="000000"/>
          <w:sz w:val="20"/>
          <w:szCs w:val="20"/>
        </w:rPr>
        <w:t>xtent that climate change and responses to climate change negatively impact the businesses and financial condition of our customers, the credit risk associated with loans and other credit exposures to those customers may increase. In addition, weather even</w:t>
      </w:r>
      <w:r>
        <w:rPr>
          <w:rFonts w:eastAsia="Times New Roman"/>
          <w:color w:val="000000"/>
          <w:sz w:val="20"/>
          <w:szCs w:val="20"/>
        </w:rPr>
        <w:t>ts related to climate change could adversely affect our business and the businesses of our customers.</w:t>
      </w:r>
    </w:p>
    <w:p w:rsidR="00000000" w:rsidRDefault="00B132B6">
      <w:pPr>
        <w:ind w:firstLine="720"/>
        <w:jc w:val="both"/>
        <w:rPr>
          <w:rFonts w:eastAsia="Times New Roman"/>
        </w:rPr>
      </w:pPr>
    </w:p>
    <w:p w:rsidR="00000000" w:rsidRDefault="00B132B6">
      <w:pPr>
        <w:jc w:val="both"/>
        <w:rPr>
          <w:rFonts w:eastAsia="Times New Roman"/>
        </w:rPr>
      </w:pPr>
      <w:r>
        <w:rPr>
          <w:rFonts w:eastAsia="Times New Roman"/>
          <w:b/>
          <w:bCs/>
          <w:color w:val="000000"/>
          <w:sz w:val="20"/>
          <w:szCs w:val="20"/>
          <w:u w:val="single"/>
        </w:rPr>
        <w:t>Risks Relating to Our Regulatory Environment</w:t>
      </w:r>
    </w:p>
    <w:p w:rsidR="00000000" w:rsidRDefault="00B132B6">
      <w:pPr>
        <w:ind w:firstLine="720"/>
        <w:jc w:val="both"/>
        <w:divId w:val="287400539"/>
        <w:rPr>
          <w:rFonts w:eastAsia="Times New Roman"/>
        </w:rPr>
      </w:pPr>
      <w:r>
        <w:rPr>
          <w:rFonts w:eastAsia="Times New Roman"/>
          <w:b/>
          <w:bCs/>
          <w:color w:val="000000"/>
          <w:sz w:val="20"/>
          <w:szCs w:val="20"/>
        </w:rPr>
        <w:t>We May Be Adversely Affected by Changes in Laws And Regulations Affecting the Financial Services Industry</w:t>
      </w:r>
      <w:r>
        <w:rPr>
          <w:rFonts w:eastAsia="Times New Roman"/>
          <w:color w:val="000000"/>
          <w:sz w:val="20"/>
          <w:szCs w:val="20"/>
        </w:rPr>
        <w:t xml:space="preserve">. </w:t>
      </w:r>
      <w:r>
        <w:rPr>
          <w:rFonts w:eastAsia="Times New Roman"/>
          <w:color w:val="000000"/>
          <w:sz w:val="20"/>
          <w:szCs w:val="20"/>
        </w:rPr>
        <w:t>Banks and bank holding companies such as the Company are subject to regulation by both federal and state bank regulatory agencies. The regulations, which are designed to protect borrowers and promote certain social policies, include limitations on the oper</w:t>
      </w:r>
      <w:r>
        <w:rPr>
          <w:rFonts w:eastAsia="Times New Roman"/>
          <w:color w:val="000000"/>
          <w:sz w:val="20"/>
          <w:szCs w:val="20"/>
        </w:rPr>
        <w:t>ations of banks and bank holding companies, such as minimum capital requirements and restrictions on dividend payments. The regulatory authorities have extensive discretion in connection with their supervision and enforcement activities and their examinati</w:t>
      </w:r>
      <w:r>
        <w:rPr>
          <w:rFonts w:eastAsia="Times New Roman"/>
          <w:color w:val="000000"/>
          <w:sz w:val="20"/>
          <w:szCs w:val="20"/>
        </w:rPr>
        <w:t>on policies, including the imposition of restrictions on the operation of a bank, the classification of assets by an institution and requiring an increase in a bank's allowance for loan losses. These regulations are not necessarily designed to maximize the</w:t>
      </w:r>
      <w:r>
        <w:rPr>
          <w:rFonts w:eastAsia="Times New Roman"/>
          <w:color w:val="000000"/>
          <w:sz w:val="20"/>
          <w:szCs w:val="20"/>
        </w:rPr>
        <w:t xml:space="preserve"> profitability of banking institutions.</w:t>
      </w:r>
    </w:p>
    <w:p w:rsidR="00000000" w:rsidRDefault="00B132B6">
      <w:pPr>
        <w:ind w:firstLine="720"/>
        <w:jc w:val="both"/>
        <w:divId w:val="1833718429"/>
        <w:rPr>
          <w:rFonts w:eastAsia="Times New Roman"/>
        </w:rPr>
      </w:pPr>
      <w:r>
        <w:rPr>
          <w:rFonts w:eastAsia="Times New Roman"/>
          <w:color w:val="000000"/>
          <w:sz w:val="20"/>
          <w:szCs w:val="20"/>
        </w:rPr>
        <w:t xml:space="preserve">In July 2010, President Barack Obama signed into law the Dodd-Frank Act, which enacted substantial changes to the legal framework of the entire financial services industry. The Dodd-Frank Act mandates the passage of </w:t>
      </w:r>
      <w:r>
        <w:rPr>
          <w:rFonts w:eastAsia="Times New Roman"/>
          <w:color w:val="000000"/>
          <w:sz w:val="20"/>
          <w:szCs w:val="20"/>
        </w:rPr>
        <w:t>numerous rules and regulations by various regulatory agencies over the next few years. This legislation will change banking regulation and the operating environment of the Company in substantial and unpredictable ways. It could increase or decrease the cos</w:t>
      </w:r>
      <w:r>
        <w:rPr>
          <w:rFonts w:eastAsia="Times New Roman"/>
          <w:color w:val="000000"/>
          <w:sz w:val="20"/>
          <w:szCs w:val="20"/>
        </w:rPr>
        <w:t xml:space="preserve">t of doing business, limit or expand permissible activities or affect the competitive balance among banks, savings associations, credit unions and other financial institutions. The Company cannot predict the impact that the Dodd-Frank Act, and the various </w:t>
      </w:r>
      <w:r>
        <w:rPr>
          <w:rFonts w:eastAsia="Times New Roman"/>
          <w:color w:val="000000"/>
          <w:sz w:val="20"/>
          <w:szCs w:val="20"/>
        </w:rPr>
        <w:t>regulations issued thereunder will have on its business.</w:t>
      </w:r>
    </w:p>
    <w:p w:rsidR="00000000" w:rsidRDefault="00B132B6">
      <w:pPr>
        <w:jc w:val="center"/>
        <w:divId w:val="1917546951"/>
        <w:rPr>
          <w:rFonts w:eastAsia="Times New Roman"/>
        </w:rPr>
      </w:pPr>
      <w:r>
        <w:rPr>
          <w:rFonts w:eastAsia="Times New Roman"/>
          <w:color w:val="000000"/>
          <w:sz w:val="20"/>
          <w:szCs w:val="20"/>
        </w:rPr>
        <w:t>18</w:t>
      </w:r>
    </w:p>
    <w:p w:rsidR="00000000" w:rsidRDefault="00B132B6">
      <w:pPr>
        <w:rPr>
          <w:rFonts w:eastAsia="Times New Roman"/>
        </w:rPr>
      </w:pPr>
      <w:r>
        <w:rPr>
          <w:rFonts w:eastAsia="Times New Roman"/>
        </w:rPr>
        <w:pict>
          <v:rect id="_x0000_i1042" style="width:0;height:1.5pt" o:hralign="center" o:hrstd="t" o:hr="t" fillcolor="#a0a0a0" stroked="f"/>
        </w:pict>
      </w:r>
    </w:p>
    <w:p w:rsidR="00000000" w:rsidRDefault="00B132B6">
      <w:pPr>
        <w:divId w:val="887645473"/>
        <w:rPr>
          <w:rFonts w:eastAsia="Times New Roman"/>
        </w:rPr>
      </w:pPr>
    </w:p>
    <w:p w:rsidR="00000000" w:rsidRDefault="00B132B6">
      <w:pPr>
        <w:ind w:firstLine="720"/>
        <w:jc w:val="both"/>
        <w:divId w:val="227501953"/>
        <w:rPr>
          <w:rFonts w:eastAsia="Times New Roman"/>
        </w:rPr>
      </w:pPr>
      <w:r>
        <w:rPr>
          <w:rFonts w:eastAsia="Times New Roman"/>
          <w:color w:val="000000"/>
          <w:sz w:val="20"/>
          <w:szCs w:val="20"/>
        </w:rPr>
        <w:t>These, and other future changes in the banking laws and regulations and tax and accounting rules applicable to financial institutions, could have a material a</w:t>
      </w:r>
      <w:r>
        <w:rPr>
          <w:rFonts w:eastAsia="Times New Roman"/>
          <w:color w:val="000000"/>
          <w:sz w:val="20"/>
          <w:szCs w:val="20"/>
        </w:rPr>
        <w:t>dverse effect on the operations and financial condition of the Company and the Bank.</w:t>
      </w:r>
    </w:p>
    <w:p w:rsidR="00000000" w:rsidRDefault="00B132B6">
      <w:pPr>
        <w:ind w:firstLine="720"/>
        <w:jc w:val="both"/>
        <w:divId w:val="1972906864"/>
        <w:rPr>
          <w:rFonts w:eastAsia="Times New Roman"/>
        </w:rPr>
      </w:pPr>
      <w:r>
        <w:rPr>
          <w:rFonts w:eastAsia="Times New Roman"/>
          <w:b/>
          <w:bCs/>
          <w:color w:val="000000"/>
          <w:sz w:val="20"/>
          <w:szCs w:val="20"/>
        </w:rPr>
        <w:t>The Federal Reserve May Require the Company to Commit Capital Resources to Support the Bank.</w:t>
      </w:r>
      <w:r>
        <w:rPr>
          <w:rFonts w:eastAsia="Times New Roman"/>
          <w:color w:val="000000"/>
          <w:sz w:val="20"/>
          <w:szCs w:val="20"/>
        </w:rPr>
        <w:t xml:space="preserve"> As a matter of policy, the Federal Reserve expects a bank holding company to a</w:t>
      </w:r>
      <w:r>
        <w:rPr>
          <w:rFonts w:eastAsia="Times New Roman"/>
          <w:color w:val="000000"/>
          <w:sz w:val="20"/>
          <w:szCs w:val="20"/>
        </w:rPr>
        <w:t>ct as a source of financial and managerial strength to its subsidiary banks. The Federal Reserve may charge the bank holding company with engaging in unsafe and unsound practices for failure to adequately commit resources to a subsidiary bank. Accordingly,</w:t>
      </w:r>
      <w:r>
        <w:rPr>
          <w:rFonts w:eastAsia="Times New Roman"/>
          <w:color w:val="000000"/>
          <w:sz w:val="20"/>
          <w:szCs w:val="20"/>
        </w:rPr>
        <w:t xml:space="preserve"> we may be required to make capital injections into a troubled subsidiary bank, even if such contribution creates a detriment to the Company or its stockholders. If we do not have sufficient resources on hand to fund the capital injection, we may be requir</w:t>
      </w:r>
      <w:r>
        <w:rPr>
          <w:rFonts w:eastAsia="Times New Roman"/>
          <w:color w:val="000000"/>
          <w:sz w:val="20"/>
          <w:szCs w:val="20"/>
        </w:rPr>
        <w:t>ed to borrow funds or raise capital. Any such loans are subordinate in right of payment to deposits and to certain indebtedness of the subsidiary bank. In the event of bankruptcy of the bank holding company, claims based upon any commitments to fund capita</w:t>
      </w:r>
      <w:r>
        <w:rPr>
          <w:rFonts w:eastAsia="Times New Roman"/>
          <w:color w:val="000000"/>
          <w:sz w:val="20"/>
          <w:szCs w:val="20"/>
        </w:rPr>
        <w:t xml:space="preserve">l injections are entitled to a priority of payment over claims made by general unsecured creditors, including holders of indebtedness. Thus, any borrowing incurred by the Company to make required capital injections to the Bank are difficult and expensive, </w:t>
      </w:r>
      <w:r>
        <w:rPr>
          <w:rFonts w:eastAsia="Times New Roman"/>
          <w:color w:val="000000"/>
          <w:sz w:val="20"/>
          <w:szCs w:val="20"/>
        </w:rPr>
        <w:t>and will adversely impact our financial condition, results of operations and future prospects.</w:t>
      </w:r>
    </w:p>
    <w:p w:rsidR="00000000" w:rsidRDefault="00B132B6">
      <w:pPr>
        <w:ind w:firstLine="720"/>
        <w:jc w:val="both"/>
        <w:divId w:val="170074821"/>
        <w:rPr>
          <w:rFonts w:eastAsia="Times New Roman"/>
        </w:rPr>
      </w:pPr>
      <w:r>
        <w:rPr>
          <w:rFonts w:eastAsia="Times New Roman"/>
          <w:b/>
          <w:bCs/>
          <w:color w:val="000000"/>
          <w:sz w:val="20"/>
          <w:szCs w:val="20"/>
        </w:rPr>
        <w:t xml:space="preserve">The Short-Term And Long-Term Impact of the Changing Regulatory Capital Requirements and New Capital Rules is Uncertain. </w:t>
      </w:r>
      <w:r>
        <w:rPr>
          <w:rFonts w:eastAsia="Times New Roman"/>
          <w:color w:val="000000"/>
          <w:sz w:val="20"/>
          <w:szCs w:val="20"/>
        </w:rPr>
        <w:t>The federal banking agencies have substan</w:t>
      </w:r>
      <w:r>
        <w:rPr>
          <w:rFonts w:eastAsia="Times New Roman"/>
          <w:color w:val="000000"/>
          <w:sz w:val="20"/>
          <w:szCs w:val="20"/>
        </w:rPr>
        <w:t>tially amended the regulatory capital rules applicable to us and the Bank. The amendments implement the Basel III Rules and changes required by the Dodd-Frank Act. The amended rules include new minimum risk-based capital and leverage ratios, which became e</w:t>
      </w:r>
      <w:r>
        <w:rPr>
          <w:rFonts w:eastAsia="Times New Roman"/>
          <w:color w:val="000000"/>
          <w:sz w:val="20"/>
          <w:szCs w:val="20"/>
        </w:rPr>
        <w:t>ffective in January 2015, with certain requirements to be phased in beginning in 2016, and refined the definition of what constitutes "capital" for purposes of calculating those ratios.</w:t>
      </w:r>
    </w:p>
    <w:p w:rsidR="00000000" w:rsidRDefault="00B132B6">
      <w:pPr>
        <w:ind w:firstLine="720"/>
        <w:jc w:val="both"/>
        <w:divId w:val="1943147296"/>
        <w:rPr>
          <w:rFonts w:eastAsia="Times New Roman"/>
        </w:rPr>
      </w:pPr>
      <w:r>
        <w:rPr>
          <w:rFonts w:eastAsia="Times New Roman"/>
          <w:color w:val="000000"/>
          <w:sz w:val="20"/>
          <w:szCs w:val="20"/>
        </w:rPr>
        <w:t>The application of more stringent capital requirements to us and the B</w:t>
      </w:r>
      <w:r>
        <w:rPr>
          <w:rFonts w:eastAsia="Times New Roman"/>
          <w:color w:val="000000"/>
          <w:sz w:val="20"/>
          <w:szCs w:val="20"/>
        </w:rPr>
        <w:t>ank could, among other things, result in lower returns on invested capital, require the raising of additional capital, and result in regulatory actions if we were to be unable to comply with such requirements. Implementation of changes to asset risk weight</w:t>
      </w:r>
      <w:r>
        <w:rPr>
          <w:rFonts w:eastAsia="Times New Roman"/>
          <w:color w:val="000000"/>
          <w:sz w:val="20"/>
          <w:szCs w:val="20"/>
        </w:rPr>
        <w:t>ings for risk based capital calculations, items included or deducted in calculating regulatory capital and/or additional capital conservation buffers could result in management modifying its business strategy and could further limit the Company's ability t</w:t>
      </w:r>
      <w:r>
        <w:rPr>
          <w:rFonts w:eastAsia="Times New Roman"/>
          <w:color w:val="000000"/>
          <w:sz w:val="20"/>
          <w:szCs w:val="20"/>
        </w:rPr>
        <w:t>o make distributions, including paying out dividends or buying back shares.</w:t>
      </w:r>
    </w:p>
    <w:p w:rsidR="00000000" w:rsidRDefault="00B132B6">
      <w:pPr>
        <w:ind w:firstLine="720"/>
        <w:jc w:val="both"/>
        <w:divId w:val="1328825370"/>
        <w:rPr>
          <w:rFonts w:eastAsia="Times New Roman"/>
        </w:rPr>
      </w:pPr>
      <w:r>
        <w:rPr>
          <w:rFonts w:eastAsia="Times New Roman"/>
          <w:color w:val="000000"/>
          <w:sz w:val="20"/>
          <w:szCs w:val="20"/>
        </w:rPr>
        <w:t>The EGRRCPA directs the federal banking agencies to develop a specified CBLR (that is, the ratio of a bank's equity capital to its consolidated assets) of not less than 8% and not more than 10%. On November 4, 2019, federal regulators issued final rules ef</w:t>
      </w:r>
      <w:r>
        <w:rPr>
          <w:rFonts w:eastAsia="Times New Roman"/>
          <w:color w:val="000000"/>
          <w:sz w:val="20"/>
          <w:szCs w:val="20"/>
        </w:rPr>
        <w:t>fective January 1, 2020 that provide certain banks and their holding companies with the option to elect out of complying with the Basel III Rules. Under this new rule, a qualifying community banking organization is eligible to elect the CBLR framework if i</w:t>
      </w:r>
      <w:r>
        <w:rPr>
          <w:rFonts w:eastAsia="Times New Roman"/>
          <w:color w:val="000000"/>
          <w:sz w:val="20"/>
          <w:szCs w:val="20"/>
        </w:rPr>
        <w:t>t has a CBLR greater than 9% at the time of election. The final rule is described in more detail above under the section entitled "Regulatory Capital Requirements." As of December 31, 2020, the Company and the Bank each qualified to elect the CBLR framewor</w:t>
      </w:r>
      <w:r>
        <w:rPr>
          <w:rFonts w:eastAsia="Times New Roman"/>
          <w:color w:val="000000"/>
          <w:sz w:val="20"/>
          <w:szCs w:val="20"/>
        </w:rPr>
        <w:t>k because they had a CBLR of greater than 9% and satisfied the other requirements. The Company has not opted in to CBLR framework. The Company does not have immediate plans to elect to use the CBLR framework but may make such an election in the future.</w:t>
      </w:r>
    </w:p>
    <w:p w:rsidR="00000000" w:rsidRDefault="00B132B6">
      <w:pPr>
        <w:ind w:firstLine="720"/>
        <w:jc w:val="both"/>
        <w:divId w:val="1078208018"/>
        <w:rPr>
          <w:rFonts w:eastAsia="Times New Roman"/>
        </w:rPr>
      </w:pPr>
      <w:r>
        <w:rPr>
          <w:rFonts w:eastAsia="Times New Roman"/>
          <w:b/>
          <w:bCs/>
          <w:color w:val="000000"/>
          <w:sz w:val="20"/>
          <w:szCs w:val="20"/>
        </w:rPr>
        <w:t>Hig</w:t>
      </w:r>
      <w:r>
        <w:rPr>
          <w:rFonts w:eastAsia="Times New Roman"/>
          <w:b/>
          <w:bCs/>
          <w:color w:val="000000"/>
          <w:sz w:val="20"/>
          <w:szCs w:val="20"/>
        </w:rPr>
        <w:t>her FDIC Deposit Insurance Premiums and Assessments Could Adversely Affect our Financial Condition</w:t>
      </w:r>
      <w:r>
        <w:rPr>
          <w:rFonts w:eastAsia="Times New Roman"/>
          <w:color w:val="000000"/>
          <w:sz w:val="20"/>
          <w:szCs w:val="20"/>
        </w:rPr>
        <w:t>. Our deposits are insured up to applicable limits by the DIF and are subject to deposit insurance assessments to maintain deposit insurance. As an FDIC-insur</w:t>
      </w:r>
      <w:r>
        <w:rPr>
          <w:rFonts w:eastAsia="Times New Roman"/>
          <w:color w:val="000000"/>
          <w:sz w:val="20"/>
          <w:szCs w:val="20"/>
        </w:rPr>
        <w:t>ed institution, we are required to pay quarterly deposit insurance premium assessments to the FDIC. Growth in insured deposits at FDIC-insured financial institutions in recent years caused the ratio of the DIF to total insured deposits to fall below the cu</w:t>
      </w:r>
      <w:r>
        <w:rPr>
          <w:rFonts w:eastAsia="Times New Roman"/>
          <w:color w:val="000000"/>
          <w:sz w:val="20"/>
          <w:szCs w:val="20"/>
        </w:rPr>
        <w:t>rrent statutory minimum, and the FDIC has approved an increase in the base assessment rates to increase the likelihood that the reserve ratio of the DIF reaches the statutory minimum level by the statutory deadline. Although we cannot predict what the insu</w:t>
      </w:r>
      <w:r>
        <w:rPr>
          <w:rFonts w:eastAsia="Times New Roman"/>
          <w:color w:val="000000"/>
          <w:sz w:val="20"/>
          <w:szCs w:val="20"/>
        </w:rPr>
        <w:t>rance assessment rates will be in the future, either a deterioration in our risk-based capital ratios or further adjustments to the base assessment rates could have a material adverse impact on our business, financial condition, results of operations and c</w:t>
      </w:r>
      <w:r>
        <w:rPr>
          <w:rFonts w:eastAsia="Times New Roman"/>
          <w:color w:val="000000"/>
          <w:sz w:val="20"/>
          <w:szCs w:val="20"/>
        </w:rPr>
        <w:t>ash flows.</w:t>
      </w:r>
    </w:p>
    <w:p w:rsidR="00000000" w:rsidRDefault="00B132B6">
      <w:pPr>
        <w:ind w:firstLine="720"/>
        <w:jc w:val="both"/>
        <w:divId w:val="626936123"/>
        <w:rPr>
          <w:rFonts w:eastAsia="Times New Roman"/>
        </w:rPr>
      </w:pPr>
      <w:r>
        <w:rPr>
          <w:rFonts w:eastAsia="Times New Roman"/>
          <w:b/>
          <w:bCs/>
          <w:color w:val="000000"/>
          <w:sz w:val="20"/>
          <w:szCs w:val="20"/>
        </w:rPr>
        <w:t>Non-Compliance with the USA PATRIOT Act, Bank Secrecy Act, Real Estate Settlement Procedures Act, Truth-in-Lending Act, Community Reinvestment Act, Fair Lending Laws or Other Laws and Regulations Could Result in Fines or Sanctions, and Curtail E</w:t>
      </w:r>
      <w:r>
        <w:rPr>
          <w:rFonts w:eastAsia="Times New Roman"/>
          <w:b/>
          <w:bCs/>
          <w:color w:val="000000"/>
          <w:sz w:val="20"/>
          <w:szCs w:val="20"/>
        </w:rPr>
        <w:t>xpansion Opportunities</w:t>
      </w:r>
      <w:r>
        <w:rPr>
          <w:rFonts w:eastAsia="Times New Roman"/>
          <w:color w:val="000000"/>
          <w:sz w:val="20"/>
          <w:szCs w:val="20"/>
        </w:rPr>
        <w:t>. Financial institutions are required under the USA PATRIOT and Bank Secrecy Acts to develop programs to prevent financial institutions from being used for money-laundering and terrorist activities. Financial institutions are also obl</w:t>
      </w:r>
      <w:r>
        <w:rPr>
          <w:rFonts w:eastAsia="Times New Roman"/>
          <w:color w:val="000000"/>
          <w:sz w:val="20"/>
          <w:szCs w:val="20"/>
        </w:rPr>
        <w:t>igated to file suspicious activity reports with the U.S. Treasury Department's Office of Financial Crimes Enforcement Network if such activities are detected. These rules also require financial institutions to establish procedures for identifying and verif</w:t>
      </w:r>
      <w:r>
        <w:rPr>
          <w:rFonts w:eastAsia="Times New Roman"/>
          <w:color w:val="000000"/>
          <w:sz w:val="20"/>
          <w:szCs w:val="20"/>
        </w:rPr>
        <w:t xml:space="preserve">ying the identity of customers seeking to open new financial accounts. Failure or the inability to comply with the USA PATRIOT Act and Bank Secrecy Act statutes and </w:t>
      </w:r>
    </w:p>
    <w:p w:rsidR="00000000" w:rsidRDefault="00B132B6">
      <w:pPr>
        <w:jc w:val="center"/>
        <w:divId w:val="1805392161"/>
        <w:rPr>
          <w:rFonts w:eastAsia="Times New Roman"/>
        </w:rPr>
      </w:pPr>
      <w:r>
        <w:rPr>
          <w:rFonts w:eastAsia="Times New Roman"/>
          <w:color w:val="000000"/>
          <w:sz w:val="20"/>
          <w:szCs w:val="20"/>
        </w:rPr>
        <w:t>19</w:t>
      </w:r>
    </w:p>
    <w:p w:rsidR="00000000" w:rsidRDefault="00B132B6">
      <w:pPr>
        <w:rPr>
          <w:rFonts w:eastAsia="Times New Roman"/>
        </w:rPr>
      </w:pPr>
      <w:r>
        <w:rPr>
          <w:rFonts w:eastAsia="Times New Roman"/>
        </w:rPr>
        <w:pict>
          <v:rect id="_x0000_i1043" style="width:0;height:1.5pt" o:hralign="center" o:hrstd="t" o:hr="t" fillcolor="#a0a0a0" stroked="f"/>
        </w:pict>
      </w:r>
    </w:p>
    <w:p w:rsidR="00000000" w:rsidRDefault="00B132B6">
      <w:pPr>
        <w:divId w:val="904608981"/>
        <w:rPr>
          <w:rFonts w:eastAsia="Times New Roman"/>
        </w:rPr>
      </w:pPr>
    </w:p>
    <w:p w:rsidR="00000000" w:rsidRDefault="00B132B6">
      <w:pPr>
        <w:jc w:val="both"/>
        <w:divId w:val="1102918654"/>
        <w:rPr>
          <w:rFonts w:eastAsia="Times New Roman"/>
        </w:rPr>
      </w:pPr>
      <w:r>
        <w:rPr>
          <w:rFonts w:eastAsia="Times New Roman"/>
          <w:color w:val="000000"/>
          <w:sz w:val="20"/>
          <w:szCs w:val="20"/>
        </w:rPr>
        <w:t xml:space="preserve">regulations could result in fines or penalties, </w:t>
      </w:r>
      <w:r>
        <w:rPr>
          <w:rFonts w:eastAsia="Times New Roman"/>
          <w:color w:val="000000"/>
          <w:sz w:val="20"/>
          <w:szCs w:val="20"/>
        </w:rPr>
        <w:t>curtailment of expansion opportunities, enforcement actions, intervention or sanctions by regulators and costly litigation or expensive additional controls and systems. During the last few years, several banking institutions have received large fines for n</w:t>
      </w:r>
      <w:r>
        <w:rPr>
          <w:rFonts w:eastAsia="Times New Roman"/>
          <w:color w:val="000000"/>
          <w:sz w:val="20"/>
          <w:szCs w:val="20"/>
        </w:rPr>
        <w:t>on-compliance with these laws and regulations. In addition, the U.S. Government imposed and will continue to expand laws and regulations relating to residential and consumer lending activities that create significant new compliance burdens and financial ri</w:t>
      </w:r>
      <w:r>
        <w:rPr>
          <w:rFonts w:eastAsia="Times New Roman"/>
          <w:color w:val="000000"/>
          <w:sz w:val="20"/>
          <w:szCs w:val="20"/>
        </w:rPr>
        <w:t>sks.</w:t>
      </w:r>
    </w:p>
    <w:p w:rsidR="00000000" w:rsidRDefault="00B132B6">
      <w:pPr>
        <w:ind w:firstLine="720"/>
        <w:jc w:val="both"/>
        <w:divId w:val="554775892"/>
        <w:rPr>
          <w:rFonts w:eastAsia="Times New Roman"/>
        </w:rPr>
      </w:pPr>
      <w:r>
        <w:rPr>
          <w:rFonts w:eastAsia="Times New Roman"/>
          <w:b/>
          <w:bCs/>
          <w:color w:val="000000"/>
          <w:sz w:val="20"/>
          <w:szCs w:val="20"/>
        </w:rPr>
        <w:t xml:space="preserve">Regulations Relating to Privacy, Information Security and Data Protection Could Increase Our Costs, Affect or Limit How We Collect and Use Personal Information and Adversely Affect Our Business Opportunities. </w:t>
      </w:r>
      <w:r>
        <w:rPr>
          <w:rFonts w:eastAsia="Times New Roman"/>
          <w:color w:val="000000"/>
          <w:sz w:val="20"/>
          <w:szCs w:val="20"/>
        </w:rPr>
        <w:t>We are subject to various privacy, informa</w:t>
      </w:r>
      <w:r>
        <w:rPr>
          <w:rFonts w:eastAsia="Times New Roman"/>
          <w:color w:val="000000"/>
          <w:sz w:val="20"/>
          <w:szCs w:val="20"/>
        </w:rPr>
        <w:t>tion security and data protection laws, including requirements concerning security breach notification, and we could be negatively impacted by these laws. For example, our business is subject to the Gramm-Leach-Bliley Act which, among other things: (i) imp</w:t>
      </w:r>
      <w:r>
        <w:rPr>
          <w:rFonts w:eastAsia="Times New Roman"/>
          <w:color w:val="000000"/>
          <w:sz w:val="20"/>
          <w:szCs w:val="20"/>
        </w:rPr>
        <w:t>oses certain limitations on our ability to share non-public personal information about our clients with non-affiliated third parties; (ii) requires that we provide certain disclosures to clients about our information collection, sharing and security practi</w:t>
      </w:r>
      <w:r>
        <w:rPr>
          <w:rFonts w:eastAsia="Times New Roman"/>
          <w:color w:val="000000"/>
          <w:sz w:val="20"/>
          <w:szCs w:val="20"/>
        </w:rPr>
        <w:t>ces and afford clients the right to “opt out” of any information sharing by us with non-affiliated third parties (with certain exceptions); and (iii) requires that we develop, implement and maintain a written comprehensive information security program cont</w:t>
      </w:r>
      <w:r>
        <w:rPr>
          <w:rFonts w:eastAsia="Times New Roman"/>
          <w:color w:val="000000"/>
          <w:sz w:val="20"/>
          <w:szCs w:val="20"/>
        </w:rPr>
        <w:t xml:space="preserve">aining safeguards that are appropriate based on our size and complexity, the nature and scope of our activities and the sensitivity of client information we process, as well as plans for responding to data security breaches. Many state and federal banking </w:t>
      </w:r>
      <w:r>
        <w:rPr>
          <w:rFonts w:eastAsia="Times New Roman"/>
          <w:color w:val="000000"/>
          <w:sz w:val="20"/>
          <w:szCs w:val="20"/>
        </w:rPr>
        <w:t>regulators, states and foreign countries have also enacted data security breach notification requirements with varying levels of individual, consumer, regulatory or law enforcement notifications in certain circumstances in the event of a security breach. M</w:t>
      </w:r>
      <w:r>
        <w:rPr>
          <w:rFonts w:eastAsia="Times New Roman"/>
          <w:color w:val="000000"/>
          <w:sz w:val="20"/>
          <w:szCs w:val="20"/>
        </w:rPr>
        <w:t>oreover, legislators and regulators in the U.S. and other countries are increasingly adopting or revising privacy, information security and data protection laws that potentially could have a significant impact on our current and planned privacy, data prote</w:t>
      </w:r>
      <w:r>
        <w:rPr>
          <w:rFonts w:eastAsia="Times New Roman"/>
          <w:color w:val="000000"/>
          <w:sz w:val="20"/>
          <w:szCs w:val="20"/>
        </w:rPr>
        <w:t>ction and information security-related practices, our collection, use, sharing, retention and safeguarding of client or employee information, and some of our current or planned business activities. This could also increase our costs of compliance and busin</w:t>
      </w:r>
      <w:r>
        <w:rPr>
          <w:rFonts w:eastAsia="Times New Roman"/>
          <w:color w:val="000000"/>
          <w:sz w:val="20"/>
          <w:szCs w:val="20"/>
        </w:rPr>
        <w:t>ess operations and could reduce income from certain business initiatives. This includes increased privacy-related enforcement activity at the federal level by the Federal Trade Commission, as well as at the state level.</w:t>
      </w:r>
    </w:p>
    <w:p w:rsidR="00000000" w:rsidRDefault="00B132B6">
      <w:pPr>
        <w:ind w:firstLine="720"/>
        <w:jc w:val="both"/>
        <w:divId w:val="1787389365"/>
        <w:rPr>
          <w:rFonts w:eastAsia="Times New Roman"/>
        </w:rPr>
      </w:pPr>
      <w:r>
        <w:rPr>
          <w:rFonts w:eastAsia="Times New Roman"/>
          <w:color w:val="000000"/>
          <w:sz w:val="20"/>
          <w:szCs w:val="20"/>
        </w:rPr>
        <w:t>Compliance with any current or future laws and regulations noted above (including those regarding security breach notification) could result in higher compliance costs and could restrict our ability to provide certain products and services, which could hav</w:t>
      </w:r>
      <w:r>
        <w:rPr>
          <w:rFonts w:eastAsia="Times New Roman"/>
          <w:color w:val="000000"/>
          <w:sz w:val="20"/>
          <w:szCs w:val="20"/>
        </w:rPr>
        <w:t xml:space="preserve">e a material adverse effect on our business, financial conditions or results of operations. Our failure to comply with any such laws could result in potentially significant regulatory or governmental investigations or actions, litigation, fines, sanctions </w:t>
      </w:r>
      <w:r>
        <w:rPr>
          <w:rFonts w:eastAsia="Times New Roman"/>
          <w:color w:val="000000"/>
          <w:sz w:val="20"/>
          <w:szCs w:val="20"/>
        </w:rPr>
        <w:t>and damage to our reputation, which could have a material adverse effect on our business, financial condition or results of operations.</w:t>
      </w:r>
    </w:p>
    <w:p w:rsidR="00000000" w:rsidRDefault="00B132B6">
      <w:pPr>
        <w:ind w:firstLine="720"/>
        <w:jc w:val="both"/>
        <w:divId w:val="40793575"/>
        <w:rPr>
          <w:rFonts w:eastAsia="Times New Roman"/>
        </w:rPr>
      </w:pPr>
      <w:r>
        <w:rPr>
          <w:rFonts w:eastAsia="Times New Roman"/>
          <w:b/>
          <w:bCs/>
          <w:color w:val="000000"/>
          <w:sz w:val="20"/>
          <w:szCs w:val="20"/>
        </w:rPr>
        <w:t>We are Subject to Numerous Laws Designed to Protect Consumers, Including the Community Reinvestment Act and Fair Lending</w:t>
      </w:r>
      <w:r>
        <w:rPr>
          <w:rFonts w:eastAsia="Times New Roman"/>
          <w:b/>
          <w:bCs/>
          <w:color w:val="000000"/>
          <w:sz w:val="20"/>
          <w:szCs w:val="20"/>
        </w:rPr>
        <w:t xml:space="preserve"> Laws, and Failure to Comply with These Laws Could Lead to a Wide Variety of Sanctions. </w:t>
      </w:r>
      <w:r>
        <w:rPr>
          <w:rFonts w:eastAsia="Times New Roman"/>
          <w:color w:val="000000"/>
          <w:sz w:val="20"/>
          <w:szCs w:val="20"/>
        </w:rPr>
        <w:t>The Community Reinvestment Act, the Equal Credit Opportunity Act, the Fair Housing Act and other fair lending laws and regulations impose nondiscriminatory lending requ</w:t>
      </w:r>
      <w:r>
        <w:rPr>
          <w:rFonts w:eastAsia="Times New Roman"/>
          <w:color w:val="000000"/>
          <w:sz w:val="20"/>
          <w:szCs w:val="20"/>
        </w:rPr>
        <w:t>irements on financial institutions. The U.S. Department of Justice and other federal agencies are responsible for enforcing these laws and regulations. A successful regulatory challenge to an institution’s performance under the Community Reinvestment Act o</w:t>
      </w:r>
      <w:r>
        <w:rPr>
          <w:rFonts w:eastAsia="Times New Roman"/>
          <w:color w:val="000000"/>
          <w:sz w:val="20"/>
          <w:szCs w:val="20"/>
        </w:rPr>
        <w:t>r fair lending laws and regulations could result in a wide variety of sanctions, including damages and civil money penalties, injunctive relief, restrictions on mergers and acquisitions activity, restrictions on expansion and restrictions on entering new b</w:t>
      </w:r>
      <w:r>
        <w:rPr>
          <w:rFonts w:eastAsia="Times New Roman"/>
          <w:color w:val="000000"/>
          <w:sz w:val="20"/>
          <w:szCs w:val="20"/>
        </w:rPr>
        <w:t>usiness lines. Private parties may also have the ability to challenge an institution’s performance under fair lending laws in private class action litigation. Such actions could have a material adverse effect on our business, financial condition, results o</w:t>
      </w:r>
      <w:r>
        <w:rPr>
          <w:rFonts w:eastAsia="Times New Roman"/>
          <w:color w:val="000000"/>
          <w:sz w:val="20"/>
          <w:szCs w:val="20"/>
        </w:rPr>
        <w:t>f operations and future prospects. We may be subject to liability for potential violations of predatory lending laws, which could adversely impact our results of operations, financial condition and business.</w:t>
      </w:r>
    </w:p>
    <w:p w:rsidR="00000000" w:rsidRDefault="00B132B6">
      <w:pPr>
        <w:ind w:firstLine="720"/>
        <w:jc w:val="both"/>
        <w:divId w:val="964967621"/>
        <w:rPr>
          <w:rFonts w:eastAsia="Times New Roman"/>
        </w:rPr>
      </w:pPr>
      <w:r>
        <w:rPr>
          <w:rFonts w:eastAsia="Times New Roman"/>
          <w:b/>
          <w:bCs/>
          <w:color w:val="000000"/>
          <w:sz w:val="20"/>
          <w:szCs w:val="20"/>
        </w:rPr>
        <w:t>We Are Subject to a Number of Other Laws and Reg</w:t>
      </w:r>
      <w:r>
        <w:rPr>
          <w:rFonts w:eastAsia="Times New Roman"/>
          <w:b/>
          <w:bCs/>
          <w:color w:val="000000"/>
          <w:sz w:val="20"/>
          <w:szCs w:val="20"/>
        </w:rPr>
        <w:t xml:space="preserve">ulations, Which May Adversely Affect the Operation of Our Business and Increase Our Costs. </w:t>
      </w:r>
      <w:r>
        <w:rPr>
          <w:rFonts w:eastAsia="Times New Roman"/>
          <w:color w:val="000000"/>
          <w:sz w:val="20"/>
          <w:szCs w:val="20"/>
        </w:rPr>
        <w:t>We are extensively regulated under U.S. federal and state law, and are subject to a number of laws and regulations in addition to banking laws and regulations, inclu</w:t>
      </w:r>
      <w:r>
        <w:rPr>
          <w:rFonts w:eastAsia="Times New Roman"/>
          <w:color w:val="000000"/>
          <w:sz w:val="20"/>
          <w:szCs w:val="20"/>
        </w:rPr>
        <w:t>ding securities, insurance and tax laws and regulations. As a company whose stock is publicly traded, we are subject to various federal and state securities laws, including the Securities Act of 1933, as amended, the Exchange Act and the Sarbanes-Oxley Act</w:t>
      </w:r>
      <w:r>
        <w:rPr>
          <w:rFonts w:eastAsia="Times New Roman"/>
          <w:color w:val="000000"/>
          <w:sz w:val="20"/>
          <w:szCs w:val="20"/>
        </w:rPr>
        <w:t xml:space="preserve"> of 2002, and we file periodic reports with the Securities and Exchange Commission. In addition, because our common stock is listed with The Nasdaq Stock Market LLC, we are subject to the listing rules of that exchange. Our subsidiary, Hawthorn Risk Manage</w:t>
      </w:r>
      <w:r>
        <w:rPr>
          <w:rFonts w:eastAsia="Times New Roman"/>
          <w:color w:val="000000"/>
          <w:sz w:val="20"/>
          <w:szCs w:val="20"/>
        </w:rPr>
        <w:t>ment, Inc., is subject to the regulations of the State of Missouri and undergoes periodic examinations by the Missouri Division of Finance</w:t>
      </w:r>
      <w:r>
        <w:rPr>
          <w:rFonts w:eastAsia="Times New Roman"/>
          <w:b/>
          <w:bCs/>
          <w:color w:val="000000"/>
        </w:rPr>
        <w:t xml:space="preserve">. </w:t>
      </w:r>
      <w:r>
        <w:rPr>
          <w:rFonts w:eastAsia="Times New Roman"/>
          <w:color w:val="000000"/>
          <w:sz w:val="20"/>
          <w:szCs w:val="20"/>
        </w:rPr>
        <w:t>The Company and its subsidiaries are subject to federal and state income taxes and Missouri franchise taxes, and are</w:t>
      </w:r>
      <w:r>
        <w:rPr>
          <w:rFonts w:eastAsia="Times New Roman"/>
          <w:color w:val="000000"/>
          <w:sz w:val="20"/>
          <w:szCs w:val="20"/>
        </w:rPr>
        <w:t xml:space="preserve"> potentially subject to audits by the Internal Revenue Service and state income and franchise tax examinations by the Missouri Department of Revenue. Any failure by us to comply with any laws or regulations, any change in such laws or regulations or the po</w:t>
      </w:r>
      <w:r>
        <w:rPr>
          <w:rFonts w:eastAsia="Times New Roman"/>
          <w:color w:val="000000"/>
          <w:sz w:val="20"/>
          <w:szCs w:val="20"/>
        </w:rPr>
        <w:t xml:space="preserve">sition of any regulatory agency with respect thereto, or any adverse result in </w:t>
      </w:r>
    </w:p>
    <w:p w:rsidR="00000000" w:rsidRDefault="00B132B6">
      <w:pPr>
        <w:jc w:val="center"/>
        <w:divId w:val="1831290510"/>
        <w:rPr>
          <w:rFonts w:eastAsia="Times New Roman"/>
        </w:rPr>
      </w:pPr>
      <w:r>
        <w:rPr>
          <w:rFonts w:eastAsia="Times New Roman"/>
          <w:color w:val="000000"/>
          <w:sz w:val="20"/>
          <w:szCs w:val="20"/>
        </w:rPr>
        <w:t>20</w:t>
      </w:r>
    </w:p>
    <w:p w:rsidR="00000000" w:rsidRDefault="00B132B6">
      <w:pPr>
        <w:rPr>
          <w:rFonts w:eastAsia="Times New Roman"/>
        </w:rPr>
      </w:pPr>
      <w:r>
        <w:rPr>
          <w:rFonts w:eastAsia="Times New Roman"/>
        </w:rPr>
        <w:pict>
          <v:rect id="_x0000_i1044" style="width:0;height:1.5pt" o:hralign="center" o:hrstd="t" o:hr="t" fillcolor="#a0a0a0" stroked="f"/>
        </w:pict>
      </w:r>
    </w:p>
    <w:p w:rsidR="00000000" w:rsidRDefault="00B132B6">
      <w:pPr>
        <w:divId w:val="55976169"/>
        <w:rPr>
          <w:rFonts w:eastAsia="Times New Roman"/>
        </w:rPr>
      </w:pPr>
    </w:p>
    <w:p w:rsidR="00000000" w:rsidRDefault="00B132B6">
      <w:pPr>
        <w:jc w:val="both"/>
        <w:divId w:val="176967277"/>
        <w:rPr>
          <w:rFonts w:eastAsia="Times New Roman"/>
        </w:rPr>
      </w:pPr>
      <w:r>
        <w:rPr>
          <w:rFonts w:eastAsia="Times New Roman"/>
          <w:color w:val="000000"/>
          <w:sz w:val="20"/>
          <w:szCs w:val="20"/>
        </w:rPr>
        <w:t>any regulatory investigation or examination, including any tax audit or examination, could adversely affect our business, financial co</w:t>
      </w:r>
      <w:r>
        <w:rPr>
          <w:rFonts w:eastAsia="Times New Roman"/>
          <w:color w:val="000000"/>
          <w:sz w:val="20"/>
          <w:szCs w:val="20"/>
        </w:rPr>
        <w:t>ndition and results of operations.</w:t>
      </w:r>
    </w:p>
    <w:p w:rsidR="00000000" w:rsidRDefault="00B132B6">
      <w:pPr>
        <w:jc w:val="both"/>
        <w:divId w:val="1514761284"/>
        <w:rPr>
          <w:rFonts w:eastAsia="Times New Roman"/>
        </w:rPr>
      </w:pPr>
      <w:r>
        <w:rPr>
          <w:rFonts w:eastAsia="Times New Roman"/>
          <w:b/>
          <w:bCs/>
          <w:color w:val="000000"/>
          <w:sz w:val="20"/>
          <w:szCs w:val="20"/>
          <w:u w:val="single"/>
        </w:rPr>
        <w:t>Technology and Vendor Risks</w:t>
      </w:r>
    </w:p>
    <w:p w:rsidR="00000000" w:rsidRDefault="00B132B6">
      <w:pPr>
        <w:ind w:firstLine="720"/>
        <w:jc w:val="both"/>
        <w:divId w:val="248198323"/>
        <w:rPr>
          <w:rFonts w:eastAsia="Times New Roman"/>
        </w:rPr>
      </w:pPr>
      <w:r>
        <w:rPr>
          <w:rFonts w:eastAsia="Times New Roman"/>
          <w:b/>
          <w:bCs/>
          <w:color w:val="000000"/>
          <w:sz w:val="20"/>
          <w:szCs w:val="20"/>
        </w:rPr>
        <w:t>We Are Subject to Security and Operational Risks Relating to Our Use of Technology That Could Damage Our Reputation and Our Business</w:t>
      </w:r>
      <w:r>
        <w:rPr>
          <w:rFonts w:eastAsia="Times New Roman"/>
          <w:color w:val="000000"/>
          <w:sz w:val="20"/>
          <w:szCs w:val="20"/>
        </w:rPr>
        <w:t>. We rely heavily on communications and information systems t</w:t>
      </w:r>
      <w:r>
        <w:rPr>
          <w:rFonts w:eastAsia="Times New Roman"/>
          <w:color w:val="000000"/>
          <w:sz w:val="20"/>
          <w:szCs w:val="20"/>
        </w:rPr>
        <w:t>o conduct our business. Furthermore, we have access to large amounts of confidential financial information and control substantial financial assets, including those belonging to our customers, to whom we offer remote access, and we regularly transfer subst</w:t>
      </w:r>
      <w:r>
        <w:rPr>
          <w:rFonts w:eastAsia="Times New Roman"/>
          <w:color w:val="000000"/>
          <w:sz w:val="20"/>
          <w:szCs w:val="20"/>
        </w:rPr>
        <w:t>antial financial assets by electronic means. Our operations are dependent upon our ability to protect our computer equipment against damage from physical theft, fire, power loss, telecommunications failure or a similar catastrophic event, as well as from s</w:t>
      </w:r>
      <w:r>
        <w:rPr>
          <w:rFonts w:eastAsia="Times New Roman"/>
          <w:color w:val="000000"/>
          <w:sz w:val="20"/>
          <w:szCs w:val="20"/>
        </w:rPr>
        <w:t>ecurity breaches, denial of service attacks, viruses, worms and other disruptive problems caused by hackers. Any failure, interruption or breach in security of our systems could damage our reputation, result in a loss of customer business, subject us to ad</w:t>
      </w:r>
      <w:r>
        <w:rPr>
          <w:rFonts w:eastAsia="Times New Roman"/>
          <w:color w:val="000000"/>
          <w:sz w:val="20"/>
          <w:szCs w:val="20"/>
        </w:rPr>
        <w:t>ditional regulatory scrutiny, or expose us to civil litigation and possible financial liability, any of which could have a material adverse effect on our financial condition and results of operations. Although we intend to continue to implement security te</w:t>
      </w:r>
      <w:r>
        <w:rPr>
          <w:rFonts w:eastAsia="Times New Roman"/>
          <w:color w:val="000000"/>
          <w:sz w:val="20"/>
          <w:szCs w:val="20"/>
        </w:rPr>
        <w:t>chnology and establish operational procedures to prevent such damage, our security measures may not be successful.</w:t>
      </w:r>
    </w:p>
    <w:p w:rsidR="00000000" w:rsidRDefault="00B132B6">
      <w:pPr>
        <w:ind w:firstLine="720"/>
        <w:jc w:val="both"/>
        <w:divId w:val="1566334217"/>
        <w:rPr>
          <w:rFonts w:eastAsia="Times New Roman"/>
        </w:rPr>
      </w:pPr>
      <w:r>
        <w:rPr>
          <w:rFonts w:eastAsia="Times New Roman"/>
          <w:color w:val="000000"/>
          <w:sz w:val="20"/>
          <w:szCs w:val="20"/>
        </w:rPr>
        <w:t>In addition, advances in computer capabilities, new discoveries in the field of cryptography or other developments could result in a compromi</w:t>
      </w:r>
      <w:r>
        <w:rPr>
          <w:rFonts w:eastAsia="Times New Roman"/>
          <w:color w:val="000000"/>
          <w:sz w:val="20"/>
          <w:szCs w:val="20"/>
        </w:rPr>
        <w:t xml:space="preserve">se or breach of the algorithms we and our third-party service providers use to encrypt and protect customer transaction data. A failure of such security measures could have a material adverse effect on our financial condition and results of operations. We </w:t>
      </w:r>
      <w:r>
        <w:rPr>
          <w:rFonts w:eastAsia="Times New Roman"/>
          <w:color w:val="000000"/>
          <w:sz w:val="20"/>
          <w:szCs w:val="20"/>
        </w:rPr>
        <w:t>also face the risk of operational disruption, failure, termination or capacity constraints caused by third parties that facilitate our business activities by providing technology such as software applications, as well as financial intermediaries. Such part</w:t>
      </w:r>
      <w:r>
        <w:rPr>
          <w:rFonts w:eastAsia="Times New Roman"/>
          <w:color w:val="000000"/>
          <w:sz w:val="20"/>
          <w:szCs w:val="20"/>
        </w:rPr>
        <w:t>ies could also be the source of an attack on, or breach of, our operational systems, data or infrastructure.</w:t>
      </w:r>
    </w:p>
    <w:p w:rsidR="00000000" w:rsidRDefault="00B132B6">
      <w:pPr>
        <w:ind w:firstLine="720"/>
        <w:jc w:val="both"/>
        <w:divId w:val="979504538"/>
        <w:rPr>
          <w:rFonts w:eastAsia="Times New Roman"/>
        </w:rPr>
      </w:pPr>
      <w:r>
        <w:rPr>
          <w:rFonts w:eastAsia="Times New Roman"/>
          <w:color w:val="000000"/>
          <w:sz w:val="20"/>
          <w:szCs w:val="20"/>
        </w:rPr>
        <w:t>We also face the potential risk of loss due to fraud, including commercial checking account fraud, automated teller machine (ATM) skimming and trap</w:t>
      </w:r>
      <w:r>
        <w:rPr>
          <w:rFonts w:eastAsia="Times New Roman"/>
          <w:color w:val="000000"/>
          <w:sz w:val="20"/>
          <w:szCs w:val="20"/>
        </w:rPr>
        <w:t>ping, write-offs necessitated by debit card fraud, and other forms of online banking fraud, which are becoming more sophisticated and present new challenges as mobile banking increases, as well as employee fraud. Employee errors could also subject us to fi</w:t>
      </w:r>
      <w:r>
        <w:rPr>
          <w:rFonts w:eastAsia="Times New Roman"/>
          <w:color w:val="000000"/>
          <w:sz w:val="20"/>
          <w:szCs w:val="20"/>
        </w:rPr>
        <w:t>nancial claims for negligence. We maintain a system of internal controls and insurance coverage to mitigate against operational risks, including data processing system failures and errors and customer or employee fraud. Should our internal controls fail to</w:t>
      </w:r>
      <w:r>
        <w:rPr>
          <w:rFonts w:eastAsia="Times New Roman"/>
          <w:color w:val="000000"/>
          <w:sz w:val="20"/>
          <w:szCs w:val="20"/>
        </w:rPr>
        <w:t xml:space="preserve"> prevent or detect an occurrence, and if any resulting loss is not insured or exceeds applicable insurance limits, such failure could have a material adverse effect on our business, financial condition and results of operations.</w:t>
      </w:r>
    </w:p>
    <w:p w:rsidR="00000000" w:rsidRDefault="00B132B6">
      <w:pPr>
        <w:ind w:firstLine="720"/>
        <w:jc w:val="both"/>
        <w:divId w:val="1251818789"/>
        <w:rPr>
          <w:rFonts w:eastAsia="Times New Roman"/>
        </w:rPr>
      </w:pPr>
      <w:r>
        <w:rPr>
          <w:rFonts w:eastAsia="Times New Roman"/>
          <w:b/>
          <w:bCs/>
          <w:color w:val="000000"/>
          <w:sz w:val="20"/>
          <w:szCs w:val="20"/>
        </w:rPr>
        <w:t>The Operation of Our Busine</w:t>
      </w:r>
      <w:r>
        <w:rPr>
          <w:rFonts w:eastAsia="Times New Roman"/>
          <w:b/>
          <w:bCs/>
          <w:color w:val="000000"/>
          <w:sz w:val="20"/>
          <w:szCs w:val="20"/>
        </w:rPr>
        <w:t>ss, Including Customer Interaction, is Increasingly Done Via Electronic Means, and This Has Increased Our Risks Related to Cybersecurity</w:t>
      </w:r>
      <w:r>
        <w:rPr>
          <w:rFonts w:eastAsia="Times New Roman"/>
          <w:color w:val="000000"/>
          <w:sz w:val="20"/>
          <w:szCs w:val="20"/>
        </w:rPr>
        <w:t>. We rely on the successful and uninterrupted functioning of our information technology and telecommunications systems t</w:t>
      </w:r>
      <w:r>
        <w:rPr>
          <w:rFonts w:eastAsia="Times New Roman"/>
          <w:color w:val="000000"/>
          <w:sz w:val="20"/>
          <w:szCs w:val="20"/>
        </w:rPr>
        <w:t xml:space="preserve">o conduct our business. This includes internally developed systems, the systems of third-party service providers, and digital and mobile technologies. Any failure, interruption or breach in security of these systems could result in failures or disruptions </w:t>
      </w:r>
      <w:r>
        <w:rPr>
          <w:rFonts w:eastAsia="Times New Roman"/>
          <w:color w:val="000000"/>
          <w:sz w:val="20"/>
          <w:szCs w:val="20"/>
        </w:rPr>
        <w:t>in our customer relationship management, general ledger, deposit, loan and other systems, and could damage our reputation, result in loss of customer business, subject us to regulatory scrutiny, or expose us to civil litigation and possible financial liabi</w:t>
      </w:r>
      <w:r>
        <w:rPr>
          <w:rFonts w:eastAsia="Times New Roman"/>
          <w:color w:val="000000"/>
          <w:sz w:val="20"/>
          <w:szCs w:val="20"/>
        </w:rPr>
        <w:t>lity. We are exposed to the risk of cyber-attacks in the normal course of business, which can result from deliberate attacks or unintentional events. We have observed an increased level of attention in the industry focused on cyber-attacks that include, bu</w:t>
      </w:r>
      <w:r>
        <w:rPr>
          <w:rFonts w:eastAsia="Times New Roman"/>
          <w:color w:val="000000"/>
          <w:sz w:val="20"/>
          <w:szCs w:val="20"/>
        </w:rPr>
        <w:t>t are not limited to, gaining unauthorized access to digital systems for purposes of misappropriating assets or sensitive information, corrupting data, or causing operational disruption. Cyber-attacks may also be carried out in a manner that does not requi</w:t>
      </w:r>
      <w:r>
        <w:rPr>
          <w:rFonts w:eastAsia="Times New Roman"/>
          <w:color w:val="000000"/>
          <w:sz w:val="20"/>
          <w:szCs w:val="20"/>
        </w:rPr>
        <w:t>re gaining unauthorized access, such as by causing denial-of-service attacks on websites. Cyber-attacks may be carried out by third parties or insiders using techniques that range from highly sophisticated efforts to electronically circumvent network secur</w:t>
      </w:r>
      <w:r>
        <w:rPr>
          <w:rFonts w:eastAsia="Times New Roman"/>
          <w:color w:val="000000"/>
          <w:sz w:val="20"/>
          <w:szCs w:val="20"/>
        </w:rPr>
        <w:t>ity or overwhelm websites to more traditional intelligence gathering and social engineering aimed at obtaining information necessary to gain access. The objectives of cyber-attacks vary widely and can include theft of financial assets, intellectual propert</w:t>
      </w:r>
      <w:r>
        <w:rPr>
          <w:rFonts w:eastAsia="Times New Roman"/>
          <w:color w:val="000000"/>
          <w:sz w:val="20"/>
          <w:szCs w:val="20"/>
        </w:rPr>
        <w:t>y, or other sensitive information, including the information belonging to our banking customers. Cyber-attacks may also be directed at disrupting our operations.</w:t>
      </w:r>
    </w:p>
    <w:p w:rsidR="00000000" w:rsidRDefault="00B132B6">
      <w:pPr>
        <w:ind w:firstLine="720"/>
        <w:jc w:val="both"/>
        <w:divId w:val="1081029658"/>
        <w:rPr>
          <w:rFonts w:eastAsia="Times New Roman"/>
        </w:rPr>
      </w:pPr>
      <w:r>
        <w:rPr>
          <w:rFonts w:eastAsia="Times New Roman"/>
          <w:color w:val="000000"/>
          <w:sz w:val="20"/>
          <w:szCs w:val="20"/>
        </w:rPr>
        <w:t>We may incur substantial costs and suffer other negative consequences if we fall victim to suc</w:t>
      </w:r>
      <w:r>
        <w:rPr>
          <w:rFonts w:eastAsia="Times New Roman"/>
          <w:color w:val="000000"/>
          <w:sz w:val="20"/>
          <w:szCs w:val="20"/>
        </w:rPr>
        <w:t>cessful cyber-attacks. Such negative consequences could include remediation costs that may include liability for stolen assets or information and repairing system damage that may have been caused; increased cybersecurity protection costs that may include o</w:t>
      </w:r>
      <w:r>
        <w:rPr>
          <w:rFonts w:eastAsia="Times New Roman"/>
          <w:color w:val="000000"/>
          <w:sz w:val="20"/>
          <w:szCs w:val="20"/>
        </w:rPr>
        <w:t xml:space="preserve">rganizational changes, deploying additional personnel and protection technologies, training employees, and engaging third party experts and consultants; lost revenues resulting from unauthorized use of proprietary information or </w:t>
      </w:r>
    </w:p>
    <w:p w:rsidR="00000000" w:rsidRDefault="00B132B6">
      <w:pPr>
        <w:jc w:val="center"/>
        <w:divId w:val="1838884922"/>
        <w:rPr>
          <w:rFonts w:eastAsia="Times New Roman"/>
        </w:rPr>
      </w:pPr>
      <w:r>
        <w:rPr>
          <w:rFonts w:eastAsia="Times New Roman"/>
          <w:color w:val="000000"/>
          <w:sz w:val="20"/>
          <w:szCs w:val="20"/>
        </w:rPr>
        <w:t>21</w:t>
      </w:r>
    </w:p>
    <w:p w:rsidR="00000000" w:rsidRDefault="00B132B6">
      <w:pPr>
        <w:rPr>
          <w:rFonts w:eastAsia="Times New Roman"/>
        </w:rPr>
      </w:pPr>
      <w:r>
        <w:rPr>
          <w:rFonts w:eastAsia="Times New Roman"/>
        </w:rPr>
        <w:pict>
          <v:rect id="_x0000_i1045" style="width:0;height:1.5pt" o:hralign="center" o:hrstd="t" o:hr="t" fillcolor="#a0a0a0" stroked="f"/>
        </w:pict>
      </w:r>
    </w:p>
    <w:p w:rsidR="00000000" w:rsidRDefault="00B132B6">
      <w:pPr>
        <w:divId w:val="1485924613"/>
        <w:rPr>
          <w:rFonts w:eastAsia="Times New Roman"/>
        </w:rPr>
      </w:pPr>
    </w:p>
    <w:p w:rsidR="00000000" w:rsidRDefault="00B132B6">
      <w:pPr>
        <w:jc w:val="both"/>
        <w:divId w:val="379940014"/>
        <w:rPr>
          <w:rFonts w:eastAsia="Times New Roman"/>
        </w:rPr>
      </w:pPr>
      <w:r>
        <w:rPr>
          <w:rFonts w:eastAsia="Times New Roman"/>
          <w:color w:val="000000"/>
          <w:sz w:val="20"/>
          <w:szCs w:val="20"/>
        </w:rPr>
        <w:t>the failure to retain or attract customers following an attack; litigation; and reputational damage adversely affecting customer or investor confidence.</w:t>
      </w:r>
    </w:p>
    <w:p w:rsidR="00000000" w:rsidRDefault="00B132B6">
      <w:pPr>
        <w:ind w:firstLine="720"/>
        <w:jc w:val="both"/>
        <w:divId w:val="33501092"/>
        <w:rPr>
          <w:rFonts w:eastAsia="Times New Roman"/>
        </w:rPr>
      </w:pPr>
      <w:r>
        <w:rPr>
          <w:rFonts w:eastAsia="Times New Roman"/>
          <w:b/>
          <w:bCs/>
          <w:color w:val="000000"/>
          <w:sz w:val="20"/>
          <w:szCs w:val="20"/>
        </w:rPr>
        <w:t>We Continually Encounter Technological Change, and We Cannot Predict How Changes in Tec</w:t>
      </w:r>
      <w:r>
        <w:rPr>
          <w:rFonts w:eastAsia="Times New Roman"/>
          <w:b/>
          <w:bCs/>
          <w:color w:val="000000"/>
          <w:sz w:val="20"/>
          <w:szCs w:val="20"/>
        </w:rPr>
        <w:t xml:space="preserve">hnology Will Affect Our Business. </w:t>
      </w:r>
      <w:r>
        <w:rPr>
          <w:rFonts w:eastAsia="Times New Roman"/>
          <w:color w:val="000000"/>
          <w:sz w:val="20"/>
          <w:szCs w:val="20"/>
        </w:rPr>
        <w:t>The financial services industry is continually undergoing rapid technological change with frequent introductions of new technology driven by products and services, which include developments in:</w:t>
      </w:r>
    </w:p>
    <w:tbl>
      <w:tblPr>
        <w:tblW w:w="5000" w:type="pct"/>
        <w:tblCellMar>
          <w:top w:w="15" w:type="dxa"/>
          <w:left w:w="15" w:type="dxa"/>
          <w:bottom w:w="15" w:type="dxa"/>
          <w:right w:w="15" w:type="dxa"/>
        </w:tblCellMar>
        <w:tblLook w:val="04A0" w:firstRow="1" w:lastRow="0" w:firstColumn="1" w:lastColumn="0" w:noHBand="0" w:noVBand="1"/>
      </w:tblPr>
      <w:tblGrid>
        <w:gridCol w:w="69"/>
        <w:gridCol w:w="4048"/>
        <w:gridCol w:w="36"/>
        <w:gridCol w:w="69"/>
        <w:gridCol w:w="4048"/>
        <w:gridCol w:w="36"/>
      </w:tblGrid>
      <w:tr w:rsidR="00000000">
        <w:trPr>
          <w:divId w:val="1194222490"/>
        </w:trPr>
        <w:tc>
          <w:tcPr>
            <w:tcW w:w="50" w:type="pct"/>
            <w:vAlign w:val="center"/>
            <w:hideMark/>
          </w:tcPr>
          <w:p w:rsidR="00000000" w:rsidRDefault="00B132B6">
            <w:pPr>
              <w:ind w:firstLine="720"/>
              <w:jc w:val="both"/>
              <w:rPr>
                <w:rFonts w:eastAsia="Times New Roman"/>
              </w:rPr>
            </w:pPr>
          </w:p>
        </w:tc>
        <w:tc>
          <w:tcPr>
            <w:tcW w:w="2445"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c>
          <w:tcPr>
            <w:tcW w:w="50" w:type="pct"/>
            <w:vAlign w:val="center"/>
            <w:hideMark/>
          </w:tcPr>
          <w:p w:rsidR="00000000" w:rsidRDefault="00B132B6">
            <w:pPr>
              <w:spacing w:after="100"/>
              <w:rPr>
                <w:rFonts w:eastAsia="Times New Roman"/>
                <w:sz w:val="20"/>
                <w:szCs w:val="20"/>
              </w:rPr>
            </w:pPr>
          </w:p>
        </w:tc>
        <w:tc>
          <w:tcPr>
            <w:tcW w:w="2445"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r>
      <w:tr w:rsidR="00000000">
        <w:trPr>
          <w:divId w:val="1194222490"/>
        </w:trPr>
        <w:tc>
          <w:tcPr>
            <w:tcW w:w="0" w:type="auto"/>
            <w:gridSpan w:val="3"/>
            <w:tcMar>
              <w:top w:w="30" w:type="dxa"/>
              <w:left w:w="20" w:type="dxa"/>
              <w:bottom w:w="30" w:type="dxa"/>
              <w:right w:w="20" w:type="dxa"/>
            </w:tcMar>
            <w:vAlign w:val="bottom"/>
            <w:hideMark/>
          </w:tcPr>
          <w:p w:rsidR="00000000" w:rsidRDefault="00B132B6">
            <w:pPr>
              <w:spacing w:after="100"/>
              <w:ind w:hanging="720"/>
              <w:divId w:val="1212158170"/>
              <w:rPr>
                <w:rFonts w:eastAsia="Times New Roman"/>
              </w:rPr>
            </w:pPr>
            <w:r>
              <w:rPr>
                <w:rFonts w:eastAsia="Times New Roman"/>
                <w:color w:val="000000"/>
                <w:sz w:val="20"/>
                <w:szCs w:val="20"/>
              </w:rPr>
              <w:t>•</w:t>
            </w:r>
            <w:r>
              <w:rPr>
                <w:rFonts w:eastAsia="Times New Roman"/>
                <w:color w:val="000000"/>
                <w:sz w:val="20"/>
                <w:szCs w:val="20"/>
              </w:rPr>
              <w:t>telecommunications</w:t>
            </w:r>
          </w:p>
          <w:p w:rsidR="00000000" w:rsidRDefault="00B132B6">
            <w:pPr>
              <w:spacing w:after="100"/>
              <w:ind w:hanging="720"/>
              <w:divId w:val="90975571"/>
              <w:rPr>
                <w:rFonts w:eastAsia="Times New Roman"/>
              </w:rPr>
            </w:pPr>
            <w:r>
              <w:rPr>
                <w:rFonts w:eastAsia="Times New Roman"/>
                <w:color w:val="000000"/>
                <w:sz w:val="20"/>
                <w:szCs w:val="20"/>
              </w:rPr>
              <w:t>•data processing</w:t>
            </w:r>
          </w:p>
          <w:p w:rsidR="00000000" w:rsidRDefault="00B132B6">
            <w:pPr>
              <w:spacing w:after="100"/>
              <w:ind w:hanging="720"/>
              <w:divId w:val="1303390194"/>
              <w:rPr>
                <w:rFonts w:eastAsia="Times New Roman"/>
              </w:rPr>
            </w:pPr>
            <w:r>
              <w:rPr>
                <w:rFonts w:eastAsia="Times New Roman"/>
                <w:color w:val="000000"/>
                <w:sz w:val="20"/>
                <w:szCs w:val="20"/>
              </w:rPr>
              <w:t>•automation</w:t>
            </w:r>
          </w:p>
        </w:tc>
        <w:tc>
          <w:tcPr>
            <w:tcW w:w="0" w:type="auto"/>
            <w:gridSpan w:val="3"/>
            <w:tcMar>
              <w:top w:w="30" w:type="dxa"/>
              <w:left w:w="20" w:type="dxa"/>
              <w:bottom w:w="30" w:type="dxa"/>
              <w:right w:w="20" w:type="dxa"/>
            </w:tcMar>
            <w:vAlign w:val="bottom"/>
            <w:hideMark/>
          </w:tcPr>
          <w:p w:rsidR="00000000" w:rsidRDefault="00B132B6">
            <w:pPr>
              <w:spacing w:after="100"/>
              <w:ind w:hanging="720"/>
              <w:divId w:val="1936399449"/>
              <w:rPr>
                <w:rFonts w:eastAsia="Times New Roman"/>
              </w:rPr>
            </w:pPr>
            <w:r>
              <w:rPr>
                <w:rFonts w:eastAsia="Times New Roman"/>
                <w:color w:val="000000"/>
                <w:sz w:val="20"/>
                <w:szCs w:val="20"/>
              </w:rPr>
              <w:t>•internet-based banking</w:t>
            </w:r>
          </w:p>
          <w:p w:rsidR="00000000" w:rsidRDefault="00B132B6">
            <w:pPr>
              <w:spacing w:after="100"/>
              <w:ind w:hanging="720"/>
              <w:divId w:val="547104807"/>
              <w:rPr>
                <w:rFonts w:eastAsia="Times New Roman"/>
              </w:rPr>
            </w:pPr>
            <w:r>
              <w:rPr>
                <w:rFonts w:eastAsia="Times New Roman"/>
                <w:color w:val="000000"/>
                <w:sz w:val="20"/>
                <w:szCs w:val="20"/>
              </w:rPr>
              <w:t>•telebanking</w:t>
            </w:r>
          </w:p>
          <w:p w:rsidR="00000000" w:rsidRDefault="00B132B6">
            <w:pPr>
              <w:spacing w:after="100"/>
              <w:ind w:hanging="720"/>
              <w:divId w:val="1669210471"/>
              <w:rPr>
                <w:rFonts w:eastAsia="Times New Roman"/>
              </w:rPr>
            </w:pPr>
            <w:r>
              <w:rPr>
                <w:rFonts w:eastAsia="Times New Roman"/>
                <w:color w:val="000000"/>
                <w:sz w:val="20"/>
                <w:szCs w:val="20"/>
              </w:rPr>
              <w:t>•debit cards and so-called "smart cards"</w:t>
            </w:r>
          </w:p>
        </w:tc>
      </w:tr>
    </w:tbl>
    <w:p w:rsidR="00000000" w:rsidRDefault="00B132B6">
      <w:pPr>
        <w:ind w:firstLine="720"/>
        <w:jc w:val="both"/>
        <w:divId w:val="838077120"/>
        <w:rPr>
          <w:rFonts w:eastAsia="Times New Roman"/>
        </w:rPr>
      </w:pPr>
      <w:r>
        <w:rPr>
          <w:rFonts w:eastAsia="Times New Roman"/>
          <w:color w:val="000000"/>
          <w:sz w:val="20"/>
          <w:szCs w:val="20"/>
        </w:rPr>
        <w:t>The effective use of technology increases efficiency and enables financial institutions to better serve customers and to reduce costs. Our future success depends, in part, upon our ability to address the needs of our customers by using technology to provid</w:t>
      </w:r>
      <w:r>
        <w:rPr>
          <w:rFonts w:eastAsia="Times New Roman"/>
          <w:color w:val="000000"/>
          <w:sz w:val="20"/>
          <w:szCs w:val="20"/>
        </w:rPr>
        <w:t>e products and services that will satisfy customer demands, as well as to create additional efficiencies in our operations. Many of our competitors have substantially greater resources to invest in technological improvements. We may not be able to effectiv</w:t>
      </w:r>
      <w:r>
        <w:rPr>
          <w:rFonts w:eastAsia="Times New Roman"/>
          <w:color w:val="000000"/>
          <w:sz w:val="20"/>
          <w:szCs w:val="20"/>
        </w:rPr>
        <w:t>ely implement new technology driven products and services or be successful in marketing these products and services to our customers. Failure to successfully keep pace with technological change affecting the financial services industry could have a materia</w:t>
      </w:r>
      <w:r>
        <w:rPr>
          <w:rFonts w:eastAsia="Times New Roman"/>
          <w:color w:val="000000"/>
          <w:sz w:val="20"/>
          <w:szCs w:val="20"/>
        </w:rPr>
        <w:t>l adverse impact on our business and, in turn, our financial condition and results of operations.</w:t>
      </w:r>
    </w:p>
    <w:p w:rsidR="00000000" w:rsidRDefault="00B132B6">
      <w:pPr>
        <w:ind w:firstLine="720"/>
        <w:jc w:val="both"/>
        <w:divId w:val="1649824675"/>
        <w:rPr>
          <w:rFonts w:eastAsia="Times New Roman"/>
        </w:rPr>
      </w:pPr>
      <w:r>
        <w:rPr>
          <w:rFonts w:eastAsia="Times New Roman"/>
          <w:b/>
          <w:bCs/>
          <w:color w:val="000000"/>
          <w:sz w:val="20"/>
          <w:szCs w:val="20"/>
        </w:rPr>
        <w:t>We Rely On Others to Provide Key Components of Our Business Infrastructure</w:t>
      </w:r>
      <w:r>
        <w:rPr>
          <w:rFonts w:eastAsia="Times New Roman"/>
          <w:color w:val="000000"/>
          <w:sz w:val="20"/>
          <w:szCs w:val="20"/>
        </w:rPr>
        <w:t xml:space="preserve">. Third-party vendors provide key components of our business infrastructure such as </w:t>
      </w:r>
      <w:r>
        <w:rPr>
          <w:rFonts w:eastAsia="Times New Roman"/>
          <w:color w:val="000000"/>
          <w:sz w:val="20"/>
          <w:szCs w:val="20"/>
        </w:rPr>
        <w:t>internet connections, network access and core application processing. While we have selected these third party vendors carefully, we do not control their actions. If these third-party vendors experience financial, operational or technological difficulties,</w:t>
      </w:r>
      <w:r>
        <w:rPr>
          <w:rFonts w:eastAsia="Times New Roman"/>
          <w:color w:val="000000"/>
          <w:sz w:val="20"/>
          <w:szCs w:val="20"/>
        </w:rPr>
        <w:t xml:space="preserve"> perform their services poorly or terminate their services, and we are unable to replace them with other service providers, our operations could be interrupted. Any problems caused by these third parties, including as a result of their not providing us the</w:t>
      </w:r>
      <w:r>
        <w:rPr>
          <w:rFonts w:eastAsia="Times New Roman"/>
          <w:color w:val="000000"/>
          <w:sz w:val="20"/>
          <w:szCs w:val="20"/>
        </w:rPr>
        <w:t>ir services for any reason or their performing their services poorly, could adversely affect our ability to deliver products and services to our customers or otherwise conduct our business efficiently and effectively. If a service interruption were to cont</w:t>
      </w:r>
      <w:r>
        <w:rPr>
          <w:rFonts w:eastAsia="Times New Roman"/>
          <w:color w:val="000000"/>
          <w:sz w:val="20"/>
          <w:szCs w:val="20"/>
        </w:rPr>
        <w:t>inue for a significant period of time, our business, financial condition and results of operations could be adversely affected, perhaps materially. Replacing these third party vendors could also entail significant delay and additional expense.</w:t>
      </w:r>
    </w:p>
    <w:p w:rsidR="00000000" w:rsidRDefault="00B132B6">
      <w:pPr>
        <w:divId w:val="834802844"/>
        <w:rPr>
          <w:rFonts w:eastAsia="Times New Roman"/>
        </w:rPr>
      </w:pPr>
    </w:p>
    <w:p w:rsidR="00000000" w:rsidRDefault="00B132B6">
      <w:pPr>
        <w:divId w:val="669716272"/>
        <w:rPr>
          <w:rFonts w:eastAsia="Times New Roman"/>
        </w:rPr>
      </w:pPr>
      <w:r>
        <w:rPr>
          <w:rFonts w:eastAsia="Times New Roman"/>
          <w:b/>
          <w:bCs/>
          <w:color w:val="000000"/>
          <w:sz w:val="20"/>
          <w:szCs w:val="20"/>
          <w:u w:val="single"/>
        </w:rPr>
        <w:t>Risks Rela</w:t>
      </w:r>
      <w:r>
        <w:rPr>
          <w:rFonts w:eastAsia="Times New Roman"/>
          <w:b/>
          <w:bCs/>
          <w:color w:val="000000"/>
          <w:sz w:val="20"/>
          <w:szCs w:val="20"/>
          <w:u w:val="single"/>
        </w:rPr>
        <w:t>ted to Our Common Stock</w:t>
      </w:r>
    </w:p>
    <w:p w:rsidR="00000000" w:rsidRDefault="00B132B6">
      <w:pPr>
        <w:ind w:firstLine="720"/>
        <w:jc w:val="both"/>
        <w:divId w:val="1003359591"/>
        <w:rPr>
          <w:rFonts w:eastAsia="Times New Roman"/>
        </w:rPr>
      </w:pPr>
      <w:r>
        <w:rPr>
          <w:rFonts w:eastAsia="Times New Roman"/>
          <w:b/>
          <w:bCs/>
          <w:color w:val="000000"/>
          <w:sz w:val="20"/>
          <w:szCs w:val="20"/>
        </w:rPr>
        <w:t>The Price of Our Common Stock Could Fluctuate Significantly, and This Could Make it Difficult for You to Resell Shares of Our Common Stock at Times or at Prices You Find Attractive</w:t>
      </w:r>
      <w:r>
        <w:rPr>
          <w:rFonts w:eastAsia="Times New Roman"/>
          <w:color w:val="000000"/>
          <w:sz w:val="20"/>
          <w:szCs w:val="20"/>
        </w:rPr>
        <w:t>. The stock market and, in particular, the market fo</w:t>
      </w:r>
      <w:r>
        <w:rPr>
          <w:rFonts w:eastAsia="Times New Roman"/>
          <w:color w:val="000000"/>
          <w:sz w:val="20"/>
          <w:szCs w:val="20"/>
        </w:rPr>
        <w:t>r financial institution stocks, has experienced significant volatility during the recent economic downturn. In some cases, the markets have produced downward pressure on stock prices for certain issuers without regard to those issuers' underlying financial</w:t>
      </w:r>
      <w:r>
        <w:rPr>
          <w:rFonts w:eastAsia="Times New Roman"/>
          <w:color w:val="000000"/>
          <w:sz w:val="20"/>
          <w:szCs w:val="20"/>
        </w:rPr>
        <w:t xml:space="preserve"> strength. As a result, the trading volume in our common stock could fluctuate more than usual and cause significant price variations to occur. This could make it difficult for you to resell shares of our common stock at times or at prices you find attract</w:t>
      </w:r>
      <w:r>
        <w:rPr>
          <w:rFonts w:eastAsia="Times New Roman"/>
          <w:color w:val="000000"/>
          <w:sz w:val="20"/>
          <w:szCs w:val="20"/>
        </w:rPr>
        <w:t>ive.</w:t>
      </w:r>
    </w:p>
    <w:p w:rsidR="00000000" w:rsidRDefault="00B132B6">
      <w:pPr>
        <w:ind w:firstLine="720"/>
        <w:jc w:val="both"/>
        <w:divId w:val="622618971"/>
        <w:rPr>
          <w:rFonts w:eastAsia="Times New Roman"/>
        </w:rPr>
      </w:pPr>
      <w:r>
        <w:rPr>
          <w:rFonts w:eastAsia="Times New Roman"/>
          <w:color w:val="000000"/>
          <w:sz w:val="20"/>
          <w:szCs w:val="20"/>
        </w:rPr>
        <w:t>The trading price of the shares of our common stock will depend on many factors that could change from time to time and could be beyond our control. Among the factors that could affect our stock price are those identified under the heading "Forward-Lo</w:t>
      </w:r>
      <w:r>
        <w:rPr>
          <w:rFonts w:eastAsia="Times New Roman"/>
          <w:color w:val="000000"/>
          <w:sz w:val="20"/>
          <w:szCs w:val="20"/>
        </w:rPr>
        <w:t>oking Statements" in Item 7 of this report and as follows:</w:t>
      </w:r>
    </w:p>
    <w:p w:rsidR="00000000" w:rsidRDefault="00B132B6">
      <w:pPr>
        <w:ind w:hanging="360"/>
        <w:jc w:val="both"/>
        <w:divId w:val="1973443772"/>
        <w:rPr>
          <w:rFonts w:eastAsia="Times New Roman"/>
        </w:rPr>
      </w:pPr>
      <w:r>
        <w:rPr>
          <w:rFonts w:eastAsia="Times New Roman"/>
          <w:color w:val="000000"/>
          <w:sz w:val="20"/>
          <w:szCs w:val="20"/>
        </w:rPr>
        <w:t>•actual or anticipated quarterly fluctuations in our operating results and financial condition;</w:t>
      </w:r>
    </w:p>
    <w:p w:rsidR="00000000" w:rsidRDefault="00B132B6">
      <w:pPr>
        <w:ind w:hanging="360"/>
        <w:jc w:val="both"/>
        <w:divId w:val="1083836039"/>
        <w:rPr>
          <w:rFonts w:eastAsia="Times New Roman"/>
        </w:rPr>
      </w:pPr>
      <w:r>
        <w:rPr>
          <w:rFonts w:eastAsia="Times New Roman"/>
          <w:color w:val="000000"/>
          <w:sz w:val="20"/>
          <w:szCs w:val="20"/>
        </w:rPr>
        <w:t>•changes in financial estimates or publication of research reports and recommendations by financial a</w:t>
      </w:r>
      <w:r>
        <w:rPr>
          <w:rFonts w:eastAsia="Times New Roman"/>
          <w:color w:val="000000"/>
          <w:sz w:val="20"/>
          <w:szCs w:val="20"/>
        </w:rPr>
        <w:t>nalysts or actions taken by rating agencies with respect to our common stock or those of other financial institutions;</w:t>
      </w:r>
    </w:p>
    <w:p w:rsidR="00000000" w:rsidRDefault="00B132B6">
      <w:pPr>
        <w:ind w:hanging="360"/>
        <w:jc w:val="both"/>
        <w:divId w:val="70008221"/>
        <w:rPr>
          <w:rFonts w:eastAsia="Times New Roman"/>
        </w:rPr>
      </w:pPr>
      <w:r>
        <w:rPr>
          <w:rFonts w:eastAsia="Times New Roman"/>
          <w:color w:val="000000"/>
          <w:sz w:val="20"/>
          <w:szCs w:val="20"/>
        </w:rPr>
        <w:t>•failure to meet analysts' revenue or earnings estimates;</w:t>
      </w:r>
    </w:p>
    <w:p w:rsidR="00000000" w:rsidRDefault="00B132B6">
      <w:pPr>
        <w:ind w:hanging="360"/>
        <w:jc w:val="both"/>
        <w:divId w:val="987593198"/>
        <w:rPr>
          <w:rFonts w:eastAsia="Times New Roman"/>
        </w:rPr>
      </w:pPr>
      <w:r>
        <w:rPr>
          <w:rFonts w:eastAsia="Times New Roman"/>
          <w:color w:val="000000"/>
          <w:sz w:val="20"/>
          <w:szCs w:val="20"/>
        </w:rPr>
        <w:t>•</w:t>
      </w:r>
      <w:r>
        <w:rPr>
          <w:rFonts w:eastAsia="Times New Roman"/>
          <w:color w:val="000000"/>
          <w:sz w:val="20"/>
          <w:szCs w:val="20"/>
        </w:rPr>
        <w:t>speculation in the press or investment community generally or relating to our reputation, our market area, our competitors or the financial services industry in general;</w:t>
      </w:r>
    </w:p>
    <w:p w:rsidR="00000000" w:rsidRDefault="00B132B6">
      <w:pPr>
        <w:ind w:hanging="360"/>
        <w:jc w:val="both"/>
        <w:divId w:val="1512571130"/>
        <w:rPr>
          <w:rFonts w:eastAsia="Times New Roman"/>
        </w:rPr>
      </w:pPr>
      <w:r>
        <w:rPr>
          <w:rFonts w:eastAsia="Times New Roman"/>
          <w:color w:val="000000"/>
          <w:sz w:val="20"/>
          <w:szCs w:val="20"/>
        </w:rPr>
        <w:t>•strategic actions by us or our competitors, such as acquisitions, restructurings, dis</w:t>
      </w:r>
      <w:r>
        <w:rPr>
          <w:rFonts w:eastAsia="Times New Roman"/>
          <w:color w:val="000000"/>
          <w:sz w:val="20"/>
          <w:szCs w:val="20"/>
        </w:rPr>
        <w:t>positions or financings;</w:t>
      </w:r>
    </w:p>
    <w:p w:rsidR="00000000" w:rsidRDefault="00B132B6">
      <w:pPr>
        <w:ind w:hanging="360"/>
        <w:jc w:val="both"/>
        <w:divId w:val="250164052"/>
        <w:rPr>
          <w:rFonts w:eastAsia="Times New Roman"/>
        </w:rPr>
      </w:pPr>
      <w:r>
        <w:rPr>
          <w:rFonts w:eastAsia="Times New Roman"/>
          <w:color w:val="000000"/>
          <w:sz w:val="20"/>
          <w:szCs w:val="20"/>
        </w:rPr>
        <w:t>•actions by our current stockholders, including sales of common stock by existing stockholders and/or directors and executive officers;</w:t>
      </w:r>
    </w:p>
    <w:p w:rsidR="00000000" w:rsidRDefault="00B132B6">
      <w:pPr>
        <w:ind w:hanging="360"/>
        <w:jc w:val="both"/>
        <w:divId w:val="935553198"/>
        <w:rPr>
          <w:rFonts w:eastAsia="Times New Roman"/>
        </w:rPr>
      </w:pPr>
      <w:r>
        <w:rPr>
          <w:rFonts w:eastAsia="Times New Roman"/>
          <w:color w:val="000000"/>
          <w:sz w:val="20"/>
          <w:szCs w:val="20"/>
        </w:rPr>
        <w:t>•fluctuations in the stock price and operating results of our competitors;</w:t>
      </w:r>
    </w:p>
    <w:p w:rsidR="00000000" w:rsidRDefault="00B132B6">
      <w:pPr>
        <w:jc w:val="center"/>
        <w:divId w:val="2109616032"/>
        <w:rPr>
          <w:rFonts w:eastAsia="Times New Roman"/>
        </w:rPr>
      </w:pPr>
      <w:r>
        <w:rPr>
          <w:rFonts w:eastAsia="Times New Roman"/>
          <w:color w:val="000000"/>
          <w:sz w:val="20"/>
          <w:szCs w:val="20"/>
        </w:rPr>
        <w:t>22</w:t>
      </w:r>
    </w:p>
    <w:p w:rsidR="00000000" w:rsidRDefault="00B132B6">
      <w:pPr>
        <w:rPr>
          <w:rFonts w:eastAsia="Times New Roman"/>
        </w:rPr>
      </w:pPr>
      <w:r>
        <w:rPr>
          <w:rFonts w:eastAsia="Times New Roman"/>
        </w:rPr>
        <w:pict>
          <v:rect id="_x0000_i1046" style="width:0;height:1.5pt" o:hralign="center" o:hrstd="t" o:hr="t" fillcolor="#a0a0a0" stroked="f"/>
        </w:pict>
      </w:r>
    </w:p>
    <w:p w:rsidR="00000000" w:rsidRDefault="00B132B6">
      <w:pPr>
        <w:divId w:val="1252735447"/>
        <w:rPr>
          <w:rFonts w:eastAsia="Times New Roman"/>
        </w:rPr>
      </w:pPr>
    </w:p>
    <w:p w:rsidR="00000000" w:rsidRDefault="00B132B6">
      <w:pPr>
        <w:ind w:hanging="360"/>
        <w:jc w:val="both"/>
        <w:divId w:val="1495604541"/>
        <w:rPr>
          <w:rFonts w:eastAsia="Times New Roman"/>
        </w:rPr>
      </w:pPr>
      <w:r>
        <w:rPr>
          <w:rFonts w:eastAsia="Times New Roman"/>
          <w:color w:val="000000"/>
          <w:sz w:val="20"/>
          <w:szCs w:val="20"/>
        </w:rPr>
        <w:t>•future sales of our equity, equity-related or debt securities;</w:t>
      </w:r>
    </w:p>
    <w:p w:rsidR="00000000" w:rsidRDefault="00B132B6">
      <w:pPr>
        <w:ind w:hanging="360"/>
        <w:jc w:val="both"/>
        <w:divId w:val="1012025791"/>
        <w:rPr>
          <w:rFonts w:eastAsia="Times New Roman"/>
        </w:rPr>
      </w:pPr>
      <w:r>
        <w:rPr>
          <w:rFonts w:eastAsia="Times New Roman"/>
          <w:color w:val="000000"/>
          <w:sz w:val="20"/>
          <w:szCs w:val="20"/>
        </w:rPr>
        <w:t>•changes in the frequency or amount of dividends or share repurchases;</w:t>
      </w:r>
    </w:p>
    <w:p w:rsidR="00000000" w:rsidRDefault="00B132B6">
      <w:pPr>
        <w:ind w:hanging="360"/>
        <w:divId w:val="1014112256"/>
        <w:rPr>
          <w:rFonts w:eastAsia="Times New Roman"/>
        </w:rPr>
      </w:pPr>
      <w:r>
        <w:rPr>
          <w:rFonts w:eastAsia="Times New Roman"/>
          <w:color w:val="000000"/>
          <w:sz w:val="20"/>
          <w:szCs w:val="20"/>
        </w:rPr>
        <w:t>•proposed or adopted regulatory changes or developments;</w:t>
      </w:r>
    </w:p>
    <w:p w:rsidR="00000000" w:rsidRDefault="00B132B6">
      <w:pPr>
        <w:ind w:hanging="360"/>
        <w:jc w:val="both"/>
        <w:divId w:val="589436887"/>
        <w:rPr>
          <w:rFonts w:eastAsia="Times New Roman"/>
        </w:rPr>
      </w:pPr>
      <w:r>
        <w:rPr>
          <w:rFonts w:eastAsia="Times New Roman"/>
          <w:color w:val="000000"/>
          <w:sz w:val="20"/>
          <w:szCs w:val="20"/>
        </w:rPr>
        <w:t>•</w:t>
      </w:r>
      <w:r>
        <w:rPr>
          <w:rFonts w:eastAsia="Times New Roman"/>
          <w:color w:val="000000"/>
          <w:sz w:val="20"/>
          <w:szCs w:val="20"/>
        </w:rPr>
        <w:t>investigations, proceedings or litigation that involve or affect us;</w:t>
      </w:r>
    </w:p>
    <w:p w:rsidR="00000000" w:rsidRDefault="00B132B6">
      <w:pPr>
        <w:ind w:hanging="360"/>
        <w:jc w:val="both"/>
        <w:divId w:val="670063009"/>
        <w:rPr>
          <w:rFonts w:eastAsia="Times New Roman"/>
        </w:rPr>
      </w:pPr>
      <w:r>
        <w:rPr>
          <w:rFonts w:eastAsia="Times New Roman"/>
          <w:color w:val="000000"/>
          <w:sz w:val="20"/>
          <w:szCs w:val="20"/>
        </w:rPr>
        <w:t>•trading activities in our common stock, including short-selling;</w:t>
      </w:r>
    </w:p>
    <w:p w:rsidR="00000000" w:rsidRDefault="00B132B6">
      <w:pPr>
        <w:ind w:hanging="360"/>
        <w:jc w:val="both"/>
        <w:divId w:val="193887142"/>
        <w:rPr>
          <w:rFonts w:eastAsia="Times New Roman"/>
        </w:rPr>
      </w:pPr>
      <w:r>
        <w:rPr>
          <w:rFonts w:eastAsia="Times New Roman"/>
          <w:color w:val="000000"/>
          <w:sz w:val="20"/>
          <w:szCs w:val="20"/>
        </w:rPr>
        <w:t>•domestic and local economic factors unrelated to our performance; and</w:t>
      </w:r>
    </w:p>
    <w:p w:rsidR="00000000" w:rsidRDefault="00B132B6">
      <w:pPr>
        <w:ind w:hanging="360"/>
        <w:jc w:val="both"/>
        <w:divId w:val="911738763"/>
        <w:rPr>
          <w:rFonts w:eastAsia="Times New Roman"/>
        </w:rPr>
      </w:pPr>
      <w:r>
        <w:rPr>
          <w:rFonts w:eastAsia="Times New Roman"/>
          <w:color w:val="000000"/>
          <w:sz w:val="20"/>
          <w:szCs w:val="20"/>
        </w:rPr>
        <w:t>•general market conditions and, in particular, dev</w:t>
      </w:r>
      <w:r>
        <w:rPr>
          <w:rFonts w:eastAsia="Times New Roman"/>
          <w:color w:val="000000"/>
          <w:sz w:val="20"/>
          <w:szCs w:val="20"/>
        </w:rPr>
        <w:t>elopments related to market conditions for the financial services industry.</w:t>
      </w:r>
    </w:p>
    <w:p w:rsidR="00000000" w:rsidRDefault="00B132B6">
      <w:pPr>
        <w:ind w:firstLine="720"/>
        <w:jc w:val="both"/>
        <w:divId w:val="1676421001"/>
        <w:rPr>
          <w:rFonts w:eastAsia="Times New Roman"/>
        </w:rPr>
      </w:pPr>
      <w:r>
        <w:rPr>
          <w:rFonts w:eastAsia="Times New Roman"/>
          <w:color w:val="000000"/>
          <w:sz w:val="20"/>
          <w:szCs w:val="20"/>
        </w:rPr>
        <w:t>A significant decline in our stock price could result in substantial losses for individual stockholders and could lead to costly and disruptive securities litigation.</w:t>
      </w:r>
    </w:p>
    <w:p w:rsidR="00000000" w:rsidRDefault="00B132B6">
      <w:pPr>
        <w:ind w:firstLine="720"/>
        <w:jc w:val="both"/>
        <w:divId w:val="948121140"/>
        <w:rPr>
          <w:rFonts w:eastAsia="Times New Roman"/>
        </w:rPr>
      </w:pPr>
      <w:r>
        <w:rPr>
          <w:rFonts w:eastAsia="Times New Roman"/>
          <w:b/>
          <w:bCs/>
          <w:color w:val="000000"/>
          <w:sz w:val="20"/>
          <w:szCs w:val="20"/>
        </w:rPr>
        <w:t>The Trading V</w:t>
      </w:r>
      <w:r>
        <w:rPr>
          <w:rFonts w:eastAsia="Times New Roman"/>
          <w:b/>
          <w:bCs/>
          <w:color w:val="000000"/>
          <w:sz w:val="20"/>
          <w:szCs w:val="20"/>
        </w:rPr>
        <w:t>olume in Our Common Stock Has Been Low, and the Sale of a Substantial Number of Shares of Our Common Stock in the Public Market Could Depress the Price of Our Common Stock and Make it Difficult for You to Sell Your Shares</w:t>
      </w:r>
      <w:r>
        <w:rPr>
          <w:rFonts w:eastAsia="Times New Roman"/>
          <w:color w:val="000000"/>
          <w:sz w:val="20"/>
          <w:szCs w:val="20"/>
        </w:rPr>
        <w:t>. Our common stock is listed to tra</w:t>
      </w:r>
      <w:r>
        <w:rPr>
          <w:rFonts w:eastAsia="Times New Roman"/>
          <w:color w:val="000000"/>
          <w:sz w:val="20"/>
          <w:szCs w:val="20"/>
        </w:rPr>
        <w:t>de on the NASDAQ Global Select Market, but is thinly traded. As a result, you may not be able to sell your shares of common stock on short notice. Additionally, thinly traded stock can be more volatile than stock trading in an active public market. The sal</w:t>
      </w:r>
      <w:r>
        <w:rPr>
          <w:rFonts w:eastAsia="Times New Roman"/>
          <w:color w:val="000000"/>
          <w:sz w:val="20"/>
          <w:szCs w:val="20"/>
        </w:rPr>
        <w:t>e of a substantial number of shares of our common stock at one time could temporarily depress the market price of our common stock, making it difficult for you to sell your shares and impairing our ability to raise capital.</w:t>
      </w:r>
    </w:p>
    <w:p w:rsidR="00000000" w:rsidRDefault="00B132B6">
      <w:pPr>
        <w:ind w:firstLine="720"/>
        <w:jc w:val="both"/>
        <w:divId w:val="399376499"/>
        <w:rPr>
          <w:rFonts w:eastAsia="Times New Roman"/>
        </w:rPr>
      </w:pPr>
      <w:r>
        <w:rPr>
          <w:rFonts w:eastAsia="Times New Roman"/>
          <w:b/>
          <w:bCs/>
          <w:color w:val="000000"/>
          <w:sz w:val="20"/>
          <w:szCs w:val="20"/>
        </w:rPr>
        <w:t xml:space="preserve">Our Common Stock is Not Insured </w:t>
      </w:r>
      <w:r>
        <w:rPr>
          <w:rFonts w:eastAsia="Times New Roman"/>
          <w:b/>
          <w:bCs/>
          <w:color w:val="000000"/>
          <w:sz w:val="20"/>
          <w:szCs w:val="20"/>
        </w:rPr>
        <w:t>by Any Governmental Entity</w:t>
      </w:r>
      <w:r>
        <w:rPr>
          <w:rFonts w:eastAsia="Times New Roman"/>
          <w:color w:val="000000"/>
          <w:sz w:val="20"/>
          <w:szCs w:val="20"/>
        </w:rPr>
        <w:t>. Our common stock is not a deposit account or other obligation of any bank and is not insured by the FDIC or any other governmental entity.</w:t>
      </w:r>
    </w:p>
    <w:p w:rsidR="00000000" w:rsidRDefault="00B132B6">
      <w:pPr>
        <w:ind w:firstLine="720"/>
        <w:jc w:val="both"/>
        <w:divId w:val="1042906246"/>
        <w:rPr>
          <w:rFonts w:eastAsia="Times New Roman"/>
        </w:rPr>
      </w:pPr>
      <w:r>
        <w:rPr>
          <w:rFonts w:eastAsia="Times New Roman"/>
          <w:b/>
          <w:bCs/>
          <w:color w:val="000000"/>
          <w:sz w:val="20"/>
          <w:szCs w:val="20"/>
        </w:rPr>
        <w:t>Additional Factors</w:t>
      </w:r>
      <w:r>
        <w:rPr>
          <w:rFonts w:eastAsia="Times New Roman"/>
          <w:color w:val="000000"/>
          <w:sz w:val="20"/>
          <w:szCs w:val="20"/>
        </w:rPr>
        <w:t>. Additional risks and uncertainties that may affect the future results</w:t>
      </w:r>
      <w:r>
        <w:rPr>
          <w:rFonts w:eastAsia="Times New Roman"/>
          <w:color w:val="000000"/>
          <w:sz w:val="20"/>
          <w:szCs w:val="20"/>
        </w:rPr>
        <w:t xml:space="preserve"> of operations, financial condition or business of the Company and its banking subsidiary include, but are not limited to: (i) adverse publicity, news coverage by the media, or negative reports by brokerage firms, industry and financial analysts regarding </w:t>
      </w:r>
      <w:r>
        <w:rPr>
          <w:rFonts w:eastAsia="Times New Roman"/>
          <w:color w:val="000000"/>
          <w:sz w:val="20"/>
          <w:szCs w:val="20"/>
        </w:rPr>
        <w:t>the Bank or the Company; and (ii) changes in accounting policies and practices.</w:t>
      </w:r>
    </w:p>
    <w:p w:rsidR="00000000" w:rsidRDefault="00B132B6">
      <w:pPr>
        <w:divId w:val="1287005427"/>
        <w:rPr>
          <w:rFonts w:eastAsia="Times New Roman"/>
        </w:rPr>
      </w:pPr>
      <w:r>
        <w:rPr>
          <w:rFonts w:eastAsia="Times New Roman"/>
          <w:b/>
          <w:bCs/>
          <w:color w:val="000000"/>
          <w:sz w:val="20"/>
          <w:szCs w:val="20"/>
          <w:u w:val="single"/>
        </w:rPr>
        <w:t>Item 1B</w:t>
      </w:r>
      <w:r>
        <w:rPr>
          <w:rFonts w:eastAsia="Times New Roman"/>
          <w:b/>
          <w:bCs/>
          <w:color w:val="000000"/>
          <w:sz w:val="20"/>
          <w:szCs w:val="20"/>
        </w:rPr>
        <w:t xml:space="preserve">. </w:t>
      </w:r>
      <w:r>
        <w:rPr>
          <w:rFonts w:eastAsia="Times New Roman"/>
          <w:b/>
          <w:bCs/>
          <w:color w:val="000000"/>
          <w:sz w:val="20"/>
          <w:szCs w:val="20"/>
          <w:u w:val="single"/>
        </w:rPr>
        <w:t>Unresolved Staff Comments</w:t>
      </w:r>
      <w:r>
        <w:rPr>
          <w:rFonts w:eastAsia="Times New Roman"/>
          <w:b/>
          <w:bCs/>
          <w:color w:val="000000"/>
          <w:sz w:val="20"/>
          <w:szCs w:val="20"/>
        </w:rPr>
        <w:t>.</w:t>
      </w:r>
    </w:p>
    <w:p w:rsidR="00000000" w:rsidRDefault="00B132B6">
      <w:pPr>
        <w:ind w:firstLine="720"/>
        <w:jc w:val="both"/>
        <w:divId w:val="535429991"/>
        <w:rPr>
          <w:rFonts w:eastAsia="Times New Roman"/>
        </w:rPr>
      </w:pPr>
      <w:r>
        <w:rPr>
          <w:rFonts w:eastAsia="Times New Roman"/>
          <w:color w:val="000000"/>
          <w:sz w:val="20"/>
          <w:szCs w:val="20"/>
        </w:rPr>
        <w:t>None.</w:t>
      </w:r>
    </w:p>
    <w:p w:rsidR="00000000" w:rsidRDefault="00B132B6">
      <w:pPr>
        <w:divId w:val="2094012117"/>
        <w:rPr>
          <w:rFonts w:eastAsia="Times New Roman"/>
        </w:rPr>
      </w:pPr>
      <w:r>
        <w:rPr>
          <w:rFonts w:eastAsia="Times New Roman"/>
          <w:b/>
          <w:bCs/>
          <w:color w:val="000000"/>
          <w:sz w:val="20"/>
          <w:szCs w:val="20"/>
          <w:u w:val="single"/>
        </w:rPr>
        <w:t>Item 2</w:t>
      </w:r>
      <w:r>
        <w:rPr>
          <w:rFonts w:eastAsia="Times New Roman"/>
          <w:b/>
          <w:bCs/>
          <w:color w:val="000000"/>
          <w:sz w:val="20"/>
          <w:szCs w:val="20"/>
        </w:rPr>
        <w:t xml:space="preserve">. </w:t>
      </w:r>
      <w:r>
        <w:rPr>
          <w:rFonts w:eastAsia="Times New Roman"/>
          <w:b/>
          <w:bCs/>
          <w:color w:val="000000"/>
          <w:sz w:val="20"/>
          <w:szCs w:val="20"/>
          <w:u w:val="single"/>
        </w:rPr>
        <w:t>Properties</w:t>
      </w:r>
      <w:r>
        <w:rPr>
          <w:rFonts w:eastAsia="Times New Roman"/>
          <w:b/>
          <w:bCs/>
          <w:color w:val="000000"/>
          <w:sz w:val="20"/>
          <w:szCs w:val="20"/>
        </w:rPr>
        <w:t>.</w:t>
      </w:r>
    </w:p>
    <w:p w:rsidR="00000000" w:rsidRDefault="00B132B6">
      <w:pPr>
        <w:ind w:firstLine="720"/>
        <w:jc w:val="both"/>
        <w:divId w:val="1841266096"/>
        <w:rPr>
          <w:rFonts w:eastAsia="Times New Roman"/>
        </w:rPr>
      </w:pPr>
      <w:r>
        <w:rPr>
          <w:rFonts w:eastAsia="Times New Roman"/>
          <w:color w:val="000000"/>
          <w:sz w:val="20"/>
          <w:szCs w:val="20"/>
        </w:rPr>
        <w:t>Neither the Company nor Union owns or leases any property. The Company's principal offices are located at 132 East</w:t>
      </w:r>
      <w:r>
        <w:rPr>
          <w:rFonts w:eastAsia="Times New Roman"/>
          <w:color w:val="000000"/>
          <w:sz w:val="20"/>
          <w:szCs w:val="20"/>
        </w:rPr>
        <w:t xml:space="preserve"> High Street, Jefferson City, Missouri 65101. The table below provides a list of the Bank's facilities.</w:t>
      </w:r>
    </w:p>
    <w:p w:rsidR="00000000" w:rsidRDefault="00B132B6">
      <w:pPr>
        <w:jc w:val="center"/>
        <w:divId w:val="1881355018"/>
        <w:rPr>
          <w:rFonts w:eastAsia="Times New Roman"/>
        </w:rPr>
      </w:pPr>
      <w:r>
        <w:rPr>
          <w:rFonts w:eastAsia="Times New Roman"/>
          <w:color w:val="000000"/>
          <w:sz w:val="20"/>
          <w:szCs w:val="20"/>
        </w:rPr>
        <w:t>23</w:t>
      </w:r>
    </w:p>
    <w:p w:rsidR="00000000" w:rsidRDefault="00B132B6">
      <w:pPr>
        <w:rPr>
          <w:rFonts w:eastAsia="Times New Roman"/>
        </w:rPr>
      </w:pPr>
      <w:r>
        <w:rPr>
          <w:rFonts w:eastAsia="Times New Roman"/>
        </w:rPr>
        <w:pict>
          <v:rect id="_x0000_i1047" style="width:0;height:1.5pt" o:hralign="center" o:hrstd="t" o:hr="t" fillcolor="#a0a0a0" stroked="f"/>
        </w:pict>
      </w:r>
    </w:p>
    <w:p w:rsidR="00000000" w:rsidRDefault="00B132B6">
      <w:pPr>
        <w:divId w:val="44099361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4297"/>
        <w:gridCol w:w="39"/>
        <w:gridCol w:w="36"/>
        <w:gridCol w:w="36"/>
        <w:gridCol w:w="36"/>
        <w:gridCol w:w="68"/>
        <w:gridCol w:w="968"/>
        <w:gridCol w:w="36"/>
        <w:gridCol w:w="36"/>
        <w:gridCol w:w="36"/>
        <w:gridCol w:w="36"/>
        <w:gridCol w:w="47"/>
        <w:gridCol w:w="912"/>
        <w:gridCol w:w="37"/>
        <w:gridCol w:w="79"/>
        <w:gridCol w:w="188"/>
        <w:gridCol w:w="36"/>
        <w:gridCol w:w="122"/>
        <w:gridCol w:w="1184"/>
        <w:gridCol w:w="37"/>
      </w:tblGrid>
      <w:tr w:rsidR="00000000">
        <w:trPr>
          <w:divId w:val="1538084252"/>
        </w:trPr>
        <w:tc>
          <w:tcPr>
            <w:tcW w:w="50" w:type="pct"/>
            <w:vAlign w:val="center"/>
            <w:hideMark/>
          </w:tcPr>
          <w:p w:rsidR="00000000" w:rsidRDefault="00B132B6">
            <w:pPr>
              <w:rPr>
                <w:rFonts w:eastAsia="Times New Roman"/>
              </w:rPr>
            </w:pPr>
          </w:p>
        </w:tc>
        <w:tc>
          <w:tcPr>
            <w:tcW w:w="2626"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c>
          <w:tcPr>
            <w:tcW w:w="27"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c>
          <w:tcPr>
            <w:tcW w:w="50" w:type="pct"/>
            <w:vAlign w:val="center"/>
            <w:hideMark/>
          </w:tcPr>
          <w:p w:rsidR="00000000" w:rsidRDefault="00B132B6">
            <w:pPr>
              <w:spacing w:after="100"/>
              <w:rPr>
                <w:rFonts w:eastAsia="Times New Roman"/>
                <w:sz w:val="20"/>
                <w:szCs w:val="20"/>
              </w:rPr>
            </w:pPr>
          </w:p>
        </w:tc>
        <w:tc>
          <w:tcPr>
            <w:tcW w:w="649"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c>
          <w:tcPr>
            <w:tcW w:w="27"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c>
          <w:tcPr>
            <w:tcW w:w="50" w:type="pct"/>
            <w:vAlign w:val="center"/>
            <w:hideMark/>
          </w:tcPr>
          <w:p w:rsidR="00000000" w:rsidRDefault="00B132B6">
            <w:pPr>
              <w:spacing w:after="100"/>
              <w:rPr>
                <w:rFonts w:eastAsia="Times New Roman"/>
                <w:sz w:val="20"/>
                <w:szCs w:val="20"/>
              </w:rPr>
            </w:pPr>
          </w:p>
        </w:tc>
        <w:tc>
          <w:tcPr>
            <w:tcW w:w="604"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c>
          <w:tcPr>
            <w:tcW w:w="50" w:type="pct"/>
            <w:vAlign w:val="center"/>
            <w:hideMark/>
          </w:tcPr>
          <w:p w:rsidR="00000000" w:rsidRDefault="00B132B6">
            <w:pPr>
              <w:spacing w:after="100"/>
              <w:rPr>
                <w:rFonts w:eastAsia="Times New Roman"/>
                <w:sz w:val="20"/>
                <w:szCs w:val="20"/>
              </w:rPr>
            </w:pPr>
          </w:p>
        </w:tc>
        <w:tc>
          <w:tcPr>
            <w:tcW w:w="119"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c>
          <w:tcPr>
            <w:tcW w:w="50" w:type="pct"/>
            <w:vAlign w:val="center"/>
            <w:hideMark/>
          </w:tcPr>
          <w:p w:rsidR="00000000" w:rsidRDefault="00B132B6">
            <w:pPr>
              <w:spacing w:after="100"/>
              <w:rPr>
                <w:rFonts w:eastAsia="Times New Roman"/>
                <w:sz w:val="20"/>
                <w:szCs w:val="20"/>
              </w:rPr>
            </w:pPr>
          </w:p>
        </w:tc>
        <w:tc>
          <w:tcPr>
            <w:tcW w:w="649"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r>
      <w:tr w:rsidR="00000000">
        <w:trPr>
          <w:divId w:val="1538084252"/>
        </w:trPr>
        <w:tc>
          <w:tcPr>
            <w:tcW w:w="0" w:type="auto"/>
            <w:gridSpan w:val="3"/>
            <w:tcMar>
              <w:top w:w="30" w:type="dxa"/>
              <w:left w:w="20" w:type="dxa"/>
              <w:bottom w:w="30" w:type="dxa"/>
              <w:right w:w="20" w:type="dxa"/>
            </w:tcMar>
            <w:vAlign w:val="bottom"/>
            <w:hideMark/>
          </w:tcPr>
          <w:p w:rsidR="00000000" w:rsidRDefault="00B132B6">
            <w:pPr>
              <w:spacing w:after="100"/>
              <w:jc w:val="center"/>
              <w:rPr>
                <w:rFonts w:eastAsia="Times New Roman"/>
              </w:rPr>
            </w:pPr>
            <w:r>
              <w:rPr>
                <w:rFonts w:eastAsia="Times New Roman"/>
                <w:b/>
                <w:bCs/>
                <w:color w:val="000000"/>
                <w:sz w:val="16"/>
                <w:szCs w:val="16"/>
              </w:rPr>
              <w:t>Location</w:t>
            </w:r>
          </w:p>
        </w:tc>
        <w:tc>
          <w:tcPr>
            <w:tcW w:w="0" w:type="auto"/>
            <w:gridSpan w:val="3"/>
            <w:tcMar>
              <w:top w:w="0" w:type="dxa"/>
              <w:left w:w="20" w:type="dxa"/>
              <w:bottom w:w="0" w:type="dxa"/>
              <w:right w:w="20" w:type="dxa"/>
            </w:tcMar>
            <w:vAlign w:val="center"/>
            <w:hideMark/>
          </w:tcPr>
          <w:p w:rsidR="00000000" w:rsidRDefault="00B132B6">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132B6">
            <w:pPr>
              <w:spacing w:after="100"/>
              <w:jc w:val="center"/>
              <w:rPr>
                <w:rFonts w:eastAsia="Times New Roman"/>
              </w:rPr>
            </w:pPr>
            <w:r>
              <w:rPr>
                <w:rFonts w:eastAsia="Times New Roman"/>
                <w:b/>
                <w:bCs/>
                <w:color w:val="000000"/>
                <w:sz w:val="16"/>
                <w:szCs w:val="16"/>
              </w:rPr>
              <w:t>Approximate</w:t>
            </w:r>
            <w:r>
              <w:rPr>
                <w:rFonts w:eastAsia="Times New Roman"/>
                <w:b/>
                <w:bCs/>
                <w:color w:val="000000"/>
                <w:sz w:val="16"/>
                <w:szCs w:val="16"/>
              </w:rPr>
              <w:br/>
              <w:t>Square Footage</w:t>
            </w:r>
          </w:p>
        </w:tc>
        <w:tc>
          <w:tcPr>
            <w:tcW w:w="0" w:type="auto"/>
            <w:gridSpan w:val="3"/>
            <w:tcMar>
              <w:top w:w="0" w:type="dxa"/>
              <w:left w:w="20" w:type="dxa"/>
              <w:bottom w:w="0" w:type="dxa"/>
              <w:right w:w="20" w:type="dxa"/>
            </w:tcMar>
            <w:vAlign w:val="center"/>
            <w:hideMark/>
          </w:tcPr>
          <w:p w:rsidR="00000000" w:rsidRDefault="00B132B6">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132B6">
            <w:pPr>
              <w:spacing w:after="100"/>
              <w:jc w:val="center"/>
              <w:rPr>
                <w:rFonts w:eastAsia="Times New Roman"/>
              </w:rPr>
            </w:pPr>
            <w:r>
              <w:rPr>
                <w:rFonts w:eastAsia="Times New Roman"/>
                <w:b/>
                <w:bCs/>
                <w:color w:val="000000"/>
                <w:sz w:val="16"/>
                <w:szCs w:val="16"/>
              </w:rPr>
              <w:t>Owned or</w:t>
            </w:r>
            <w:r>
              <w:rPr>
                <w:rFonts w:eastAsia="Times New Roman"/>
                <w:b/>
                <w:bCs/>
                <w:color w:val="000000"/>
                <w:sz w:val="16"/>
                <w:szCs w:val="16"/>
              </w:rPr>
              <w:br/>
              <w:t>Leased</w:t>
            </w:r>
          </w:p>
        </w:tc>
        <w:tc>
          <w:tcPr>
            <w:tcW w:w="0" w:type="auto"/>
            <w:gridSpan w:val="3"/>
            <w:tcMar>
              <w:top w:w="0" w:type="dxa"/>
              <w:left w:w="20" w:type="dxa"/>
              <w:bottom w:w="0" w:type="dxa"/>
              <w:right w:w="20" w:type="dxa"/>
            </w:tcMar>
            <w:vAlign w:val="center"/>
            <w:hideMark/>
          </w:tcPr>
          <w:p w:rsidR="00000000" w:rsidRDefault="00B132B6">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132B6">
            <w:pPr>
              <w:spacing w:after="100"/>
              <w:jc w:val="center"/>
              <w:rPr>
                <w:rFonts w:eastAsia="Times New Roman"/>
              </w:rPr>
            </w:pPr>
            <w:r>
              <w:rPr>
                <w:rFonts w:eastAsia="Times New Roman"/>
                <w:b/>
                <w:bCs/>
                <w:color w:val="000000"/>
                <w:sz w:val="16"/>
                <w:szCs w:val="16"/>
              </w:rPr>
              <w:t>Net Book</w:t>
            </w:r>
          </w:p>
          <w:p w:rsidR="00000000" w:rsidRDefault="00B132B6">
            <w:pPr>
              <w:spacing w:after="100"/>
              <w:jc w:val="center"/>
              <w:rPr>
                <w:rFonts w:eastAsia="Times New Roman"/>
              </w:rPr>
            </w:pPr>
            <w:r>
              <w:rPr>
                <w:rFonts w:eastAsia="Times New Roman"/>
                <w:b/>
                <w:bCs/>
                <w:color w:val="000000"/>
                <w:sz w:val="16"/>
                <w:szCs w:val="16"/>
              </w:rPr>
              <w:t>Value at</w:t>
            </w:r>
          </w:p>
          <w:p w:rsidR="00000000" w:rsidRDefault="00B132B6">
            <w:pPr>
              <w:spacing w:after="100"/>
              <w:jc w:val="center"/>
              <w:rPr>
                <w:rFonts w:eastAsia="Times New Roman"/>
              </w:rPr>
            </w:pPr>
            <w:r>
              <w:rPr>
                <w:rFonts w:eastAsia="Times New Roman"/>
                <w:b/>
                <w:bCs/>
                <w:color w:val="000000"/>
                <w:sz w:val="16"/>
                <w:szCs w:val="16"/>
              </w:rPr>
              <w:t>December 31, 2022</w:t>
            </w:r>
          </w:p>
          <w:p w:rsidR="00000000" w:rsidRDefault="00B132B6">
            <w:pPr>
              <w:spacing w:after="100"/>
              <w:jc w:val="center"/>
              <w:rPr>
                <w:rFonts w:eastAsia="Times New Roman"/>
              </w:rPr>
            </w:pPr>
            <w:r>
              <w:rPr>
                <w:rFonts w:eastAsia="Times New Roman"/>
                <w:b/>
                <w:bCs/>
                <w:i/>
                <w:iCs/>
                <w:color w:val="000000"/>
                <w:sz w:val="16"/>
                <w:szCs w:val="16"/>
              </w:rPr>
              <w:t>(in thousands)</w:t>
            </w:r>
          </w:p>
        </w:tc>
      </w:tr>
      <w:tr w:rsidR="00000000">
        <w:trPr>
          <w:divId w:val="1538084252"/>
        </w:trPr>
        <w:tc>
          <w:tcPr>
            <w:tcW w:w="0" w:type="auto"/>
            <w:gridSpan w:val="3"/>
            <w:tcBorders>
              <w:top w:val="single" w:sz="6" w:space="0" w:color="000000"/>
            </w:tcBorders>
            <w:shd w:val="clear" w:color="auto" w:fill="CCEEFF"/>
            <w:tcMar>
              <w:top w:w="30" w:type="dxa"/>
              <w:left w:w="20" w:type="dxa"/>
              <w:bottom w:w="30" w:type="dxa"/>
              <w:right w:w="20" w:type="dxa"/>
            </w:tcMar>
            <w:hideMark/>
          </w:tcPr>
          <w:p w:rsidR="00000000" w:rsidRDefault="00B132B6">
            <w:pPr>
              <w:spacing w:after="100"/>
              <w:divId w:val="1681009494"/>
              <w:rPr>
                <w:rFonts w:eastAsia="Times New Roman"/>
              </w:rPr>
            </w:pPr>
            <w:r>
              <w:rPr>
                <w:rFonts w:eastAsia="Times New Roman"/>
                <w:color w:val="000000"/>
                <w:sz w:val="20"/>
                <w:szCs w:val="20"/>
              </w:rPr>
              <w:t>8127 East 17</w:t>
            </w:r>
            <w:r>
              <w:rPr>
                <w:rFonts w:eastAsia="Times New Roman"/>
                <w:color w:val="000000"/>
                <w:sz w:val="20"/>
                <w:szCs w:val="20"/>
              </w:rPr>
              <w:t>1</w:t>
            </w:r>
            <w:r>
              <w:rPr>
                <w:rFonts w:eastAsia="Times New Roman"/>
                <w:color w:val="000000"/>
                <w:sz w:val="13"/>
                <w:szCs w:val="13"/>
              </w:rPr>
              <w:t>s</w:t>
            </w:r>
            <w:r>
              <w:rPr>
                <w:rFonts w:eastAsia="Times New Roman"/>
                <w:color w:val="000000"/>
                <w:sz w:val="13"/>
                <w:szCs w:val="13"/>
              </w:rPr>
              <w:t>t</w:t>
            </w:r>
            <w:r>
              <w:rPr>
                <w:rFonts w:eastAsia="Times New Roman"/>
                <w:color w:val="000000"/>
                <w:sz w:val="20"/>
                <w:szCs w:val="20"/>
              </w:rPr>
              <w:t xml:space="preserve"> Street, Belton, MO</w:t>
            </w:r>
          </w:p>
        </w:tc>
        <w:tc>
          <w:tcPr>
            <w:tcW w:w="0" w:type="auto"/>
            <w:gridSpan w:val="3"/>
            <w:shd w:val="clear" w:color="auto" w:fill="CCEEFF"/>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2"/>
            <w:tcBorders>
              <w:top w:val="single" w:sz="6" w:space="0" w:color="000000"/>
            </w:tcBorders>
            <w:shd w:val="clear" w:color="auto" w:fill="CCEEFF"/>
            <w:tcMar>
              <w:top w:w="30" w:type="dxa"/>
              <w:left w:w="20" w:type="dxa"/>
              <w:bottom w:w="30" w:type="dxa"/>
              <w:right w:w="0" w:type="dxa"/>
            </w:tcMar>
            <w:vAlign w:val="bottom"/>
            <w:hideMark/>
          </w:tcPr>
          <w:p w:rsidR="00000000" w:rsidRDefault="00B132B6">
            <w:pPr>
              <w:spacing w:after="100"/>
              <w:jc w:val="right"/>
              <w:rPr>
                <w:rFonts w:eastAsia="Times New Roman"/>
              </w:rPr>
            </w:pPr>
            <w:r>
              <w:rPr>
                <w:rFonts w:eastAsia="Times New Roman"/>
                <w:color w:val="000000"/>
                <w:sz w:val="20"/>
                <w:szCs w:val="20"/>
              </w:rPr>
              <w:t>13,000 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B132B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32B6">
            <w:pPr>
              <w:spacing w:after="100"/>
              <w:jc w:val="right"/>
              <w:rPr>
                <w:rFonts w:eastAsia="Times New Roman"/>
                <w:sz w:val="20"/>
                <w:szCs w:val="20"/>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B132B6">
            <w:pPr>
              <w:spacing w:after="100"/>
              <w:jc w:val="right"/>
              <w:rPr>
                <w:rFonts w:eastAsia="Times New Roman"/>
              </w:rPr>
            </w:pPr>
            <w:r>
              <w:rPr>
                <w:rFonts w:eastAsia="Times New Roman"/>
                <w:color w:val="000000"/>
                <w:sz w:val="20"/>
                <w:szCs w:val="20"/>
              </w:rPr>
              <w:t>Owned</w:t>
            </w:r>
          </w:p>
        </w:tc>
        <w:tc>
          <w:tcPr>
            <w:tcW w:w="0" w:type="auto"/>
            <w:gridSpan w:val="3"/>
            <w:shd w:val="clear" w:color="auto" w:fill="CCEEFF"/>
            <w:tcMar>
              <w:top w:w="0" w:type="dxa"/>
              <w:left w:w="20" w:type="dxa"/>
              <w:bottom w:w="0" w:type="dxa"/>
              <w:right w:w="20" w:type="dxa"/>
            </w:tcMar>
            <w:vAlign w:val="center"/>
            <w:hideMark/>
          </w:tcPr>
          <w:p w:rsidR="00000000" w:rsidRDefault="00B132B6">
            <w:pPr>
              <w:spacing w:after="100"/>
              <w:jc w:val="right"/>
              <w:rPr>
                <w:rFonts w:eastAsia="Times New Roman"/>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B132B6">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132B6">
            <w:pPr>
              <w:spacing w:after="100"/>
              <w:jc w:val="right"/>
              <w:rPr>
                <w:rFonts w:eastAsia="Times New Roman"/>
              </w:rPr>
            </w:pPr>
            <w:r>
              <w:rPr>
                <w:rFonts w:eastAsia="Times New Roman"/>
                <w:color w:val="000000"/>
                <w:sz w:val="20"/>
                <w:szCs w:val="20"/>
              </w:rPr>
              <w:t>1,276 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B132B6">
            <w:pPr>
              <w:spacing w:after="100"/>
              <w:jc w:val="right"/>
              <w:rPr>
                <w:rFonts w:eastAsia="Times New Roman"/>
              </w:rPr>
            </w:pPr>
          </w:p>
        </w:tc>
      </w:tr>
      <w:tr w:rsidR="00000000">
        <w:trPr>
          <w:divId w:val="1538084252"/>
        </w:trPr>
        <w:tc>
          <w:tcPr>
            <w:tcW w:w="0" w:type="auto"/>
            <w:gridSpan w:val="3"/>
            <w:shd w:val="clear" w:color="auto" w:fill="FFFFFF"/>
            <w:tcMar>
              <w:top w:w="30" w:type="dxa"/>
              <w:left w:w="20" w:type="dxa"/>
              <w:bottom w:w="30" w:type="dxa"/>
              <w:right w:w="20" w:type="dxa"/>
            </w:tcMar>
            <w:hideMark/>
          </w:tcPr>
          <w:p w:rsidR="00000000" w:rsidRDefault="00B132B6">
            <w:pPr>
              <w:spacing w:after="100"/>
              <w:rPr>
                <w:rFonts w:eastAsia="Times New Roman"/>
              </w:rPr>
            </w:pPr>
            <w:r>
              <w:rPr>
                <w:rFonts w:eastAsia="Times New Roman"/>
                <w:color w:val="000000"/>
                <w:sz w:val="20"/>
                <w:szCs w:val="20"/>
              </w:rPr>
              <w:t>910 West Buchanan Street, California, MO</w:t>
            </w:r>
          </w:p>
        </w:tc>
        <w:tc>
          <w:tcPr>
            <w:tcW w:w="0" w:type="auto"/>
            <w:gridSpan w:val="3"/>
            <w:shd w:val="clear" w:color="auto" w:fill="FFFFFF"/>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B132B6">
            <w:pPr>
              <w:spacing w:after="100"/>
              <w:jc w:val="right"/>
              <w:rPr>
                <w:rFonts w:eastAsia="Times New Roman"/>
              </w:rPr>
            </w:pPr>
            <w:r>
              <w:rPr>
                <w:rFonts w:eastAsia="Times New Roman"/>
                <w:color w:val="000000"/>
                <w:sz w:val="20"/>
                <w:szCs w:val="20"/>
              </w:rPr>
              <w:t>2,270 </w:t>
            </w:r>
          </w:p>
        </w:tc>
        <w:tc>
          <w:tcPr>
            <w:tcW w:w="0" w:type="auto"/>
            <w:shd w:val="clear" w:color="auto" w:fill="FFFFFF"/>
            <w:tcMar>
              <w:top w:w="30" w:type="dxa"/>
              <w:left w:w="0" w:type="dxa"/>
              <w:bottom w:w="30" w:type="dxa"/>
              <w:right w:w="20" w:type="dxa"/>
            </w:tcMar>
            <w:hideMark/>
          </w:tcPr>
          <w:p w:rsidR="00000000" w:rsidRDefault="00B132B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32B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132B6">
            <w:pPr>
              <w:spacing w:after="100"/>
              <w:jc w:val="right"/>
              <w:rPr>
                <w:rFonts w:eastAsia="Times New Roman"/>
              </w:rPr>
            </w:pPr>
            <w:r>
              <w:rPr>
                <w:rFonts w:eastAsia="Times New Roman"/>
                <w:color w:val="000000"/>
                <w:sz w:val="20"/>
                <w:szCs w:val="20"/>
              </w:rPr>
              <w:t>Owned</w:t>
            </w:r>
          </w:p>
        </w:tc>
        <w:tc>
          <w:tcPr>
            <w:tcW w:w="0" w:type="auto"/>
            <w:gridSpan w:val="3"/>
            <w:shd w:val="clear" w:color="auto" w:fill="FFFFFF"/>
            <w:tcMar>
              <w:top w:w="0" w:type="dxa"/>
              <w:left w:w="20" w:type="dxa"/>
              <w:bottom w:w="0" w:type="dxa"/>
              <w:right w:w="20" w:type="dxa"/>
            </w:tcMar>
            <w:vAlign w:val="center"/>
            <w:hideMark/>
          </w:tcPr>
          <w:p w:rsidR="00000000" w:rsidRDefault="00B132B6">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132B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32B6">
            <w:pPr>
              <w:spacing w:after="100"/>
              <w:jc w:val="right"/>
              <w:rPr>
                <w:rFonts w:eastAsia="Times New Roman"/>
              </w:rPr>
            </w:pPr>
            <w:r>
              <w:rPr>
                <w:rFonts w:eastAsia="Times New Roman"/>
                <w:color w:val="000000"/>
                <w:sz w:val="20"/>
                <w:szCs w:val="20"/>
              </w:rPr>
              <w:t>288 </w:t>
            </w:r>
          </w:p>
        </w:tc>
        <w:tc>
          <w:tcPr>
            <w:tcW w:w="0" w:type="auto"/>
            <w:shd w:val="clear" w:color="auto" w:fill="FFFFFF"/>
            <w:tcMar>
              <w:top w:w="30" w:type="dxa"/>
              <w:left w:w="0" w:type="dxa"/>
              <w:bottom w:w="30" w:type="dxa"/>
              <w:right w:w="20" w:type="dxa"/>
            </w:tcMar>
            <w:vAlign w:val="bottom"/>
            <w:hideMark/>
          </w:tcPr>
          <w:p w:rsidR="00000000" w:rsidRDefault="00B132B6">
            <w:pPr>
              <w:spacing w:after="100"/>
              <w:jc w:val="right"/>
              <w:rPr>
                <w:rFonts w:eastAsia="Times New Roman"/>
              </w:rPr>
            </w:pPr>
          </w:p>
        </w:tc>
      </w:tr>
      <w:tr w:rsidR="00000000">
        <w:trPr>
          <w:divId w:val="1538084252"/>
        </w:trPr>
        <w:tc>
          <w:tcPr>
            <w:tcW w:w="0" w:type="auto"/>
            <w:gridSpan w:val="3"/>
            <w:shd w:val="clear" w:color="auto" w:fill="CCEEFF"/>
            <w:tcMar>
              <w:top w:w="30" w:type="dxa"/>
              <w:left w:w="20" w:type="dxa"/>
              <w:bottom w:w="30" w:type="dxa"/>
              <w:right w:w="20" w:type="dxa"/>
            </w:tcMar>
            <w:hideMark/>
          </w:tcPr>
          <w:p w:rsidR="00000000" w:rsidRDefault="00B132B6">
            <w:pPr>
              <w:spacing w:after="100"/>
              <w:rPr>
                <w:rFonts w:eastAsia="Times New Roman"/>
              </w:rPr>
            </w:pPr>
            <w:r>
              <w:rPr>
                <w:rFonts w:eastAsia="Times New Roman"/>
                <w:color w:val="000000"/>
                <w:sz w:val="20"/>
                <w:szCs w:val="20"/>
              </w:rPr>
              <w:t>102 North Second Street, Clinton, MO</w:t>
            </w:r>
          </w:p>
        </w:tc>
        <w:tc>
          <w:tcPr>
            <w:tcW w:w="0" w:type="auto"/>
            <w:gridSpan w:val="3"/>
            <w:shd w:val="clear" w:color="auto" w:fill="CCEEFF"/>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B132B6">
            <w:pPr>
              <w:spacing w:after="100"/>
              <w:jc w:val="right"/>
              <w:rPr>
                <w:rFonts w:eastAsia="Times New Roman"/>
              </w:rPr>
            </w:pPr>
            <w:r>
              <w:rPr>
                <w:rFonts w:eastAsia="Times New Roman"/>
                <w:color w:val="000000"/>
                <w:sz w:val="20"/>
                <w:szCs w:val="20"/>
              </w:rPr>
              <w:t>11,524 </w:t>
            </w:r>
          </w:p>
        </w:tc>
        <w:tc>
          <w:tcPr>
            <w:tcW w:w="0" w:type="auto"/>
            <w:shd w:val="clear" w:color="auto" w:fill="CCEEFF"/>
            <w:tcMar>
              <w:top w:w="30" w:type="dxa"/>
              <w:left w:w="0" w:type="dxa"/>
              <w:bottom w:w="30" w:type="dxa"/>
              <w:right w:w="20" w:type="dxa"/>
            </w:tcMar>
            <w:hideMark/>
          </w:tcPr>
          <w:p w:rsidR="00000000" w:rsidRDefault="00B132B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32B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132B6">
            <w:pPr>
              <w:spacing w:after="100"/>
              <w:jc w:val="right"/>
              <w:rPr>
                <w:rFonts w:eastAsia="Times New Roman"/>
              </w:rPr>
            </w:pPr>
            <w:r>
              <w:rPr>
                <w:rFonts w:eastAsia="Times New Roman"/>
                <w:color w:val="000000"/>
                <w:sz w:val="20"/>
                <w:szCs w:val="20"/>
              </w:rPr>
              <w:t>Owned</w:t>
            </w:r>
          </w:p>
        </w:tc>
        <w:tc>
          <w:tcPr>
            <w:tcW w:w="0" w:type="auto"/>
            <w:gridSpan w:val="3"/>
            <w:shd w:val="clear" w:color="auto" w:fill="CCEEFF"/>
            <w:tcMar>
              <w:top w:w="0" w:type="dxa"/>
              <w:left w:w="20" w:type="dxa"/>
              <w:bottom w:w="0" w:type="dxa"/>
              <w:right w:w="20" w:type="dxa"/>
            </w:tcMar>
            <w:vAlign w:val="center"/>
            <w:hideMark/>
          </w:tcPr>
          <w:p w:rsidR="00000000" w:rsidRDefault="00B132B6">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132B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32B6">
            <w:pPr>
              <w:spacing w:after="100"/>
              <w:jc w:val="right"/>
              <w:rPr>
                <w:rFonts w:eastAsia="Times New Roman"/>
              </w:rPr>
            </w:pPr>
            <w:r>
              <w:rPr>
                <w:rFonts w:eastAsia="Times New Roman"/>
                <w:color w:val="000000"/>
                <w:sz w:val="20"/>
                <w:szCs w:val="20"/>
              </w:rPr>
              <w:t>1,097 </w:t>
            </w:r>
          </w:p>
        </w:tc>
        <w:tc>
          <w:tcPr>
            <w:tcW w:w="0" w:type="auto"/>
            <w:shd w:val="clear" w:color="auto" w:fill="CCEEFF"/>
            <w:tcMar>
              <w:top w:w="30" w:type="dxa"/>
              <w:left w:w="0" w:type="dxa"/>
              <w:bottom w:w="30" w:type="dxa"/>
              <w:right w:w="20" w:type="dxa"/>
            </w:tcMar>
            <w:vAlign w:val="bottom"/>
            <w:hideMark/>
          </w:tcPr>
          <w:p w:rsidR="00000000" w:rsidRDefault="00B132B6">
            <w:pPr>
              <w:spacing w:after="100"/>
              <w:jc w:val="right"/>
              <w:rPr>
                <w:rFonts w:eastAsia="Times New Roman"/>
              </w:rPr>
            </w:pPr>
          </w:p>
        </w:tc>
      </w:tr>
      <w:tr w:rsidR="00000000">
        <w:trPr>
          <w:divId w:val="1538084252"/>
        </w:trPr>
        <w:tc>
          <w:tcPr>
            <w:tcW w:w="0" w:type="auto"/>
            <w:gridSpan w:val="3"/>
            <w:shd w:val="clear" w:color="auto" w:fill="FFFFFF"/>
            <w:tcMar>
              <w:top w:w="30" w:type="dxa"/>
              <w:left w:w="20" w:type="dxa"/>
              <w:bottom w:w="30" w:type="dxa"/>
              <w:right w:w="20" w:type="dxa"/>
            </w:tcMar>
            <w:hideMark/>
          </w:tcPr>
          <w:p w:rsidR="00000000" w:rsidRDefault="00B132B6">
            <w:pPr>
              <w:spacing w:after="100"/>
              <w:rPr>
                <w:rFonts w:eastAsia="Times New Roman"/>
              </w:rPr>
            </w:pPr>
            <w:r>
              <w:rPr>
                <w:rFonts w:eastAsia="Times New Roman"/>
                <w:color w:val="000000"/>
                <w:sz w:val="20"/>
                <w:szCs w:val="20"/>
              </w:rPr>
              <w:t>1400 East Ohio Street, Clinton, MO</w:t>
            </w:r>
          </w:p>
        </w:tc>
        <w:tc>
          <w:tcPr>
            <w:tcW w:w="0" w:type="auto"/>
            <w:gridSpan w:val="3"/>
            <w:shd w:val="clear" w:color="auto" w:fill="FFFFFF"/>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B132B6">
            <w:pPr>
              <w:spacing w:after="100"/>
              <w:jc w:val="right"/>
              <w:rPr>
                <w:rFonts w:eastAsia="Times New Roman"/>
              </w:rPr>
            </w:pPr>
            <w:r>
              <w:rPr>
                <w:rFonts w:eastAsia="Times New Roman"/>
                <w:color w:val="000000"/>
                <w:sz w:val="20"/>
                <w:szCs w:val="20"/>
              </w:rPr>
              <w:t>13,551 </w:t>
            </w:r>
          </w:p>
        </w:tc>
        <w:tc>
          <w:tcPr>
            <w:tcW w:w="0" w:type="auto"/>
            <w:shd w:val="clear" w:color="auto" w:fill="FFFFFF"/>
            <w:tcMar>
              <w:top w:w="30" w:type="dxa"/>
              <w:left w:w="0" w:type="dxa"/>
              <w:bottom w:w="30" w:type="dxa"/>
              <w:right w:w="20" w:type="dxa"/>
            </w:tcMar>
            <w:hideMark/>
          </w:tcPr>
          <w:p w:rsidR="00000000" w:rsidRDefault="00B132B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32B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132B6">
            <w:pPr>
              <w:spacing w:after="100"/>
              <w:jc w:val="right"/>
              <w:rPr>
                <w:rFonts w:eastAsia="Times New Roman"/>
              </w:rPr>
            </w:pPr>
            <w:r>
              <w:rPr>
                <w:rFonts w:eastAsia="Times New Roman"/>
                <w:color w:val="000000"/>
                <w:sz w:val="20"/>
                <w:szCs w:val="20"/>
              </w:rPr>
              <w:t>Owned</w:t>
            </w:r>
          </w:p>
        </w:tc>
        <w:tc>
          <w:tcPr>
            <w:tcW w:w="0" w:type="auto"/>
            <w:gridSpan w:val="3"/>
            <w:shd w:val="clear" w:color="auto" w:fill="FFFFFF"/>
            <w:tcMar>
              <w:top w:w="0" w:type="dxa"/>
              <w:left w:w="20" w:type="dxa"/>
              <w:bottom w:w="0" w:type="dxa"/>
              <w:right w:w="20" w:type="dxa"/>
            </w:tcMar>
            <w:vAlign w:val="center"/>
            <w:hideMark/>
          </w:tcPr>
          <w:p w:rsidR="00000000" w:rsidRDefault="00B132B6">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132B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32B6">
            <w:pPr>
              <w:spacing w:after="100"/>
              <w:jc w:val="right"/>
              <w:rPr>
                <w:rFonts w:eastAsia="Times New Roman"/>
              </w:rPr>
            </w:pPr>
            <w:r>
              <w:rPr>
                <w:rFonts w:eastAsia="Times New Roman"/>
                <w:color w:val="000000"/>
                <w:sz w:val="20"/>
                <w:szCs w:val="20"/>
              </w:rPr>
              <w:t>2,313 </w:t>
            </w:r>
          </w:p>
        </w:tc>
        <w:tc>
          <w:tcPr>
            <w:tcW w:w="0" w:type="auto"/>
            <w:shd w:val="clear" w:color="auto" w:fill="FFFFFF"/>
            <w:tcMar>
              <w:top w:w="30" w:type="dxa"/>
              <w:left w:w="0" w:type="dxa"/>
              <w:bottom w:w="30" w:type="dxa"/>
              <w:right w:w="20" w:type="dxa"/>
            </w:tcMar>
            <w:vAlign w:val="bottom"/>
            <w:hideMark/>
          </w:tcPr>
          <w:p w:rsidR="00000000" w:rsidRDefault="00B132B6">
            <w:pPr>
              <w:spacing w:after="100"/>
              <w:jc w:val="right"/>
              <w:rPr>
                <w:rFonts w:eastAsia="Times New Roman"/>
              </w:rPr>
            </w:pPr>
          </w:p>
        </w:tc>
      </w:tr>
      <w:tr w:rsidR="00000000">
        <w:trPr>
          <w:divId w:val="1538084252"/>
        </w:trPr>
        <w:tc>
          <w:tcPr>
            <w:tcW w:w="0" w:type="auto"/>
            <w:gridSpan w:val="3"/>
            <w:shd w:val="clear" w:color="auto" w:fill="CCEEFF"/>
            <w:tcMar>
              <w:top w:w="30" w:type="dxa"/>
              <w:left w:w="20" w:type="dxa"/>
              <w:bottom w:w="30" w:type="dxa"/>
              <w:right w:w="20" w:type="dxa"/>
            </w:tcMar>
            <w:hideMark/>
          </w:tcPr>
          <w:p w:rsidR="00000000" w:rsidRDefault="00B132B6">
            <w:pPr>
              <w:spacing w:after="100"/>
              <w:rPr>
                <w:rFonts w:eastAsia="Times New Roman"/>
              </w:rPr>
            </w:pPr>
            <w:r>
              <w:rPr>
                <w:rFonts w:eastAsia="Times New Roman"/>
                <w:color w:val="000000"/>
                <w:sz w:val="20"/>
                <w:szCs w:val="20"/>
              </w:rPr>
              <w:t>1712 East Ohio Street, Clinton, MO (inside a Walmart store)</w:t>
            </w:r>
          </w:p>
        </w:tc>
        <w:tc>
          <w:tcPr>
            <w:tcW w:w="0" w:type="auto"/>
            <w:gridSpan w:val="3"/>
            <w:shd w:val="clear" w:color="auto" w:fill="CCEEFF"/>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B132B6">
            <w:pPr>
              <w:spacing w:after="100"/>
              <w:jc w:val="right"/>
              <w:rPr>
                <w:rFonts w:eastAsia="Times New Roman"/>
              </w:rPr>
            </w:pPr>
            <w:r>
              <w:rPr>
                <w:rFonts w:eastAsia="Times New Roman"/>
                <w:color w:val="000000"/>
                <w:sz w:val="20"/>
                <w:szCs w:val="20"/>
              </w:rPr>
              <w:t>540 </w:t>
            </w:r>
          </w:p>
        </w:tc>
        <w:tc>
          <w:tcPr>
            <w:tcW w:w="0" w:type="auto"/>
            <w:shd w:val="clear" w:color="auto" w:fill="CCEEFF"/>
            <w:tcMar>
              <w:top w:w="30" w:type="dxa"/>
              <w:left w:w="0" w:type="dxa"/>
              <w:bottom w:w="30" w:type="dxa"/>
              <w:right w:w="20" w:type="dxa"/>
            </w:tcMar>
            <w:hideMark/>
          </w:tcPr>
          <w:p w:rsidR="00000000" w:rsidRDefault="00B132B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32B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132B6">
            <w:pPr>
              <w:spacing w:after="100"/>
              <w:jc w:val="right"/>
              <w:rPr>
                <w:rFonts w:eastAsia="Times New Roman"/>
              </w:rPr>
            </w:pPr>
            <w:r>
              <w:rPr>
                <w:rFonts w:eastAsia="Times New Roman"/>
                <w:color w:val="000000"/>
                <w:sz w:val="20"/>
                <w:szCs w:val="20"/>
              </w:rPr>
              <w:t>Leased</w:t>
            </w:r>
          </w:p>
        </w:tc>
        <w:tc>
          <w:tcPr>
            <w:tcW w:w="0" w:type="auto"/>
            <w:gridSpan w:val="3"/>
            <w:shd w:val="clear" w:color="auto" w:fill="CCEEFF"/>
            <w:tcMar>
              <w:top w:w="30" w:type="dxa"/>
              <w:left w:w="20" w:type="dxa"/>
              <w:bottom w:w="30" w:type="dxa"/>
              <w:right w:w="20" w:type="dxa"/>
            </w:tcMar>
            <w:vAlign w:val="bottom"/>
            <w:hideMark/>
          </w:tcPr>
          <w:p w:rsidR="00000000" w:rsidRDefault="00B132B6">
            <w:pPr>
              <w:spacing w:after="100"/>
              <w:rPr>
                <w:rFonts w:eastAsia="Times New Roman"/>
              </w:rPr>
            </w:pPr>
            <w:r>
              <w:rPr>
                <w:rFonts w:eastAsia="Times New Roman"/>
                <w:color w:val="000000"/>
                <w:sz w:val="20"/>
                <w:szCs w:val="20"/>
              </w:rPr>
              <w:t>(1)</w:t>
            </w:r>
          </w:p>
        </w:tc>
        <w:tc>
          <w:tcPr>
            <w:tcW w:w="0" w:type="auto"/>
            <w:shd w:val="clear" w:color="auto" w:fill="CCEEFF"/>
            <w:tcMar>
              <w:top w:w="30" w:type="dxa"/>
              <w:left w:w="20" w:type="dxa"/>
              <w:bottom w:w="30" w:type="dxa"/>
              <w:right w:w="0" w:type="dxa"/>
            </w:tcMar>
            <w:vAlign w:val="bottom"/>
            <w:hideMark/>
          </w:tcPr>
          <w:p w:rsidR="00000000" w:rsidRDefault="00B132B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32B6">
            <w:pPr>
              <w:spacing w:after="100"/>
              <w:jc w:val="right"/>
              <w:rPr>
                <w:rFonts w:eastAsia="Times New Roman"/>
              </w:rPr>
            </w:pPr>
            <w:r>
              <w:rPr>
                <w:rFonts w:eastAsia="Times New Roman"/>
                <w:color w:val="000000"/>
                <w:sz w:val="20"/>
                <w:szCs w:val="20"/>
              </w:rPr>
              <w:t>37 </w:t>
            </w:r>
          </w:p>
        </w:tc>
        <w:tc>
          <w:tcPr>
            <w:tcW w:w="0" w:type="auto"/>
            <w:shd w:val="clear" w:color="auto" w:fill="CCEEFF"/>
            <w:tcMar>
              <w:top w:w="30" w:type="dxa"/>
              <w:left w:w="0" w:type="dxa"/>
              <w:bottom w:w="30" w:type="dxa"/>
              <w:right w:w="20" w:type="dxa"/>
            </w:tcMar>
            <w:vAlign w:val="bottom"/>
            <w:hideMark/>
          </w:tcPr>
          <w:p w:rsidR="00000000" w:rsidRDefault="00B132B6">
            <w:pPr>
              <w:spacing w:after="100"/>
              <w:jc w:val="right"/>
              <w:rPr>
                <w:rFonts w:eastAsia="Times New Roman"/>
              </w:rPr>
            </w:pPr>
          </w:p>
        </w:tc>
      </w:tr>
      <w:tr w:rsidR="00000000">
        <w:trPr>
          <w:divId w:val="1538084252"/>
        </w:trPr>
        <w:tc>
          <w:tcPr>
            <w:tcW w:w="0" w:type="auto"/>
            <w:gridSpan w:val="3"/>
            <w:shd w:val="clear" w:color="auto" w:fill="FFFFFF"/>
            <w:tcMar>
              <w:top w:w="30" w:type="dxa"/>
              <w:left w:w="20" w:type="dxa"/>
              <w:bottom w:w="30" w:type="dxa"/>
              <w:right w:w="20" w:type="dxa"/>
            </w:tcMar>
            <w:hideMark/>
          </w:tcPr>
          <w:p w:rsidR="00000000" w:rsidRDefault="00B132B6">
            <w:pPr>
              <w:spacing w:after="100"/>
              <w:rPr>
                <w:rFonts w:eastAsia="Times New Roman"/>
              </w:rPr>
            </w:pPr>
            <w:r>
              <w:rPr>
                <w:rFonts w:eastAsia="Times New Roman"/>
                <w:color w:val="000000"/>
                <w:sz w:val="20"/>
                <w:szCs w:val="20"/>
              </w:rPr>
              <w:t>803 E. Walnut St, Columbia, MO</w:t>
            </w:r>
          </w:p>
        </w:tc>
        <w:tc>
          <w:tcPr>
            <w:tcW w:w="0" w:type="auto"/>
            <w:gridSpan w:val="3"/>
            <w:shd w:val="clear" w:color="auto" w:fill="FFFFFF"/>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B132B6">
            <w:pPr>
              <w:spacing w:after="100"/>
              <w:jc w:val="right"/>
              <w:rPr>
                <w:rFonts w:eastAsia="Times New Roman"/>
              </w:rPr>
            </w:pPr>
            <w:r>
              <w:rPr>
                <w:rFonts w:eastAsia="Times New Roman"/>
                <w:color w:val="000000"/>
                <w:sz w:val="20"/>
                <w:szCs w:val="20"/>
              </w:rPr>
              <w:t>9,698 </w:t>
            </w:r>
          </w:p>
        </w:tc>
        <w:tc>
          <w:tcPr>
            <w:tcW w:w="0" w:type="auto"/>
            <w:shd w:val="clear" w:color="auto" w:fill="FFFFFF"/>
            <w:tcMar>
              <w:top w:w="30" w:type="dxa"/>
              <w:left w:w="0" w:type="dxa"/>
              <w:bottom w:w="30" w:type="dxa"/>
              <w:right w:w="20" w:type="dxa"/>
            </w:tcMar>
            <w:hideMark/>
          </w:tcPr>
          <w:p w:rsidR="00000000" w:rsidRDefault="00B132B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32B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132B6">
            <w:pPr>
              <w:spacing w:after="100"/>
              <w:jc w:val="right"/>
              <w:rPr>
                <w:rFonts w:eastAsia="Times New Roman"/>
              </w:rPr>
            </w:pPr>
            <w:r>
              <w:rPr>
                <w:rFonts w:eastAsia="Times New Roman"/>
                <w:color w:val="000000"/>
                <w:sz w:val="20"/>
                <w:szCs w:val="20"/>
              </w:rPr>
              <w:t>Leased</w:t>
            </w:r>
          </w:p>
        </w:tc>
        <w:tc>
          <w:tcPr>
            <w:tcW w:w="0" w:type="auto"/>
            <w:gridSpan w:val="3"/>
            <w:shd w:val="clear" w:color="auto" w:fill="FFFFFF"/>
            <w:tcMar>
              <w:top w:w="30" w:type="dxa"/>
              <w:left w:w="20" w:type="dxa"/>
              <w:bottom w:w="30" w:type="dxa"/>
              <w:right w:w="20" w:type="dxa"/>
            </w:tcMar>
            <w:vAlign w:val="bottom"/>
            <w:hideMark/>
          </w:tcPr>
          <w:p w:rsidR="00000000" w:rsidRDefault="00B132B6">
            <w:pPr>
              <w:spacing w:after="100"/>
              <w:rPr>
                <w:rFonts w:eastAsia="Times New Roman"/>
              </w:rPr>
            </w:pPr>
            <w:r>
              <w:rPr>
                <w:rFonts w:eastAsia="Times New Roman"/>
                <w:color w:val="000000"/>
                <w:sz w:val="20"/>
                <w:szCs w:val="20"/>
              </w:rPr>
              <w:t>(2)</w:t>
            </w:r>
          </w:p>
        </w:tc>
        <w:tc>
          <w:tcPr>
            <w:tcW w:w="0" w:type="auto"/>
            <w:shd w:val="clear" w:color="auto" w:fill="FFFFFF"/>
            <w:tcMar>
              <w:top w:w="30" w:type="dxa"/>
              <w:left w:w="20" w:type="dxa"/>
              <w:bottom w:w="30" w:type="dxa"/>
              <w:right w:w="0" w:type="dxa"/>
            </w:tcMar>
            <w:vAlign w:val="bottom"/>
            <w:hideMark/>
          </w:tcPr>
          <w:p w:rsidR="00000000" w:rsidRDefault="00B132B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32B6">
            <w:pPr>
              <w:spacing w:after="100"/>
              <w:jc w:val="right"/>
              <w:rPr>
                <w:rFonts w:eastAsia="Times New Roman"/>
              </w:rPr>
            </w:pPr>
            <w:r>
              <w:rPr>
                <w:rFonts w:eastAsia="Times New Roman"/>
                <w:color w:val="000000"/>
                <w:sz w:val="20"/>
                <w:szCs w:val="20"/>
              </w:rPr>
              <w:t>995 </w:t>
            </w:r>
          </w:p>
        </w:tc>
        <w:tc>
          <w:tcPr>
            <w:tcW w:w="0" w:type="auto"/>
            <w:shd w:val="clear" w:color="auto" w:fill="FFFFFF"/>
            <w:tcMar>
              <w:top w:w="30" w:type="dxa"/>
              <w:left w:w="0" w:type="dxa"/>
              <w:bottom w:w="30" w:type="dxa"/>
              <w:right w:w="20" w:type="dxa"/>
            </w:tcMar>
            <w:vAlign w:val="bottom"/>
            <w:hideMark/>
          </w:tcPr>
          <w:p w:rsidR="00000000" w:rsidRDefault="00B132B6">
            <w:pPr>
              <w:spacing w:after="100"/>
              <w:jc w:val="right"/>
              <w:rPr>
                <w:rFonts w:eastAsia="Times New Roman"/>
              </w:rPr>
            </w:pPr>
          </w:p>
        </w:tc>
      </w:tr>
      <w:tr w:rsidR="00000000">
        <w:trPr>
          <w:divId w:val="1538084252"/>
        </w:trPr>
        <w:tc>
          <w:tcPr>
            <w:tcW w:w="0" w:type="auto"/>
            <w:gridSpan w:val="3"/>
            <w:shd w:val="clear" w:color="auto" w:fill="CCEEFF"/>
            <w:tcMar>
              <w:top w:w="30" w:type="dxa"/>
              <w:left w:w="20" w:type="dxa"/>
              <w:bottom w:w="30" w:type="dxa"/>
              <w:right w:w="20" w:type="dxa"/>
            </w:tcMar>
            <w:hideMark/>
          </w:tcPr>
          <w:p w:rsidR="00000000" w:rsidRDefault="00B132B6">
            <w:pPr>
              <w:spacing w:after="100"/>
              <w:rPr>
                <w:rFonts w:eastAsia="Times New Roman"/>
              </w:rPr>
            </w:pPr>
            <w:r>
              <w:rPr>
                <w:rFonts w:eastAsia="Times New Roman"/>
                <w:color w:val="000000"/>
                <w:sz w:val="20"/>
                <w:szCs w:val="20"/>
              </w:rPr>
              <w:t>1110 Club Village Drive, Columbia, MO</w:t>
            </w:r>
          </w:p>
        </w:tc>
        <w:tc>
          <w:tcPr>
            <w:tcW w:w="0" w:type="auto"/>
            <w:gridSpan w:val="3"/>
            <w:shd w:val="clear" w:color="auto" w:fill="CCEEFF"/>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B132B6">
            <w:pPr>
              <w:spacing w:after="100"/>
              <w:jc w:val="right"/>
              <w:rPr>
                <w:rFonts w:eastAsia="Times New Roman"/>
              </w:rPr>
            </w:pPr>
            <w:r>
              <w:rPr>
                <w:rFonts w:eastAsia="Times New Roman"/>
                <w:color w:val="000000"/>
                <w:sz w:val="20"/>
                <w:szCs w:val="20"/>
              </w:rPr>
              <w:t>5,000 </w:t>
            </w:r>
          </w:p>
        </w:tc>
        <w:tc>
          <w:tcPr>
            <w:tcW w:w="0" w:type="auto"/>
            <w:shd w:val="clear" w:color="auto" w:fill="CCEEFF"/>
            <w:tcMar>
              <w:top w:w="30" w:type="dxa"/>
              <w:left w:w="0" w:type="dxa"/>
              <w:bottom w:w="30" w:type="dxa"/>
              <w:right w:w="20" w:type="dxa"/>
            </w:tcMar>
            <w:hideMark/>
          </w:tcPr>
          <w:p w:rsidR="00000000" w:rsidRDefault="00B132B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32B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132B6">
            <w:pPr>
              <w:spacing w:after="100"/>
              <w:jc w:val="right"/>
              <w:rPr>
                <w:rFonts w:eastAsia="Times New Roman"/>
              </w:rPr>
            </w:pPr>
            <w:r>
              <w:rPr>
                <w:rFonts w:eastAsia="Times New Roman"/>
                <w:color w:val="000000"/>
                <w:sz w:val="20"/>
                <w:szCs w:val="20"/>
              </w:rPr>
              <w:t>Owned</w:t>
            </w:r>
          </w:p>
        </w:tc>
        <w:tc>
          <w:tcPr>
            <w:tcW w:w="0" w:type="auto"/>
            <w:gridSpan w:val="3"/>
            <w:shd w:val="clear" w:color="auto" w:fill="CCEEFF"/>
            <w:tcMar>
              <w:top w:w="0" w:type="dxa"/>
              <w:left w:w="20" w:type="dxa"/>
              <w:bottom w:w="0" w:type="dxa"/>
              <w:right w:w="20" w:type="dxa"/>
            </w:tcMar>
            <w:vAlign w:val="center"/>
            <w:hideMark/>
          </w:tcPr>
          <w:p w:rsidR="00000000" w:rsidRDefault="00B132B6">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132B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32B6">
            <w:pPr>
              <w:spacing w:after="100"/>
              <w:jc w:val="right"/>
              <w:rPr>
                <w:rFonts w:eastAsia="Times New Roman"/>
              </w:rPr>
            </w:pPr>
            <w:r>
              <w:rPr>
                <w:rFonts w:eastAsia="Times New Roman"/>
                <w:color w:val="000000"/>
                <w:sz w:val="20"/>
                <w:szCs w:val="20"/>
              </w:rPr>
              <w:t>1,162 </w:t>
            </w:r>
          </w:p>
        </w:tc>
        <w:tc>
          <w:tcPr>
            <w:tcW w:w="0" w:type="auto"/>
            <w:shd w:val="clear" w:color="auto" w:fill="CCEEFF"/>
            <w:tcMar>
              <w:top w:w="30" w:type="dxa"/>
              <w:left w:w="0" w:type="dxa"/>
              <w:bottom w:w="30" w:type="dxa"/>
              <w:right w:w="20" w:type="dxa"/>
            </w:tcMar>
            <w:vAlign w:val="bottom"/>
            <w:hideMark/>
          </w:tcPr>
          <w:p w:rsidR="00000000" w:rsidRDefault="00B132B6">
            <w:pPr>
              <w:spacing w:after="100"/>
              <w:jc w:val="right"/>
              <w:rPr>
                <w:rFonts w:eastAsia="Times New Roman"/>
              </w:rPr>
            </w:pPr>
          </w:p>
        </w:tc>
      </w:tr>
      <w:tr w:rsidR="00000000">
        <w:trPr>
          <w:divId w:val="1538084252"/>
        </w:trPr>
        <w:tc>
          <w:tcPr>
            <w:tcW w:w="0" w:type="auto"/>
            <w:gridSpan w:val="3"/>
            <w:shd w:val="clear" w:color="auto" w:fill="FFFFFF"/>
            <w:tcMar>
              <w:top w:w="30" w:type="dxa"/>
              <w:left w:w="20" w:type="dxa"/>
              <w:bottom w:w="30" w:type="dxa"/>
              <w:right w:w="20" w:type="dxa"/>
            </w:tcMar>
            <w:hideMark/>
          </w:tcPr>
          <w:p w:rsidR="00000000" w:rsidRDefault="00B132B6">
            <w:pPr>
              <w:spacing w:after="100"/>
              <w:divId w:val="293489657"/>
              <w:rPr>
                <w:rFonts w:eastAsia="Times New Roman"/>
              </w:rPr>
            </w:pPr>
            <w:r>
              <w:rPr>
                <w:rFonts w:eastAsia="Times New Roman"/>
                <w:color w:val="000000"/>
                <w:sz w:val="20"/>
                <w:szCs w:val="20"/>
              </w:rPr>
              <w:t xml:space="preserve">115 South </w:t>
            </w:r>
            <w:r>
              <w:rPr>
                <w:rFonts w:eastAsia="Times New Roman"/>
                <w:color w:val="000000"/>
                <w:sz w:val="20"/>
                <w:szCs w:val="20"/>
              </w:rPr>
              <w:t>2</w:t>
            </w:r>
            <w:r>
              <w:rPr>
                <w:rFonts w:eastAsia="Times New Roman"/>
                <w:color w:val="000000"/>
                <w:sz w:val="13"/>
                <w:szCs w:val="13"/>
              </w:rPr>
              <w:t>n</w:t>
            </w:r>
            <w:r>
              <w:rPr>
                <w:rFonts w:eastAsia="Times New Roman"/>
                <w:color w:val="000000"/>
                <w:sz w:val="13"/>
                <w:szCs w:val="13"/>
              </w:rPr>
              <w:t>d</w:t>
            </w:r>
            <w:r>
              <w:rPr>
                <w:rFonts w:eastAsia="Times New Roman"/>
                <w:color w:val="000000"/>
                <w:sz w:val="20"/>
                <w:szCs w:val="20"/>
              </w:rPr>
              <w:t xml:space="preserve"> Street, Drexel, MO</w:t>
            </w:r>
          </w:p>
        </w:tc>
        <w:tc>
          <w:tcPr>
            <w:tcW w:w="0" w:type="auto"/>
            <w:gridSpan w:val="3"/>
            <w:shd w:val="clear" w:color="auto" w:fill="FFFFFF"/>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B132B6">
            <w:pPr>
              <w:spacing w:after="100"/>
              <w:jc w:val="right"/>
              <w:rPr>
                <w:rFonts w:eastAsia="Times New Roman"/>
              </w:rPr>
            </w:pPr>
            <w:r>
              <w:rPr>
                <w:rFonts w:eastAsia="Times New Roman"/>
                <w:color w:val="000000"/>
                <w:sz w:val="20"/>
                <w:szCs w:val="20"/>
              </w:rPr>
              <w:t>4,000 </w:t>
            </w:r>
          </w:p>
        </w:tc>
        <w:tc>
          <w:tcPr>
            <w:tcW w:w="0" w:type="auto"/>
            <w:shd w:val="clear" w:color="auto" w:fill="FFFFFF"/>
            <w:tcMar>
              <w:top w:w="30" w:type="dxa"/>
              <w:left w:w="0" w:type="dxa"/>
              <w:bottom w:w="30" w:type="dxa"/>
              <w:right w:w="20" w:type="dxa"/>
            </w:tcMar>
            <w:hideMark/>
          </w:tcPr>
          <w:p w:rsidR="00000000" w:rsidRDefault="00B132B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32B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132B6">
            <w:pPr>
              <w:spacing w:after="100"/>
              <w:jc w:val="right"/>
              <w:rPr>
                <w:rFonts w:eastAsia="Times New Roman"/>
              </w:rPr>
            </w:pPr>
            <w:r>
              <w:rPr>
                <w:rFonts w:eastAsia="Times New Roman"/>
                <w:color w:val="000000"/>
                <w:sz w:val="20"/>
                <w:szCs w:val="20"/>
              </w:rPr>
              <w:t>Owned</w:t>
            </w:r>
          </w:p>
        </w:tc>
        <w:tc>
          <w:tcPr>
            <w:tcW w:w="0" w:type="auto"/>
            <w:gridSpan w:val="3"/>
            <w:shd w:val="clear" w:color="auto" w:fill="FFFFFF"/>
            <w:tcMar>
              <w:top w:w="0" w:type="dxa"/>
              <w:left w:w="20" w:type="dxa"/>
              <w:bottom w:w="0" w:type="dxa"/>
              <w:right w:w="20" w:type="dxa"/>
            </w:tcMar>
            <w:vAlign w:val="center"/>
            <w:hideMark/>
          </w:tcPr>
          <w:p w:rsidR="00000000" w:rsidRDefault="00B132B6">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132B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32B6">
            <w:pPr>
              <w:spacing w:after="100"/>
              <w:jc w:val="right"/>
              <w:rPr>
                <w:rFonts w:eastAsia="Times New Roman"/>
              </w:rPr>
            </w:pPr>
            <w:r>
              <w:rPr>
                <w:rFonts w:eastAsia="Times New Roman"/>
                <w:color w:val="000000"/>
                <w:sz w:val="20"/>
                <w:szCs w:val="20"/>
              </w:rPr>
              <w:t>68 </w:t>
            </w:r>
          </w:p>
        </w:tc>
        <w:tc>
          <w:tcPr>
            <w:tcW w:w="0" w:type="auto"/>
            <w:shd w:val="clear" w:color="auto" w:fill="FFFFFF"/>
            <w:tcMar>
              <w:top w:w="30" w:type="dxa"/>
              <w:left w:w="0" w:type="dxa"/>
              <w:bottom w:w="30" w:type="dxa"/>
              <w:right w:w="20" w:type="dxa"/>
            </w:tcMar>
            <w:vAlign w:val="bottom"/>
            <w:hideMark/>
          </w:tcPr>
          <w:p w:rsidR="00000000" w:rsidRDefault="00B132B6">
            <w:pPr>
              <w:spacing w:after="100"/>
              <w:jc w:val="right"/>
              <w:rPr>
                <w:rFonts w:eastAsia="Times New Roman"/>
              </w:rPr>
            </w:pPr>
          </w:p>
        </w:tc>
      </w:tr>
      <w:tr w:rsidR="00000000">
        <w:trPr>
          <w:divId w:val="1538084252"/>
        </w:trPr>
        <w:tc>
          <w:tcPr>
            <w:tcW w:w="0" w:type="auto"/>
            <w:gridSpan w:val="3"/>
            <w:shd w:val="clear" w:color="auto" w:fill="CCEEFF"/>
            <w:tcMar>
              <w:top w:w="30" w:type="dxa"/>
              <w:left w:w="20" w:type="dxa"/>
              <w:bottom w:w="30" w:type="dxa"/>
              <w:right w:w="20" w:type="dxa"/>
            </w:tcMar>
            <w:hideMark/>
          </w:tcPr>
          <w:p w:rsidR="00000000" w:rsidRDefault="00B132B6">
            <w:pPr>
              <w:spacing w:after="100"/>
              <w:rPr>
                <w:rFonts w:eastAsia="Times New Roman"/>
              </w:rPr>
            </w:pPr>
            <w:r>
              <w:rPr>
                <w:rFonts w:eastAsia="Times New Roman"/>
                <w:color w:val="000000"/>
                <w:sz w:val="20"/>
                <w:szCs w:val="20"/>
              </w:rPr>
              <w:t>100 Plaza Drive, Harrisonville, MO</w:t>
            </w:r>
          </w:p>
        </w:tc>
        <w:tc>
          <w:tcPr>
            <w:tcW w:w="0" w:type="auto"/>
            <w:gridSpan w:val="3"/>
            <w:shd w:val="clear" w:color="auto" w:fill="CCEEFF"/>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B132B6">
            <w:pPr>
              <w:spacing w:after="100"/>
              <w:jc w:val="right"/>
              <w:rPr>
                <w:rFonts w:eastAsia="Times New Roman"/>
              </w:rPr>
            </w:pPr>
            <w:r>
              <w:rPr>
                <w:rFonts w:eastAsia="Times New Roman"/>
                <w:color w:val="000000"/>
                <w:sz w:val="20"/>
                <w:szCs w:val="20"/>
              </w:rPr>
              <w:t>4,000 </w:t>
            </w:r>
          </w:p>
        </w:tc>
        <w:tc>
          <w:tcPr>
            <w:tcW w:w="0" w:type="auto"/>
            <w:shd w:val="clear" w:color="auto" w:fill="CCEEFF"/>
            <w:tcMar>
              <w:top w:w="30" w:type="dxa"/>
              <w:left w:w="0" w:type="dxa"/>
              <w:bottom w:w="30" w:type="dxa"/>
              <w:right w:w="20" w:type="dxa"/>
            </w:tcMar>
            <w:hideMark/>
          </w:tcPr>
          <w:p w:rsidR="00000000" w:rsidRDefault="00B132B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32B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132B6">
            <w:pPr>
              <w:spacing w:after="100"/>
              <w:jc w:val="right"/>
              <w:rPr>
                <w:rFonts w:eastAsia="Times New Roman"/>
              </w:rPr>
            </w:pPr>
            <w:r>
              <w:rPr>
                <w:rFonts w:eastAsia="Times New Roman"/>
                <w:color w:val="000000"/>
                <w:sz w:val="20"/>
                <w:szCs w:val="20"/>
              </w:rPr>
              <w:t>Owned</w:t>
            </w:r>
          </w:p>
        </w:tc>
        <w:tc>
          <w:tcPr>
            <w:tcW w:w="0" w:type="auto"/>
            <w:gridSpan w:val="3"/>
            <w:shd w:val="clear" w:color="auto" w:fill="CCEEFF"/>
            <w:tcMar>
              <w:top w:w="0" w:type="dxa"/>
              <w:left w:w="20" w:type="dxa"/>
              <w:bottom w:w="0" w:type="dxa"/>
              <w:right w:w="20" w:type="dxa"/>
            </w:tcMar>
            <w:vAlign w:val="center"/>
            <w:hideMark/>
          </w:tcPr>
          <w:p w:rsidR="00000000" w:rsidRDefault="00B132B6">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132B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32B6">
            <w:pPr>
              <w:spacing w:after="100"/>
              <w:jc w:val="right"/>
              <w:rPr>
                <w:rFonts w:eastAsia="Times New Roman"/>
              </w:rPr>
            </w:pPr>
            <w:r>
              <w:rPr>
                <w:rFonts w:eastAsia="Times New Roman"/>
                <w:color w:val="000000"/>
                <w:sz w:val="20"/>
                <w:szCs w:val="20"/>
              </w:rPr>
              <w:t>472 </w:t>
            </w:r>
          </w:p>
        </w:tc>
        <w:tc>
          <w:tcPr>
            <w:tcW w:w="0" w:type="auto"/>
            <w:shd w:val="clear" w:color="auto" w:fill="CCEEFF"/>
            <w:tcMar>
              <w:top w:w="30" w:type="dxa"/>
              <w:left w:w="0" w:type="dxa"/>
              <w:bottom w:w="30" w:type="dxa"/>
              <w:right w:w="20" w:type="dxa"/>
            </w:tcMar>
            <w:vAlign w:val="bottom"/>
            <w:hideMark/>
          </w:tcPr>
          <w:p w:rsidR="00000000" w:rsidRDefault="00B132B6">
            <w:pPr>
              <w:spacing w:after="100"/>
              <w:jc w:val="right"/>
              <w:rPr>
                <w:rFonts w:eastAsia="Times New Roman"/>
              </w:rPr>
            </w:pPr>
          </w:p>
        </w:tc>
      </w:tr>
      <w:tr w:rsidR="00000000">
        <w:trPr>
          <w:divId w:val="1538084252"/>
        </w:trPr>
        <w:tc>
          <w:tcPr>
            <w:tcW w:w="0" w:type="auto"/>
            <w:gridSpan w:val="3"/>
            <w:shd w:val="clear" w:color="auto" w:fill="FFFFFF"/>
            <w:tcMar>
              <w:top w:w="30" w:type="dxa"/>
              <w:left w:w="20" w:type="dxa"/>
              <w:bottom w:w="30" w:type="dxa"/>
              <w:right w:w="20" w:type="dxa"/>
            </w:tcMar>
            <w:hideMark/>
          </w:tcPr>
          <w:p w:rsidR="00000000" w:rsidRDefault="00B132B6">
            <w:pPr>
              <w:spacing w:after="100"/>
              <w:divId w:val="831139569"/>
              <w:rPr>
                <w:rFonts w:eastAsia="Times New Roman"/>
              </w:rPr>
            </w:pPr>
            <w:r>
              <w:rPr>
                <w:rFonts w:eastAsia="Times New Roman"/>
                <w:color w:val="000000"/>
                <w:sz w:val="20"/>
                <w:szCs w:val="20"/>
              </w:rPr>
              <w:t>17430 East 3</w:t>
            </w:r>
            <w:r>
              <w:rPr>
                <w:rFonts w:eastAsia="Times New Roman"/>
                <w:color w:val="000000"/>
                <w:sz w:val="20"/>
                <w:szCs w:val="20"/>
              </w:rPr>
              <w:t>9</w:t>
            </w:r>
            <w:r>
              <w:rPr>
                <w:rFonts w:eastAsia="Times New Roman"/>
                <w:color w:val="000000"/>
                <w:sz w:val="13"/>
                <w:szCs w:val="13"/>
              </w:rPr>
              <w:t>t</w:t>
            </w:r>
            <w:r>
              <w:rPr>
                <w:rFonts w:eastAsia="Times New Roman"/>
                <w:color w:val="000000"/>
                <w:sz w:val="13"/>
                <w:szCs w:val="13"/>
              </w:rPr>
              <w:t>h</w:t>
            </w:r>
            <w:r>
              <w:rPr>
                <w:rFonts w:eastAsia="Times New Roman"/>
                <w:color w:val="000000"/>
                <w:sz w:val="20"/>
                <w:szCs w:val="20"/>
              </w:rPr>
              <w:t xml:space="preserve"> Street, Independence, MO</w:t>
            </w:r>
          </w:p>
        </w:tc>
        <w:tc>
          <w:tcPr>
            <w:tcW w:w="0" w:type="auto"/>
            <w:gridSpan w:val="3"/>
            <w:shd w:val="clear" w:color="auto" w:fill="FFFFFF"/>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B132B6">
            <w:pPr>
              <w:spacing w:after="100"/>
              <w:jc w:val="right"/>
              <w:rPr>
                <w:rFonts w:eastAsia="Times New Roman"/>
              </w:rPr>
            </w:pPr>
            <w:r>
              <w:rPr>
                <w:rFonts w:eastAsia="Times New Roman"/>
                <w:color w:val="000000"/>
                <w:sz w:val="20"/>
                <w:szCs w:val="20"/>
              </w:rPr>
              <w:t>4,070 </w:t>
            </w:r>
          </w:p>
        </w:tc>
        <w:tc>
          <w:tcPr>
            <w:tcW w:w="0" w:type="auto"/>
            <w:shd w:val="clear" w:color="auto" w:fill="FFFFFF"/>
            <w:tcMar>
              <w:top w:w="30" w:type="dxa"/>
              <w:left w:w="0" w:type="dxa"/>
              <w:bottom w:w="30" w:type="dxa"/>
              <w:right w:w="20" w:type="dxa"/>
            </w:tcMar>
            <w:hideMark/>
          </w:tcPr>
          <w:p w:rsidR="00000000" w:rsidRDefault="00B132B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32B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132B6">
            <w:pPr>
              <w:spacing w:after="100"/>
              <w:jc w:val="right"/>
              <w:rPr>
                <w:rFonts w:eastAsia="Times New Roman"/>
              </w:rPr>
            </w:pPr>
            <w:r>
              <w:rPr>
                <w:rFonts w:eastAsia="Times New Roman"/>
                <w:color w:val="000000"/>
                <w:sz w:val="20"/>
                <w:szCs w:val="20"/>
              </w:rPr>
              <w:t>Owned</w:t>
            </w:r>
          </w:p>
        </w:tc>
        <w:tc>
          <w:tcPr>
            <w:tcW w:w="0" w:type="auto"/>
            <w:gridSpan w:val="3"/>
            <w:shd w:val="clear" w:color="auto" w:fill="FFFFFF"/>
            <w:tcMar>
              <w:top w:w="0" w:type="dxa"/>
              <w:left w:w="20" w:type="dxa"/>
              <w:bottom w:w="0" w:type="dxa"/>
              <w:right w:w="20" w:type="dxa"/>
            </w:tcMar>
            <w:vAlign w:val="center"/>
            <w:hideMark/>
          </w:tcPr>
          <w:p w:rsidR="00000000" w:rsidRDefault="00B132B6">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132B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32B6">
            <w:pPr>
              <w:spacing w:after="100"/>
              <w:jc w:val="right"/>
              <w:rPr>
                <w:rFonts w:eastAsia="Times New Roman"/>
              </w:rPr>
            </w:pPr>
            <w:r>
              <w:rPr>
                <w:rFonts w:eastAsia="Times New Roman"/>
                <w:color w:val="000000"/>
                <w:sz w:val="20"/>
                <w:szCs w:val="20"/>
              </w:rPr>
              <w:t>456 </w:t>
            </w:r>
          </w:p>
        </w:tc>
        <w:tc>
          <w:tcPr>
            <w:tcW w:w="0" w:type="auto"/>
            <w:shd w:val="clear" w:color="auto" w:fill="FFFFFF"/>
            <w:tcMar>
              <w:top w:w="30" w:type="dxa"/>
              <w:left w:w="0" w:type="dxa"/>
              <w:bottom w:w="30" w:type="dxa"/>
              <w:right w:w="20" w:type="dxa"/>
            </w:tcMar>
            <w:vAlign w:val="bottom"/>
            <w:hideMark/>
          </w:tcPr>
          <w:p w:rsidR="00000000" w:rsidRDefault="00B132B6">
            <w:pPr>
              <w:spacing w:after="100"/>
              <w:jc w:val="right"/>
              <w:rPr>
                <w:rFonts w:eastAsia="Times New Roman"/>
              </w:rPr>
            </w:pPr>
          </w:p>
        </w:tc>
      </w:tr>
      <w:tr w:rsidR="00000000">
        <w:trPr>
          <w:divId w:val="1538084252"/>
        </w:trPr>
        <w:tc>
          <w:tcPr>
            <w:tcW w:w="0" w:type="auto"/>
            <w:gridSpan w:val="3"/>
            <w:shd w:val="clear" w:color="auto" w:fill="CCEEFF"/>
            <w:tcMar>
              <w:top w:w="30" w:type="dxa"/>
              <w:left w:w="20" w:type="dxa"/>
              <w:bottom w:w="30" w:type="dxa"/>
              <w:right w:w="20" w:type="dxa"/>
            </w:tcMar>
            <w:hideMark/>
          </w:tcPr>
          <w:p w:rsidR="00000000" w:rsidRDefault="00B132B6">
            <w:pPr>
              <w:spacing w:after="100"/>
              <w:rPr>
                <w:rFonts w:eastAsia="Times New Roman"/>
              </w:rPr>
            </w:pPr>
            <w:r>
              <w:rPr>
                <w:rFonts w:eastAsia="Times New Roman"/>
                <w:color w:val="000000"/>
                <w:sz w:val="20"/>
                <w:szCs w:val="20"/>
              </w:rPr>
              <w:t>220 West White Oak, Independence, MO</w:t>
            </w:r>
          </w:p>
        </w:tc>
        <w:tc>
          <w:tcPr>
            <w:tcW w:w="0" w:type="auto"/>
            <w:gridSpan w:val="3"/>
            <w:shd w:val="clear" w:color="auto" w:fill="CCEEFF"/>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B132B6">
            <w:pPr>
              <w:spacing w:after="100"/>
              <w:jc w:val="right"/>
              <w:rPr>
                <w:rFonts w:eastAsia="Times New Roman"/>
              </w:rPr>
            </w:pPr>
            <w:r>
              <w:rPr>
                <w:rFonts w:eastAsia="Times New Roman"/>
                <w:color w:val="000000"/>
                <w:sz w:val="20"/>
                <w:szCs w:val="20"/>
              </w:rPr>
              <w:t>1,800 </w:t>
            </w:r>
          </w:p>
        </w:tc>
        <w:tc>
          <w:tcPr>
            <w:tcW w:w="0" w:type="auto"/>
            <w:shd w:val="clear" w:color="auto" w:fill="CCEEFF"/>
            <w:tcMar>
              <w:top w:w="30" w:type="dxa"/>
              <w:left w:w="0" w:type="dxa"/>
              <w:bottom w:w="30" w:type="dxa"/>
              <w:right w:w="20" w:type="dxa"/>
            </w:tcMar>
            <w:hideMark/>
          </w:tcPr>
          <w:p w:rsidR="00000000" w:rsidRDefault="00B132B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32B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132B6">
            <w:pPr>
              <w:spacing w:after="100"/>
              <w:jc w:val="right"/>
              <w:rPr>
                <w:rFonts w:eastAsia="Times New Roman"/>
              </w:rPr>
            </w:pPr>
            <w:r>
              <w:rPr>
                <w:rFonts w:eastAsia="Times New Roman"/>
                <w:color w:val="000000"/>
                <w:sz w:val="20"/>
                <w:szCs w:val="20"/>
              </w:rPr>
              <w:t>Owned</w:t>
            </w:r>
          </w:p>
        </w:tc>
        <w:tc>
          <w:tcPr>
            <w:tcW w:w="0" w:type="auto"/>
            <w:gridSpan w:val="3"/>
            <w:shd w:val="clear" w:color="auto" w:fill="CCEEFF"/>
            <w:tcMar>
              <w:top w:w="0" w:type="dxa"/>
              <w:left w:w="20" w:type="dxa"/>
              <w:bottom w:w="0" w:type="dxa"/>
              <w:right w:w="20" w:type="dxa"/>
            </w:tcMar>
            <w:vAlign w:val="center"/>
            <w:hideMark/>
          </w:tcPr>
          <w:p w:rsidR="00000000" w:rsidRDefault="00B132B6">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132B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32B6">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B132B6">
            <w:pPr>
              <w:spacing w:after="100"/>
              <w:jc w:val="right"/>
              <w:rPr>
                <w:rFonts w:eastAsia="Times New Roman"/>
              </w:rPr>
            </w:pPr>
          </w:p>
        </w:tc>
      </w:tr>
      <w:tr w:rsidR="00000000">
        <w:trPr>
          <w:divId w:val="1538084252"/>
        </w:trPr>
        <w:tc>
          <w:tcPr>
            <w:tcW w:w="0" w:type="auto"/>
            <w:gridSpan w:val="3"/>
            <w:shd w:val="clear" w:color="auto" w:fill="FFFFFF"/>
            <w:tcMar>
              <w:top w:w="30" w:type="dxa"/>
              <w:left w:w="20" w:type="dxa"/>
              <w:bottom w:w="30" w:type="dxa"/>
              <w:right w:w="20" w:type="dxa"/>
            </w:tcMar>
            <w:hideMark/>
          </w:tcPr>
          <w:p w:rsidR="00000000" w:rsidRDefault="00B132B6">
            <w:pPr>
              <w:spacing w:after="100"/>
              <w:rPr>
                <w:rFonts w:eastAsia="Times New Roman"/>
              </w:rPr>
            </w:pPr>
            <w:r>
              <w:rPr>
                <w:rFonts w:eastAsia="Times New Roman"/>
                <w:color w:val="000000"/>
                <w:sz w:val="20"/>
                <w:szCs w:val="20"/>
              </w:rPr>
              <w:t>132 East High Street, Jefferson City, MO</w:t>
            </w:r>
          </w:p>
        </w:tc>
        <w:tc>
          <w:tcPr>
            <w:tcW w:w="0" w:type="auto"/>
            <w:gridSpan w:val="3"/>
            <w:shd w:val="clear" w:color="auto" w:fill="FFFFFF"/>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B132B6">
            <w:pPr>
              <w:spacing w:after="100"/>
              <w:jc w:val="right"/>
              <w:rPr>
                <w:rFonts w:eastAsia="Times New Roman"/>
              </w:rPr>
            </w:pPr>
            <w:r>
              <w:rPr>
                <w:rFonts w:eastAsia="Times New Roman"/>
                <w:color w:val="000000"/>
                <w:sz w:val="20"/>
                <w:szCs w:val="20"/>
              </w:rPr>
              <w:t>34,800 </w:t>
            </w:r>
          </w:p>
        </w:tc>
        <w:tc>
          <w:tcPr>
            <w:tcW w:w="0" w:type="auto"/>
            <w:shd w:val="clear" w:color="auto" w:fill="FFFFFF"/>
            <w:tcMar>
              <w:top w:w="30" w:type="dxa"/>
              <w:left w:w="0" w:type="dxa"/>
              <w:bottom w:w="30" w:type="dxa"/>
              <w:right w:w="20" w:type="dxa"/>
            </w:tcMar>
            <w:hideMark/>
          </w:tcPr>
          <w:p w:rsidR="00000000" w:rsidRDefault="00B132B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32B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132B6">
            <w:pPr>
              <w:spacing w:after="100"/>
              <w:jc w:val="right"/>
              <w:rPr>
                <w:rFonts w:eastAsia="Times New Roman"/>
              </w:rPr>
            </w:pPr>
            <w:r>
              <w:rPr>
                <w:rFonts w:eastAsia="Times New Roman"/>
                <w:color w:val="000000"/>
                <w:sz w:val="20"/>
                <w:szCs w:val="20"/>
              </w:rPr>
              <w:t>Owned</w:t>
            </w:r>
          </w:p>
        </w:tc>
        <w:tc>
          <w:tcPr>
            <w:tcW w:w="0" w:type="auto"/>
            <w:gridSpan w:val="3"/>
            <w:shd w:val="clear" w:color="auto" w:fill="FFFFFF"/>
            <w:tcMar>
              <w:top w:w="0" w:type="dxa"/>
              <w:left w:w="20" w:type="dxa"/>
              <w:bottom w:w="0" w:type="dxa"/>
              <w:right w:w="20" w:type="dxa"/>
            </w:tcMar>
            <w:vAlign w:val="center"/>
            <w:hideMark/>
          </w:tcPr>
          <w:p w:rsidR="00000000" w:rsidRDefault="00B132B6">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132B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32B6">
            <w:pPr>
              <w:spacing w:after="100"/>
              <w:jc w:val="right"/>
              <w:rPr>
                <w:rFonts w:eastAsia="Times New Roman"/>
              </w:rPr>
            </w:pPr>
            <w:r>
              <w:rPr>
                <w:rFonts w:eastAsia="Times New Roman"/>
                <w:color w:val="000000"/>
                <w:sz w:val="20"/>
                <w:szCs w:val="20"/>
              </w:rPr>
              <w:t>2,117 </w:t>
            </w:r>
          </w:p>
        </w:tc>
        <w:tc>
          <w:tcPr>
            <w:tcW w:w="0" w:type="auto"/>
            <w:shd w:val="clear" w:color="auto" w:fill="FFFFFF"/>
            <w:tcMar>
              <w:top w:w="30" w:type="dxa"/>
              <w:left w:w="0" w:type="dxa"/>
              <w:bottom w:w="30" w:type="dxa"/>
              <w:right w:w="20" w:type="dxa"/>
            </w:tcMar>
            <w:vAlign w:val="bottom"/>
            <w:hideMark/>
          </w:tcPr>
          <w:p w:rsidR="00000000" w:rsidRDefault="00B132B6">
            <w:pPr>
              <w:spacing w:after="100"/>
              <w:jc w:val="right"/>
              <w:rPr>
                <w:rFonts w:eastAsia="Times New Roman"/>
              </w:rPr>
            </w:pPr>
          </w:p>
        </w:tc>
      </w:tr>
      <w:tr w:rsidR="00000000">
        <w:trPr>
          <w:divId w:val="1538084252"/>
        </w:trPr>
        <w:tc>
          <w:tcPr>
            <w:tcW w:w="0" w:type="auto"/>
            <w:gridSpan w:val="3"/>
            <w:shd w:val="clear" w:color="auto" w:fill="CCEEFF"/>
            <w:tcMar>
              <w:top w:w="30" w:type="dxa"/>
              <w:left w:w="20" w:type="dxa"/>
              <w:bottom w:w="30" w:type="dxa"/>
              <w:right w:w="20" w:type="dxa"/>
            </w:tcMar>
            <w:hideMark/>
          </w:tcPr>
          <w:p w:rsidR="00000000" w:rsidRDefault="00B132B6">
            <w:pPr>
              <w:spacing w:after="100"/>
              <w:rPr>
                <w:rFonts w:eastAsia="Times New Roman"/>
              </w:rPr>
            </w:pPr>
            <w:r>
              <w:rPr>
                <w:rFonts w:eastAsia="Times New Roman"/>
                <w:color w:val="000000"/>
                <w:sz w:val="20"/>
                <w:szCs w:val="20"/>
              </w:rPr>
              <w:t>3701 West Truman Blvd, Jefferson City, MO</w:t>
            </w:r>
          </w:p>
        </w:tc>
        <w:tc>
          <w:tcPr>
            <w:tcW w:w="0" w:type="auto"/>
            <w:gridSpan w:val="3"/>
            <w:shd w:val="clear" w:color="auto" w:fill="CCEEFF"/>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B132B6">
            <w:pPr>
              <w:spacing w:after="100"/>
              <w:jc w:val="right"/>
              <w:rPr>
                <w:rFonts w:eastAsia="Times New Roman"/>
              </w:rPr>
            </w:pPr>
            <w:r>
              <w:rPr>
                <w:rFonts w:eastAsia="Times New Roman"/>
                <w:color w:val="000000"/>
                <w:sz w:val="20"/>
                <w:szCs w:val="20"/>
              </w:rPr>
              <w:t>21,000 </w:t>
            </w:r>
          </w:p>
        </w:tc>
        <w:tc>
          <w:tcPr>
            <w:tcW w:w="0" w:type="auto"/>
            <w:shd w:val="clear" w:color="auto" w:fill="CCEEFF"/>
            <w:tcMar>
              <w:top w:w="30" w:type="dxa"/>
              <w:left w:w="0" w:type="dxa"/>
              <w:bottom w:w="30" w:type="dxa"/>
              <w:right w:w="20" w:type="dxa"/>
            </w:tcMar>
            <w:hideMark/>
          </w:tcPr>
          <w:p w:rsidR="00000000" w:rsidRDefault="00B132B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32B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132B6">
            <w:pPr>
              <w:spacing w:after="100"/>
              <w:jc w:val="right"/>
              <w:rPr>
                <w:rFonts w:eastAsia="Times New Roman"/>
              </w:rPr>
            </w:pPr>
            <w:r>
              <w:rPr>
                <w:rFonts w:eastAsia="Times New Roman"/>
                <w:color w:val="000000"/>
                <w:sz w:val="20"/>
                <w:szCs w:val="20"/>
              </w:rPr>
              <w:t>Owned</w:t>
            </w:r>
          </w:p>
        </w:tc>
        <w:tc>
          <w:tcPr>
            <w:tcW w:w="0" w:type="auto"/>
            <w:gridSpan w:val="3"/>
            <w:shd w:val="clear" w:color="auto" w:fill="CCEEFF"/>
            <w:tcMar>
              <w:top w:w="0" w:type="dxa"/>
              <w:left w:w="20" w:type="dxa"/>
              <w:bottom w:w="0" w:type="dxa"/>
              <w:right w:w="20" w:type="dxa"/>
            </w:tcMar>
            <w:vAlign w:val="center"/>
            <w:hideMark/>
          </w:tcPr>
          <w:p w:rsidR="00000000" w:rsidRDefault="00B132B6">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132B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32B6">
            <w:pPr>
              <w:spacing w:after="100"/>
              <w:jc w:val="right"/>
              <w:rPr>
                <w:rFonts w:eastAsia="Times New Roman"/>
              </w:rPr>
            </w:pPr>
            <w:r>
              <w:rPr>
                <w:rFonts w:eastAsia="Times New Roman"/>
                <w:color w:val="000000"/>
                <w:sz w:val="20"/>
                <w:szCs w:val="20"/>
              </w:rPr>
              <w:t>306 </w:t>
            </w:r>
          </w:p>
        </w:tc>
        <w:tc>
          <w:tcPr>
            <w:tcW w:w="0" w:type="auto"/>
            <w:shd w:val="clear" w:color="auto" w:fill="CCEEFF"/>
            <w:tcMar>
              <w:top w:w="30" w:type="dxa"/>
              <w:left w:w="0" w:type="dxa"/>
              <w:bottom w:w="30" w:type="dxa"/>
              <w:right w:w="20" w:type="dxa"/>
            </w:tcMar>
            <w:vAlign w:val="bottom"/>
            <w:hideMark/>
          </w:tcPr>
          <w:p w:rsidR="00000000" w:rsidRDefault="00B132B6">
            <w:pPr>
              <w:spacing w:after="100"/>
              <w:jc w:val="right"/>
              <w:rPr>
                <w:rFonts w:eastAsia="Times New Roman"/>
              </w:rPr>
            </w:pPr>
          </w:p>
        </w:tc>
      </w:tr>
      <w:tr w:rsidR="00000000">
        <w:trPr>
          <w:divId w:val="1538084252"/>
        </w:trPr>
        <w:tc>
          <w:tcPr>
            <w:tcW w:w="0" w:type="auto"/>
            <w:gridSpan w:val="3"/>
            <w:shd w:val="clear" w:color="auto" w:fill="FFFFFF"/>
            <w:tcMar>
              <w:top w:w="30" w:type="dxa"/>
              <w:left w:w="20" w:type="dxa"/>
              <w:bottom w:w="30" w:type="dxa"/>
              <w:right w:w="20" w:type="dxa"/>
            </w:tcMar>
            <w:hideMark/>
          </w:tcPr>
          <w:p w:rsidR="00000000" w:rsidRDefault="00B132B6">
            <w:pPr>
              <w:spacing w:after="100"/>
              <w:rPr>
                <w:rFonts w:eastAsia="Times New Roman"/>
              </w:rPr>
            </w:pPr>
            <w:r>
              <w:rPr>
                <w:rFonts w:eastAsia="Times New Roman"/>
                <w:color w:val="000000"/>
                <w:sz w:val="20"/>
                <w:szCs w:val="20"/>
              </w:rPr>
              <w:t>211 West Dunklin Street, Jefferson City, MO</w:t>
            </w:r>
          </w:p>
        </w:tc>
        <w:tc>
          <w:tcPr>
            <w:tcW w:w="0" w:type="auto"/>
            <w:gridSpan w:val="3"/>
            <w:shd w:val="clear" w:color="auto" w:fill="FFFFFF"/>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B132B6">
            <w:pPr>
              <w:spacing w:after="100"/>
              <w:jc w:val="right"/>
              <w:rPr>
                <w:rFonts w:eastAsia="Times New Roman"/>
              </w:rPr>
            </w:pPr>
            <w:r>
              <w:rPr>
                <w:rFonts w:eastAsia="Times New Roman"/>
                <w:color w:val="000000"/>
                <w:sz w:val="20"/>
                <w:szCs w:val="20"/>
              </w:rPr>
              <w:t>2,500 </w:t>
            </w:r>
          </w:p>
        </w:tc>
        <w:tc>
          <w:tcPr>
            <w:tcW w:w="0" w:type="auto"/>
            <w:shd w:val="clear" w:color="auto" w:fill="FFFFFF"/>
            <w:tcMar>
              <w:top w:w="30" w:type="dxa"/>
              <w:left w:w="0" w:type="dxa"/>
              <w:bottom w:w="30" w:type="dxa"/>
              <w:right w:w="20" w:type="dxa"/>
            </w:tcMar>
            <w:hideMark/>
          </w:tcPr>
          <w:p w:rsidR="00000000" w:rsidRDefault="00B132B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32B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132B6">
            <w:pPr>
              <w:spacing w:after="100"/>
              <w:jc w:val="right"/>
              <w:rPr>
                <w:rFonts w:eastAsia="Times New Roman"/>
              </w:rPr>
            </w:pPr>
            <w:r>
              <w:rPr>
                <w:rFonts w:eastAsia="Times New Roman"/>
                <w:color w:val="000000"/>
                <w:sz w:val="20"/>
                <w:szCs w:val="20"/>
              </w:rPr>
              <w:t>Owned</w:t>
            </w:r>
          </w:p>
        </w:tc>
        <w:tc>
          <w:tcPr>
            <w:tcW w:w="0" w:type="auto"/>
            <w:gridSpan w:val="3"/>
            <w:shd w:val="clear" w:color="auto" w:fill="FFFFFF"/>
            <w:tcMar>
              <w:top w:w="0" w:type="dxa"/>
              <w:left w:w="20" w:type="dxa"/>
              <w:bottom w:w="0" w:type="dxa"/>
              <w:right w:w="20" w:type="dxa"/>
            </w:tcMar>
            <w:vAlign w:val="center"/>
            <w:hideMark/>
          </w:tcPr>
          <w:p w:rsidR="00000000" w:rsidRDefault="00B132B6">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132B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32B6">
            <w:pPr>
              <w:spacing w:after="100"/>
              <w:jc w:val="right"/>
              <w:rPr>
                <w:rFonts w:eastAsia="Times New Roman"/>
              </w:rPr>
            </w:pPr>
            <w:r>
              <w:rPr>
                <w:rFonts w:eastAsia="Times New Roman"/>
                <w:color w:val="000000"/>
                <w:sz w:val="20"/>
                <w:szCs w:val="20"/>
              </w:rPr>
              <w:t>1,336 </w:t>
            </w:r>
          </w:p>
        </w:tc>
        <w:tc>
          <w:tcPr>
            <w:tcW w:w="0" w:type="auto"/>
            <w:shd w:val="clear" w:color="auto" w:fill="FFFFFF"/>
            <w:tcMar>
              <w:top w:w="30" w:type="dxa"/>
              <w:left w:w="0" w:type="dxa"/>
              <w:bottom w:w="30" w:type="dxa"/>
              <w:right w:w="20" w:type="dxa"/>
            </w:tcMar>
            <w:vAlign w:val="bottom"/>
            <w:hideMark/>
          </w:tcPr>
          <w:p w:rsidR="00000000" w:rsidRDefault="00B132B6">
            <w:pPr>
              <w:spacing w:after="100"/>
              <w:jc w:val="right"/>
              <w:rPr>
                <w:rFonts w:eastAsia="Times New Roman"/>
              </w:rPr>
            </w:pPr>
          </w:p>
        </w:tc>
      </w:tr>
      <w:tr w:rsidR="00000000">
        <w:trPr>
          <w:divId w:val="1538084252"/>
        </w:trPr>
        <w:tc>
          <w:tcPr>
            <w:tcW w:w="0" w:type="auto"/>
            <w:gridSpan w:val="3"/>
            <w:shd w:val="clear" w:color="auto" w:fill="CCEEFF"/>
            <w:tcMar>
              <w:top w:w="30" w:type="dxa"/>
              <w:left w:w="20" w:type="dxa"/>
              <w:bottom w:w="30" w:type="dxa"/>
              <w:right w:w="20" w:type="dxa"/>
            </w:tcMar>
            <w:hideMark/>
          </w:tcPr>
          <w:p w:rsidR="00000000" w:rsidRDefault="00B132B6">
            <w:pPr>
              <w:spacing w:after="100"/>
              <w:rPr>
                <w:rFonts w:eastAsia="Times New Roman"/>
              </w:rPr>
            </w:pPr>
            <w:r>
              <w:rPr>
                <w:rFonts w:eastAsia="Times New Roman"/>
                <w:color w:val="000000"/>
                <w:sz w:val="20"/>
                <w:szCs w:val="20"/>
              </w:rPr>
              <w:t>800 Eastland Drive, Jefferson City, MO</w:t>
            </w:r>
          </w:p>
        </w:tc>
        <w:tc>
          <w:tcPr>
            <w:tcW w:w="0" w:type="auto"/>
            <w:gridSpan w:val="3"/>
            <w:shd w:val="clear" w:color="auto" w:fill="CCEEFF"/>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B132B6">
            <w:pPr>
              <w:spacing w:after="100"/>
              <w:jc w:val="right"/>
              <w:rPr>
                <w:rFonts w:eastAsia="Times New Roman"/>
              </w:rPr>
            </w:pPr>
            <w:r>
              <w:rPr>
                <w:rFonts w:eastAsia="Times New Roman"/>
                <w:color w:val="000000"/>
                <w:sz w:val="20"/>
                <w:szCs w:val="20"/>
              </w:rPr>
              <w:t>4,100 </w:t>
            </w:r>
          </w:p>
        </w:tc>
        <w:tc>
          <w:tcPr>
            <w:tcW w:w="0" w:type="auto"/>
            <w:shd w:val="clear" w:color="auto" w:fill="CCEEFF"/>
            <w:tcMar>
              <w:top w:w="30" w:type="dxa"/>
              <w:left w:w="0" w:type="dxa"/>
              <w:bottom w:w="30" w:type="dxa"/>
              <w:right w:w="20" w:type="dxa"/>
            </w:tcMar>
            <w:hideMark/>
          </w:tcPr>
          <w:p w:rsidR="00000000" w:rsidRDefault="00B132B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32B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132B6">
            <w:pPr>
              <w:spacing w:after="100"/>
              <w:jc w:val="right"/>
              <w:rPr>
                <w:rFonts w:eastAsia="Times New Roman"/>
              </w:rPr>
            </w:pPr>
            <w:r>
              <w:rPr>
                <w:rFonts w:eastAsia="Times New Roman"/>
                <w:color w:val="000000"/>
                <w:sz w:val="20"/>
                <w:szCs w:val="20"/>
              </w:rPr>
              <w:t>Owned</w:t>
            </w:r>
          </w:p>
        </w:tc>
        <w:tc>
          <w:tcPr>
            <w:tcW w:w="0" w:type="auto"/>
            <w:gridSpan w:val="3"/>
            <w:shd w:val="clear" w:color="auto" w:fill="CCEEFF"/>
            <w:tcMar>
              <w:top w:w="0" w:type="dxa"/>
              <w:left w:w="20" w:type="dxa"/>
              <w:bottom w:w="0" w:type="dxa"/>
              <w:right w:w="20" w:type="dxa"/>
            </w:tcMar>
            <w:vAlign w:val="center"/>
            <w:hideMark/>
          </w:tcPr>
          <w:p w:rsidR="00000000" w:rsidRDefault="00B132B6">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132B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32B6">
            <w:pPr>
              <w:spacing w:after="100"/>
              <w:jc w:val="right"/>
              <w:rPr>
                <w:rFonts w:eastAsia="Times New Roman"/>
              </w:rPr>
            </w:pPr>
            <w:r>
              <w:rPr>
                <w:rFonts w:eastAsia="Times New Roman"/>
                <w:color w:val="000000"/>
                <w:sz w:val="20"/>
                <w:szCs w:val="20"/>
              </w:rPr>
              <w:t>523 </w:t>
            </w:r>
          </w:p>
        </w:tc>
        <w:tc>
          <w:tcPr>
            <w:tcW w:w="0" w:type="auto"/>
            <w:shd w:val="clear" w:color="auto" w:fill="CCEEFF"/>
            <w:tcMar>
              <w:top w:w="30" w:type="dxa"/>
              <w:left w:w="0" w:type="dxa"/>
              <w:bottom w:w="30" w:type="dxa"/>
              <w:right w:w="20" w:type="dxa"/>
            </w:tcMar>
            <w:vAlign w:val="bottom"/>
            <w:hideMark/>
          </w:tcPr>
          <w:p w:rsidR="00000000" w:rsidRDefault="00B132B6">
            <w:pPr>
              <w:spacing w:after="100"/>
              <w:jc w:val="right"/>
              <w:rPr>
                <w:rFonts w:eastAsia="Times New Roman"/>
              </w:rPr>
            </w:pPr>
          </w:p>
        </w:tc>
      </w:tr>
      <w:tr w:rsidR="00000000">
        <w:trPr>
          <w:divId w:val="1538084252"/>
        </w:trPr>
        <w:tc>
          <w:tcPr>
            <w:tcW w:w="0" w:type="auto"/>
            <w:gridSpan w:val="3"/>
            <w:shd w:val="clear" w:color="auto" w:fill="FFFFFF"/>
            <w:tcMar>
              <w:top w:w="30" w:type="dxa"/>
              <w:left w:w="20" w:type="dxa"/>
              <w:bottom w:w="30" w:type="dxa"/>
              <w:right w:w="20" w:type="dxa"/>
            </w:tcMar>
            <w:hideMark/>
          </w:tcPr>
          <w:p w:rsidR="00000000" w:rsidRDefault="00B132B6">
            <w:pPr>
              <w:spacing w:after="100"/>
              <w:rPr>
                <w:rFonts w:eastAsia="Times New Roman"/>
              </w:rPr>
            </w:pPr>
            <w:r>
              <w:rPr>
                <w:rFonts w:eastAsia="Times New Roman"/>
                <w:color w:val="000000"/>
                <w:sz w:val="20"/>
                <w:szCs w:val="20"/>
              </w:rPr>
              <w:t>3600 Amazonas Drive, Jefferson City, MO</w:t>
            </w:r>
          </w:p>
        </w:tc>
        <w:tc>
          <w:tcPr>
            <w:tcW w:w="0" w:type="auto"/>
            <w:gridSpan w:val="3"/>
            <w:shd w:val="clear" w:color="auto" w:fill="FFFFFF"/>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B132B6">
            <w:pPr>
              <w:spacing w:after="100"/>
              <w:jc w:val="right"/>
              <w:rPr>
                <w:rFonts w:eastAsia="Times New Roman"/>
              </w:rPr>
            </w:pPr>
            <w:r>
              <w:rPr>
                <w:rFonts w:eastAsia="Times New Roman"/>
                <w:color w:val="000000"/>
                <w:sz w:val="20"/>
                <w:szCs w:val="20"/>
              </w:rPr>
              <w:t>26,000 </w:t>
            </w:r>
          </w:p>
        </w:tc>
        <w:tc>
          <w:tcPr>
            <w:tcW w:w="0" w:type="auto"/>
            <w:shd w:val="clear" w:color="auto" w:fill="FFFFFF"/>
            <w:tcMar>
              <w:top w:w="30" w:type="dxa"/>
              <w:left w:w="0" w:type="dxa"/>
              <w:bottom w:w="30" w:type="dxa"/>
              <w:right w:w="20" w:type="dxa"/>
            </w:tcMar>
            <w:hideMark/>
          </w:tcPr>
          <w:p w:rsidR="00000000" w:rsidRDefault="00B132B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32B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132B6">
            <w:pPr>
              <w:spacing w:after="100"/>
              <w:jc w:val="right"/>
              <w:rPr>
                <w:rFonts w:eastAsia="Times New Roman"/>
              </w:rPr>
            </w:pPr>
            <w:r>
              <w:rPr>
                <w:rFonts w:eastAsia="Times New Roman"/>
                <w:color w:val="000000"/>
                <w:sz w:val="20"/>
                <w:szCs w:val="20"/>
              </w:rPr>
              <w:t>Owned</w:t>
            </w:r>
          </w:p>
        </w:tc>
        <w:tc>
          <w:tcPr>
            <w:tcW w:w="0" w:type="auto"/>
            <w:gridSpan w:val="3"/>
            <w:shd w:val="clear" w:color="auto" w:fill="FFFFFF"/>
            <w:tcMar>
              <w:top w:w="0" w:type="dxa"/>
              <w:left w:w="20" w:type="dxa"/>
              <w:bottom w:w="0" w:type="dxa"/>
              <w:right w:w="20" w:type="dxa"/>
            </w:tcMar>
            <w:vAlign w:val="center"/>
            <w:hideMark/>
          </w:tcPr>
          <w:p w:rsidR="00000000" w:rsidRDefault="00B132B6">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132B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32B6">
            <w:pPr>
              <w:spacing w:after="100"/>
              <w:jc w:val="right"/>
              <w:rPr>
                <w:rFonts w:eastAsia="Times New Roman"/>
              </w:rPr>
            </w:pPr>
            <w:r>
              <w:rPr>
                <w:rFonts w:eastAsia="Times New Roman"/>
                <w:color w:val="000000"/>
                <w:sz w:val="20"/>
                <w:szCs w:val="20"/>
              </w:rPr>
              <w:t>2,008 </w:t>
            </w:r>
          </w:p>
        </w:tc>
        <w:tc>
          <w:tcPr>
            <w:tcW w:w="0" w:type="auto"/>
            <w:shd w:val="clear" w:color="auto" w:fill="FFFFFF"/>
            <w:tcMar>
              <w:top w:w="30" w:type="dxa"/>
              <w:left w:w="0" w:type="dxa"/>
              <w:bottom w:w="30" w:type="dxa"/>
              <w:right w:w="20" w:type="dxa"/>
            </w:tcMar>
            <w:vAlign w:val="bottom"/>
            <w:hideMark/>
          </w:tcPr>
          <w:p w:rsidR="00000000" w:rsidRDefault="00B132B6">
            <w:pPr>
              <w:spacing w:after="100"/>
              <w:jc w:val="right"/>
              <w:rPr>
                <w:rFonts w:eastAsia="Times New Roman"/>
              </w:rPr>
            </w:pPr>
          </w:p>
        </w:tc>
      </w:tr>
      <w:tr w:rsidR="00000000">
        <w:trPr>
          <w:divId w:val="1538084252"/>
        </w:trPr>
        <w:tc>
          <w:tcPr>
            <w:tcW w:w="0" w:type="auto"/>
            <w:gridSpan w:val="3"/>
            <w:shd w:val="clear" w:color="auto" w:fill="CCEEFF"/>
            <w:tcMar>
              <w:top w:w="30" w:type="dxa"/>
              <w:left w:w="20" w:type="dxa"/>
              <w:bottom w:w="30" w:type="dxa"/>
              <w:right w:w="20" w:type="dxa"/>
            </w:tcMar>
            <w:hideMark/>
          </w:tcPr>
          <w:p w:rsidR="00000000" w:rsidRDefault="00B132B6">
            <w:pPr>
              <w:spacing w:after="100"/>
              <w:rPr>
                <w:rFonts w:eastAsia="Times New Roman"/>
              </w:rPr>
            </w:pPr>
            <w:r>
              <w:rPr>
                <w:rFonts w:eastAsia="Times New Roman"/>
                <w:color w:val="000000"/>
                <w:sz w:val="20"/>
                <w:szCs w:val="20"/>
              </w:rPr>
              <w:t>300 S.W. Longview Blvd, Lee's Summit, MO</w:t>
            </w:r>
          </w:p>
        </w:tc>
        <w:tc>
          <w:tcPr>
            <w:tcW w:w="0" w:type="auto"/>
            <w:gridSpan w:val="3"/>
            <w:shd w:val="clear" w:color="auto" w:fill="CCEEFF"/>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B132B6">
            <w:pPr>
              <w:spacing w:after="100"/>
              <w:jc w:val="right"/>
              <w:rPr>
                <w:rFonts w:eastAsia="Times New Roman"/>
              </w:rPr>
            </w:pPr>
            <w:r>
              <w:rPr>
                <w:rFonts w:eastAsia="Times New Roman"/>
                <w:color w:val="000000"/>
                <w:sz w:val="20"/>
                <w:szCs w:val="20"/>
              </w:rPr>
              <w:t>11,700 </w:t>
            </w:r>
          </w:p>
        </w:tc>
        <w:tc>
          <w:tcPr>
            <w:tcW w:w="0" w:type="auto"/>
            <w:shd w:val="clear" w:color="auto" w:fill="CCEEFF"/>
            <w:tcMar>
              <w:top w:w="30" w:type="dxa"/>
              <w:left w:w="0" w:type="dxa"/>
              <w:bottom w:w="30" w:type="dxa"/>
              <w:right w:w="20" w:type="dxa"/>
            </w:tcMar>
            <w:hideMark/>
          </w:tcPr>
          <w:p w:rsidR="00000000" w:rsidRDefault="00B132B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32B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132B6">
            <w:pPr>
              <w:spacing w:after="100"/>
              <w:jc w:val="right"/>
              <w:rPr>
                <w:rFonts w:eastAsia="Times New Roman"/>
              </w:rPr>
            </w:pPr>
            <w:r>
              <w:rPr>
                <w:rFonts w:eastAsia="Times New Roman"/>
                <w:color w:val="000000"/>
                <w:sz w:val="20"/>
                <w:szCs w:val="20"/>
              </w:rPr>
              <w:t>Owned</w:t>
            </w:r>
          </w:p>
        </w:tc>
        <w:tc>
          <w:tcPr>
            <w:tcW w:w="0" w:type="auto"/>
            <w:gridSpan w:val="3"/>
            <w:shd w:val="clear" w:color="auto" w:fill="CCEEFF"/>
            <w:tcMar>
              <w:top w:w="0" w:type="dxa"/>
              <w:left w:w="20" w:type="dxa"/>
              <w:bottom w:w="0" w:type="dxa"/>
              <w:right w:w="20" w:type="dxa"/>
            </w:tcMar>
            <w:vAlign w:val="center"/>
            <w:hideMark/>
          </w:tcPr>
          <w:p w:rsidR="00000000" w:rsidRDefault="00B132B6">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132B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32B6">
            <w:pPr>
              <w:spacing w:after="100"/>
              <w:jc w:val="right"/>
              <w:rPr>
                <w:rFonts w:eastAsia="Times New Roman"/>
              </w:rPr>
            </w:pPr>
            <w:r>
              <w:rPr>
                <w:rFonts w:eastAsia="Times New Roman"/>
                <w:color w:val="000000"/>
                <w:sz w:val="20"/>
                <w:szCs w:val="20"/>
              </w:rPr>
              <w:t>1,615 </w:t>
            </w:r>
          </w:p>
        </w:tc>
        <w:tc>
          <w:tcPr>
            <w:tcW w:w="0" w:type="auto"/>
            <w:shd w:val="clear" w:color="auto" w:fill="CCEEFF"/>
            <w:tcMar>
              <w:top w:w="30" w:type="dxa"/>
              <w:left w:w="0" w:type="dxa"/>
              <w:bottom w:w="30" w:type="dxa"/>
              <w:right w:w="20" w:type="dxa"/>
            </w:tcMar>
            <w:vAlign w:val="bottom"/>
            <w:hideMark/>
          </w:tcPr>
          <w:p w:rsidR="00000000" w:rsidRDefault="00B132B6">
            <w:pPr>
              <w:spacing w:after="100"/>
              <w:jc w:val="right"/>
              <w:rPr>
                <w:rFonts w:eastAsia="Times New Roman"/>
              </w:rPr>
            </w:pPr>
          </w:p>
        </w:tc>
      </w:tr>
      <w:tr w:rsidR="00000000">
        <w:trPr>
          <w:divId w:val="1538084252"/>
        </w:trPr>
        <w:tc>
          <w:tcPr>
            <w:tcW w:w="0" w:type="auto"/>
            <w:gridSpan w:val="3"/>
            <w:shd w:val="clear" w:color="auto" w:fill="FFFFFF"/>
            <w:tcMar>
              <w:top w:w="30" w:type="dxa"/>
              <w:left w:w="20" w:type="dxa"/>
              <w:bottom w:w="30" w:type="dxa"/>
              <w:right w:w="20" w:type="dxa"/>
            </w:tcMar>
            <w:hideMark/>
          </w:tcPr>
          <w:p w:rsidR="00000000" w:rsidRDefault="00B132B6">
            <w:pPr>
              <w:spacing w:after="100"/>
              <w:rPr>
                <w:rFonts w:eastAsia="Times New Roman"/>
              </w:rPr>
            </w:pPr>
            <w:r>
              <w:rPr>
                <w:rFonts w:eastAsia="Times New Roman"/>
                <w:color w:val="000000"/>
                <w:sz w:val="20"/>
                <w:szCs w:val="20"/>
              </w:rPr>
              <w:t>5 Victory lane, Suite 203 &amp; 204, Liberty, MO</w:t>
            </w:r>
          </w:p>
        </w:tc>
        <w:tc>
          <w:tcPr>
            <w:tcW w:w="0" w:type="auto"/>
            <w:gridSpan w:val="3"/>
            <w:shd w:val="clear" w:color="auto" w:fill="FFFFFF"/>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B132B6">
            <w:pPr>
              <w:spacing w:after="100"/>
              <w:jc w:val="right"/>
              <w:rPr>
                <w:rFonts w:eastAsia="Times New Roman"/>
              </w:rPr>
            </w:pPr>
            <w:r>
              <w:rPr>
                <w:rFonts w:eastAsia="Times New Roman"/>
                <w:color w:val="000000"/>
                <w:sz w:val="20"/>
                <w:szCs w:val="20"/>
              </w:rPr>
              <w:t>1,667 </w:t>
            </w:r>
          </w:p>
        </w:tc>
        <w:tc>
          <w:tcPr>
            <w:tcW w:w="0" w:type="auto"/>
            <w:shd w:val="clear" w:color="auto" w:fill="FFFFFF"/>
            <w:tcMar>
              <w:top w:w="30" w:type="dxa"/>
              <w:left w:w="0" w:type="dxa"/>
              <w:bottom w:w="30" w:type="dxa"/>
              <w:right w:w="20" w:type="dxa"/>
            </w:tcMar>
            <w:hideMark/>
          </w:tcPr>
          <w:p w:rsidR="00000000" w:rsidRDefault="00B132B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32B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132B6">
            <w:pPr>
              <w:spacing w:after="100"/>
              <w:jc w:val="right"/>
              <w:rPr>
                <w:rFonts w:eastAsia="Times New Roman"/>
              </w:rPr>
            </w:pPr>
            <w:r>
              <w:rPr>
                <w:rFonts w:eastAsia="Times New Roman"/>
                <w:color w:val="000000"/>
                <w:sz w:val="20"/>
                <w:szCs w:val="20"/>
              </w:rPr>
              <w:t>Leased</w:t>
            </w:r>
          </w:p>
        </w:tc>
        <w:tc>
          <w:tcPr>
            <w:tcW w:w="0" w:type="auto"/>
            <w:gridSpan w:val="3"/>
            <w:shd w:val="clear" w:color="auto" w:fill="FFFFFF"/>
            <w:tcMar>
              <w:top w:w="30" w:type="dxa"/>
              <w:left w:w="20" w:type="dxa"/>
              <w:bottom w:w="30" w:type="dxa"/>
              <w:right w:w="20" w:type="dxa"/>
            </w:tcMar>
            <w:vAlign w:val="bottom"/>
            <w:hideMark/>
          </w:tcPr>
          <w:p w:rsidR="00000000" w:rsidRDefault="00B132B6">
            <w:pPr>
              <w:spacing w:after="100"/>
              <w:rPr>
                <w:rFonts w:eastAsia="Times New Roman"/>
              </w:rPr>
            </w:pPr>
            <w:r>
              <w:rPr>
                <w:rFonts w:eastAsia="Times New Roman"/>
                <w:color w:val="000000"/>
                <w:sz w:val="20"/>
                <w:szCs w:val="20"/>
              </w:rPr>
              <w:t>(3)</w:t>
            </w:r>
          </w:p>
        </w:tc>
        <w:tc>
          <w:tcPr>
            <w:tcW w:w="0" w:type="auto"/>
            <w:gridSpan w:val="3"/>
            <w:shd w:val="clear" w:color="auto" w:fill="FFFFFF"/>
            <w:tcMar>
              <w:top w:w="30" w:type="dxa"/>
              <w:left w:w="20" w:type="dxa"/>
              <w:bottom w:w="30" w:type="dxa"/>
              <w:right w:w="20" w:type="dxa"/>
            </w:tcMar>
            <w:vAlign w:val="bottom"/>
            <w:hideMark/>
          </w:tcPr>
          <w:p w:rsidR="00000000" w:rsidRDefault="00B132B6">
            <w:pPr>
              <w:spacing w:after="100"/>
              <w:jc w:val="right"/>
              <w:rPr>
                <w:rFonts w:eastAsia="Times New Roman"/>
              </w:rPr>
            </w:pPr>
            <w:r>
              <w:rPr>
                <w:rFonts w:eastAsia="Times New Roman"/>
                <w:color w:val="000000"/>
                <w:sz w:val="20"/>
                <w:szCs w:val="20"/>
              </w:rPr>
              <w:t>$                N/A</w:t>
            </w:r>
          </w:p>
        </w:tc>
      </w:tr>
      <w:tr w:rsidR="00000000">
        <w:trPr>
          <w:divId w:val="1538084252"/>
        </w:trPr>
        <w:tc>
          <w:tcPr>
            <w:tcW w:w="0" w:type="auto"/>
            <w:gridSpan w:val="3"/>
            <w:shd w:val="clear" w:color="auto" w:fill="CCEEFF"/>
            <w:tcMar>
              <w:top w:w="30" w:type="dxa"/>
              <w:left w:w="20" w:type="dxa"/>
              <w:bottom w:w="30" w:type="dxa"/>
              <w:right w:w="20" w:type="dxa"/>
            </w:tcMar>
            <w:hideMark/>
          </w:tcPr>
          <w:p w:rsidR="00000000" w:rsidRDefault="00B132B6">
            <w:pPr>
              <w:spacing w:after="100"/>
              <w:rPr>
                <w:rFonts w:eastAsia="Times New Roman"/>
              </w:rPr>
            </w:pPr>
            <w:r>
              <w:rPr>
                <w:rFonts w:eastAsia="Times New Roman"/>
                <w:color w:val="000000"/>
                <w:sz w:val="20"/>
                <w:szCs w:val="20"/>
              </w:rPr>
              <w:t>335 Chestnut, Osceola, MO</w:t>
            </w:r>
          </w:p>
        </w:tc>
        <w:tc>
          <w:tcPr>
            <w:tcW w:w="0" w:type="auto"/>
            <w:gridSpan w:val="3"/>
            <w:shd w:val="clear" w:color="auto" w:fill="CCEEFF"/>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B132B6">
            <w:pPr>
              <w:spacing w:after="100"/>
              <w:jc w:val="right"/>
              <w:rPr>
                <w:rFonts w:eastAsia="Times New Roman"/>
              </w:rPr>
            </w:pPr>
            <w:r>
              <w:rPr>
                <w:rFonts w:eastAsia="Times New Roman"/>
                <w:color w:val="000000"/>
                <w:sz w:val="20"/>
                <w:szCs w:val="20"/>
              </w:rPr>
              <w:t>1,580 </w:t>
            </w:r>
          </w:p>
        </w:tc>
        <w:tc>
          <w:tcPr>
            <w:tcW w:w="0" w:type="auto"/>
            <w:shd w:val="clear" w:color="auto" w:fill="CCEEFF"/>
            <w:tcMar>
              <w:top w:w="30" w:type="dxa"/>
              <w:left w:w="0" w:type="dxa"/>
              <w:bottom w:w="30" w:type="dxa"/>
              <w:right w:w="20" w:type="dxa"/>
            </w:tcMar>
            <w:hideMark/>
          </w:tcPr>
          <w:p w:rsidR="00000000" w:rsidRDefault="00B132B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32B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132B6">
            <w:pPr>
              <w:spacing w:after="100"/>
              <w:jc w:val="right"/>
              <w:rPr>
                <w:rFonts w:eastAsia="Times New Roman"/>
              </w:rPr>
            </w:pPr>
            <w:r>
              <w:rPr>
                <w:rFonts w:eastAsia="Times New Roman"/>
                <w:color w:val="000000"/>
                <w:sz w:val="20"/>
                <w:szCs w:val="20"/>
              </w:rPr>
              <w:t>Owned</w:t>
            </w:r>
          </w:p>
        </w:tc>
        <w:tc>
          <w:tcPr>
            <w:tcW w:w="0" w:type="auto"/>
            <w:gridSpan w:val="3"/>
            <w:shd w:val="clear" w:color="auto" w:fill="CCEEFF"/>
            <w:tcMar>
              <w:top w:w="0" w:type="dxa"/>
              <w:left w:w="20" w:type="dxa"/>
              <w:bottom w:w="0" w:type="dxa"/>
              <w:right w:w="20" w:type="dxa"/>
            </w:tcMar>
            <w:vAlign w:val="center"/>
            <w:hideMark/>
          </w:tcPr>
          <w:p w:rsidR="00000000" w:rsidRDefault="00B132B6">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132B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32B6">
            <w:pPr>
              <w:spacing w:after="100"/>
              <w:jc w:val="right"/>
              <w:rPr>
                <w:rFonts w:eastAsia="Times New Roman"/>
              </w:rPr>
            </w:pPr>
            <w:r>
              <w:rPr>
                <w:rFonts w:eastAsia="Times New Roman"/>
                <w:color w:val="000000"/>
                <w:sz w:val="20"/>
                <w:szCs w:val="20"/>
              </w:rPr>
              <w:t>55 </w:t>
            </w:r>
          </w:p>
        </w:tc>
        <w:tc>
          <w:tcPr>
            <w:tcW w:w="0" w:type="auto"/>
            <w:shd w:val="clear" w:color="auto" w:fill="CCEEFF"/>
            <w:tcMar>
              <w:top w:w="30" w:type="dxa"/>
              <w:left w:w="0" w:type="dxa"/>
              <w:bottom w:w="30" w:type="dxa"/>
              <w:right w:w="20" w:type="dxa"/>
            </w:tcMar>
            <w:vAlign w:val="bottom"/>
            <w:hideMark/>
          </w:tcPr>
          <w:p w:rsidR="00000000" w:rsidRDefault="00B132B6">
            <w:pPr>
              <w:spacing w:after="100"/>
              <w:jc w:val="right"/>
              <w:rPr>
                <w:rFonts w:eastAsia="Times New Roman"/>
              </w:rPr>
            </w:pPr>
          </w:p>
        </w:tc>
      </w:tr>
      <w:tr w:rsidR="00000000">
        <w:trPr>
          <w:divId w:val="1538084252"/>
        </w:trPr>
        <w:tc>
          <w:tcPr>
            <w:tcW w:w="0" w:type="auto"/>
            <w:gridSpan w:val="3"/>
            <w:shd w:val="clear" w:color="auto" w:fill="FFFFFF"/>
            <w:tcMar>
              <w:top w:w="30" w:type="dxa"/>
              <w:left w:w="20" w:type="dxa"/>
              <w:bottom w:w="30" w:type="dxa"/>
              <w:right w:w="20" w:type="dxa"/>
            </w:tcMar>
            <w:hideMark/>
          </w:tcPr>
          <w:p w:rsidR="00000000" w:rsidRDefault="00B132B6">
            <w:pPr>
              <w:spacing w:after="100"/>
              <w:rPr>
                <w:rFonts w:eastAsia="Times New Roman"/>
              </w:rPr>
            </w:pPr>
            <w:r>
              <w:rPr>
                <w:rFonts w:eastAsia="Times New Roman"/>
                <w:color w:val="000000"/>
                <w:sz w:val="20"/>
                <w:szCs w:val="20"/>
              </w:rPr>
              <w:t>595 VFW Memorial Drive, St. Robert, MO</w:t>
            </w:r>
          </w:p>
        </w:tc>
        <w:tc>
          <w:tcPr>
            <w:tcW w:w="0" w:type="auto"/>
            <w:gridSpan w:val="3"/>
            <w:shd w:val="clear" w:color="auto" w:fill="FFFFFF"/>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B132B6">
            <w:pPr>
              <w:spacing w:after="100"/>
              <w:jc w:val="right"/>
              <w:rPr>
                <w:rFonts w:eastAsia="Times New Roman"/>
              </w:rPr>
            </w:pPr>
            <w:r>
              <w:rPr>
                <w:rFonts w:eastAsia="Times New Roman"/>
                <w:color w:val="000000"/>
                <w:sz w:val="20"/>
                <w:szCs w:val="20"/>
              </w:rPr>
              <w:t>2,236 </w:t>
            </w:r>
          </w:p>
        </w:tc>
        <w:tc>
          <w:tcPr>
            <w:tcW w:w="0" w:type="auto"/>
            <w:shd w:val="clear" w:color="auto" w:fill="FFFFFF"/>
            <w:tcMar>
              <w:top w:w="30" w:type="dxa"/>
              <w:left w:w="0" w:type="dxa"/>
              <w:bottom w:w="30" w:type="dxa"/>
              <w:right w:w="20" w:type="dxa"/>
            </w:tcMar>
            <w:hideMark/>
          </w:tcPr>
          <w:p w:rsidR="00000000" w:rsidRDefault="00B132B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32B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132B6">
            <w:pPr>
              <w:spacing w:after="100"/>
              <w:jc w:val="right"/>
              <w:rPr>
                <w:rFonts w:eastAsia="Times New Roman"/>
              </w:rPr>
            </w:pPr>
            <w:r>
              <w:rPr>
                <w:rFonts w:eastAsia="Times New Roman"/>
                <w:color w:val="000000"/>
                <w:sz w:val="20"/>
                <w:szCs w:val="20"/>
              </w:rPr>
              <w:t>Owned</w:t>
            </w:r>
          </w:p>
        </w:tc>
        <w:tc>
          <w:tcPr>
            <w:tcW w:w="0" w:type="auto"/>
            <w:gridSpan w:val="3"/>
            <w:shd w:val="clear" w:color="auto" w:fill="FFFFFF"/>
            <w:tcMar>
              <w:top w:w="0" w:type="dxa"/>
              <w:left w:w="20" w:type="dxa"/>
              <w:bottom w:w="0" w:type="dxa"/>
              <w:right w:w="20" w:type="dxa"/>
            </w:tcMar>
            <w:vAlign w:val="center"/>
            <w:hideMark/>
          </w:tcPr>
          <w:p w:rsidR="00000000" w:rsidRDefault="00B132B6">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132B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32B6">
            <w:pPr>
              <w:spacing w:after="100"/>
              <w:jc w:val="right"/>
              <w:rPr>
                <w:rFonts w:eastAsia="Times New Roman"/>
              </w:rPr>
            </w:pPr>
            <w:r>
              <w:rPr>
                <w:rFonts w:eastAsia="Times New Roman"/>
                <w:color w:val="000000"/>
                <w:sz w:val="20"/>
                <w:szCs w:val="20"/>
              </w:rPr>
              <w:t>59 </w:t>
            </w:r>
          </w:p>
        </w:tc>
        <w:tc>
          <w:tcPr>
            <w:tcW w:w="0" w:type="auto"/>
            <w:shd w:val="clear" w:color="auto" w:fill="FFFFFF"/>
            <w:tcMar>
              <w:top w:w="30" w:type="dxa"/>
              <w:left w:w="0" w:type="dxa"/>
              <w:bottom w:w="30" w:type="dxa"/>
              <w:right w:w="20" w:type="dxa"/>
            </w:tcMar>
            <w:vAlign w:val="bottom"/>
            <w:hideMark/>
          </w:tcPr>
          <w:p w:rsidR="00000000" w:rsidRDefault="00B132B6">
            <w:pPr>
              <w:spacing w:after="100"/>
              <w:jc w:val="right"/>
              <w:rPr>
                <w:rFonts w:eastAsia="Times New Roman"/>
              </w:rPr>
            </w:pPr>
          </w:p>
        </w:tc>
      </w:tr>
      <w:tr w:rsidR="00000000">
        <w:trPr>
          <w:divId w:val="1538084252"/>
        </w:trPr>
        <w:tc>
          <w:tcPr>
            <w:tcW w:w="0" w:type="auto"/>
            <w:gridSpan w:val="3"/>
            <w:shd w:val="clear" w:color="auto" w:fill="CCEEFF"/>
            <w:tcMar>
              <w:top w:w="30" w:type="dxa"/>
              <w:left w:w="20" w:type="dxa"/>
              <w:bottom w:w="30" w:type="dxa"/>
              <w:right w:w="20" w:type="dxa"/>
            </w:tcMar>
            <w:hideMark/>
          </w:tcPr>
          <w:p w:rsidR="00000000" w:rsidRDefault="00B132B6">
            <w:pPr>
              <w:spacing w:after="100"/>
              <w:rPr>
                <w:rFonts w:eastAsia="Times New Roman"/>
              </w:rPr>
            </w:pPr>
            <w:r>
              <w:rPr>
                <w:rFonts w:eastAsia="Times New Roman"/>
                <w:color w:val="000000"/>
                <w:sz w:val="20"/>
                <w:szCs w:val="20"/>
              </w:rPr>
              <w:t>321 West Battlefield, Springfield, MO</w:t>
            </w:r>
          </w:p>
        </w:tc>
        <w:tc>
          <w:tcPr>
            <w:tcW w:w="0" w:type="auto"/>
            <w:gridSpan w:val="3"/>
            <w:shd w:val="clear" w:color="auto" w:fill="CCEEFF"/>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B132B6">
            <w:pPr>
              <w:spacing w:after="100"/>
              <w:jc w:val="right"/>
              <w:rPr>
                <w:rFonts w:eastAsia="Times New Roman"/>
              </w:rPr>
            </w:pPr>
            <w:r>
              <w:rPr>
                <w:rFonts w:eastAsia="Times New Roman"/>
                <w:color w:val="000000"/>
                <w:sz w:val="20"/>
                <w:szCs w:val="20"/>
              </w:rPr>
              <w:t>12,500 </w:t>
            </w:r>
          </w:p>
        </w:tc>
        <w:tc>
          <w:tcPr>
            <w:tcW w:w="0" w:type="auto"/>
            <w:shd w:val="clear" w:color="auto" w:fill="CCEEFF"/>
            <w:tcMar>
              <w:top w:w="30" w:type="dxa"/>
              <w:left w:w="0" w:type="dxa"/>
              <w:bottom w:w="30" w:type="dxa"/>
              <w:right w:w="20" w:type="dxa"/>
            </w:tcMar>
            <w:hideMark/>
          </w:tcPr>
          <w:p w:rsidR="00000000" w:rsidRDefault="00B132B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32B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132B6">
            <w:pPr>
              <w:spacing w:after="100"/>
              <w:jc w:val="right"/>
              <w:rPr>
                <w:rFonts w:eastAsia="Times New Roman"/>
              </w:rPr>
            </w:pPr>
            <w:r>
              <w:rPr>
                <w:rFonts w:eastAsia="Times New Roman"/>
                <w:color w:val="000000"/>
                <w:sz w:val="20"/>
                <w:szCs w:val="20"/>
              </w:rPr>
              <w:t>Owned</w:t>
            </w:r>
          </w:p>
        </w:tc>
        <w:tc>
          <w:tcPr>
            <w:tcW w:w="0" w:type="auto"/>
            <w:gridSpan w:val="3"/>
            <w:shd w:val="clear" w:color="auto" w:fill="CCEEFF"/>
            <w:tcMar>
              <w:top w:w="0" w:type="dxa"/>
              <w:left w:w="20" w:type="dxa"/>
              <w:bottom w:w="0" w:type="dxa"/>
              <w:right w:w="20" w:type="dxa"/>
            </w:tcMar>
            <w:vAlign w:val="center"/>
            <w:hideMark/>
          </w:tcPr>
          <w:p w:rsidR="00000000" w:rsidRDefault="00B132B6">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132B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132B6">
            <w:pPr>
              <w:spacing w:after="100"/>
              <w:jc w:val="right"/>
              <w:rPr>
                <w:rFonts w:eastAsia="Times New Roman"/>
              </w:rPr>
            </w:pPr>
            <w:r>
              <w:rPr>
                <w:rFonts w:eastAsia="Times New Roman"/>
                <w:color w:val="000000"/>
                <w:sz w:val="20"/>
                <w:szCs w:val="20"/>
              </w:rPr>
              <w:t>961 </w:t>
            </w:r>
          </w:p>
        </w:tc>
        <w:tc>
          <w:tcPr>
            <w:tcW w:w="0" w:type="auto"/>
            <w:shd w:val="clear" w:color="auto" w:fill="CCEEFF"/>
            <w:tcMar>
              <w:top w:w="30" w:type="dxa"/>
              <w:left w:w="0" w:type="dxa"/>
              <w:bottom w:w="30" w:type="dxa"/>
              <w:right w:w="20" w:type="dxa"/>
            </w:tcMar>
            <w:vAlign w:val="bottom"/>
            <w:hideMark/>
          </w:tcPr>
          <w:p w:rsidR="00000000" w:rsidRDefault="00B132B6">
            <w:pPr>
              <w:spacing w:after="100"/>
              <w:jc w:val="right"/>
              <w:rPr>
                <w:rFonts w:eastAsia="Times New Roman"/>
              </w:rPr>
            </w:pPr>
          </w:p>
        </w:tc>
      </w:tr>
      <w:tr w:rsidR="00000000">
        <w:trPr>
          <w:divId w:val="1538084252"/>
        </w:trPr>
        <w:tc>
          <w:tcPr>
            <w:tcW w:w="0" w:type="auto"/>
            <w:gridSpan w:val="3"/>
            <w:shd w:val="clear" w:color="auto" w:fill="FFFFFF"/>
            <w:tcMar>
              <w:top w:w="30" w:type="dxa"/>
              <w:left w:w="20" w:type="dxa"/>
              <w:bottom w:w="30" w:type="dxa"/>
              <w:right w:w="20" w:type="dxa"/>
            </w:tcMar>
            <w:hideMark/>
          </w:tcPr>
          <w:p w:rsidR="00000000" w:rsidRDefault="00B132B6">
            <w:pPr>
              <w:spacing w:after="100"/>
              <w:rPr>
                <w:rFonts w:eastAsia="Times New Roman"/>
              </w:rPr>
            </w:pPr>
            <w:r>
              <w:rPr>
                <w:rFonts w:eastAsia="Times New Roman"/>
                <w:color w:val="000000"/>
                <w:sz w:val="20"/>
                <w:szCs w:val="20"/>
              </w:rPr>
              <w:t>1891 Commercial Drive, Warsaw, MO</w:t>
            </w:r>
          </w:p>
        </w:tc>
        <w:tc>
          <w:tcPr>
            <w:tcW w:w="0" w:type="auto"/>
            <w:gridSpan w:val="3"/>
            <w:shd w:val="clear" w:color="auto" w:fill="FFFFFF"/>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B132B6">
            <w:pPr>
              <w:spacing w:after="100"/>
              <w:jc w:val="right"/>
              <w:rPr>
                <w:rFonts w:eastAsia="Times New Roman"/>
              </w:rPr>
            </w:pPr>
            <w:r>
              <w:rPr>
                <w:rFonts w:eastAsia="Times New Roman"/>
                <w:color w:val="000000"/>
                <w:sz w:val="20"/>
                <w:szCs w:val="20"/>
              </w:rPr>
              <w:t>11,000 </w:t>
            </w:r>
          </w:p>
        </w:tc>
        <w:tc>
          <w:tcPr>
            <w:tcW w:w="0" w:type="auto"/>
            <w:shd w:val="clear" w:color="auto" w:fill="FFFFFF"/>
            <w:tcMar>
              <w:top w:w="30" w:type="dxa"/>
              <w:left w:w="0" w:type="dxa"/>
              <w:bottom w:w="30" w:type="dxa"/>
              <w:right w:w="20" w:type="dxa"/>
            </w:tcMar>
            <w:hideMark/>
          </w:tcPr>
          <w:p w:rsidR="00000000" w:rsidRDefault="00B132B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132B6">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132B6">
            <w:pPr>
              <w:spacing w:after="100"/>
              <w:jc w:val="right"/>
              <w:rPr>
                <w:rFonts w:eastAsia="Times New Roman"/>
              </w:rPr>
            </w:pPr>
            <w:r>
              <w:rPr>
                <w:rFonts w:eastAsia="Times New Roman"/>
                <w:color w:val="000000"/>
                <w:sz w:val="20"/>
                <w:szCs w:val="20"/>
              </w:rPr>
              <w:t>Owned</w:t>
            </w:r>
          </w:p>
        </w:tc>
        <w:tc>
          <w:tcPr>
            <w:tcW w:w="0" w:type="auto"/>
            <w:gridSpan w:val="3"/>
            <w:shd w:val="clear" w:color="auto" w:fill="FFFFFF"/>
            <w:tcMar>
              <w:top w:w="0" w:type="dxa"/>
              <w:left w:w="20" w:type="dxa"/>
              <w:bottom w:w="0" w:type="dxa"/>
              <w:right w:w="20" w:type="dxa"/>
            </w:tcMar>
            <w:vAlign w:val="center"/>
            <w:hideMark/>
          </w:tcPr>
          <w:p w:rsidR="00000000" w:rsidRDefault="00B132B6">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132B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132B6">
            <w:pPr>
              <w:spacing w:after="100"/>
              <w:jc w:val="right"/>
              <w:rPr>
                <w:rFonts w:eastAsia="Times New Roman"/>
              </w:rPr>
            </w:pPr>
            <w:r>
              <w:rPr>
                <w:rFonts w:eastAsia="Times New Roman"/>
                <w:color w:val="000000"/>
                <w:sz w:val="20"/>
                <w:szCs w:val="20"/>
              </w:rPr>
              <w:t>1,258 </w:t>
            </w:r>
          </w:p>
        </w:tc>
        <w:tc>
          <w:tcPr>
            <w:tcW w:w="0" w:type="auto"/>
            <w:shd w:val="clear" w:color="auto" w:fill="FFFFFF"/>
            <w:tcMar>
              <w:top w:w="30" w:type="dxa"/>
              <w:left w:w="0" w:type="dxa"/>
              <w:bottom w:w="30" w:type="dxa"/>
              <w:right w:w="20" w:type="dxa"/>
            </w:tcMar>
            <w:vAlign w:val="bottom"/>
            <w:hideMark/>
          </w:tcPr>
          <w:p w:rsidR="00000000" w:rsidRDefault="00B132B6">
            <w:pPr>
              <w:spacing w:after="100"/>
              <w:jc w:val="right"/>
              <w:rPr>
                <w:rFonts w:eastAsia="Times New Roman"/>
              </w:rPr>
            </w:pPr>
          </w:p>
        </w:tc>
      </w:tr>
      <w:tr w:rsidR="00000000">
        <w:trPr>
          <w:divId w:val="1538084252"/>
        </w:trPr>
        <w:tc>
          <w:tcPr>
            <w:tcW w:w="0" w:type="auto"/>
            <w:gridSpan w:val="3"/>
            <w:shd w:val="clear" w:color="auto" w:fill="CCEEFF"/>
            <w:tcMar>
              <w:top w:w="30" w:type="dxa"/>
              <w:left w:w="20" w:type="dxa"/>
              <w:bottom w:w="30" w:type="dxa"/>
              <w:right w:w="20" w:type="dxa"/>
            </w:tcMar>
            <w:hideMark/>
          </w:tcPr>
          <w:p w:rsidR="00000000" w:rsidRDefault="00B132B6">
            <w:pPr>
              <w:spacing w:after="100"/>
              <w:rPr>
                <w:rFonts w:eastAsia="Times New Roman"/>
              </w:rPr>
            </w:pPr>
            <w:r>
              <w:rPr>
                <w:rFonts w:eastAsia="Times New Roman"/>
                <w:color w:val="000000"/>
                <w:sz w:val="20"/>
                <w:szCs w:val="20"/>
              </w:rPr>
              <w:t xml:space="preserve">12250 Weber Hill Rd Suite 125, St. Louis, MO </w:t>
            </w:r>
          </w:p>
        </w:tc>
        <w:tc>
          <w:tcPr>
            <w:tcW w:w="0" w:type="auto"/>
            <w:gridSpan w:val="3"/>
            <w:shd w:val="clear" w:color="auto" w:fill="CCEEFF"/>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B132B6">
            <w:pPr>
              <w:spacing w:after="100"/>
              <w:jc w:val="right"/>
              <w:rPr>
                <w:rFonts w:eastAsia="Times New Roman"/>
              </w:rPr>
            </w:pPr>
            <w:r>
              <w:rPr>
                <w:rFonts w:eastAsia="Times New Roman"/>
                <w:color w:val="000000"/>
                <w:sz w:val="20"/>
                <w:szCs w:val="20"/>
              </w:rPr>
              <w:t>2,253 </w:t>
            </w:r>
          </w:p>
        </w:tc>
        <w:tc>
          <w:tcPr>
            <w:tcW w:w="0" w:type="auto"/>
            <w:shd w:val="clear" w:color="auto" w:fill="CCEEFF"/>
            <w:tcMar>
              <w:top w:w="30" w:type="dxa"/>
              <w:left w:w="0" w:type="dxa"/>
              <w:bottom w:w="30" w:type="dxa"/>
              <w:right w:w="20" w:type="dxa"/>
            </w:tcMar>
            <w:hideMark/>
          </w:tcPr>
          <w:p w:rsidR="00000000" w:rsidRDefault="00B132B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132B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132B6">
            <w:pPr>
              <w:spacing w:after="100"/>
              <w:jc w:val="right"/>
              <w:rPr>
                <w:rFonts w:eastAsia="Times New Roman"/>
              </w:rPr>
            </w:pPr>
            <w:r>
              <w:rPr>
                <w:rFonts w:eastAsia="Times New Roman"/>
                <w:color w:val="000000"/>
                <w:sz w:val="20"/>
                <w:szCs w:val="20"/>
              </w:rPr>
              <w:t>Leased</w:t>
            </w:r>
          </w:p>
        </w:tc>
        <w:tc>
          <w:tcPr>
            <w:tcW w:w="0" w:type="auto"/>
            <w:gridSpan w:val="3"/>
            <w:shd w:val="clear" w:color="auto" w:fill="CCEEFF"/>
            <w:tcMar>
              <w:top w:w="30" w:type="dxa"/>
              <w:left w:w="20" w:type="dxa"/>
              <w:bottom w:w="30" w:type="dxa"/>
              <w:right w:w="20" w:type="dxa"/>
            </w:tcMar>
            <w:vAlign w:val="bottom"/>
            <w:hideMark/>
          </w:tcPr>
          <w:p w:rsidR="00000000" w:rsidRDefault="00B132B6">
            <w:pPr>
              <w:spacing w:after="100"/>
              <w:rPr>
                <w:rFonts w:eastAsia="Times New Roman"/>
              </w:rPr>
            </w:pPr>
            <w:r>
              <w:rPr>
                <w:rFonts w:eastAsia="Times New Roman"/>
                <w:color w:val="000000"/>
                <w:sz w:val="20"/>
                <w:szCs w:val="20"/>
              </w:rPr>
              <w:t>(4)</w:t>
            </w:r>
          </w:p>
        </w:tc>
        <w:tc>
          <w:tcPr>
            <w:tcW w:w="0" w:type="auto"/>
            <w:gridSpan w:val="3"/>
            <w:shd w:val="clear" w:color="auto" w:fill="CCEEFF"/>
            <w:tcMar>
              <w:top w:w="30" w:type="dxa"/>
              <w:left w:w="20" w:type="dxa"/>
              <w:bottom w:w="30" w:type="dxa"/>
              <w:right w:w="20" w:type="dxa"/>
            </w:tcMar>
            <w:vAlign w:val="bottom"/>
            <w:hideMark/>
          </w:tcPr>
          <w:p w:rsidR="00000000" w:rsidRDefault="00B132B6">
            <w:pPr>
              <w:spacing w:after="100"/>
              <w:jc w:val="right"/>
              <w:rPr>
                <w:rFonts w:eastAsia="Times New Roman"/>
              </w:rPr>
            </w:pPr>
            <w:r>
              <w:rPr>
                <w:rFonts w:eastAsia="Times New Roman"/>
                <w:color w:val="000000"/>
                <w:sz w:val="20"/>
                <w:szCs w:val="20"/>
              </w:rPr>
              <w:t>$                N/A</w:t>
            </w:r>
          </w:p>
        </w:tc>
      </w:tr>
    </w:tbl>
    <w:p w:rsidR="00000000" w:rsidRDefault="00B132B6">
      <w:pPr>
        <w:divId w:val="1927375131"/>
        <w:rPr>
          <w:rFonts w:eastAsia="Times New Roman"/>
        </w:rPr>
      </w:pPr>
      <w:r>
        <w:rPr>
          <w:rFonts w:eastAsia="Times New Roman"/>
          <w:color w:val="000000"/>
          <w:sz w:val="20"/>
          <w:szCs w:val="20"/>
        </w:rPr>
        <w:t>___________________________</w:t>
      </w:r>
    </w:p>
    <w:p w:rsidR="00000000" w:rsidRDefault="00B132B6">
      <w:pPr>
        <w:ind w:hanging="360"/>
        <w:divId w:val="1699818232"/>
        <w:rPr>
          <w:rFonts w:eastAsia="Times New Roman"/>
        </w:rPr>
      </w:pPr>
      <w:r>
        <w:rPr>
          <w:rFonts w:eastAsia="Times New Roman"/>
          <w:color w:val="000000"/>
          <w:sz w:val="20"/>
          <w:szCs w:val="20"/>
        </w:rPr>
        <w:t>(1)The term of this lease began in February 2019 and ends in January 2024.</w:t>
      </w:r>
    </w:p>
    <w:p w:rsidR="00000000" w:rsidRDefault="00B132B6">
      <w:pPr>
        <w:ind w:hanging="360"/>
        <w:divId w:val="2025856581"/>
        <w:rPr>
          <w:rFonts w:eastAsia="Times New Roman"/>
        </w:rPr>
      </w:pPr>
      <w:r>
        <w:rPr>
          <w:rFonts w:eastAsia="Times New Roman"/>
          <w:color w:val="000000"/>
          <w:sz w:val="20"/>
          <w:szCs w:val="20"/>
        </w:rPr>
        <w:t>(2)</w:t>
      </w:r>
      <w:r>
        <w:rPr>
          <w:rFonts w:eastAsia="Times New Roman"/>
          <w:color w:val="000000"/>
          <w:sz w:val="20"/>
          <w:szCs w:val="20"/>
        </w:rPr>
        <w:t>The term of this lease began in July 2018 and ends in July 2028.</w:t>
      </w:r>
    </w:p>
    <w:p w:rsidR="00000000" w:rsidRDefault="00B132B6">
      <w:pPr>
        <w:ind w:hanging="360"/>
        <w:divId w:val="1458913702"/>
        <w:rPr>
          <w:rFonts w:eastAsia="Times New Roman"/>
        </w:rPr>
      </w:pPr>
      <w:r>
        <w:rPr>
          <w:rFonts w:eastAsia="Times New Roman"/>
          <w:color w:val="000000"/>
          <w:sz w:val="20"/>
          <w:szCs w:val="20"/>
        </w:rPr>
        <w:t>(3)The term of this lease began in May 2022 and ends in April 2023.</w:t>
      </w:r>
    </w:p>
    <w:p w:rsidR="00000000" w:rsidRDefault="00B132B6">
      <w:pPr>
        <w:ind w:hanging="360"/>
        <w:divId w:val="731807691"/>
        <w:rPr>
          <w:rFonts w:eastAsia="Times New Roman"/>
        </w:rPr>
      </w:pPr>
      <w:r>
        <w:rPr>
          <w:rFonts w:eastAsia="Times New Roman"/>
          <w:color w:val="000000"/>
          <w:sz w:val="20"/>
          <w:szCs w:val="20"/>
        </w:rPr>
        <w:t>(4)</w:t>
      </w:r>
      <w:r>
        <w:rPr>
          <w:rFonts w:eastAsia="Times New Roman"/>
          <w:color w:val="000000"/>
          <w:sz w:val="20"/>
          <w:szCs w:val="20"/>
        </w:rPr>
        <w:t>The term of this lease began in November 2020 and ends in December 2023.</w:t>
      </w:r>
    </w:p>
    <w:p w:rsidR="00000000" w:rsidRDefault="00B132B6">
      <w:pPr>
        <w:ind w:firstLine="720"/>
        <w:jc w:val="both"/>
        <w:divId w:val="1270510951"/>
        <w:rPr>
          <w:rFonts w:eastAsia="Times New Roman"/>
        </w:rPr>
      </w:pPr>
      <w:r>
        <w:rPr>
          <w:rFonts w:eastAsia="Times New Roman"/>
          <w:color w:val="000000"/>
          <w:sz w:val="20"/>
          <w:szCs w:val="20"/>
        </w:rPr>
        <w:t>Management believes that the current condition of each of the Bank's facilities is adequate for its business and that such facilities are adequately covered by insurance.</w:t>
      </w:r>
    </w:p>
    <w:p w:rsidR="00000000" w:rsidRDefault="00B132B6">
      <w:pPr>
        <w:divId w:val="146212536"/>
        <w:rPr>
          <w:rFonts w:eastAsia="Times New Roman"/>
        </w:rPr>
      </w:pPr>
      <w:r>
        <w:rPr>
          <w:rFonts w:eastAsia="Times New Roman"/>
          <w:b/>
          <w:bCs/>
          <w:color w:val="000000"/>
          <w:sz w:val="20"/>
          <w:szCs w:val="20"/>
          <w:u w:val="single"/>
        </w:rPr>
        <w:t>Item 3</w:t>
      </w:r>
      <w:r>
        <w:rPr>
          <w:rFonts w:eastAsia="Times New Roman"/>
          <w:b/>
          <w:bCs/>
          <w:color w:val="000000"/>
          <w:sz w:val="20"/>
          <w:szCs w:val="20"/>
        </w:rPr>
        <w:t xml:space="preserve">. </w:t>
      </w:r>
      <w:r>
        <w:rPr>
          <w:rFonts w:eastAsia="Times New Roman"/>
          <w:b/>
          <w:bCs/>
          <w:color w:val="000000"/>
          <w:sz w:val="20"/>
          <w:szCs w:val="20"/>
          <w:u w:val="single"/>
        </w:rPr>
        <w:t>Lega</w:t>
      </w:r>
      <w:r>
        <w:rPr>
          <w:rFonts w:eastAsia="Times New Roman"/>
          <w:b/>
          <w:bCs/>
          <w:color w:val="000000"/>
          <w:sz w:val="20"/>
          <w:szCs w:val="20"/>
          <w:u w:val="single"/>
        </w:rPr>
        <w:t>l Proceedings</w:t>
      </w:r>
      <w:r>
        <w:rPr>
          <w:rFonts w:eastAsia="Times New Roman"/>
          <w:b/>
          <w:bCs/>
          <w:color w:val="000000"/>
          <w:sz w:val="20"/>
          <w:szCs w:val="20"/>
        </w:rPr>
        <w:t>.</w:t>
      </w:r>
    </w:p>
    <w:p w:rsidR="00000000" w:rsidRDefault="00B132B6">
      <w:pPr>
        <w:ind w:firstLine="720"/>
        <w:jc w:val="both"/>
        <w:divId w:val="1234045774"/>
        <w:rPr>
          <w:rFonts w:eastAsia="Times New Roman"/>
        </w:rPr>
      </w:pPr>
      <w:r>
        <w:rPr>
          <w:rFonts w:eastAsia="Times New Roman"/>
          <w:color w:val="000000"/>
          <w:sz w:val="20"/>
          <w:szCs w:val="20"/>
        </w:rPr>
        <w:t xml:space="preserve">The information required by this Item is set forth in Note 19, </w:t>
      </w:r>
      <w:r>
        <w:rPr>
          <w:rFonts w:eastAsia="Times New Roman"/>
          <w:i/>
          <w:iCs/>
          <w:color w:val="000000"/>
          <w:sz w:val="20"/>
          <w:szCs w:val="20"/>
        </w:rPr>
        <w:t>Commitments and Contingencies,</w:t>
      </w:r>
      <w:r>
        <w:rPr>
          <w:rFonts w:eastAsia="Times New Roman"/>
          <w:color w:val="000000"/>
          <w:sz w:val="20"/>
          <w:szCs w:val="20"/>
        </w:rPr>
        <w:t xml:space="preserve"> </w:t>
      </w:r>
      <w:r>
        <w:rPr>
          <w:rFonts w:eastAsia="Times New Roman"/>
          <w:color w:val="000000"/>
          <w:sz w:val="20"/>
          <w:szCs w:val="20"/>
        </w:rPr>
        <w:t>in the Company's consolidated financial statements, included in the Company's Annual Report to Shareholders for the year ended December 31, 2022, incorporated herein by reference.</w:t>
      </w:r>
    </w:p>
    <w:p w:rsidR="00000000" w:rsidRDefault="00B132B6">
      <w:pPr>
        <w:divId w:val="721055542"/>
        <w:rPr>
          <w:rFonts w:eastAsia="Times New Roman"/>
        </w:rPr>
      </w:pPr>
      <w:r>
        <w:rPr>
          <w:rFonts w:eastAsia="Times New Roman"/>
          <w:b/>
          <w:bCs/>
          <w:color w:val="000000"/>
          <w:sz w:val="20"/>
          <w:szCs w:val="20"/>
          <w:u w:val="single"/>
        </w:rPr>
        <w:t>Item 4</w:t>
      </w:r>
      <w:r>
        <w:rPr>
          <w:rFonts w:eastAsia="Times New Roman"/>
          <w:b/>
          <w:bCs/>
          <w:color w:val="000000"/>
          <w:sz w:val="20"/>
          <w:szCs w:val="20"/>
        </w:rPr>
        <w:t xml:space="preserve">. </w:t>
      </w:r>
      <w:r>
        <w:rPr>
          <w:rFonts w:eastAsia="Times New Roman"/>
          <w:b/>
          <w:bCs/>
          <w:color w:val="000000"/>
          <w:sz w:val="20"/>
          <w:szCs w:val="20"/>
          <w:u w:val="single"/>
        </w:rPr>
        <w:t>Mine Safety Disclosures</w:t>
      </w:r>
      <w:r>
        <w:rPr>
          <w:rFonts w:eastAsia="Times New Roman"/>
          <w:b/>
          <w:bCs/>
          <w:color w:val="000000"/>
          <w:sz w:val="20"/>
          <w:szCs w:val="20"/>
        </w:rPr>
        <w:t>.</w:t>
      </w:r>
    </w:p>
    <w:p w:rsidR="00000000" w:rsidRDefault="00B132B6">
      <w:pPr>
        <w:ind w:firstLine="720"/>
        <w:divId w:val="407926714"/>
        <w:rPr>
          <w:rFonts w:eastAsia="Times New Roman"/>
        </w:rPr>
      </w:pPr>
      <w:r>
        <w:rPr>
          <w:rFonts w:eastAsia="Times New Roman"/>
          <w:color w:val="000000"/>
          <w:sz w:val="20"/>
          <w:szCs w:val="20"/>
        </w:rPr>
        <w:t>Not applicable</w:t>
      </w:r>
    </w:p>
    <w:p w:rsidR="00000000" w:rsidRDefault="00B132B6">
      <w:pPr>
        <w:divId w:val="1401902167"/>
        <w:rPr>
          <w:rFonts w:eastAsia="Times New Roman"/>
        </w:rPr>
      </w:pPr>
      <w:r>
        <w:rPr>
          <w:rFonts w:eastAsia="Times New Roman"/>
          <w:b/>
          <w:bCs/>
          <w:color w:val="000000"/>
          <w:sz w:val="20"/>
          <w:szCs w:val="20"/>
          <w:u w:val="single"/>
        </w:rPr>
        <w:t>EXECUTIVE OFFICERS OF THE RE</w:t>
      </w:r>
      <w:r>
        <w:rPr>
          <w:rFonts w:eastAsia="Times New Roman"/>
          <w:b/>
          <w:bCs/>
          <w:color w:val="000000"/>
          <w:sz w:val="20"/>
          <w:szCs w:val="20"/>
          <w:u w:val="single"/>
        </w:rPr>
        <w:t>GISTRANT</w:t>
      </w:r>
    </w:p>
    <w:p w:rsidR="00000000" w:rsidRDefault="00B132B6">
      <w:pPr>
        <w:ind w:firstLine="720"/>
        <w:jc w:val="both"/>
        <w:divId w:val="1052313533"/>
        <w:rPr>
          <w:rFonts w:eastAsia="Times New Roman"/>
        </w:rPr>
      </w:pPr>
      <w:r>
        <w:rPr>
          <w:rFonts w:eastAsia="Times New Roman"/>
          <w:color w:val="000000"/>
          <w:sz w:val="20"/>
          <w:szCs w:val="20"/>
        </w:rPr>
        <w:t>Executive officers of the Company are appointed by the board of directors and serve at the discretion of the board. The following table sets forth certain information with respect to all executive officers of the Company.</w:t>
      </w:r>
    </w:p>
    <w:p w:rsidR="00000000" w:rsidRDefault="00B132B6">
      <w:pPr>
        <w:jc w:val="center"/>
        <w:divId w:val="1731801792"/>
        <w:rPr>
          <w:rFonts w:eastAsia="Times New Roman"/>
        </w:rPr>
      </w:pPr>
      <w:r>
        <w:rPr>
          <w:rFonts w:eastAsia="Times New Roman"/>
          <w:color w:val="000000"/>
          <w:sz w:val="20"/>
          <w:szCs w:val="20"/>
        </w:rPr>
        <w:t>24</w:t>
      </w:r>
    </w:p>
    <w:p w:rsidR="00000000" w:rsidRDefault="00B132B6">
      <w:pPr>
        <w:rPr>
          <w:rFonts w:eastAsia="Times New Roman"/>
        </w:rPr>
      </w:pPr>
      <w:r>
        <w:rPr>
          <w:rFonts w:eastAsia="Times New Roman"/>
        </w:rPr>
        <w:pict>
          <v:rect id="_x0000_i1048" style="width:0;height:1.5pt" o:hralign="center" o:hrstd="t" o:hr="t" fillcolor="#a0a0a0" stroked="f"/>
        </w:pict>
      </w:r>
    </w:p>
    <w:p w:rsidR="00000000" w:rsidRDefault="00B132B6">
      <w:pPr>
        <w:divId w:val="65079786"/>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49"/>
        <w:gridCol w:w="3638"/>
        <w:gridCol w:w="38"/>
        <w:gridCol w:w="36"/>
        <w:gridCol w:w="36"/>
        <w:gridCol w:w="36"/>
        <w:gridCol w:w="49"/>
        <w:gridCol w:w="542"/>
        <w:gridCol w:w="36"/>
        <w:gridCol w:w="36"/>
        <w:gridCol w:w="36"/>
        <w:gridCol w:w="36"/>
        <w:gridCol w:w="50"/>
        <w:gridCol w:w="3639"/>
        <w:gridCol w:w="36"/>
      </w:tblGrid>
      <w:tr w:rsidR="00000000">
        <w:trPr>
          <w:divId w:val="1121462819"/>
        </w:trPr>
        <w:tc>
          <w:tcPr>
            <w:tcW w:w="50" w:type="pct"/>
            <w:vAlign w:val="center"/>
            <w:hideMark/>
          </w:tcPr>
          <w:p w:rsidR="00000000" w:rsidRDefault="00B132B6">
            <w:pPr>
              <w:rPr>
                <w:rFonts w:eastAsia="Times New Roman"/>
              </w:rPr>
            </w:pPr>
          </w:p>
        </w:tc>
        <w:tc>
          <w:tcPr>
            <w:tcW w:w="2213"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c>
          <w:tcPr>
            <w:tcW w:w="20"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c>
          <w:tcPr>
            <w:tcW w:w="50" w:type="pct"/>
            <w:vAlign w:val="center"/>
            <w:hideMark/>
          </w:tcPr>
          <w:p w:rsidR="00000000" w:rsidRDefault="00B132B6">
            <w:pPr>
              <w:spacing w:after="100"/>
              <w:rPr>
                <w:rFonts w:eastAsia="Times New Roman"/>
                <w:sz w:val="20"/>
                <w:szCs w:val="20"/>
              </w:rPr>
            </w:pPr>
          </w:p>
        </w:tc>
        <w:tc>
          <w:tcPr>
            <w:tcW w:w="347"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c>
          <w:tcPr>
            <w:tcW w:w="20"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c>
          <w:tcPr>
            <w:tcW w:w="50" w:type="pct"/>
            <w:vAlign w:val="center"/>
            <w:hideMark/>
          </w:tcPr>
          <w:p w:rsidR="00000000" w:rsidRDefault="00B132B6">
            <w:pPr>
              <w:spacing w:after="100"/>
              <w:rPr>
                <w:rFonts w:eastAsia="Times New Roman"/>
                <w:sz w:val="20"/>
                <w:szCs w:val="20"/>
              </w:rPr>
            </w:pPr>
          </w:p>
        </w:tc>
        <w:tc>
          <w:tcPr>
            <w:tcW w:w="2213"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r>
      <w:tr w:rsidR="00000000">
        <w:trPr>
          <w:divId w:val="1121462819"/>
        </w:trPr>
        <w:tc>
          <w:tcPr>
            <w:tcW w:w="0" w:type="auto"/>
            <w:gridSpan w:val="3"/>
            <w:tcMar>
              <w:top w:w="30" w:type="dxa"/>
              <w:left w:w="20" w:type="dxa"/>
              <w:bottom w:w="30" w:type="dxa"/>
              <w:right w:w="20" w:type="dxa"/>
            </w:tcMar>
            <w:vAlign w:val="bottom"/>
            <w:hideMark/>
          </w:tcPr>
          <w:p w:rsidR="00000000" w:rsidRDefault="00B132B6">
            <w:pPr>
              <w:spacing w:after="100"/>
              <w:jc w:val="center"/>
              <w:rPr>
                <w:rFonts w:eastAsia="Times New Roman"/>
              </w:rPr>
            </w:pPr>
            <w:r>
              <w:rPr>
                <w:rFonts w:eastAsia="Times New Roman"/>
                <w:b/>
                <w:bCs/>
                <w:color w:val="000000"/>
                <w:sz w:val="16"/>
                <w:szCs w:val="16"/>
              </w:rPr>
              <w:t>Name</w:t>
            </w:r>
          </w:p>
        </w:tc>
        <w:tc>
          <w:tcPr>
            <w:tcW w:w="0" w:type="auto"/>
            <w:gridSpan w:val="3"/>
            <w:tcMar>
              <w:top w:w="0" w:type="dxa"/>
              <w:left w:w="20" w:type="dxa"/>
              <w:bottom w:w="0" w:type="dxa"/>
              <w:right w:w="20" w:type="dxa"/>
            </w:tcMar>
            <w:vAlign w:val="center"/>
            <w:hideMark/>
          </w:tcPr>
          <w:p w:rsidR="00000000" w:rsidRDefault="00B132B6">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132B6">
            <w:pPr>
              <w:spacing w:after="100"/>
              <w:jc w:val="center"/>
              <w:rPr>
                <w:rFonts w:eastAsia="Times New Roman"/>
              </w:rPr>
            </w:pPr>
            <w:r>
              <w:rPr>
                <w:rFonts w:eastAsia="Times New Roman"/>
                <w:b/>
                <w:bCs/>
                <w:color w:val="000000"/>
                <w:sz w:val="16"/>
                <w:szCs w:val="16"/>
              </w:rPr>
              <w:t>Age</w:t>
            </w:r>
          </w:p>
        </w:tc>
        <w:tc>
          <w:tcPr>
            <w:tcW w:w="0" w:type="auto"/>
            <w:gridSpan w:val="3"/>
            <w:tcMar>
              <w:top w:w="0" w:type="dxa"/>
              <w:left w:w="20" w:type="dxa"/>
              <w:bottom w:w="0" w:type="dxa"/>
              <w:right w:w="20" w:type="dxa"/>
            </w:tcMar>
            <w:vAlign w:val="center"/>
            <w:hideMark/>
          </w:tcPr>
          <w:p w:rsidR="00000000" w:rsidRDefault="00B132B6">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132B6">
            <w:pPr>
              <w:spacing w:after="100"/>
              <w:jc w:val="center"/>
              <w:rPr>
                <w:rFonts w:eastAsia="Times New Roman"/>
              </w:rPr>
            </w:pPr>
            <w:r>
              <w:rPr>
                <w:rFonts w:eastAsia="Times New Roman"/>
                <w:b/>
                <w:bCs/>
                <w:color w:val="000000"/>
                <w:sz w:val="16"/>
                <w:szCs w:val="16"/>
              </w:rPr>
              <w:t>Position</w:t>
            </w:r>
          </w:p>
        </w:tc>
      </w:tr>
      <w:tr w:rsidR="00000000">
        <w:trPr>
          <w:divId w:val="1121462819"/>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B132B6">
            <w:pPr>
              <w:spacing w:after="100"/>
              <w:rPr>
                <w:rFonts w:eastAsia="Times New Roman"/>
              </w:rPr>
            </w:pPr>
            <w:r>
              <w:rPr>
                <w:rFonts w:eastAsia="Times New Roman"/>
                <w:color w:val="000000"/>
                <w:sz w:val="20"/>
                <w:szCs w:val="20"/>
              </w:rPr>
              <w:t>David T. Turner</w:t>
            </w:r>
          </w:p>
        </w:tc>
        <w:tc>
          <w:tcPr>
            <w:tcW w:w="0" w:type="auto"/>
            <w:gridSpan w:val="3"/>
            <w:shd w:val="clear" w:color="auto" w:fill="CCEEFF"/>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B132B6">
            <w:pPr>
              <w:spacing w:after="100"/>
              <w:jc w:val="center"/>
              <w:rPr>
                <w:rFonts w:eastAsia="Times New Roman"/>
              </w:rPr>
            </w:pPr>
            <w:r>
              <w:rPr>
                <w:rFonts w:eastAsia="Times New Roman"/>
                <w:color w:val="000000"/>
                <w:sz w:val="20"/>
                <w:szCs w:val="20"/>
              </w:rPr>
              <w:t>66</w:t>
            </w:r>
          </w:p>
        </w:tc>
        <w:tc>
          <w:tcPr>
            <w:tcW w:w="0" w:type="auto"/>
            <w:gridSpan w:val="3"/>
            <w:shd w:val="clear" w:color="auto" w:fill="CCEEFF"/>
            <w:tcMar>
              <w:top w:w="0" w:type="dxa"/>
              <w:left w:w="20" w:type="dxa"/>
              <w:bottom w:w="0" w:type="dxa"/>
              <w:right w:w="20" w:type="dxa"/>
            </w:tcMar>
            <w:vAlign w:val="center"/>
            <w:hideMark/>
          </w:tcPr>
          <w:p w:rsidR="00000000" w:rsidRDefault="00B132B6">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132B6">
            <w:pPr>
              <w:spacing w:after="100"/>
              <w:rPr>
                <w:rFonts w:eastAsia="Times New Roman"/>
              </w:rPr>
            </w:pPr>
            <w:r>
              <w:rPr>
                <w:rFonts w:eastAsia="Times New Roman"/>
                <w:color w:val="000000"/>
                <w:sz w:val="20"/>
                <w:szCs w:val="20"/>
              </w:rPr>
              <w:t>Chairman, Chief Executive Officer, President and Director</w:t>
            </w:r>
          </w:p>
        </w:tc>
      </w:tr>
      <w:tr w:rsidR="00000000">
        <w:trPr>
          <w:divId w:val="1121462819"/>
        </w:trPr>
        <w:tc>
          <w:tcPr>
            <w:tcW w:w="0" w:type="auto"/>
            <w:gridSpan w:val="3"/>
            <w:shd w:val="clear" w:color="auto" w:fill="FFFFFF"/>
            <w:tcMar>
              <w:top w:w="30" w:type="dxa"/>
              <w:left w:w="20" w:type="dxa"/>
              <w:bottom w:w="30" w:type="dxa"/>
              <w:right w:w="20" w:type="dxa"/>
            </w:tcMar>
            <w:hideMark/>
          </w:tcPr>
          <w:p w:rsidR="00000000" w:rsidRDefault="00B132B6">
            <w:pPr>
              <w:spacing w:after="100"/>
              <w:rPr>
                <w:rFonts w:eastAsia="Times New Roman"/>
              </w:rPr>
            </w:pPr>
            <w:r>
              <w:rPr>
                <w:rFonts w:eastAsia="Times New Roman"/>
                <w:color w:val="000000"/>
                <w:sz w:val="20"/>
                <w:szCs w:val="20"/>
              </w:rPr>
              <w:t>Stephen E. Guthrie</w:t>
            </w:r>
          </w:p>
        </w:tc>
        <w:tc>
          <w:tcPr>
            <w:tcW w:w="0" w:type="auto"/>
            <w:gridSpan w:val="3"/>
            <w:shd w:val="clear" w:color="auto" w:fill="FFFFFF"/>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B132B6">
            <w:pPr>
              <w:spacing w:after="100"/>
              <w:jc w:val="center"/>
              <w:rPr>
                <w:rFonts w:eastAsia="Times New Roman"/>
              </w:rPr>
            </w:pPr>
            <w:r>
              <w:rPr>
                <w:rFonts w:eastAsia="Times New Roman"/>
                <w:color w:val="000000"/>
                <w:sz w:val="20"/>
                <w:szCs w:val="20"/>
              </w:rPr>
              <w:t>66</w:t>
            </w:r>
          </w:p>
        </w:tc>
        <w:tc>
          <w:tcPr>
            <w:tcW w:w="0" w:type="auto"/>
            <w:gridSpan w:val="3"/>
            <w:shd w:val="clear" w:color="auto" w:fill="FFFFFF"/>
            <w:tcMar>
              <w:top w:w="0" w:type="dxa"/>
              <w:left w:w="20" w:type="dxa"/>
              <w:bottom w:w="0" w:type="dxa"/>
              <w:right w:w="20" w:type="dxa"/>
            </w:tcMar>
            <w:vAlign w:val="center"/>
            <w:hideMark/>
          </w:tcPr>
          <w:p w:rsidR="00000000" w:rsidRDefault="00B132B6">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132B6">
            <w:pPr>
              <w:spacing w:after="100"/>
              <w:rPr>
                <w:rFonts w:eastAsia="Times New Roman"/>
              </w:rPr>
            </w:pPr>
            <w:r>
              <w:rPr>
                <w:rFonts w:eastAsia="Times New Roman"/>
                <w:color w:val="000000"/>
                <w:sz w:val="20"/>
                <w:szCs w:val="20"/>
              </w:rPr>
              <w:t>Senior Vice President and Chief Financial Officer</w:t>
            </w:r>
          </w:p>
        </w:tc>
      </w:tr>
      <w:tr w:rsidR="00000000">
        <w:trPr>
          <w:divId w:val="1121462819"/>
        </w:trPr>
        <w:tc>
          <w:tcPr>
            <w:tcW w:w="0" w:type="auto"/>
            <w:gridSpan w:val="3"/>
            <w:shd w:val="clear" w:color="auto" w:fill="CCEEFF"/>
            <w:tcMar>
              <w:top w:w="30" w:type="dxa"/>
              <w:left w:w="20" w:type="dxa"/>
              <w:bottom w:w="30" w:type="dxa"/>
              <w:right w:w="20" w:type="dxa"/>
            </w:tcMar>
            <w:hideMark/>
          </w:tcPr>
          <w:p w:rsidR="00000000" w:rsidRDefault="00B132B6">
            <w:pPr>
              <w:spacing w:after="100"/>
              <w:rPr>
                <w:rFonts w:eastAsia="Times New Roman"/>
              </w:rPr>
            </w:pPr>
            <w:r>
              <w:rPr>
                <w:rFonts w:eastAsia="Times New Roman"/>
                <w:color w:val="000000"/>
                <w:sz w:val="20"/>
                <w:szCs w:val="20"/>
              </w:rPr>
              <w:t>Kathleen L. Bruegenhemke</w:t>
            </w:r>
          </w:p>
        </w:tc>
        <w:tc>
          <w:tcPr>
            <w:tcW w:w="0" w:type="auto"/>
            <w:gridSpan w:val="3"/>
            <w:shd w:val="clear" w:color="auto" w:fill="CCEEFF"/>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B132B6">
            <w:pPr>
              <w:spacing w:after="100"/>
              <w:jc w:val="center"/>
              <w:rPr>
                <w:rFonts w:eastAsia="Times New Roman"/>
              </w:rPr>
            </w:pPr>
            <w:r>
              <w:rPr>
                <w:rFonts w:eastAsia="Times New Roman"/>
                <w:color w:val="000000"/>
                <w:sz w:val="20"/>
                <w:szCs w:val="20"/>
              </w:rPr>
              <w:t>57</w:t>
            </w:r>
          </w:p>
        </w:tc>
        <w:tc>
          <w:tcPr>
            <w:tcW w:w="0" w:type="auto"/>
            <w:gridSpan w:val="3"/>
            <w:shd w:val="clear" w:color="auto" w:fill="CCEEFF"/>
            <w:tcMar>
              <w:top w:w="0" w:type="dxa"/>
              <w:left w:w="20" w:type="dxa"/>
              <w:bottom w:w="0" w:type="dxa"/>
              <w:right w:w="20" w:type="dxa"/>
            </w:tcMar>
            <w:vAlign w:val="center"/>
            <w:hideMark/>
          </w:tcPr>
          <w:p w:rsidR="00000000" w:rsidRDefault="00B132B6">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132B6">
            <w:pPr>
              <w:spacing w:after="100"/>
              <w:rPr>
                <w:rFonts w:eastAsia="Times New Roman"/>
              </w:rPr>
            </w:pPr>
            <w:r>
              <w:rPr>
                <w:rFonts w:eastAsia="Times New Roman"/>
                <w:color w:val="000000"/>
                <w:sz w:val="20"/>
                <w:szCs w:val="20"/>
              </w:rPr>
              <w:t>Senior Vice President, Secretary and Director</w:t>
            </w:r>
          </w:p>
        </w:tc>
      </w:tr>
    </w:tbl>
    <w:p w:rsidR="00000000" w:rsidRDefault="00B132B6">
      <w:pPr>
        <w:ind w:firstLine="720"/>
        <w:jc w:val="both"/>
        <w:divId w:val="65037037"/>
        <w:rPr>
          <w:rFonts w:eastAsia="Times New Roman"/>
        </w:rPr>
      </w:pPr>
      <w:r>
        <w:rPr>
          <w:rFonts w:eastAsia="Times New Roman"/>
          <w:color w:val="000000"/>
          <w:sz w:val="20"/>
          <w:szCs w:val="20"/>
        </w:rPr>
        <w:t>The business experience of the executive officers of the Company for the last five years is as follows:</w:t>
      </w:r>
    </w:p>
    <w:p w:rsidR="00000000" w:rsidRDefault="00B132B6">
      <w:pPr>
        <w:ind w:firstLine="720"/>
        <w:jc w:val="both"/>
        <w:divId w:val="963925400"/>
        <w:rPr>
          <w:rFonts w:eastAsia="Times New Roman"/>
        </w:rPr>
      </w:pPr>
      <w:r>
        <w:rPr>
          <w:rFonts w:eastAsia="Times New Roman"/>
          <w:i/>
          <w:iCs/>
          <w:color w:val="000000"/>
          <w:sz w:val="20"/>
          <w:szCs w:val="20"/>
        </w:rPr>
        <w:t>David T. Turner</w:t>
      </w:r>
      <w:r>
        <w:rPr>
          <w:rFonts w:eastAsia="Times New Roman"/>
          <w:color w:val="000000"/>
          <w:sz w:val="20"/>
          <w:szCs w:val="20"/>
        </w:rPr>
        <w:t xml:space="preserve"> has served as a director of the Company and of the Bank (or of its constituent predecessors) since January 1997. He has served as presid</w:t>
      </w:r>
      <w:r>
        <w:rPr>
          <w:rFonts w:eastAsia="Times New Roman"/>
          <w:color w:val="000000"/>
          <w:sz w:val="20"/>
          <w:szCs w:val="20"/>
        </w:rPr>
        <w:t>ent of the Company since March 2002 and as chairman and chief executive officer of the Company since January 2011. He also currently serves as chairman, chief executive officer and president of the Bank. Mr. Turner served as vice chairman of the Company fr</w:t>
      </w:r>
      <w:r>
        <w:rPr>
          <w:rFonts w:eastAsia="Times New Roman"/>
          <w:color w:val="000000"/>
          <w:sz w:val="20"/>
          <w:szCs w:val="20"/>
        </w:rPr>
        <w:t>om June 1998 through March 2002 and as senior vice president of the Company from 1993 until June 1998. He served as president of a predecessor to the Bank from January 1997 through March 2002 when he assumed the position of chairman, chief executive office</w:t>
      </w:r>
      <w:r>
        <w:rPr>
          <w:rFonts w:eastAsia="Times New Roman"/>
          <w:color w:val="000000"/>
          <w:sz w:val="20"/>
          <w:szCs w:val="20"/>
        </w:rPr>
        <w:t xml:space="preserve">r and president. He served as senior vice president of that same predecessor from June 1992 through December 1996 and as its vice president from 1985 until June 1992. </w:t>
      </w:r>
    </w:p>
    <w:p w:rsidR="00000000" w:rsidRDefault="00B132B6">
      <w:pPr>
        <w:ind w:firstLine="720"/>
        <w:jc w:val="both"/>
        <w:divId w:val="978920138"/>
        <w:rPr>
          <w:rFonts w:eastAsia="Times New Roman"/>
        </w:rPr>
      </w:pPr>
      <w:r>
        <w:rPr>
          <w:rFonts w:eastAsia="Times New Roman"/>
          <w:i/>
          <w:iCs/>
          <w:color w:val="000000"/>
          <w:sz w:val="20"/>
          <w:szCs w:val="20"/>
        </w:rPr>
        <w:t xml:space="preserve">Stephen E. Guthrie </w:t>
      </w:r>
      <w:r>
        <w:rPr>
          <w:rFonts w:eastAsia="Times New Roman"/>
          <w:color w:val="000000"/>
          <w:sz w:val="20"/>
          <w:szCs w:val="20"/>
        </w:rPr>
        <w:t>has served as Senior Vice President and Chief Financial Officer of th</w:t>
      </w:r>
      <w:r>
        <w:rPr>
          <w:rFonts w:eastAsia="Times New Roman"/>
          <w:color w:val="000000"/>
          <w:sz w:val="20"/>
          <w:szCs w:val="20"/>
        </w:rPr>
        <w:t>e Company and of the Bank since May 2020. Prior to joining the Company, he most recently served as Executive Vice President and Chief Financial Officer of Landmark Bank in Columbia, Missouri, the wholly-owned subsidiary of The Landrum Company, from 2010 to</w:t>
      </w:r>
      <w:r>
        <w:rPr>
          <w:rFonts w:eastAsia="Times New Roman"/>
          <w:color w:val="000000"/>
          <w:sz w:val="20"/>
          <w:szCs w:val="20"/>
        </w:rPr>
        <w:t xml:space="preserve"> 2020. The Landrum Company was recently acquired by Simmons First National Corporation, holding company for Simmons Bank. Mr. Guthrie served as Senior Vice President, Internal Audit and Risk &amp; Controls for Capmark Finance Inc. from September 2006 to May 20</w:t>
      </w:r>
      <w:r>
        <w:rPr>
          <w:rFonts w:eastAsia="Times New Roman"/>
          <w:color w:val="000000"/>
          <w:sz w:val="20"/>
          <w:szCs w:val="20"/>
        </w:rPr>
        <w:t xml:space="preserve">10. From 2003 to 2006, Mr. Guthrie served as Vice President, Internal Audit and Corporate Security for AT&amp;T Corp. From 2000 to 2003, Mr. Guthrie served as Vice President, Auditing Services for Pharmacia Corporation. From 1979 to 2000 Mr. Guthrie served in </w:t>
      </w:r>
      <w:r>
        <w:rPr>
          <w:rFonts w:eastAsia="Times New Roman"/>
          <w:color w:val="000000"/>
          <w:sz w:val="20"/>
          <w:szCs w:val="20"/>
        </w:rPr>
        <w:t>various capacities with Monsanto Company, serving as Chief Financial Officer of Monsanto Canada, Inc. from 1999 to 2000. Mr. Guthrie is a licensed CPA.</w:t>
      </w:r>
    </w:p>
    <w:p w:rsidR="00000000" w:rsidRDefault="00B132B6">
      <w:pPr>
        <w:ind w:firstLine="720"/>
        <w:jc w:val="both"/>
        <w:divId w:val="657419519"/>
        <w:rPr>
          <w:rFonts w:eastAsia="Times New Roman"/>
        </w:rPr>
      </w:pPr>
      <w:r>
        <w:rPr>
          <w:rFonts w:eastAsia="Times New Roman"/>
          <w:i/>
          <w:iCs/>
          <w:color w:val="000000"/>
          <w:sz w:val="20"/>
          <w:szCs w:val="20"/>
        </w:rPr>
        <w:t xml:space="preserve">Kathleen L. Bruegenhemke </w:t>
      </w:r>
      <w:r>
        <w:rPr>
          <w:rFonts w:eastAsia="Times New Roman"/>
          <w:color w:val="000000"/>
          <w:sz w:val="20"/>
          <w:szCs w:val="20"/>
        </w:rPr>
        <w:t>has served as a director of our Company and of the Bank since March 2017 and as</w:t>
      </w:r>
      <w:r>
        <w:rPr>
          <w:rFonts w:eastAsia="Times New Roman"/>
          <w:color w:val="000000"/>
          <w:sz w:val="20"/>
          <w:szCs w:val="20"/>
        </w:rPr>
        <w:t xml:space="preserve"> Chief Operating Officer of the Bank since January 2017. From October 2014 until December 2016 she served as Columbia Market President of Hawthorn Bank. She has served as Senior Vice President and Secretary of the Company since November 1997 and as Chief R</w:t>
      </w:r>
      <w:r>
        <w:rPr>
          <w:rFonts w:eastAsia="Times New Roman"/>
          <w:color w:val="000000"/>
          <w:sz w:val="20"/>
          <w:szCs w:val="20"/>
        </w:rPr>
        <w:t>isk Officer of the Company since June 2006. From January 1992 until November 1997, she served as Internal Auditor of the Bank (or of one of its constituent predecessors). Prior to joining the Bank, Ms. Bruegenhemke served as a Commissioned Bank Examiner fo</w:t>
      </w:r>
      <w:r>
        <w:rPr>
          <w:rFonts w:eastAsia="Times New Roman"/>
          <w:color w:val="000000"/>
          <w:sz w:val="20"/>
          <w:szCs w:val="20"/>
        </w:rPr>
        <w:t>r the FDIC. Ms. Bruegenhemke is a certified public accountant and possesses considerable expertise in overseeing various finance, regulatory compliance and risk management aspects of community banking, which she attained through over 30 years of service, f</w:t>
      </w:r>
      <w:r>
        <w:rPr>
          <w:rFonts w:eastAsia="Times New Roman"/>
          <w:color w:val="000000"/>
          <w:sz w:val="20"/>
          <w:szCs w:val="20"/>
        </w:rPr>
        <w:t>irst as a bank regulator and then as a dedicated employee of the Bank.</w:t>
      </w:r>
    </w:p>
    <w:p w:rsidR="00000000" w:rsidRDefault="00B132B6">
      <w:pPr>
        <w:ind w:firstLine="720"/>
        <w:jc w:val="both"/>
        <w:divId w:val="190267421"/>
        <w:rPr>
          <w:rFonts w:eastAsia="Times New Roman"/>
        </w:rPr>
      </w:pPr>
      <w:r>
        <w:rPr>
          <w:rFonts w:eastAsia="Times New Roman"/>
          <w:color w:val="000000"/>
          <w:sz w:val="20"/>
          <w:szCs w:val="20"/>
        </w:rPr>
        <w:t>There is no arrangement or understanding between any executive officer and any other person pursuant to which such executive officer was selected as an officer.</w:t>
      </w:r>
    </w:p>
    <w:p w:rsidR="00000000" w:rsidRDefault="00B132B6">
      <w:pPr>
        <w:jc w:val="center"/>
        <w:divId w:val="1046487233"/>
        <w:rPr>
          <w:rFonts w:eastAsia="Times New Roman"/>
        </w:rPr>
      </w:pPr>
      <w:r>
        <w:rPr>
          <w:rFonts w:eastAsia="Times New Roman"/>
          <w:color w:val="000000"/>
          <w:sz w:val="20"/>
          <w:szCs w:val="20"/>
        </w:rPr>
        <w:t>25</w:t>
      </w:r>
    </w:p>
    <w:p w:rsidR="00000000" w:rsidRDefault="00B132B6">
      <w:pPr>
        <w:rPr>
          <w:rFonts w:eastAsia="Times New Roman"/>
        </w:rPr>
      </w:pPr>
      <w:r>
        <w:rPr>
          <w:rFonts w:eastAsia="Times New Roman"/>
        </w:rPr>
        <w:pict>
          <v:rect id="_x0000_i1049" style="width:0;height:1.5pt" o:hralign="center" o:hrstd="t" o:hr="t" fillcolor="#a0a0a0" stroked="f"/>
        </w:pict>
      </w:r>
    </w:p>
    <w:p w:rsidR="00000000" w:rsidRDefault="00B132B6">
      <w:pPr>
        <w:divId w:val="1401824396"/>
        <w:rPr>
          <w:rFonts w:eastAsia="Times New Roman"/>
        </w:rPr>
      </w:pPr>
    </w:p>
    <w:p w:rsidR="00000000" w:rsidRDefault="00B132B6">
      <w:pPr>
        <w:divId w:val="1501965560"/>
        <w:rPr>
          <w:rFonts w:eastAsia="Times New Roman"/>
        </w:rPr>
      </w:pPr>
      <w:r>
        <w:rPr>
          <w:rFonts w:eastAsia="Times New Roman"/>
          <w:b/>
          <w:bCs/>
          <w:color w:val="000000"/>
          <w:sz w:val="20"/>
          <w:szCs w:val="20"/>
          <w:u w:val="single"/>
        </w:rPr>
        <w:t>PART II</w:t>
      </w:r>
    </w:p>
    <w:p w:rsidR="00000000" w:rsidRDefault="00B132B6">
      <w:pPr>
        <w:divId w:val="1132138965"/>
        <w:rPr>
          <w:rFonts w:eastAsia="Times New Roman"/>
        </w:rPr>
      </w:pPr>
      <w:r>
        <w:rPr>
          <w:rFonts w:eastAsia="Times New Roman"/>
          <w:b/>
          <w:bCs/>
          <w:color w:val="000000"/>
          <w:sz w:val="20"/>
          <w:szCs w:val="20"/>
          <w:u w:val="single"/>
        </w:rPr>
        <w:t>Item 5</w:t>
      </w:r>
      <w:r>
        <w:rPr>
          <w:rFonts w:eastAsia="Times New Roman"/>
          <w:b/>
          <w:bCs/>
          <w:color w:val="000000"/>
          <w:sz w:val="20"/>
          <w:szCs w:val="20"/>
        </w:rPr>
        <w:t xml:space="preserve">. </w:t>
      </w:r>
      <w:r>
        <w:rPr>
          <w:rFonts w:eastAsia="Times New Roman"/>
          <w:b/>
          <w:bCs/>
          <w:color w:val="000000"/>
          <w:sz w:val="20"/>
          <w:szCs w:val="20"/>
          <w:u w:val="single"/>
        </w:rPr>
        <w:t>Market for Registrant's Common Equity, Related Stockholder Matters and Issuer Purchases of Equity Securities</w:t>
      </w:r>
      <w:r>
        <w:rPr>
          <w:rFonts w:eastAsia="Times New Roman"/>
          <w:b/>
          <w:bCs/>
          <w:color w:val="000000"/>
          <w:sz w:val="20"/>
          <w:szCs w:val="20"/>
        </w:rPr>
        <w:t>.</w:t>
      </w:r>
    </w:p>
    <w:p w:rsidR="00000000" w:rsidRDefault="00B132B6">
      <w:pPr>
        <w:ind w:firstLine="720"/>
        <w:jc w:val="both"/>
        <w:divId w:val="948858447"/>
        <w:rPr>
          <w:rFonts w:eastAsia="Times New Roman"/>
        </w:rPr>
      </w:pPr>
      <w:r>
        <w:rPr>
          <w:rFonts w:eastAsia="Times New Roman"/>
          <w:color w:val="000000"/>
          <w:sz w:val="20"/>
          <w:szCs w:val="20"/>
        </w:rPr>
        <w:t>Pursuant to General Instruction G(2) to Form 10-K, the information required by this Item, other than that referr</w:t>
      </w:r>
      <w:r>
        <w:rPr>
          <w:rFonts w:eastAsia="Times New Roman"/>
          <w:color w:val="000000"/>
          <w:sz w:val="20"/>
          <w:szCs w:val="20"/>
        </w:rPr>
        <w:t>ed to below, is incorporated herein by reference to the information under the caption "Market Price of and Dividends on Equity Securities and Related Matters" in the Company's 2022 Annual Report to Shareholders.</w:t>
      </w:r>
    </w:p>
    <w:p w:rsidR="00000000" w:rsidRDefault="00B132B6">
      <w:pPr>
        <w:ind w:firstLine="720"/>
        <w:divId w:val="2002655746"/>
        <w:rPr>
          <w:rFonts w:eastAsia="Times New Roman"/>
        </w:rPr>
      </w:pPr>
      <w:r>
        <w:rPr>
          <w:rFonts w:eastAsia="Times New Roman"/>
          <w:color w:val="000000"/>
          <w:sz w:val="20"/>
          <w:szCs w:val="20"/>
        </w:rPr>
        <w:t>We refer you to Item 12 of this report under</w:t>
      </w:r>
      <w:r>
        <w:rPr>
          <w:rFonts w:eastAsia="Times New Roman"/>
          <w:color w:val="000000"/>
          <w:sz w:val="20"/>
          <w:szCs w:val="20"/>
        </w:rPr>
        <w:t xml:space="preserve"> the caption "Securities Authorized For Issuance Under Equity Compensation Plans" for certain equity plan information.</w:t>
      </w:r>
    </w:p>
    <w:p w:rsidR="00000000" w:rsidRDefault="00B132B6">
      <w:pPr>
        <w:divId w:val="1118530328"/>
        <w:rPr>
          <w:rFonts w:eastAsia="Times New Roman"/>
        </w:rPr>
      </w:pPr>
      <w:r>
        <w:rPr>
          <w:rFonts w:eastAsia="Times New Roman"/>
          <w:b/>
          <w:bCs/>
          <w:color w:val="000000"/>
          <w:sz w:val="20"/>
          <w:szCs w:val="20"/>
        </w:rPr>
        <w:t>The Company's Purchases of Equity Securities</w:t>
      </w:r>
    </w:p>
    <w:p w:rsidR="00000000" w:rsidRDefault="00B132B6">
      <w:pPr>
        <w:ind w:firstLine="720"/>
        <w:jc w:val="both"/>
        <w:divId w:val="427652819"/>
        <w:rPr>
          <w:rFonts w:eastAsia="Times New Roman"/>
        </w:rPr>
      </w:pPr>
      <w:r>
        <w:rPr>
          <w:rFonts w:eastAsia="Times New Roman"/>
          <w:color w:val="000000"/>
          <w:sz w:val="20"/>
          <w:szCs w:val="20"/>
        </w:rPr>
        <w:t>There were no purchases made by or on behalf of the Company or any "affiliated purchaser" (as defined by applicable rules of the SEC) of shares the Company's common stock during the fourth quarter of the year ended December 31, 2022. The Company's 2019 Rep</w:t>
      </w:r>
      <w:r>
        <w:rPr>
          <w:rFonts w:eastAsia="Times New Roman"/>
          <w:color w:val="000000"/>
          <w:sz w:val="20"/>
          <w:szCs w:val="20"/>
        </w:rPr>
        <w:t xml:space="preserve">urchase Plan was amended during the second quarter of 2021 to authorize the purchase of up to $5.0 million in market value of the Company's common stock. Management was given discretion to determine the number and pricing of the shares to be purchased, as </w:t>
      </w:r>
      <w:r>
        <w:rPr>
          <w:rFonts w:eastAsia="Times New Roman"/>
          <w:color w:val="000000"/>
          <w:sz w:val="20"/>
          <w:szCs w:val="20"/>
        </w:rPr>
        <w:t>well as the timing of any such purchases. As of December 31, 2022, $2.1 million remained for share repurchase pursuant to that authorization.</w:t>
      </w:r>
    </w:p>
    <w:p w:rsidR="00000000" w:rsidRDefault="00B132B6">
      <w:pPr>
        <w:divId w:val="487747962"/>
        <w:rPr>
          <w:rFonts w:eastAsia="Times New Roman"/>
        </w:rPr>
      </w:pPr>
      <w:r>
        <w:rPr>
          <w:rFonts w:eastAsia="Times New Roman"/>
          <w:b/>
          <w:bCs/>
          <w:color w:val="000000"/>
          <w:sz w:val="20"/>
          <w:szCs w:val="20"/>
        </w:rPr>
        <w:t>Recent Issuance of Securities</w:t>
      </w:r>
    </w:p>
    <w:p w:rsidR="00000000" w:rsidRDefault="00B132B6">
      <w:pPr>
        <w:ind w:firstLine="720"/>
        <w:jc w:val="both"/>
        <w:divId w:val="227301744"/>
        <w:rPr>
          <w:rFonts w:eastAsia="Times New Roman"/>
        </w:rPr>
      </w:pPr>
      <w:r>
        <w:rPr>
          <w:rFonts w:eastAsia="Times New Roman"/>
          <w:color w:val="000000"/>
          <w:sz w:val="20"/>
          <w:szCs w:val="20"/>
        </w:rPr>
        <w:t>None.</w:t>
      </w:r>
    </w:p>
    <w:p w:rsidR="00000000" w:rsidRDefault="00B132B6">
      <w:pPr>
        <w:ind w:firstLine="720"/>
        <w:jc w:val="both"/>
        <w:rPr>
          <w:rFonts w:eastAsia="Times New Roman"/>
        </w:rPr>
      </w:pPr>
    </w:p>
    <w:p w:rsidR="00000000" w:rsidRDefault="00B132B6">
      <w:pPr>
        <w:divId w:val="1148668853"/>
        <w:rPr>
          <w:rFonts w:eastAsia="Times New Roman"/>
        </w:rPr>
      </w:pPr>
      <w:r>
        <w:rPr>
          <w:rFonts w:eastAsia="Times New Roman"/>
          <w:b/>
          <w:bCs/>
          <w:color w:val="000000"/>
          <w:sz w:val="20"/>
          <w:szCs w:val="20"/>
          <w:u w:val="single"/>
        </w:rPr>
        <w:t>Item 6</w:t>
      </w:r>
      <w:r>
        <w:rPr>
          <w:rFonts w:eastAsia="Times New Roman"/>
          <w:b/>
          <w:bCs/>
          <w:color w:val="000000"/>
          <w:sz w:val="20"/>
          <w:szCs w:val="20"/>
        </w:rPr>
        <w:t xml:space="preserve">. </w:t>
      </w:r>
      <w:r>
        <w:rPr>
          <w:rFonts w:eastAsia="Times New Roman"/>
          <w:b/>
          <w:bCs/>
          <w:color w:val="000000"/>
          <w:sz w:val="20"/>
          <w:szCs w:val="20"/>
          <w:u w:val="single"/>
        </w:rPr>
        <w:t>[Reserved]</w:t>
      </w:r>
      <w:r>
        <w:rPr>
          <w:rFonts w:eastAsia="Times New Roman"/>
          <w:b/>
          <w:bCs/>
          <w:color w:val="000000"/>
          <w:sz w:val="20"/>
          <w:szCs w:val="20"/>
        </w:rPr>
        <w:t>.</w:t>
      </w:r>
    </w:p>
    <w:p w:rsidR="00000000" w:rsidRDefault="00B132B6">
      <w:pPr>
        <w:divId w:val="234629676"/>
        <w:rPr>
          <w:rFonts w:eastAsia="Times New Roman"/>
        </w:rPr>
      </w:pPr>
    </w:p>
    <w:p w:rsidR="00000000" w:rsidRDefault="00B132B6">
      <w:pPr>
        <w:divId w:val="2066678848"/>
        <w:rPr>
          <w:rFonts w:eastAsia="Times New Roman"/>
        </w:rPr>
      </w:pPr>
      <w:r>
        <w:rPr>
          <w:rFonts w:eastAsia="Times New Roman"/>
          <w:b/>
          <w:bCs/>
          <w:color w:val="000000"/>
          <w:sz w:val="20"/>
          <w:szCs w:val="20"/>
          <w:u w:val="single"/>
        </w:rPr>
        <w:t>Item 7</w:t>
      </w:r>
      <w:r>
        <w:rPr>
          <w:rFonts w:eastAsia="Times New Roman"/>
          <w:b/>
          <w:bCs/>
          <w:color w:val="000000"/>
          <w:sz w:val="20"/>
          <w:szCs w:val="20"/>
        </w:rPr>
        <w:t xml:space="preserve">. </w:t>
      </w:r>
      <w:r>
        <w:rPr>
          <w:rFonts w:eastAsia="Times New Roman"/>
          <w:b/>
          <w:bCs/>
          <w:color w:val="000000"/>
          <w:sz w:val="20"/>
          <w:szCs w:val="20"/>
          <w:u w:val="single"/>
        </w:rPr>
        <w:t>Management's Discussion and Analysis of Financ</w:t>
      </w:r>
      <w:r>
        <w:rPr>
          <w:rFonts w:eastAsia="Times New Roman"/>
          <w:b/>
          <w:bCs/>
          <w:color w:val="000000"/>
          <w:sz w:val="20"/>
          <w:szCs w:val="20"/>
          <w:u w:val="single"/>
        </w:rPr>
        <w:t>ial Condition and Results of Operation</w:t>
      </w:r>
      <w:r>
        <w:rPr>
          <w:rFonts w:eastAsia="Times New Roman"/>
          <w:b/>
          <w:bCs/>
          <w:color w:val="000000"/>
          <w:sz w:val="20"/>
          <w:szCs w:val="20"/>
        </w:rPr>
        <w:t>.</w:t>
      </w:r>
    </w:p>
    <w:p w:rsidR="00000000" w:rsidRDefault="00B132B6">
      <w:pPr>
        <w:ind w:firstLine="720"/>
        <w:jc w:val="both"/>
        <w:divId w:val="257106984"/>
        <w:rPr>
          <w:rFonts w:eastAsia="Times New Roman"/>
        </w:rPr>
      </w:pPr>
      <w:r>
        <w:rPr>
          <w:rFonts w:eastAsia="Times New Roman"/>
          <w:color w:val="000000"/>
          <w:sz w:val="20"/>
          <w:szCs w:val="20"/>
        </w:rPr>
        <w:t>Pursuant to General Instruction G(2) to Form 10-K, the information required by this Item is incorporated herein by reference to the information under the caption "Management's Discussion and Analysis of Financial Con</w:t>
      </w:r>
      <w:r>
        <w:rPr>
          <w:rFonts w:eastAsia="Times New Roman"/>
          <w:color w:val="000000"/>
          <w:sz w:val="20"/>
          <w:szCs w:val="20"/>
        </w:rPr>
        <w:t>dition and Results of Operations" in the Company's 2022 Annual Report to Shareholders.</w:t>
      </w:r>
    </w:p>
    <w:p w:rsidR="00000000" w:rsidRDefault="00B132B6">
      <w:pPr>
        <w:divId w:val="417096677"/>
        <w:rPr>
          <w:rFonts w:eastAsia="Times New Roman"/>
        </w:rPr>
      </w:pPr>
      <w:r>
        <w:rPr>
          <w:rFonts w:eastAsia="Times New Roman"/>
          <w:b/>
          <w:bCs/>
          <w:color w:val="000000"/>
          <w:sz w:val="20"/>
          <w:szCs w:val="20"/>
        </w:rPr>
        <w:t>Forward-Looking Statements</w:t>
      </w:r>
    </w:p>
    <w:p w:rsidR="00000000" w:rsidRDefault="00B132B6">
      <w:pPr>
        <w:ind w:firstLine="720"/>
        <w:jc w:val="both"/>
        <w:divId w:val="1598520810"/>
        <w:rPr>
          <w:rFonts w:eastAsia="Times New Roman"/>
        </w:rPr>
      </w:pPr>
      <w:r>
        <w:rPr>
          <w:rFonts w:eastAsia="Times New Roman"/>
          <w:color w:val="000000"/>
          <w:sz w:val="20"/>
          <w:szCs w:val="20"/>
        </w:rPr>
        <w:t>This report, including information included or incorporated by reference in this report, contains certain forward-looking statements with resp</w:t>
      </w:r>
      <w:r>
        <w:rPr>
          <w:rFonts w:eastAsia="Times New Roman"/>
          <w:color w:val="000000"/>
          <w:sz w:val="20"/>
          <w:szCs w:val="20"/>
        </w:rPr>
        <w:t>ect to the financial condition, results of operations, plans, objectives, strategy, future performance and business of the Company and its subsidiaries, including, without limitation:</w:t>
      </w:r>
    </w:p>
    <w:p w:rsidR="00000000" w:rsidRDefault="00B132B6">
      <w:pPr>
        <w:ind w:hanging="360"/>
        <w:jc w:val="both"/>
        <w:divId w:val="704329658"/>
        <w:rPr>
          <w:rFonts w:eastAsia="Times New Roman"/>
        </w:rPr>
      </w:pPr>
      <w:r>
        <w:rPr>
          <w:rFonts w:eastAsia="Times New Roman"/>
          <w:color w:val="000000"/>
          <w:sz w:val="20"/>
          <w:szCs w:val="20"/>
        </w:rPr>
        <w:t>•statements that are not historical in nature, and</w:t>
      </w:r>
    </w:p>
    <w:p w:rsidR="00000000" w:rsidRDefault="00B132B6">
      <w:pPr>
        <w:ind w:hanging="360"/>
        <w:jc w:val="both"/>
        <w:divId w:val="1645348347"/>
        <w:rPr>
          <w:rFonts w:eastAsia="Times New Roman"/>
        </w:rPr>
      </w:pPr>
      <w:r>
        <w:rPr>
          <w:rFonts w:eastAsia="Times New Roman"/>
          <w:color w:val="000000"/>
          <w:sz w:val="20"/>
          <w:szCs w:val="20"/>
        </w:rPr>
        <w:t xml:space="preserve">•statements preceded </w:t>
      </w:r>
      <w:r>
        <w:rPr>
          <w:rFonts w:eastAsia="Times New Roman"/>
          <w:color w:val="000000"/>
          <w:sz w:val="20"/>
          <w:szCs w:val="20"/>
        </w:rPr>
        <w:t>by, followed by or that include the words "believes," "expects," "may," "will," "should," "could," "anticipates," "estimates," "intends" or similar expressions.</w:t>
      </w:r>
    </w:p>
    <w:p w:rsidR="00000000" w:rsidRDefault="00B132B6">
      <w:pPr>
        <w:ind w:firstLine="720"/>
        <w:divId w:val="1965883800"/>
        <w:rPr>
          <w:rFonts w:eastAsia="Times New Roman"/>
        </w:rPr>
      </w:pPr>
      <w:r>
        <w:rPr>
          <w:rFonts w:eastAsia="Times New Roman"/>
          <w:color w:val="000000"/>
          <w:sz w:val="20"/>
          <w:szCs w:val="20"/>
        </w:rPr>
        <w:t>Forward-looking statements are not guarantees of future performance or results. They involve ri</w:t>
      </w:r>
      <w:r>
        <w:rPr>
          <w:rFonts w:eastAsia="Times New Roman"/>
          <w:color w:val="000000"/>
          <w:sz w:val="20"/>
          <w:szCs w:val="20"/>
        </w:rPr>
        <w:t>sks, uncertainties and assumptions. Actual results may differ materially from those contemplated by the forward-looking statements due to, among others, the following factors:</w:t>
      </w:r>
    </w:p>
    <w:p w:rsidR="00000000" w:rsidRDefault="00B132B6">
      <w:pPr>
        <w:ind w:hanging="360"/>
        <w:jc w:val="both"/>
        <w:divId w:val="553351273"/>
        <w:rPr>
          <w:rFonts w:eastAsia="Times New Roman"/>
        </w:rPr>
      </w:pPr>
      <w:r>
        <w:rPr>
          <w:rFonts w:eastAsia="Times New Roman"/>
          <w:color w:val="000000"/>
          <w:sz w:val="20"/>
          <w:szCs w:val="20"/>
        </w:rPr>
        <w:t>•competitive pressures among financial services companies may increase significa</w:t>
      </w:r>
      <w:r>
        <w:rPr>
          <w:rFonts w:eastAsia="Times New Roman"/>
          <w:color w:val="000000"/>
          <w:sz w:val="20"/>
          <w:szCs w:val="20"/>
        </w:rPr>
        <w:t>ntly,</w:t>
      </w:r>
    </w:p>
    <w:p w:rsidR="00000000" w:rsidRDefault="00B132B6">
      <w:pPr>
        <w:ind w:hanging="360"/>
        <w:jc w:val="both"/>
        <w:divId w:val="61025356"/>
        <w:rPr>
          <w:rFonts w:eastAsia="Times New Roman"/>
        </w:rPr>
      </w:pPr>
      <w:r>
        <w:rPr>
          <w:rFonts w:eastAsia="Times New Roman"/>
          <w:color w:val="000000"/>
          <w:sz w:val="20"/>
          <w:szCs w:val="20"/>
        </w:rPr>
        <w:t>•changes in the interest rate environment may reduce interest margins,</w:t>
      </w:r>
    </w:p>
    <w:p w:rsidR="00000000" w:rsidRDefault="00B132B6">
      <w:pPr>
        <w:ind w:hanging="360"/>
        <w:jc w:val="both"/>
        <w:divId w:val="2029524837"/>
        <w:rPr>
          <w:rFonts w:eastAsia="Times New Roman"/>
        </w:rPr>
      </w:pPr>
      <w:r>
        <w:rPr>
          <w:rFonts w:eastAsia="Times New Roman"/>
          <w:color w:val="000000"/>
          <w:sz w:val="20"/>
          <w:szCs w:val="20"/>
        </w:rPr>
        <w:t>•general economic conditions, either nationally or in Missouri, may be less favorable than expected and may adversely affect the quality of the Company's loans and other assets,</w:t>
      </w:r>
    </w:p>
    <w:p w:rsidR="00000000" w:rsidRDefault="00B132B6">
      <w:pPr>
        <w:ind w:hanging="360"/>
        <w:jc w:val="both"/>
        <w:divId w:val="236940125"/>
        <w:rPr>
          <w:rFonts w:eastAsia="Times New Roman"/>
        </w:rPr>
      </w:pPr>
      <w:r>
        <w:rPr>
          <w:rFonts w:eastAsia="Times New Roman"/>
          <w:color w:val="000000"/>
          <w:sz w:val="20"/>
          <w:szCs w:val="20"/>
        </w:rPr>
        <w:t>•</w:t>
      </w:r>
      <w:r>
        <w:rPr>
          <w:rFonts w:eastAsia="Times New Roman"/>
          <w:color w:val="000000"/>
          <w:sz w:val="20"/>
          <w:szCs w:val="20"/>
        </w:rPr>
        <w:t>increases in non-performing assets in the Company's loan portfolios and adverse economic conditions may necessitate increases to the provisions for loan losses,</w:t>
      </w:r>
    </w:p>
    <w:p w:rsidR="00000000" w:rsidRDefault="00B132B6">
      <w:pPr>
        <w:ind w:hanging="360"/>
        <w:jc w:val="both"/>
        <w:divId w:val="44529617"/>
        <w:rPr>
          <w:rFonts w:eastAsia="Times New Roman"/>
        </w:rPr>
      </w:pPr>
      <w:r>
        <w:rPr>
          <w:rFonts w:eastAsia="Times New Roman"/>
          <w:color w:val="000000"/>
          <w:sz w:val="20"/>
          <w:szCs w:val="20"/>
        </w:rPr>
        <w:t>•costs or difficulties related to the integration of the business of the Company and its acquis</w:t>
      </w:r>
      <w:r>
        <w:rPr>
          <w:rFonts w:eastAsia="Times New Roman"/>
          <w:color w:val="000000"/>
          <w:sz w:val="20"/>
          <w:szCs w:val="20"/>
        </w:rPr>
        <w:t>ition targets may be greater than expected,</w:t>
      </w:r>
    </w:p>
    <w:p w:rsidR="00000000" w:rsidRDefault="00B132B6">
      <w:pPr>
        <w:jc w:val="center"/>
        <w:divId w:val="1218129825"/>
        <w:rPr>
          <w:rFonts w:eastAsia="Times New Roman"/>
        </w:rPr>
      </w:pPr>
      <w:r>
        <w:rPr>
          <w:rFonts w:eastAsia="Times New Roman"/>
          <w:color w:val="000000"/>
          <w:sz w:val="20"/>
          <w:szCs w:val="20"/>
        </w:rPr>
        <w:t>26</w:t>
      </w:r>
    </w:p>
    <w:p w:rsidR="00000000" w:rsidRDefault="00B132B6">
      <w:pPr>
        <w:rPr>
          <w:rFonts w:eastAsia="Times New Roman"/>
        </w:rPr>
      </w:pPr>
      <w:r>
        <w:rPr>
          <w:rFonts w:eastAsia="Times New Roman"/>
        </w:rPr>
        <w:pict>
          <v:rect id="_x0000_i1050" style="width:0;height:1.5pt" o:hralign="center" o:hrstd="t" o:hr="t" fillcolor="#a0a0a0" stroked="f"/>
        </w:pict>
      </w:r>
    </w:p>
    <w:p w:rsidR="00000000" w:rsidRDefault="00B132B6">
      <w:pPr>
        <w:divId w:val="311452892"/>
        <w:rPr>
          <w:rFonts w:eastAsia="Times New Roman"/>
        </w:rPr>
      </w:pPr>
    </w:p>
    <w:p w:rsidR="00000000" w:rsidRDefault="00B132B6">
      <w:pPr>
        <w:ind w:hanging="360"/>
        <w:jc w:val="both"/>
        <w:divId w:val="1585608884"/>
        <w:rPr>
          <w:rFonts w:eastAsia="Times New Roman"/>
        </w:rPr>
      </w:pPr>
      <w:r>
        <w:rPr>
          <w:rFonts w:eastAsia="Times New Roman"/>
          <w:color w:val="000000"/>
          <w:sz w:val="20"/>
          <w:szCs w:val="20"/>
        </w:rPr>
        <w:t>•</w:t>
      </w:r>
      <w:r>
        <w:rPr>
          <w:rFonts w:eastAsia="Times New Roman"/>
          <w:color w:val="000000"/>
          <w:sz w:val="20"/>
          <w:szCs w:val="20"/>
        </w:rPr>
        <w:t>legislative, regulatory, or tax law changes may adversely affect the business in which the Company and its subsidiaries are engaged, and</w:t>
      </w:r>
    </w:p>
    <w:p w:rsidR="00000000" w:rsidRDefault="00B132B6">
      <w:pPr>
        <w:ind w:hanging="360"/>
        <w:jc w:val="both"/>
        <w:divId w:val="978539649"/>
        <w:rPr>
          <w:rFonts w:eastAsia="Times New Roman"/>
        </w:rPr>
      </w:pPr>
      <w:r>
        <w:rPr>
          <w:rFonts w:eastAsia="Times New Roman"/>
          <w:color w:val="000000"/>
          <w:sz w:val="20"/>
          <w:szCs w:val="20"/>
        </w:rPr>
        <w:t>•changes may occur in the securities markets.</w:t>
      </w:r>
    </w:p>
    <w:p w:rsidR="00000000" w:rsidRDefault="00B132B6">
      <w:pPr>
        <w:ind w:firstLine="720"/>
        <w:jc w:val="both"/>
        <w:divId w:val="1904635590"/>
        <w:rPr>
          <w:rFonts w:eastAsia="Times New Roman"/>
        </w:rPr>
      </w:pPr>
      <w:r>
        <w:rPr>
          <w:rFonts w:eastAsia="Times New Roman"/>
          <w:color w:val="000000"/>
          <w:sz w:val="20"/>
          <w:szCs w:val="20"/>
        </w:rPr>
        <w:t>We have described additional factors that could cause actual results to b</w:t>
      </w:r>
      <w:r>
        <w:rPr>
          <w:rFonts w:eastAsia="Times New Roman"/>
          <w:color w:val="000000"/>
          <w:sz w:val="20"/>
          <w:szCs w:val="20"/>
        </w:rPr>
        <w:t>e materially different from those described in the forward-looking statements, which factors are identified in Item 1A of this report under the heading "Risk Factors." Other factors that we have not identified in this report could also have this effect. Yo</w:t>
      </w:r>
      <w:r>
        <w:rPr>
          <w:rFonts w:eastAsia="Times New Roman"/>
          <w:color w:val="000000"/>
          <w:sz w:val="20"/>
          <w:szCs w:val="20"/>
        </w:rPr>
        <w:t>u are cautioned not to put undue reliance on any forward-looking statement, which speak only as of the date such statement is made. Except as otherwise required by law, we undertake no obligation to publicly update or revise any forward-looking statement t</w:t>
      </w:r>
      <w:r>
        <w:rPr>
          <w:rFonts w:eastAsia="Times New Roman"/>
          <w:color w:val="000000"/>
          <w:sz w:val="20"/>
          <w:szCs w:val="20"/>
        </w:rPr>
        <w:t>o reflect events or circumstances after the date of this report or to reflect the occurrence of unanticipated events.</w:t>
      </w:r>
    </w:p>
    <w:p w:rsidR="00000000" w:rsidRDefault="00B132B6">
      <w:pPr>
        <w:divId w:val="1534994725"/>
        <w:rPr>
          <w:rFonts w:eastAsia="Times New Roman"/>
        </w:rPr>
      </w:pPr>
      <w:r>
        <w:rPr>
          <w:rFonts w:eastAsia="Times New Roman"/>
          <w:b/>
          <w:bCs/>
          <w:color w:val="000000"/>
          <w:sz w:val="20"/>
          <w:szCs w:val="20"/>
          <w:u w:val="single"/>
        </w:rPr>
        <w:t>Item 7A</w:t>
      </w:r>
      <w:r>
        <w:rPr>
          <w:rFonts w:eastAsia="Times New Roman"/>
          <w:b/>
          <w:bCs/>
          <w:color w:val="000000"/>
          <w:sz w:val="20"/>
          <w:szCs w:val="20"/>
        </w:rPr>
        <w:t xml:space="preserve">. </w:t>
      </w:r>
      <w:r>
        <w:rPr>
          <w:rFonts w:eastAsia="Times New Roman"/>
          <w:b/>
          <w:bCs/>
          <w:color w:val="000000"/>
          <w:sz w:val="20"/>
          <w:szCs w:val="20"/>
          <w:u w:val="single"/>
        </w:rPr>
        <w:t>Quantitative and Qualitative Disclosures About Market Risk</w:t>
      </w:r>
      <w:r>
        <w:rPr>
          <w:rFonts w:eastAsia="Times New Roman"/>
          <w:b/>
          <w:bCs/>
          <w:color w:val="000000"/>
          <w:sz w:val="20"/>
          <w:szCs w:val="20"/>
        </w:rPr>
        <w:t>.</w:t>
      </w:r>
    </w:p>
    <w:p w:rsidR="00000000" w:rsidRDefault="00B132B6">
      <w:pPr>
        <w:ind w:firstLine="720"/>
        <w:jc w:val="both"/>
        <w:divId w:val="382338583"/>
        <w:rPr>
          <w:rFonts w:eastAsia="Times New Roman"/>
        </w:rPr>
      </w:pPr>
      <w:r>
        <w:rPr>
          <w:rFonts w:eastAsia="Times New Roman"/>
          <w:color w:val="000000"/>
          <w:sz w:val="20"/>
          <w:szCs w:val="20"/>
        </w:rPr>
        <w:t>The Company's exposure to market risk is reviewed on a regular basis by our Bank's asset/liability committee and board of directors. Interest rate risk is the potential of economic losses due to future interest rate changes. These economic losses can be re</w:t>
      </w:r>
      <w:r>
        <w:rPr>
          <w:rFonts w:eastAsia="Times New Roman"/>
          <w:color w:val="000000"/>
          <w:sz w:val="20"/>
          <w:szCs w:val="20"/>
        </w:rPr>
        <w:t>flected as a loss of future net interest income and/or a loss of current fair market values. The objective is to measure the effect on net interest income and to adjust the balance sheet to minimize the inherent risk while at the same time maximizing incom</w:t>
      </w:r>
      <w:r>
        <w:rPr>
          <w:rFonts w:eastAsia="Times New Roman"/>
          <w:color w:val="000000"/>
          <w:sz w:val="20"/>
          <w:szCs w:val="20"/>
        </w:rPr>
        <w:t xml:space="preserve">e. Management realizes certain risks are inherent and that the goal is to identify and minimize those risks. </w:t>
      </w:r>
    </w:p>
    <w:p w:rsidR="00000000" w:rsidRDefault="00B132B6">
      <w:pPr>
        <w:ind w:firstLine="720"/>
        <w:jc w:val="both"/>
        <w:divId w:val="433748640"/>
        <w:rPr>
          <w:rFonts w:eastAsia="Times New Roman"/>
        </w:rPr>
      </w:pPr>
      <w:r>
        <w:rPr>
          <w:rFonts w:eastAsia="Times New Roman"/>
          <w:color w:val="000000"/>
          <w:sz w:val="20"/>
          <w:szCs w:val="20"/>
        </w:rPr>
        <w:t>Tools used by the Bank's management include modeling the effects on net interest income under different rate shock scenarios. At December 31, 2022</w:t>
      </w:r>
      <w:r>
        <w:rPr>
          <w:rFonts w:eastAsia="Times New Roman"/>
          <w:color w:val="000000"/>
          <w:sz w:val="20"/>
          <w:szCs w:val="20"/>
        </w:rPr>
        <w:t xml:space="preserve">, the Company's rate shock scenario models indicated that annual net interest income could change by as much as 3.01% or 5.80% should interest rates rise or fall, respectively, 200 basis points from their current level over a one-year period. These levels </w:t>
      </w:r>
      <w:r>
        <w:rPr>
          <w:rFonts w:eastAsia="Times New Roman"/>
          <w:color w:val="000000"/>
          <w:sz w:val="20"/>
          <w:szCs w:val="20"/>
        </w:rPr>
        <w:t xml:space="preserve">of interest rate risk are within limits set by the board in the Company's </w:t>
      </w:r>
      <w:r>
        <w:rPr>
          <w:rFonts w:eastAsia="Times New Roman"/>
          <w:i/>
          <w:iCs/>
          <w:color w:val="000000"/>
          <w:sz w:val="20"/>
          <w:szCs w:val="20"/>
        </w:rPr>
        <w:t>Funds Management, Investment Asset Liability Policy</w:t>
      </w:r>
      <w:r>
        <w:rPr>
          <w:rFonts w:eastAsia="Times New Roman"/>
          <w:color w:val="000000"/>
          <w:sz w:val="20"/>
          <w:szCs w:val="20"/>
        </w:rPr>
        <w:t xml:space="preserve"> and Management believes this is an acceptable level of interest rate risk. However, there are no assurances that the change will n</w:t>
      </w:r>
      <w:r>
        <w:rPr>
          <w:rFonts w:eastAsia="Times New Roman"/>
          <w:color w:val="000000"/>
          <w:sz w:val="20"/>
          <w:szCs w:val="20"/>
        </w:rPr>
        <w:t>ot be more or less than this estimate.</w:t>
      </w:r>
    </w:p>
    <w:p w:rsidR="00000000" w:rsidRDefault="00B132B6">
      <w:pPr>
        <w:ind w:firstLine="720"/>
        <w:jc w:val="both"/>
        <w:divId w:val="1811940879"/>
        <w:rPr>
          <w:rFonts w:eastAsia="Times New Roman"/>
        </w:rPr>
      </w:pPr>
      <w:r>
        <w:rPr>
          <w:rFonts w:eastAsia="Times New Roman"/>
          <w:color w:val="000000"/>
          <w:sz w:val="20"/>
          <w:szCs w:val="20"/>
        </w:rPr>
        <w:t>Pursuant to General Instruction G(2) to Form 10-K, the information required by this Item, other than that provided above, is incorporated herein by reference to the information under the caption "Management's Discussi</w:t>
      </w:r>
      <w:r>
        <w:rPr>
          <w:rFonts w:eastAsia="Times New Roman"/>
          <w:color w:val="000000"/>
          <w:sz w:val="20"/>
          <w:szCs w:val="20"/>
        </w:rPr>
        <w:t>on and Analysis of Financial Condition and Results of Operations -- Quantitative and Qualitative Disclosures About Market Risk" in the Company's 2022 Annual Report to Shareholders.</w:t>
      </w:r>
    </w:p>
    <w:p w:rsidR="00000000" w:rsidRDefault="00B132B6">
      <w:pPr>
        <w:divId w:val="1819422593"/>
        <w:rPr>
          <w:rFonts w:eastAsia="Times New Roman"/>
        </w:rPr>
      </w:pPr>
      <w:r>
        <w:rPr>
          <w:rFonts w:eastAsia="Times New Roman"/>
          <w:b/>
          <w:bCs/>
          <w:color w:val="000000"/>
          <w:sz w:val="20"/>
          <w:szCs w:val="20"/>
          <w:u w:val="single"/>
        </w:rPr>
        <w:t>Item 8</w:t>
      </w:r>
      <w:r>
        <w:rPr>
          <w:rFonts w:eastAsia="Times New Roman"/>
          <w:b/>
          <w:bCs/>
          <w:color w:val="000000"/>
          <w:sz w:val="20"/>
          <w:szCs w:val="20"/>
        </w:rPr>
        <w:t xml:space="preserve">. </w:t>
      </w:r>
      <w:r>
        <w:rPr>
          <w:rFonts w:eastAsia="Times New Roman"/>
          <w:b/>
          <w:bCs/>
          <w:color w:val="000000"/>
          <w:sz w:val="20"/>
          <w:szCs w:val="20"/>
          <w:u w:val="single"/>
        </w:rPr>
        <w:t>Financial Statements and Supplementary Data</w:t>
      </w:r>
      <w:r>
        <w:rPr>
          <w:rFonts w:eastAsia="Times New Roman"/>
          <w:b/>
          <w:bCs/>
          <w:color w:val="000000"/>
          <w:sz w:val="20"/>
          <w:szCs w:val="20"/>
        </w:rPr>
        <w:t>.</w:t>
      </w:r>
    </w:p>
    <w:p w:rsidR="00000000" w:rsidRDefault="00B132B6">
      <w:pPr>
        <w:ind w:firstLine="720"/>
        <w:jc w:val="both"/>
        <w:divId w:val="2000110421"/>
        <w:rPr>
          <w:rFonts w:eastAsia="Times New Roman"/>
        </w:rPr>
      </w:pPr>
      <w:r>
        <w:rPr>
          <w:rFonts w:eastAsia="Times New Roman"/>
          <w:color w:val="000000"/>
          <w:sz w:val="20"/>
          <w:szCs w:val="20"/>
        </w:rPr>
        <w:t>Pursuant to General In</w:t>
      </w:r>
      <w:r>
        <w:rPr>
          <w:rFonts w:eastAsia="Times New Roman"/>
          <w:color w:val="000000"/>
          <w:sz w:val="20"/>
          <w:szCs w:val="20"/>
        </w:rPr>
        <w:t>struction G(2) to Form 10-K, the information required by this Item is incorporated herein by reference to the report of the independent registered public accounting firm and the information under the caption "Consolidated Financial Statements" in the Compa</w:t>
      </w:r>
      <w:r>
        <w:rPr>
          <w:rFonts w:eastAsia="Times New Roman"/>
          <w:color w:val="000000"/>
          <w:sz w:val="20"/>
          <w:szCs w:val="20"/>
        </w:rPr>
        <w:t>ny's 2022 Annual Report to Shareholders.</w:t>
      </w:r>
    </w:p>
    <w:p w:rsidR="00000000" w:rsidRDefault="00B132B6">
      <w:pPr>
        <w:divId w:val="1006594523"/>
        <w:rPr>
          <w:rFonts w:eastAsia="Times New Roman"/>
        </w:rPr>
      </w:pPr>
      <w:r>
        <w:rPr>
          <w:rFonts w:eastAsia="Times New Roman"/>
          <w:b/>
          <w:bCs/>
          <w:color w:val="000000"/>
          <w:sz w:val="20"/>
          <w:szCs w:val="20"/>
          <w:u w:val="single"/>
        </w:rPr>
        <w:t>Item 9</w:t>
      </w:r>
      <w:r>
        <w:rPr>
          <w:rFonts w:eastAsia="Times New Roman"/>
          <w:b/>
          <w:bCs/>
          <w:color w:val="000000"/>
          <w:sz w:val="20"/>
          <w:szCs w:val="20"/>
        </w:rPr>
        <w:t xml:space="preserve">. </w:t>
      </w:r>
      <w:r>
        <w:rPr>
          <w:rFonts w:eastAsia="Times New Roman"/>
          <w:b/>
          <w:bCs/>
          <w:color w:val="000000"/>
          <w:sz w:val="20"/>
          <w:szCs w:val="20"/>
          <w:u w:val="single"/>
        </w:rPr>
        <w:t>Changes in and Disagreements With Accountants on Accounting and Financial Disclosure</w:t>
      </w:r>
      <w:r>
        <w:rPr>
          <w:rFonts w:eastAsia="Times New Roman"/>
          <w:b/>
          <w:bCs/>
          <w:color w:val="000000"/>
          <w:sz w:val="20"/>
          <w:szCs w:val="20"/>
        </w:rPr>
        <w:t>.</w:t>
      </w:r>
    </w:p>
    <w:p w:rsidR="00000000" w:rsidRDefault="00B132B6">
      <w:pPr>
        <w:ind w:firstLine="720"/>
        <w:jc w:val="both"/>
        <w:divId w:val="492600966"/>
        <w:rPr>
          <w:rFonts w:eastAsia="Times New Roman"/>
        </w:rPr>
      </w:pPr>
      <w:r>
        <w:rPr>
          <w:rFonts w:eastAsia="Times New Roman"/>
          <w:color w:val="000000"/>
          <w:sz w:val="20"/>
          <w:szCs w:val="20"/>
        </w:rPr>
        <w:t>None.</w:t>
      </w:r>
    </w:p>
    <w:p w:rsidR="00000000" w:rsidRDefault="00B132B6">
      <w:pPr>
        <w:divId w:val="343673970"/>
        <w:rPr>
          <w:rFonts w:eastAsia="Times New Roman"/>
        </w:rPr>
      </w:pPr>
      <w:r>
        <w:rPr>
          <w:rFonts w:eastAsia="Times New Roman"/>
          <w:b/>
          <w:bCs/>
          <w:color w:val="000000"/>
          <w:sz w:val="20"/>
          <w:szCs w:val="20"/>
          <w:u w:val="single"/>
        </w:rPr>
        <w:t>Item 9A</w:t>
      </w:r>
      <w:r>
        <w:rPr>
          <w:rFonts w:eastAsia="Times New Roman"/>
          <w:b/>
          <w:bCs/>
          <w:color w:val="000000"/>
          <w:sz w:val="20"/>
          <w:szCs w:val="20"/>
        </w:rPr>
        <w:t xml:space="preserve">. </w:t>
      </w:r>
      <w:r>
        <w:rPr>
          <w:rFonts w:eastAsia="Times New Roman"/>
          <w:b/>
          <w:bCs/>
          <w:color w:val="000000"/>
          <w:sz w:val="20"/>
          <w:szCs w:val="20"/>
          <w:u w:val="single"/>
        </w:rPr>
        <w:t>Controls and Procedures</w:t>
      </w:r>
      <w:r>
        <w:rPr>
          <w:rFonts w:eastAsia="Times New Roman"/>
          <w:b/>
          <w:bCs/>
          <w:color w:val="000000"/>
          <w:sz w:val="20"/>
          <w:szCs w:val="20"/>
        </w:rPr>
        <w:t>.</w:t>
      </w:r>
    </w:p>
    <w:p w:rsidR="00000000" w:rsidRDefault="00B132B6">
      <w:pPr>
        <w:ind w:hanging="360"/>
        <w:divId w:val="1878160831"/>
        <w:rPr>
          <w:rFonts w:eastAsia="Times New Roman"/>
        </w:rPr>
      </w:pPr>
      <w:r>
        <w:rPr>
          <w:rFonts w:eastAsia="Times New Roman"/>
          <w:b/>
          <w:bCs/>
          <w:color w:val="000000"/>
          <w:sz w:val="20"/>
          <w:szCs w:val="20"/>
        </w:rPr>
        <w:t>(a)</w:t>
      </w:r>
      <w:r>
        <w:rPr>
          <w:rFonts w:eastAsia="Times New Roman"/>
          <w:b/>
          <w:bCs/>
          <w:color w:val="000000"/>
          <w:sz w:val="20"/>
          <w:szCs w:val="20"/>
          <w:u w:val="single"/>
        </w:rPr>
        <w:t>Evaluation of Disclosure Controls and Procedures.</w:t>
      </w:r>
    </w:p>
    <w:p w:rsidR="00000000" w:rsidRDefault="00B132B6">
      <w:pPr>
        <w:ind w:firstLine="720"/>
        <w:jc w:val="both"/>
        <w:divId w:val="1434856526"/>
        <w:rPr>
          <w:rFonts w:eastAsia="Times New Roman"/>
        </w:rPr>
      </w:pPr>
      <w:r>
        <w:rPr>
          <w:rFonts w:eastAsia="Times New Roman"/>
          <w:color w:val="000000"/>
          <w:sz w:val="20"/>
          <w:szCs w:val="20"/>
        </w:rPr>
        <w:t xml:space="preserve">As of the end of the period </w:t>
      </w:r>
      <w:r>
        <w:rPr>
          <w:rFonts w:eastAsia="Times New Roman"/>
          <w:color w:val="000000"/>
          <w:sz w:val="20"/>
          <w:szCs w:val="20"/>
        </w:rPr>
        <w:t xml:space="preserve">covered by this annual report, the Company's management, including the Chief Executive Officer and Chief Financial Officer, evaluated the effectiveness of the Company's disclosure controls and procedures (as defined in Rule 13a-15(e) promulgated under the </w:t>
      </w:r>
      <w:r>
        <w:rPr>
          <w:rFonts w:eastAsia="Times New Roman"/>
          <w:color w:val="000000"/>
          <w:sz w:val="20"/>
          <w:szCs w:val="20"/>
        </w:rPr>
        <w:t>Securities Exchange Act of 1934, as amended). Based on that evaluation, the Company's management, including the Chief Executive Officer and Chief Financial Officer, concluded that, as of December 31, 2022, the Company's disclosure controls and procedures w</w:t>
      </w:r>
      <w:r>
        <w:rPr>
          <w:rFonts w:eastAsia="Times New Roman"/>
          <w:color w:val="000000"/>
          <w:sz w:val="20"/>
          <w:szCs w:val="20"/>
        </w:rPr>
        <w:t>ere effective.</w:t>
      </w:r>
    </w:p>
    <w:p w:rsidR="00000000" w:rsidRDefault="00B132B6">
      <w:pPr>
        <w:ind w:hanging="360"/>
        <w:divId w:val="828206346"/>
        <w:rPr>
          <w:rFonts w:eastAsia="Times New Roman"/>
        </w:rPr>
      </w:pPr>
      <w:r>
        <w:rPr>
          <w:rFonts w:eastAsia="Times New Roman"/>
          <w:b/>
          <w:bCs/>
          <w:color w:val="000000"/>
          <w:sz w:val="20"/>
          <w:szCs w:val="20"/>
        </w:rPr>
        <w:t>(b)</w:t>
      </w:r>
      <w:r>
        <w:rPr>
          <w:rFonts w:eastAsia="Times New Roman"/>
          <w:b/>
          <w:bCs/>
          <w:color w:val="000000"/>
          <w:sz w:val="20"/>
          <w:szCs w:val="20"/>
          <w:u w:val="single"/>
        </w:rPr>
        <w:t>Management's Report on Internal Control Over Financial Reporting</w:t>
      </w:r>
      <w:r>
        <w:rPr>
          <w:rFonts w:eastAsia="Times New Roman"/>
          <w:color w:val="000000"/>
          <w:sz w:val="20"/>
          <w:szCs w:val="20"/>
        </w:rPr>
        <w:t>.</w:t>
      </w:r>
    </w:p>
    <w:p w:rsidR="00000000" w:rsidRDefault="00B132B6">
      <w:pPr>
        <w:ind w:firstLine="720"/>
        <w:jc w:val="both"/>
        <w:divId w:val="992876524"/>
        <w:rPr>
          <w:rFonts w:eastAsia="Times New Roman"/>
        </w:rPr>
      </w:pPr>
      <w:r>
        <w:rPr>
          <w:rFonts w:eastAsia="Times New Roman"/>
          <w:color w:val="000000"/>
          <w:sz w:val="20"/>
          <w:szCs w:val="20"/>
        </w:rPr>
        <w:t>The Company's management is responsible for establishing and maintaining effective internal control over financial reporting, as such term is defined in Securities Exchange</w:t>
      </w:r>
      <w:r>
        <w:rPr>
          <w:rFonts w:eastAsia="Times New Roman"/>
          <w:color w:val="000000"/>
          <w:sz w:val="20"/>
          <w:szCs w:val="20"/>
        </w:rPr>
        <w:t xml:space="preserve"> Act Rule 13a-15(f). Under the supervision and with the participation of the Company's management, including the Company's principal executive officer and </w:t>
      </w:r>
    </w:p>
    <w:p w:rsidR="00000000" w:rsidRDefault="00B132B6">
      <w:pPr>
        <w:jc w:val="center"/>
        <w:divId w:val="1213618367"/>
        <w:rPr>
          <w:rFonts w:eastAsia="Times New Roman"/>
        </w:rPr>
      </w:pPr>
      <w:r>
        <w:rPr>
          <w:rFonts w:eastAsia="Times New Roman"/>
          <w:color w:val="000000"/>
          <w:sz w:val="20"/>
          <w:szCs w:val="20"/>
        </w:rPr>
        <w:t>27</w:t>
      </w:r>
    </w:p>
    <w:p w:rsidR="00000000" w:rsidRDefault="00B132B6">
      <w:pPr>
        <w:rPr>
          <w:rFonts w:eastAsia="Times New Roman"/>
        </w:rPr>
      </w:pPr>
      <w:r>
        <w:rPr>
          <w:rFonts w:eastAsia="Times New Roman"/>
        </w:rPr>
        <w:pict>
          <v:rect id="_x0000_i1051" style="width:0;height:1.5pt" o:hralign="center" o:hrstd="t" o:hr="t" fillcolor="#a0a0a0" stroked="f"/>
        </w:pict>
      </w:r>
    </w:p>
    <w:p w:rsidR="00000000" w:rsidRDefault="00B132B6">
      <w:pPr>
        <w:divId w:val="1354724608"/>
        <w:rPr>
          <w:rFonts w:eastAsia="Times New Roman"/>
        </w:rPr>
      </w:pPr>
    </w:p>
    <w:p w:rsidR="00000000" w:rsidRDefault="00B132B6">
      <w:pPr>
        <w:jc w:val="both"/>
        <w:divId w:val="1079984447"/>
        <w:rPr>
          <w:rFonts w:eastAsia="Times New Roman"/>
        </w:rPr>
      </w:pPr>
      <w:r>
        <w:rPr>
          <w:rFonts w:eastAsia="Times New Roman"/>
          <w:color w:val="000000"/>
          <w:sz w:val="20"/>
          <w:szCs w:val="20"/>
        </w:rPr>
        <w:t>principal financial officer, we conducted an evaluation of</w:t>
      </w:r>
      <w:r>
        <w:rPr>
          <w:rFonts w:eastAsia="Times New Roman"/>
          <w:color w:val="000000"/>
          <w:sz w:val="20"/>
          <w:szCs w:val="20"/>
        </w:rPr>
        <w:t xml:space="preserve"> the effectiveness of the Company's internal control over financial reporting, as of December 31, 2022, based on the framework set forth by the Committee of Sponsoring Organizations of the Treadway Commission in </w:t>
      </w:r>
      <w:r>
        <w:rPr>
          <w:rFonts w:eastAsia="Times New Roman"/>
          <w:i/>
          <w:iCs/>
          <w:color w:val="000000"/>
          <w:sz w:val="20"/>
          <w:szCs w:val="20"/>
        </w:rPr>
        <w:t>Internal Control-Integrated Framework (2013)</w:t>
      </w:r>
      <w:r>
        <w:rPr>
          <w:rFonts w:eastAsia="Times New Roman"/>
          <w:color w:val="000000"/>
          <w:sz w:val="20"/>
          <w:szCs w:val="20"/>
        </w:rPr>
        <w:t xml:space="preserve">. Based upon its assessment, management has concluded that, as of December 31, 2022, the Company's internal control over financial reporting, is effective based on the criteria established in </w:t>
      </w:r>
      <w:r>
        <w:rPr>
          <w:rFonts w:eastAsia="Times New Roman"/>
          <w:i/>
          <w:iCs/>
          <w:color w:val="000000"/>
          <w:sz w:val="20"/>
          <w:szCs w:val="20"/>
        </w:rPr>
        <w:t>Internal Control-Integrated Framework (2013)</w:t>
      </w:r>
      <w:r>
        <w:rPr>
          <w:rFonts w:eastAsia="Times New Roman"/>
          <w:color w:val="000000"/>
          <w:sz w:val="20"/>
          <w:szCs w:val="20"/>
        </w:rPr>
        <w:t xml:space="preserve">. </w:t>
      </w:r>
    </w:p>
    <w:p w:rsidR="00000000" w:rsidRDefault="00B132B6">
      <w:pPr>
        <w:ind w:firstLine="720"/>
        <w:jc w:val="both"/>
        <w:divId w:val="501089803"/>
        <w:rPr>
          <w:rFonts w:eastAsia="Times New Roman"/>
        </w:rPr>
      </w:pPr>
      <w:r>
        <w:rPr>
          <w:rFonts w:eastAsia="Times New Roman"/>
          <w:color w:val="000000"/>
          <w:sz w:val="20"/>
          <w:szCs w:val="20"/>
        </w:rPr>
        <w:t>Management's asse</w:t>
      </w:r>
      <w:r>
        <w:rPr>
          <w:rFonts w:eastAsia="Times New Roman"/>
          <w:color w:val="000000"/>
          <w:sz w:val="20"/>
          <w:szCs w:val="20"/>
        </w:rPr>
        <w:t>ssment of the effectiveness of internal control over financial reporting, as of December 31, 2022, has been audited by KPMG LLP, an independent registered public accounting firm, as stated in their report, which is included in this Annual Report on Form 10</w:t>
      </w:r>
      <w:r>
        <w:rPr>
          <w:rFonts w:eastAsia="Times New Roman"/>
          <w:color w:val="000000"/>
          <w:sz w:val="20"/>
          <w:szCs w:val="20"/>
        </w:rPr>
        <w:t>-K.</w:t>
      </w:r>
    </w:p>
    <w:p w:rsidR="00000000" w:rsidRDefault="00B132B6">
      <w:pPr>
        <w:ind w:hanging="360"/>
        <w:divId w:val="1308585495"/>
        <w:rPr>
          <w:rFonts w:eastAsia="Times New Roman"/>
        </w:rPr>
      </w:pPr>
      <w:r>
        <w:rPr>
          <w:rFonts w:eastAsia="Times New Roman"/>
          <w:b/>
          <w:bCs/>
          <w:color w:val="000000"/>
          <w:sz w:val="20"/>
          <w:szCs w:val="20"/>
        </w:rPr>
        <w:t>(c)</w:t>
      </w:r>
      <w:r>
        <w:rPr>
          <w:rFonts w:eastAsia="Times New Roman"/>
          <w:b/>
          <w:bCs/>
          <w:color w:val="000000"/>
          <w:sz w:val="20"/>
          <w:szCs w:val="20"/>
          <w:u w:val="single"/>
        </w:rPr>
        <w:t>Changes in Internal Control over Financial Reporting</w:t>
      </w:r>
      <w:r>
        <w:rPr>
          <w:rFonts w:eastAsia="Times New Roman"/>
          <w:b/>
          <w:bCs/>
          <w:color w:val="000000"/>
          <w:sz w:val="20"/>
          <w:szCs w:val="20"/>
        </w:rPr>
        <w:t>.</w:t>
      </w:r>
    </w:p>
    <w:p w:rsidR="00000000" w:rsidRDefault="00B132B6">
      <w:pPr>
        <w:ind w:firstLine="720"/>
        <w:jc w:val="both"/>
        <w:divId w:val="566456227"/>
        <w:rPr>
          <w:rFonts w:eastAsia="Times New Roman"/>
        </w:rPr>
      </w:pPr>
      <w:r>
        <w:rPr>
          <w:rFonts w:eastAsia="Times New Roman"/>
          <w:color w:val="000000"/>
          <w:sz w:val="20"/>
          <w:szCs w:val="20"/>
        </w:rPr>
        <w:t>There have been no changes in the Company's internal control over financial reporting (as defined in Rules 13a-15(f) and 15d-15(f) under the Exchange Act) during the quarter ended December 31, 20</w:t>
      </w:r>
      <w:r>
        <w:rPr>
          <w:rFonts w:eastAsia="Times New Roman"/>
          <w:color w:val="000000"/>
          <w:sz w:val="20"/>
          <w:szCs w:val="20"/>
        </w:rPr>
        <w:t>22 that has materially affected, or is reasonably likely to materially affect, the Company's internal control over financial reporting.</w:t>
      </w:r>
    </w:p>
    <w:p w:rsidR="00000000" w:rsidRDefault="00B132B6">
      <w:pPr>
        <w:jc w:val="center"/>
        <w:divId w:val="1785272173"/>
        <w:rPr>
          <w:rFonts w:eastAsia="Times New Roman"/>
        </w:rPr>
      </w:pPr>
      <w:r>
        <w:rPr>
          <w:rFonts w:eastAsia="Times New Roman"/>
          <w:color w:val="000000"/>
          <w:sz w:val="20"/>
          <w:szCs w:val="20"/>
        </w:rPr>
        <w:t>28</w:t>
      </w:r>
    </w:p>
    <w:p w:rsidR="00000000" w:rsidRDefault="00B132B6">
      <w:pPr>
        <w:rPr>
          <w:rFonts w:eastAsia="Times New Roman"/>
        </w:rPr>
      </w:pPr>
      <w:r>
        <w:rPr>
          <w:rFonts w:eastAsia="Times New Roman"/>
        </w:rPr>
        <w:pict>
          <v:rect id="_x0000_i1052" style="width:0;height:1.5pt" o:hralign="center" o:hrstd="t" o:hr="t" fillcolor="#a0a0a0" stroked="f"/>
        </w:pict>
      </w:r>
    </w:p>
    <w:p w:rsidR="00000000" w:rsidRDefault="00B132B6">
      <w:pPr>
        <w:divId w:val="479151793"/>
        <w:rPr>
          <w:rFonts w:eastAsia="Times New Roman"/>
        </w:rPr>
      </w:pPr>
    </w:p>
    <w:p w:rsidR="00000000" w:rsidRDefault="00B132B6">
      <w:pPr>
        <w:jc w:val="center"/>
        <w:rPr>
          <w:rFonts w:eastAsia="Times New Roman"/>
        </w:rPr>
      </w:pPr>
      <w:r>
        <w:rPr>
          <w:rFonts w:eastAsia="Times New Roman"/>
          <w:b/>
          <w:bCs/>
          <w:color w:val="000000"/>
          <w:sz w:val="20"/>
          <w:szCs w:val="20"/>
        </w:rPr>
        <w:t>Report of Independent Registered Public Accounting Firm</w:t>
      </w:r>
    </w:p>
    <w:p w:rsidR="00000000" w:rsidRDefault="00B132B6">
      <w:pPr>
        <w:jc w:val="both"/>
        <w:divId w:val="1270818229"/>
        <w:rPr>
          <w:rFonts w:eastAsia="Times New Roman"/>
        </w:rPr>
      </w:pPr>
      <w:r>
        <w:rPr>
          <w:rFonts w:eastAsia="Times New Roman"/>
          <w:color w:val="000000"/>
          <w:sz w:val="20"/>
          <w:szCs w:val="20"/>
        </w:rPr>
        <w:t xml:space="preserve">To the Stockholders and Board of Directors </w:t>
      </w:r>
    </w:p>
    <w:p w:rsidR="00000000" w:rsidRDefault="00B132B6">
      <w:pPr>
        <w:jc w:val="both"/>
        <w:rPr>
          <w:rFonts w:eastAsia="Times New Roman"/>
        </w:rPr>
      </w:pPr>
      <w:r>
        <w:rPr>
          <w:rFonts w:eastAsia="Times New Roman"/>
          <w:color w:val="000000"/>
          <w:sz w:val="20"/>
          <w:szCs w:val="20"/>
        </w:rPr>
        <w:t>Hawthorn Bancshares, Inc.:</w:t>
      </w:r>
    </w:p>
    <w:p w:rsidR="00000000" w:rsidRDefault="00B132B6">
      <w:pPr>
        <w:jc w:val="both"/>
        <w:divId w:val="800197122"/>
        <w:rPr>
          <w:rFonts w:eastAsia="Times New Roman"/>
        </w:rPr>
      </w:pPr>
      <w:r>
        <w:rPr>
          <w:rFonts w:eastAsia="Times New Roman"/>
          <w:i/>
          <w:iCs/>
          <w:color w:val="000000"/>
          <w:sz w:val="20"/>
          <w:szCs w:val="20"/>
        </w:rPr>
        <w:t>Opinion on Internal Control Over Financial Reporting</w:t>
      </w:r>
    </w:p>
    <w:p w:rsidR="00000000" w:rsidRDefault="00B132B6">
      <w:pPr>
        <w:jc w:val="both"/>
        <w:divId w:val="2001805939"/>
        <w:rPr>
          <w:rFonts w:eastAsia="Times New Roman"/>
        </w:rPr>
      </w:pPr>
      <w:r>
        <w:rPr>
          <w:rFonts w:eastAsia="Times New Roman"/>
          <w:color w:val="000000"/>
          <w:sz w:val="20"/>
          <w:szCs w:val="20"/>
        </w:rPr>
        <w:t xml:space="preserve">We have audited Hawthorn Bancshares, Inc. and subsidiaries' (the Company) internal control over financial reporting as of December 31, 2022, based on criteria established in </w:t>
      </w:r>
      <w:r>
        <w:rPr>
          <w:rFonts w:eastAsia="Times New Roman"/>
          <w:i/>
          <w:iCs/>
          <w:color w:val="000000"/>
          <w:sz w:val="20"/>
          <w:szCs w:val="20"/>
        </w:rPr>
        <w:t>Internal Control – Integrated Framework (2013)</w:t>
      </w:r>
      <w:r>
        <w:rPr>
          <w:rFonts w:eastAsia="Times New Roman"/>
          <w:color w:val="000000"/>
          <w:sz w:val="20"/>
          <w:szCs w:val="20"/>
        </w:rPr>
        <w:t xml:space="preserve"> issued by the Committee of Sponsori</w:t>
      </w:r>
      <w:r>
        <w:rPr>
          <w:rFonts w:eastAsia="Times New Roman"/>
          <w:color w:val="000000"/>
          <w:sz w:val="20"/>
          <w:szCs w:val="20"/>
        </w:rPr>
        <w:t>ng Organizations of the Treadway Commission. In our opinion, the Company maintained, in all material respects, effective internal control over financial reporting as of December 31, 2022, based on criteria established in Internal Control – Integrated Frame</w:t>
      </w:r>
      <w:r>
        <w:rPr>
          <w:rFonts w:eastAsia="Times New Roman"/>
          <w:color w:val="000000"/>
          <w:sz w:val="20"/>
          <w:szCs w:val="20"/>
        </w:rPr>
        <w:t>work (2013) issued by the Committee of Sponsoring Organizations of the Treadway Commission.</w:t>
      </w:r>
    </w:p>
    <w:p w:rsidR="00000000" w:rsidRDefault="00B132B6">
      <w:pPr>
        <w:jc w:val="both"/>
        <w:divId w:val="625047169"/>
        <w:rPr>
          <w:rFonts w:eastAsia="Times New Roman"/>
        </w:rPr>
      </w:pPr>
      <w:r>
        <w:rPr>
          <w:rFonts w:eastAsia="Times New Roman"/>
          <w:color w:val="000000"/>
          <w:sz w:val="20"/>
          <w:szCs w:val="20"/>
        </w:rPr>
        <w:t xml:space="preserve">We also have audited, in accordance with the standards of the Public Company Accounting Oversight Board (United States) (PCAOB), the consolidated balance sheets of </w:t>
      </w:r>
      <w:r>
        <w:rPr>
          <w:rFonts w:eastAsia="Times New Roman"/>
          <w:color w:val="000000"/>
          <w:sz w:val="20"/>
          <w:szCs w:val="20"/>
        </w:rPr>
        <w:t>the Company as of December 31, 2022 and 2021, the related consolidated statements of income, comprehensive (loss) income, stockholders’ equity, and cash flows for each of the years in the three-year period ended December 31, 2022, and the related notes (co</w:t>
      </w:r>
      <w:r>
        <w:rPr>
          <w:rFonts w:eastAsia="Times New Roman"/>
          <w:color w:val="000000"/>
          <w:sz w:val="20"/>
          <w:szCs w:val="20"/>
        </w:rPr>
        <w:t>llectively, the consolidated financial statements), and our report dated March 29, 2023 expressed an unqualified opinion on those consolidated financial statements.</w:t>
      </w:r>
    </w:p>
    <w:p w:rsidR="00000000" w:rsidRDefault="00B132B6">
      <w:pPr>
        <w:jc w:val="both"/>
        <w:divId w:val="1448433039"/>
        <w:rPr>
          <w:rFonts w:eastAsia="Times New Roman"/>
        </w:rPr>
      </w:pPr>
      <w:r>
        <w:rPr>
          <w:rFonts w:eastAsia="Times New Roman"/>
          <w:i/>
          <w:iCs/>
          <w:color w:val="000000"/>
          <w:sz w:val="20"/>
          <w:szCs w:val="20"/>
        </w:rPr>
        <w:t>Basis for Opinion</w:t>
      </w:r>
    </w:p>
    <w:p w:rsidR="00000000" w:rsidRDefault="00B132B6">
      <w:pPr>
        <w:jc w:val="both"/>
        <w:divId w:val="2087534987"/>
        <w:rPr>
          <w:rFonts w:eastAsia="Times New Roman"/>
        </w:rPr>
      </w:pPr>
      <w:r>
        <w:rPr>
          <w:rFonts w:eastAsia="Times New Roman"/>
          <w:color w:val="000000"/>
          <w:sz w:val="20"/>
          <w:szCs w:val="20"/>
        </w:rPr>
        <w:t>The Company’s management is responsible for maintaining effective interna</w:t>
      </w:r>
      <w:r>
        <w:rPr>
          <w:rFonts w:eastAsia="Times New Roman"/>
          <w:color w:val="000000"/>
          <w:sz w:val="20"/>
          <w:szCs w:val="20"/>
        </w:rPr>
        <w:t xml:space="preserve">l control over financial reporting and for its assessment of the effectiveness of internal control over financial reporting, included in the accompanying Management's Report on Internal Control Over Financial Reporting. Our responsibility is to express an </w:t>
      </w:r>
      <w:r>
        <w:rPr>
          <w:rFonts w:eastAsia="Times New Roman"/>
          <w:color w:val="000000"/>
          <w:sz w:val="20"/>
          <w:szCs w:val="20"/>
        </w:rPr>
        <w:t>opinion on the Company’s internal control over financial reporting based on our audit. We are a public accounting firm registered with the PCAOB and are required to be independent with respect to the Company in accordance with the U.S. federal securities l</w:t>
      </w:r>
      <w:r>
        <w:rPr>
          <w:rFonts w:eastAsia="Times New Roman"/>
          <w:color w:val="000000"/>
          <w:sz w:val="20"/>
          <w:szCs w:val="20"/>
        </w:rPr>
        <w:t>aws and the applicable rules and regulations of the Securities and Exchange Commission and the PCAOB.</w:t>
      </w:r>
    </w:p>
    <w:p w:rsidR="00000000" w:rsidRDefault="00B132B6">
      <w:pPr>
        <w:jc w:val="both"/>
        <w:divId w:val="447511977"/>
        <w:rPr>
          <w:rFonts w:eastAsia="Times New Roman"/>
        </w:rPr>
      </w:pPr>
      <w:r>
        <w:rPr>
          <w:rFonts w:eastAsia="Times New Roman"/>
          <w:color w:val="000000"/>
          <w:sz w:val="20"/>
          <w:szCs w:val="20"/>
        </w:rPr>
        <w:t>We conducted our audit in accordance with the standards of the PCAOB. Those standards require that we plan and perform the audit to obtain reasonable assu</w:t>
      </w:r>
      <w:r>
        <w:rPr>
          <w:rFonts w:eastAsia="Times New Roman"/>
          <w:color w:val="000000"/>
          <w:sz w:val="20"/>
          <w:szCs w:val="20"/>
        </w:rPr>
        <w:t>rance about whether effective internal control over financial reporting was maintained in all material respects. Our audit of internal control over financial reporting included obtaining an understanding of internal control over financial reporting, assess</w:t>
      </w:r>
      <w:r>
        <w:rPr>
          <w:rFonts w:eastAsia="Times New Roman"/>
          <w:color w:val="000000"/>
          <w:sz w:val="20"/>
          <w:szCs w:val="20"/>
        </w:rPr>
        <w:t>ing the risk that a material weakness exists, and testing and evaluating the design and operating effectiveness of internal control based on the assessed risk. Our audit also included performing such other procedures as we considered necessary in the circu</w:t>
      </w:r>
      <w:r>
        <w:rPr>
          <w:rFonts w:eastAsia="Times New Roman"/>
          <w:color w:val="000000"/>
          <w:sz w:val="20"/>
          <w:szCs w:val="20"/>
        </w:rPr>
        <w:t>mstances. We believe that our audit provides a reasonable basis for our opinion.</w:t>
      </w:r>
    </w:p>
    <w:p w:rsidR="00000000" w:rsidRDefault="00B132B6">
      <w:pPr>
        <w:jc w:val="both"/>
        <w:divId w:val="1800758612"/>
        <w:rPr>
          <w:rFonts w:eastAsia="Times New Roman"/>
        </w:rPr>
      </w:pPr>
      <w:r>
        <w:rPr>
          <w:rFonts w:eastAsia="Times New Roman"/>
          <w:i/>
          <w:iCs/>
          <w:color w:val="000000"/>
          <w:sz w:val="20"/>
          <w:szCs w:val="20"/>
        </w:rPr>
        <w:t>Definition and Limitations of Internal Control Over Financial Reporting</w:t>
      </w:r>
    </w:p>
    <w:p w:rsidR="00000000" w:rsidRDefault="00B132B6">
      <w:pPr>
        <w:jc w:val="both"/>
        <w:divId w:val="1803883034"/>
        <w:rPr>
          <w:rFonts w:eastAsia="Times New Roman"/>
        </w:rPr>
      </w:pPr>
      <w:r>
        <w:rPr>
          <w:rFonts w:eastAsia="Times New Roman"/>
          <w:color w:val="000000"/>
          <w:sz w:val="20"/>
          <w:szCs w:val="20"/>
        </w:rPr>
        <w:t>A company’s internal control over financial reporting is a process designed to provide reasonable assur</w:t>
      </w:r>
      <w:r>
        <w:rPr>
          <w:rFonts w:eastAsia="Times New Roman"/>
          <w:color w:val="000000"/>
          <w:sz w:val="20"/>
          <w:szCs w:val="20"/>
        </w:rPr>
        <w:t>ance regarding the reliability of financial reporting and the preparation of financial statements for external purposes in accordance with generally accepted accounting principles. A company’s internal control over financial reporting includes those polici</w:t>
      </w:r>
      <w:r>
        <w:rPr>
          <w:rFonts w:eastAsia="Times New Roman"/>
          <w:color w:val="000000"/>
          <w:sz w:val="20"/>
          <w:szCs w:val="20"/>
        </w:rPr>
        <w:t>es and procedures that (1) pertain to the maintenance of records that, in reasonable detail, accurately and fairly reflect the transactions and dispositions of the assets of the company; (2) provide reasonable assurance that transactions are recorded as ne</w:t>
      </w:r>
      <w:r>
        <w:rPr>
          <w:rFonts w:eastAsia="Times New Roman"/>
          <w:color w:val="000000"/>
          <w:sz w:val="20"/>
          <w:szCs w:val="20"/>
        </w:rPr>
        <w:t>cessary to permit preparation of financial statements in accordance with generally accepted accounting principles, and that receipts and expenditures of the company are being made only in accordance with authorizations of management and directors of the co</w:t>
      </w:r>
      <w:r>
        <w:rPr>
          <w:rFonts w:eastAsia="Times New Roman"/>
          <w:color w:val="000000"/>
          <w:sz w:val="20"/>
          <w:szCs w:val="20"/>
        </w:rPr>
        <w:t>mpany; and (3) provide reasonable assurance regarding prevention or timely detection of unauthorized acquisition, use, or disposition of the company’s assets that could have a material effect on the financial statements.</w:t>
      </w:r>
    </w:p>
    <w:p w:rsidR="00000000" w:rsidRDefault="00B132B6">
      <w:pPr>
        <w:jc w:val="both"/>
        <w:divId w:val="2004311433"/>
        <w:rPr>
          <w:rFonts w:eastAsia="Times New Roman"/>
        </w:rPr>
      </w:pPr>
      <w:r>
        <w:rPr>
          <w:rFonts w:eastAsia="Times New Roman"/>
          <w:color w:val="000000"/>
          <w:sz w:val="20"/>
          <w:szCs w:val="20"/>
        </w:rPr>
        <w:t>Because of its inherent limitations</w:t>
      </w:r>
      <w:r>
        <w:rPr>
          <w:rFonts w:eastAsia="Times New Roman"/>
          <w:color w:val="000000"/>
          <w:sz w:val="20"/>
          <w:szCs w:val="20"/>
        </w:rPr>
        <w:t>, internal control over financial reporting may not prevent or detect misstatements. Also, projections of any evaluation of effectiveness to future periods are subject to the risk that controls may become inadequate because of changes in conditions, or tha</w:t>
      </w:r>
      <w:r>
        <w:rPr>
          <w:rFonts w:eastAsia="Times New Roman"/>
          <w:color w:val="000000"/>
          <w:sz w:val="20"/>
          <w:szCs w:val="20"/>
        </w:rPr>
        <w:t>t the degree of compliance with the policies or procedures may deteriorate.</w:t>
      </w:r>
    </w:p>
    <w:tbl>
      <w:tblPr>
        <w:tblW w:w="5000" w:type="pct"/>
        <w:tblCellMar>
          <w:top w:w="15" w:type="dxa"/>
          <w:left w:w="15" w:type="dxa"/>
          <w:bottom w:w="15" w:type="dxa"/>
          <w:right w:w="15" w:type="dxa"/>
        </w:tblCellMar>
        <w:tblLook w:val="04A0" w:firstRow="1" w:lastRow="0" w:firstColumn="1" w:lastColumn="0" w:noHBand="0" w:noVBand="1"/>
      </w:tblPr>
      <w:tblGrid>
        <w:gridCol w:w="69"/>
        <w:gridCol w:w="4048"/>
        <w:gridCol w:w="36"/>
        <w:gridCol w:w="69"/>
        <w:gridCol w:w="4048"/>
        <w:gridCol w:w="36"/>
      </w:tblGrid>
      <w:tr w:rsidR="00000000">
        <w:trPr>
          <w:divId w:val="1959018921"/>
        </w:trPr>
        <w:tc>
          <w:tcPr>
            <w:tcW w:w="50" w:type="pct"/>
            <w:vAlign w:val="center"/>
            <w:hideMark/>
          </w:tcPr>
          <w:p w:rsidR="00000000" w:rsidRDefault="00B132B6">
            <w:pPr>
              <w:jc w:val="both"/>
              <w:rPr>
                <w:rFonts w:eastAsia="Times New Roman"/>
              </w:rPr>
            </w:pPr>
          </w:p>
        </w:tc>
        <w:tc>
          <w:tcPr>
            <w:tcW w:w="2445"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c>
          <w:tcPr>
            <w:tcW w:w="50" w:type="pct"/>
            <w:vAlign w:val="center"/>
            <w:hideMark/>
          </w:tcPr>
          <w:p w:rsidR="00000000" w:rsidRDefault="00B132B6">
            <w:pPr>
              <w:spacing w:after="100"/>
              <w:rPr>
                <w:rFonts w:eastAsia="Times New Roman"/>
                <w:sz w:val="20"/>
                <w:szCs w:val="20"/>
              </w:rPr>
            </w:pPr>
          </w:p>
        </w:tc>
        <w:tc>
          <w:tcPr>
            <w:tcW w:w="2445"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r>
      <w:tr w:rsidR="00000000">
        <w:trPr>
          <w:divId w:val="1959018921"/>
        </w:trPr>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132B6">
            <w:pPr>
              <w:spacing w:after="100"/>
              <w:divId w:val="1745252045"/>
              <w:rPr>
                <w:rFonts w:eastAsia="Times New Roman"/>
              </w:rPr>
            </w:pPr>
            <w:r>
              <w:rPr>
                <w:rFonts w:eastAsia="Times New Roman"/>
                <w:i/>
                <w:iCs/>
                <w:color w:val="000000"/>
                <w:sz w:val="20"/>
                <w:szCs w:val="20"/>
              </w:rPr>
              <w:t xml:space="preserve">/s / </w:t>
            </w:r>
            <w:r>
              <w:rPr>
                <w:rFonts w:eastAsia="Times New Roman"/>
                <w:color w:val="000000"/>
                <w:sz w:val="20"/>
                <w:szCs w:val="20"/>
              </w:rPr>
              <w:t>KPMG LLP</w:t>
            </w:r>
          </w:p>
        </w:tc>
      </w:tr>
      <w:tr w:rsidR="00000000">
        <w:trPr>
          <w:divId w:val="1959018921"/>
        </w:trPr>
        <w:tc>
          <w:tcPr>
            <w:tcW w:w="0" w:type="auto"/>
            <w:gridSpan w:val="3"/>
            <w:tcMar>
              <w:top w:w="30" w:type="dxa"/>
              <w:left w:w="164" w:type="dxa"/>
              <w:bottom w:w="30" w:type="dxa"/>
              <w:right w:w="20" w:type="dxa"/>
            </w:tcMar>
            <w:vAlign w:val="bottom"/>
            <w:hideMark/>
          </w:tcPr>
          <w:p w:rsidR="00000000" w:rsidRDefault="00B132B6">
            <w:pPr>
              <w:spacing w:after="100"/>
              <w:ind w:hanging="144"/>
              <w:rPr>
                <w:rFonts w:eastAsia="Times New Roman"/>
              </w:rPr>
            </w:pPr>
            <w:r>
              <w:rPr>
                <w:rFonts w:eastAsia="Times New Roman"/>
                <w:color w:val="000000"/>
                <w:sz w:val="20"/>
                <w:szCs w:val="20"/>
              </w:rPr>
              <w:t>St. Louis, Missouri</w:t>
            </w:r>
          </w:p>
        </w:tc>
        <w:tc>
          <w:tcPr>
            <w:tcW w:w="0" w:type="auto"/>
            <w:gridSpan w:val="3"/>
            <w:tcMar>
              <w:top w:w="0" w:type="dxa"/>
              <w:left w:w="20" w:type="dxa"/>
              <w:bottom w:w="0" w:type="dxa"/>
              <w:right w:w="20" w:type="dxa"/>
            </w:tcMar>
            <w:vAlign w:val="center"/>
            <w:hideMark/>
          </w:tcPr>
          <w:p w:rsidR="00000000" w:rsidRDefault="00B132B6">
            <w:pPr>
              <w:spacing w:after="100"/>
              <w:ind w:hanging="144"/>
              <w:rPr>
                <w:rFonts w:eastAsia="Times New Roman"/>
              </w:rPr>
            </w:pPr>
          </w:p>
        </w:tc>
      </w:tr>
      <w:tr w:rsidR="00000000">
        <w:trPr>
          <w:divId w:val="1959018921"/>
        </w:trPr>
        <w:tc>
          <w:tcPr>
            <w:tcW w:w="0" w:type="auto"/>
            <w:gridSpan w:val="3"/>
            <w:tcMar>
              <w:top w:w="30" w:type="dxa"/>
              <w:left w:w="164" w:type="dxa"/>
              <w:bottom w:w="30" w:type="dxa"/>
              <w:right w:w="20" w:type="dxa"/>
            </w:tcMar>
            <w:vAlign w:val="bottom"/>
            <w:hideMark/>
          </w:tcPr>
          <w:p w:rsidR="00000000" w:rsidRDefault="00B132B6">
            <w:pPr>
              <w:spacing w:after="100"/>
              <w:ind w:hanging="144"/>
              <w:rPr>
                <w:rFonts w:eastAsia="Times New Roman"/>
              </w:rPr>
            </w:pPr>
            <w:r>
              <w:rPr>
                <w:rFonts w:eastAsia="Times New Roman"/>
                <w:color w:val="000000"/>
                <w:sz w:val="20"/>
                <w:szCs w:val="20"/>
              </w:rPr>
              <w:t>March 29, 2023</w:t>
            </w:r>
          </w:p>
        </w:tc>
        <w:tc>
          <w:tcPr>
            <w:tcW w:w="0" w:type="auto"/>
            <w:gridSpan w:val="3"/>
            <w:tcMar>
              <w:top w:w="0" w:type="dxa"/>
              <w:left w:w="20" w:type="dxa"/>
              <w:bottom w:w="0" w:type="dxa"/>
              <w:right w:w="20" w:type="dxa"/>
            </w:tcMar>
            <w:vAlign w:val="center"/>
            <w:hideMark/>
          </w:tcPr>
          <w:p w:rsidR="00000000" w:rsidRDefault="00B132B6">
            <w:pPr>
              <w:spacing w:after="100"/>
              <w:ind w:hanging="144"/>
              <w:rPr>
                <w:rFonts w:eastAsia="Times New Roman"/>
              </w:rPr>
            </w:pPr>
          </w:p>
        </w:tc>
      </w:tr>
    </w:tbl>
    <w:p w:rsidR="00000000" w:rsidRDefault="00B132B6">
      <w:pPr>
        <w:jc w:val="center"/>
        <w:divId w:val="336662237"/>
        <w:rPr>
          <w:rFonts w:eastAsia="Times New Roman"/>
        </w:rPr>
      </w:pPr>
      <w:r>
        <w:rPr>
          <w:rFonts w:eastAsia="Times New Roman"/>
          <w:color w:val="000000"/>
          <w:sz w:val="20"/>
          <w:szCs w:val="20"/>
        </w:rPr>
        <w:t>29</w:t>
      </w:r>
    </w:p>
    <w:p w:rsidR="00000000" w:rsidRDefault="00B132B6">
      <w:pPr>
        <w:rPr>
          <w:rFonts w:eastAsia="Times New Roman"/>
        </w:rPr>
      </w:pPr>
      <w:r>
        <w:rPr>
          <w:rFonts w:eastAsia="Times New Roman"/>
        </w:rPr>
        <w:pict>
          <v:rect id="_x0000_i1053" style="width:0;height:1.5pt" o:hralign="center" o:hrstd="t" o:hr="t" fillcolor="#a0a0a0" stroked="f"/>
        </w:pict>
      </w:r>
    </w:p>
    <w:p w:rsidR="00000000" w:rsidRDefault="00B132B6">
      <w:pPr>
        <w:divId w:val="5255951"/>
        <w:rPr>
          <w:rFonts w:eastAsia="Times New Roman"/>
        </w:rPr>
      </w:pPr>
    </w:p>
    <w:p w:rsidR="00000000" w:rsidRDefault="00B132B6">
      <w:pPr>
        <w:divId w:val="208881732"/>
        <w:rPr>
          <w:rFonts w:eastAsia="Times New Roman"/>
        </w:rPr>
      </w:pPr>
      <w:r>
        <w:rPr>
          <w:rFonts w:eastAsia="Times New Roman"/>
          <w:b/>
          <w:bCs/>
          <w:color w:val="000000"/>
          <w:sz w:val="20"/>
          <w:szCs w:val="20"/>
          <w:u w:val="single"/>
        </w:rPr>
        <w:t>Item 9B</w:t>
      </w:r>
      <w:r>
        <w:rPr>
          <w:rFonts w:eastAsia="Times New Roman"/>
          <w:b/>
          <w:bCs/>
          <w:color w:val="000000"/>
          <w:sz w:val="20"/>
          <w:szCs w:val="20"/>
        </w:rPr>
        <w:t xml:space="preserve">. </w:t>
      </w:r>
      <w:r>
        <w:rPr>
          <w:rFonts w:eastAsia="Times New Roman"/>
          <w:b/>
          <w:bCs/>
          <w:color w:val="000000"/>
          <w:sz w:val="20"/>
          <w:szCs w:val="20"/>
          <w:u w:val="single"/>
        </w:rPr>
        <w:t>Other Information</w:t>
      </w:r>
      <w:r>
        <w:rPr>
          <w:rFonts w:eastAsia="Times New Roman"/>
          <w:b/>
          <w:bCs/>
          <w:color w:val="000000"/>
          <w:sz w:val="20"/>
          <w:szCs w:val="20"/>
        </w:rPr>
        <w:t>.</w:t>
      </w:r>
    </w:p>
    <w:p w:rsidR="00000000" w:rsidRDefault="00B132B6">
      <w:pPr>
        <w:ind w:firstLine="720"/>
        <w:jc w:val="both"/>
        <w:divId w:val="33966087"/>
        <w:rPr>
          <w:rFonts w:eastAsia="Times New Roman"/>
        </w:rPr>
      </w:pPr>
      <w:r>
        <w:rPr>
          <w:rFonts w:eastAsia="Times New Roman"/>
          <w:color w:val="000000"/>
          <w:sz w:val="20"/>
          <w:szCs w:val="20"/>
        </w:rPr>
        <w:t>None</w:t>
      </w:r>
    </w:p>
    <w:p w:rsidR="00000000" w:rsidRDefault="00B132B6">
      <w:pPr>
        <w:divId w:val="1159153815"/>
        <w:rPr>
          <w:rFonts w:eastAsia="Times New Roman"/>
        </w:rPr>
      </w:pPr>
      <w:r>
        <w:rPr>
          <w:rFonts w:eastAsia="Times New Roman"/>
          <w:b/>
          <w:bCs/>
          <w:color w:val="000000"/>
          <w:sz w:val="20"/>
          <w:szCs w:val="20"/>
          <w:u w:val="single"/>
        </w:rPr>
        <w:t>Item 9C</w:t>
      </w:r>
      <w:r>
        <w:rPr>
          <w:rFonts w:eastAsia="Times New Roman"/>
          <w:b/>
          <w:bCs/>
          <w:color w:val="000000"/>
          <w:sz w:val="20"/>
          <w:szCs w:val="20"/>
        </w:rPr>
        <w:t>. Disclosure Regarding Foreign Jurisdictions that Prevent Inspections.</w:t>
      </w:r>
    </w:p>
    <w:p w:rsidR="00000000" w:rsidRDefault="00B132B6">
      <w:pPr>
        <w:divId w:val="2001885202"/>
        <w:rPr>
          <w:rFonts w:eastAsia="Times New Roman"/>
        </w:rPr>
      </w:pPr>
    </w:p>
    <w:p w:rsidR="00000000" w:rsidRDefault="00B132B6">
      <w:pPr>
        <w:ind w:firstLine="720"/>
        <w:divId w:val="1335645066"/>
        <w:rPr>
          <w:rFonts w:eastAsia="Times New Roman"/>
        </w:rPr>
      </w:pPr>
      <w:r>
        <w:rPr>
          <w:rFonts w:eastAsia="Times New Roman"/>
          <w:color w:val="000000"/>
          <w:sz w:val="20"/>
          <w:szCs w:val="20"/>
        </w:rPr>
        <w:t>None</w:t>
      </w:r>
    </w:p>
    <w:p w:rsidR="00000000" w:rsidRDefault="00B132B6">
      <w:pPr>
        <w:divId w:val="1739549279"/>
        <w:rPr>
          <w:rFonts w:eastAsia="Times New Roman"/>
        </w:rPr>
      </w:pPr>
      <w:r>
        <w:rPr>
          <w:rFonts w:eastAsia="Times New Roman"/>
          <w:b/>
          <w:bCs/>
          <w:color w:val="000000"/>
          <w:sz w:val="20"/>
          <w:szCs w:val="20"/>
          <w:u w:val="single"/>
        </w:rPr>
        <w:t>PART III</w:t>
      </w:r>
    </w:p>
    <w:p w:rsidR="00000000" w:rsidRDefault="00B132B6">
      <w:pPr>
        <w:divId w:val="1634824196"/>
        <w:rPr>
          <w:rFonts w:eastAsia="Times New Roman"/>
        </w:rPr>
      </w:pPr>
      <w:r>
        <w:rPr>
          <w:rFonts w:eastAsia="Times New Roman"/>
          <w:b/>
          <w:bCs/>
          <w:color w:val="000000"/>
          <w:sz w:val="20"/>
          <w:szCs w:val="20"/>
          <w:u w:val="single"/>
        </w:rPr>
        <w:t>Item 10</w:t>
      </w:r>
      <w:r>
        <w:rPr>
          <w:rFonts w:eastAsia="Times New Roman"/>
          <w:b/>
          <w:bCs/>
          <w:color w:val="000000"/>
          <w:sz w:val="20"/>
          <w:szCs w:val="20"/>
        </w:rPr>
        <w:t xml:space="preserve">. </w:t>
      </w:r>
      <w:r>
        <w:rPr>
          <w:rFonts w:eastAsia="Times New Roman"/>
          <w:b/>
          <w:bCs/>
          <w:color w:val="000000"/>
          <w:sz w:val="20"/>
          <w:szCs w:val="20"/>
          <w:u w:val="single"/>
        </w:rPr>
        <w:t>Directors, Executive Officers and Corporate Governance</w:t>
      </w:r>
      <w:r>
        <w:rPr>
          <w:rFonts w:eastAsia="Times New Roman"/>
          <w:b/>
          <w:bCs/>
          <w:color w:val="000000"/>
          <w:sz w:val="20"/>
          <w:szCs w:val="20"/>
        </w:rPr>
        <w:t>.</w:t>
      </w:r>
    </w:p>
    <w:p w:rsidR="00000000" w:rsidRDefault="00B132B6">
      <w:pPr>
        <w:ind w:firstLine="720"/>
        <w:jc w:val="both"/>
        <w:divId w:val="1647271311"/>
        <w:rPr>
          <w:rFonts w:eastAsia="Times New Roman"/>
        </w:rPr>
      </w:pPr>
      <w:r>
        <w:rPr>
          <w:rFonts w:eastAsia="Times New Roman"/>
          <w:color w:val="000000"/>
          <w:sz w:val="20"/>
          <w:szCs w:val="20"/>
        </w:rPr>
        <w:t>Pursuant to General Instru</w:t>
      </w:r>
      <w:r>
        <w:rPr>
          <w:rFonts w:eastAsia="Times New Roman"/>
          <w:color w:val="000000"/>
          <w:sz w:val="20"/>
          <w:szCs w:val="20"/>
        </w:rPr>
        <w:t>ction G(3) to Form 10-K, the information required by this Item, other than that referred to below, is incorporated herein by reference to:</w:t>
      </w:r>
    </w:p>
    <w:p w:rsidR="00000000" w:rsidRDefault="00B132B6">
      <w:pPr>
        <w:ind w:hanging="720"/>
        <w:jc w:val="both"/>
        <w:divId w:val="1234200787"/>
        <w:rPr>
          <w:rFonts w:eastAsia="Times New Roman"/>
        </w:rPr>
      </w:pPr>
      <w:r>
        <w:rPr>
          <w:rFonts w:eastAsia="Times New Roman"/>
          <w:color w:val="000000"/>
          <w:sz w:val="20"/>
          <w:szCs w:val="20"/>
        </w:rPr>
        <w:t>(i)the information under the caption "Item 1: Election of Directors--What is the structure of our board and how often</w:t>
      </w:r>
      <w:r>
        <w:rPr>
          <w:rFonts w:eastAsia="Times New Roman"/>
          <w:color w:val="000000"/>
          <w:sz w:val="20"/>
          <w:szCs w:val="20"/>
        </w:rPr>
        <w:t xml:space="preserve"> are directors elected?" in the Company's definitive Proxy Statement for its 2023 Annual Meeting of Shareholders to be filed pursuant to Regulation 14A;</w:t>
      </w:r>
    </w:p>
    <w:p w:rsidR="00000000" w:rsidRDefault="00B132B6">
      <w:pPr>
        <w:ind w:hanging="720"/>
        <w:jc w:val="both"/>
        <w:divId w:val="528878547"/>
        <w:rPr>
          <w:rFonts w:eastAsia="Times New Roman"/>
        </w:rPr>
      </w:pPr>
      <w:r>
        <w:rPr>
          <w:rFonts w:eastAsia="Times New Roman"/>
          <w:color w:val="000000"/>
          <w:sz w:val="20"/>
          <w:szCs w:val="20"/>
        </w:rPr>
        <w:t>(ii)the information under the caption "Item 1: Election of Directors--Who are this year's nominees?" in</w:t>
      </w:r>
      <w:r>
        <w:rPr>
          <w:rFonts w:eastAsia="Times New Roman"/>
          <w:color w:val="000000"/>
          <w:sz w:val="20"/>
          <w:szCs w:val="20"/>
        </w:rPr>
        <w:t xml:space="preserve"> the Company's definitive Proxy Statement for its 2023 Annual Meeting of Shareholders to be filed pursuant to Regulation 14A;</w:t>
      </w:r>
    </w:p>
    <w:p w:rsidR="00000000" w:rsidRDefault="00B132B6">
      <w:pPr>
        <w:ind w:hanging="720"/>
        <w:jc w:val="both"/>
        <w:divId w:val="539829855"/>
        <w:rPr>
          <w:rFonts w:eastAsia="Times New Roman"/>
        </w:rPr>
      </w:pPr>
      <w:r>
        <w:rPr>
          <w:rFonts w:eastAsia="Times New Roman"/>
          <w:color w:val="000000"/>
          <w:sz w:val="20"/>
          <w:szCs w:val="20"/>
        </w:rPr>
        <w:t xml:space="preserve">(iii)the information under the caption "Item 1: Election of Directors--What is the business experience of the nominees and of our </w:t>
      </w:r>
      <w:r>
        <w:rPr>
          <w:rFonts w:eastAsia="Times New Roman"/>
          <w:color w:val="000000"/>
          <w:sz w:val="20"/>
          <w:szCs w:val="20"/>
        </w:rPr>
        <w:t>continuing board members?" in the Company's definitive Proxy Statement for its 2023 Annual Meeting of Shareholders to be filed pursuant to Regulation 14A;</w:t>
      </w:r>
    </w:p>
    <w:p w:rsidR="00000000" w:rsidRDefault="00B132B6">
      <w:pPr>
        <w:ind w:hanging="720"/>
        <w:jc w:val="both"/>
        <w:divId w:val="623124734"/>
        <w:rPr>
          <w:rFonts w:eastAsia="Times New Roman"/>
        </w:rPr>
      </w:pPr>
      <w:r>
        <w:rPr>
          <w:rFonts w:eastAsia="Times New Roman"/>
          <w:color w:val="000000"/>
          <w:sz w:val="20"/>
          <w:szCs w:val="20"/>
        </w:rPr>
        <w:t>(iv)</w:t>
      </w:r>
      <w:r>
        <w:rPr>
          <w:rFonts w:eastAsia="Times New Roman"/>
          <w:color w:val="000000"/>
          <w:sz w:val="20"/>
          <w:szCs w:val="20"/>
        </w:rPr>
        <w:t>the information under the caption "Executive Officers of the Registrant" in Part I of this report;</w:t>
      </w:r>
    </w:p>
    <w:p w:rsidR="00000000" w:rsidRDefault="00B132B6">
      <w:pPr>
        <w:ind w:hanging="720"/>
        <w:jc w:val="both"/>
        <w:divId w:val="936787850"/>
        <w:rPr>
          <w:rFonts w:eastAsia="Times New Roman"/>
        </w:rPr>
      </w:pPr>
      <w:r>
        <w:rPr>
          <w:rFonts w:eastAsia="Times New Roman"/>
          <w:color w:val="000000"/>
          <w:sz w:val="20"/>
          <w:szCs w:val="20"/>
        </w:rPr>
        <w:t>(v)the information under the caption "Delinquent Section 16(a) Reports" in the Company's definitive Proxy Statement for its 2023 Annual Meeting of Shareholde</w:t>
      </w:r>
      <w:r>
        <w:rPr>
          <w:rFonts w:eastAsia="Times New Roman"/>
          <w:color w:val="000000"/>
          <w:sz w:val="20"/>
          <w:szCs w:val="20"/>
        </w:rPr>
        <w:t>rs to be filed pursuant to Regulation 14A;</w:t>
      </w:r>
    </w:p>
    <w:p w:rsidR="00000000" w:rsidRDefault="00B132B6">
      <w:pPr>
        <w:ind w:hanging="720"/>
        <w:jc w:val="both"/>
        <w:divId w:val="683438976"/>
        <w:rPr>
          <w:rFonts w:eastAsia="Times New Roman"/>
        </w:rPr>
      </w:pPr>
      <w:r>
        <w:rPr>
          <w:rFonts w:eastAsia="Times New Roman"/>
          <w:color w:val="000000"/>
          <w:sz w:val="20"/>
          <w:szCs w:val="20"/>
        </w:rPr>
        <w:t>(vi)the information under the caption "Corporate Governance and Board Matters--Consideration of Director Nominees" in the Company's definitive Proxy Statement for its 2023 Annual Meeting of Shareholders to be file</w:t>
      </w:r>
      <w:r>
        <w:rPr>
          <w:rFonts w:eastAsia="Times New Roman"/>
          <w:color w:val="000000"/>
          <w:sz w:val="20"/>
          <w:szCs w:val="20"/>
        </w:rPr>
        <w:t>d pursuant to Regulation 14A; and</w:t>
      </w:r>
    </w:p>
    <w:p w:rsidR="00000000" w:rsidRDefault="00B132B6">
      <w:pPr>
        <w:ind w:hanging="720"/>
        <w:jc w:val="both"/>
        <w:divId w:val="383987803"/>
        <w:rPr>
          <w:rFonts w:eastAsia="Times New Roman"/>
        </w:rPr>
      </w:pPr>
      <w:r>
        <w:rPr>
          <w:rFonts w:eastAsia="Times New Roman"/>
          <w:color w:val="000000"/>
          <w:sz w:val="20"/>
          <w:szCs w:val="20"/>
        </w:rPr>
        <w:t>(vii)</w:t>
      </w:r>
      <w:r>
        <w:rPr>
          <w:rFonts w:eastAsia="Times New Roman"/>
          <w:color w:val="000000"/>
          <w:sz w:val="20"/>
          <w:szCs w:val="20"/>
        </w:rPr>
        <w:t>the information under the caption "Corporate Governance and Board Matters--Committees of the Board--Audit Committee" in the Company's definitive Proxy Statement for its 2023 Annual Meeting of Shareholders to be filed pursuant to Regulation 14A.</w:t>
      </w:r>
    </w:p>
    <w:p w:rsidR="00000000" w:rsidRDefault="00B132B6">
      <w:pPr>
        <w:divId w:val="822355999"/>
        <w:rPr>
          <w:rFonts w:eastAsia="Times New Roman"/>
        </w:rPr>
      </w:pPr>
      <w:r>
        <w:rPr>
          <w:rFonts w:eastAsia="Times New Roman"/>
          <w:b/>
          <w:bCs/>
          <w:color w:val="000000"/>
          <w:sz w:val="20"/>
          <w:szCs w:val="20"/>
        </w:rPr>
        <w:t>Code of Eth</w:t>
      </w:r>
      <w:r>
        <w:rPr>
          <w:rFonts w:eastAsia="Times New Roman"/>
          <w:b/>
          <w:bCs/>
          <w:color w:val="000000"/>
          <w:sz w:val="20"/>
          <w:szCs w:val="20"/>
        </w:rPr>
        <w:t>ics</w:t>
      </w:r>
    </w:p>
    <w:p w:rsidR="00000000" w:rsidRDefault="00B132B6">
      <w:pPr>
        <w:ind w:firstLine="720"/>
        <w:jc w:val="both"/>
        <w:divId w:val="801272203"/>
        <w:rPr>
          <w:rFonts w:eastAsia="Times New Roman"/>
        </w:rPr>
      </w:pPr>
      <w:r>
        <w:rPr>
          <w:rFonts w:eastAsia="Times New Roman"/>
          <w:color w:val="000000"/>
          <w:sz w:val="20"/>
          <w:szCs w:val="20"/>
        </w:rPr>
        <w:t>The Company has adopted a Code of Business Conduct and Ethics for directors, officers and employees, including its principal executive officer, principal financial officer, principal accounting officer, controller and persons performing similar functio</w:t>
      </w:r>
      <w:r>
        <w:rPr>
          <w:rFonts w:eastAsia="Times New Roman"/>
          <w:color w:val="000000"/>
          <w:sz w:val="20"/>
          <w:szCs w:val="20"/>
        </w:rPr>
        <w:t>ns. This Code of Business Conduct and Ethics is posted on the Company's internet website (www.hawthornbancshares.com) under the "Governance Documents" menu tab and is available for your examination. A copy of this code will be furnished without charge upon</w:t>
      </w:r>
      <w:r>
        <w:rPr>
          <w:rFonts w:eastAsia="Times New Roman"/>
          <w:color w:val="000000"/>
          <w:sz w:val="20"/>
          <w:szCs w:val="20"/>
        </w:rPr>
        <w:t xml:space="preserve"> written request to Corporate Secretary, Hawthorn Bancshares, Inc., 132 East High Street, Jefferson City, Missouri 65101. Any substantive amendment to, or waiver from, a provision of this code that applies to the Company's principal executive officer, prin</w:t>
      </w:r>
      <w:r>
        <w:rPr>
          <w:rFonts w:eastAsia="Times New Roman"/>
          <w:color w:val="000000"/>
          <w:sz w:val="20"/>
          <w:szCs w:val="20"/>
        </w:rPr>
        <w:t>cipal financial officer, principal accounting officer, controller, or persons performing similar functions will be disclosed in a report on Form 8-K.</w:t>
      </w:r>
    </w:p>
    <w:p w:rsidR="00000000" w:rsidRDefault="00B132B6">
      <w:pPr>
        <w:divId w:val="192500997"/>
        <w:rPr>
          <w:rFonts w:eastAsia="Times New Roman"/>
        </w:rPr>
      </w:pPr>
      <w:r>
        <w:rPr>
          <w:rFonts w:eastAsia="Times New Roman"/>
          <w:b/>
          <w:bCs/>
          <w:color w:val="000000"/>
          <w:sz w:val="20"/>
          <w:szCs w:val="20"/>
          <w:u w:val="single"/>
        </w:rPr>
        <w:t>Item 11</w:t>
      </w:r>
      <w:r>
        <w:rPr>
          <w:rFonts w:eastAsia="Times New Roman"/>
          <w:b/>
          <w:bCs/>
          <w:color w:val="000000"/>
          <w:sz w:val="20"/>
          <w:szCs w:val="20"/>
        </w:rPr>
        <w:t xml:space="preserve">. </w:t>
      </w:r>
      <w:r>
        <w:rPr>
          <w:rFonts w:eastAsia="Times New Roman"/>
          <w:b/>
          <w:bCs/>
          <w:color w:val="000000"/>
          <w:sz w:val="20"/>
          <w:szCs w:val="20"/>
          <w:u w:val="single"/>
        </w:rPr>
        <w:t>Executive Compensation</w:t>
      </w:r>
      <w:r>
        <w:rPr>
          <w:rFonts w:eastAsia="Times New Roman"/>
          <w:b/>
          <w:bCs/>
          <w:color w:val="000000"/>
          <w:sz w:val="20"/>
          <w:szCs w:val="20"/>
        </w:rPr>
        <w:t>.</w:t>
      </w:r>
    </w:p>
    <w:p w:rsidR="00000000" w:rsidRDefault="00B132B6">
      <w:pPr>
        <w:ind w:firstLine="720"/>
        <w:jc w:val="both"/>
        <w:divId w:val="1380859358"/>
        <w:rPr>
          <w:rFonts w:eastAsia="Times New Roman"/>
        </w:rPr>
      </w:pPr>
      <w:r>
        <w:rPr>
          <w:rFonts w:eastAsia="Times New Roman"/>
          <w:color w:val="000000"/>
          <w:sz w:val="20"/>
          <w:szCs w:val="20"/>
        </w:rPr>
        <w:t>Pursuant to General Instruction G(3) to Form 10-K, the information requir</w:t>
      </w:r>
      <w:r>
        <w:rPr>
          <w:rFonts w:eastAsia="Times New Roman"/>
          <w:color w:val="000000"/>
          <w:sz w:val="20"/>
          <w:szCs w:val="20"/>
        </w:rPr>
        <w:t>ed by this Item is incorporated herein by reference to:</w:t>
      </w:r>
    </w:p>
    <w:p w:rsidR="00000000" w:rsidRDefault="00B132B6">
      <w:pPr>
        <w:ind w:hanging="720"/>
        <w:jc w:val="both"/>
        <w:divId w:val="338697770"/>
        <w:rPr>
          <w:rFonts w:eastAsia="Times New Roman"/>
        </w:rPr>
      </w:pPr>
      <w:r>
        <w:rPr>
          <w:rFonts w:eastAsia="Times New Roman"/>
          <w:color w:val="000000"/>
          <w:sz w:val="20"/>
          <w:szCs w:val="20"/>
        </w:rPr>
        <w:t>(i)the information under the caption "Executive Compensation and Related Matters" in the Company's definitive Proxy Statement for its 2023 Annual Meeting of Shareholders to be filed pursuant to Regula</w:t>
      </w:r>
      <w:r>
        <w:rPr>
          <w:rFonts w:eastAsia="Times New Roman"/>
          <w:color w:val="000000"/>
          <w:sz w:val="20"/>
          <w:szCs w:val="20"/>
        </w:rPr>
        <w:t>tion 14A; and</w:t>
      </w:r>
    </w:p>
    <w:p w:rsidR="00000000" w:rsidRDefault="00B132B6">
      <w:pPr>
        <w:jc w:val="center"/>
        <w:divId w:val="1422022853"/>
        <w:rPr>
          <w:rFonts w:eastAsia="Times New Roman"/>
        </w:rPr>
      </w:pPr>
      <w:r>
        <w:rPr>
          <w:rFonts w:eastAsia="Times New Roman"/>
          <w:color w:val="000000"/>
          <w:sz w:val="20"/>
          <w:szCs w:val="20"/>
        </w:rPr>
        <w:t>30</w:t>
      </w:r>
    </w:p>
    <w:p w:rsidR="00000000" w:rsidRDefault="00B132B6">
      <w:pPr>
        <w:rPr>
          <w:rFonts w:eastAsia="Times New Roman"/>
        </w:rPr>
      </w:pPr>
      <w:r>
        <w:rPr>
          <w:rFonts w:eastAsia="Times New Roman"/>
        </w:rPr>
        <w:pict>
          <v:rect id="_x0000_i1054" style="width:0;height:1.5pt" o:hralign="center" o:hrstd="t" o:hr="t" fillcolor="#a0a0a0" stroked="f"/>
        </w:pict>
      </w:r>
    </w:p>
    <w:p w:rsidR="00000000" w:rsidRDefault="00B132B6">
      <w:pPr>
        <w:divId w:val="1629778252"/>
        <w:rPr>
          <w:rFonts w:eastAsia="Times New Roman"/>
        </w:rPr>
      </w:pPr>
    </w:p>
    <w:p w:rsidR="00000000" w:rsidRDefault="00B132B6">
      <w:pPr>
        <w:ind w:hanging="720"/>
        <w:jc w:val="both"/>
        <w:divId w:val="1372344402"/>
        <w:rPr>
          <w:rFonts w:eastAsia="Times New Roman"/>
        </w:rPr>
      </w:pPr>
      <w:r>
        <w:rPr>
          <w:rFonts w:eastAsia="Times New Roman"/>
          <w:color w:val="000000"/>
          <w:sz w:val="20"/>
          <w:szCs w:val="20"/>
        </w:rPr>
        <w:t>(ii)the information under the caption "Corporate Governance and Board Matters--Director Compensation" in the Company's definitive Proxy Statement for its 2023 Annual Meeting of Shareholders to be file</w:t>
      </w:r>
      <w:r>
        <w:rPr>
          <w:rFonts w:eastAsia="Times New Roman"/>
          <w:color w:val="000000"/>
          <w:sz w:val="20"/>
          <w:szCs w:val="20"/>
        </w:rPr>
        <w:t>d pursuant to Regulation 14A.</w:t>
      </w:r>
    </w:p>
    <w:p w:rsidR="00000000" w:rsidRDefault="00B132B6">
      <w:pPr>
        <w:divId w:val="1930961345"/>
        <w:rPr>
          <w:rFonts w:eastAsia="Times New Roman"/>
        </w:rPr>
      </w:pPr>
      <w:r>
        <w:rPr>
          <w:rFonts w:eastAsia="Times New Roman"/>
          <w:b/>
          <w:bCs/>
          <w:color w:val="000000"/>
          <w:sz w:val="20"/>
          <w:szCs w:val="20"/>
          <w:u w:val="single"/>
        </w:rPr>
        <w:t>Item 12</w:t>
      </w:r>
      <w:r>
        <w:rPr>
          <w:rFonts w:eastAsia="Times New Roman"/>
          <w:b/>
          <w:bCs/>
          <w:color w:val="000000"/>
          <w:sz w:val="20"/>
          <w:szCs w:val="20"/>
        </w:rPr>
        <w:t xml:space="preserve">. </w:t>
      </w:r>
      <w:r>
        <w:rPr>
          <w:rFonts w:eastAsia="Times New Roman"/>
          <w:b/>
          <w:bCs/>
          <w:color w:val="000000"/>
          <w:sz w:val="20"/>
          <w:szCs w:val="20"/>
          <w:u w:val="single"/>
        </w:rPr>
        <w:t>Security Ownership of Certain Beneficial Owners and Management and Related Stockholder Matters</w:t>
      </w:r>
      <w:r>
        <w:rPr>
          <w:rFonts w:eastAsia="Times New Roman"/>
          <w:b/>
          <w:bCs/>
          <w:color w:val="000000"/>
          <w:sz w:val="20"/>
          <w:szCs w:val="20"/>
        </w:rPr>
        <w:t>.</w:t>
      </w:r>
    </w:p>
    <w:p w:rsidR="00000000" w:rsidRDefault="00B132B6">
      <w:pPr>
        <w:ind w:firstLine="720"/>
        <w:jc w:val="both"/>
        <w:divId w:val="233203728"/>
        <w:rPr>
          <w:rFonts w:eastAsia="Times New Roman"/>
        </w:rPr>
      </w:pPr>
      <w:r>
        <w:rPr>
          <w:rFonts w:eastAsia="Times New Roman"/>
          <w:color w:val="000000"/>
          <w:sz w:val="20"/>
          <w:szCs w:val="20"/>
        </w:rPr>
        <w:t>Pursuant to General Instruction G(3) to Form 10-K, the information required by this Item, other than that presented below</w:t>
      </w:r>
      <w:r>
        <w:rPr>
          <w:rFonts w:eastAsia="Times New Roman"/>
          <w:color w:val="000000"/>
          <w:sz w:val="20"/>
          <w:szCs w:val="20"/>
        </w:rPr>
        <w:t>, is incorporated herein by reference to the information under the caption "Ownership of Common Stock" in the Company's definitive Proxy Statement for its 2023 Annual Meeting of Shareholders to be filed pursuant to Regulation 14A.</w:t>
      </w:r>
    </w:p>
    <w:p w:rsidR="00000000" w:rsidRDefault="00B132B6">
      <w:pPr>
        <w:divId w:val="1642081290"/>
        <w:rPr>
          <w:rFonts w:eastAsia="Times New Roman"/>
        </w:rPr>
      </w:pPr>
      <w:r>
        <w:rPr>
          <w:rFonts w:eastAsia="Times New Roman"/>
          <w:b/>
          <w:bCs/>
          <w:color w:val="000000"/>
          <w:sz w:val="20"/>
          <w:szCs w:val="20"/>
        </w:rPr>
        <w:t>Securities Authorized For</w:t>
      </w:r>
      <w:r>
        <w:rPr>
          <w:rFonts w:eastAsia="Times New Roman"/>
          <w:b/>
          <w:bCs/>
          <w:color w:val="000000"/>
          <w:sz w:val="20"/>
          <w:szCs w:val="20"/>
        </w:rPr>
        <w:t xml:space="preserve"> Issuance Under Equity Compensation Plans</w:t>
      </w:r>
    </w:p>
    <w:p w:rsidR="00000000" w:rsidRDefault="00B132B6">
      <w:pPr>
        <w:ind w:firstLine="720"/>
        <w:jc w:val="both"/>
        <w:divId w:val="585112368"/>
        <w:rPr>
          <w:rFonts w:eastAsia="Times New Roman"/>
        </w:rPr>
      </w:pPr>
      <w:r>
        <w:rPr>
          <w:rFonts w:eastAsia="Times New Roman"/>
          <w:color w:val="000000"/>
          <w:sz w:val="20"/>
          <w:szCs w:val="20"/>
        </w:rPr>
        <w:t>The Company has no equity compensation plan for its employees pursuant to which options, rights, warrants or other equity awards may be granted. As of December 31, 2022 the Company had no outstanding options, right</w:t>
      </w:r>
      <w:r>
        <w:rPr>
          <w:rFonts w:eastAsia="Times New Roman"/>
          <w:color w:val="000000"/>
          <w:sz w:val="20"/>
          <w:szCs w:val="20"/>
        </w:rPr>
        <w:t>s or warrants granted under any equity compensation plan.</w:t>
      </w:r>
    </w:p>
    <w:p w:rsidR="00000000" w:rsidRDefault="00B132B6">
      <w:pPr>
        <w:divId w:val="362947322"/>
        <w:rPr>
          <w:rFonts w:eastAsia="Times New Roman"/>
        </w:rPr>
      </w:pPr>
      <w:r>
        <w:rPr>
          <w:rFonts w:eastAsia="Times New Roman"/>
          <w:b/>
          <w:bCs/>
          <w:color w:val="000000"/>
          <w:sz w:val="20"/>
          <w:szCs w:val="20"/>
          <w:u w:val="single"/>
        </w:rPr>
        <w:t>Item 13</w:t>
      </w:r>
      <w:r>
        <w:rPr>
          <w:rFonts w:eastAsia="Times New Roman"/>
          <w:b/>
          <w:bCs/>
          <w:color w:val="000000"/>
          <w:sz w:val="20"/>
          <w:szCs w:val="20"/>
        </w:rPr>
        <w:t xml:space="preserve">. </w:t>
      </w:r>
      <w:r>
        <w:rPr>
          <w:rFonts w:eastAsia="Times New Roman"/>
          <w:b/>
          <w:bCs/>
          <w:color w:val="000000"/>
          <w:sz w:val="20"/>
          <w:szCs w:val="20"/>
          <w:u w:val="single"/>
        </w:rPr>
        <w:t>Certain Relationships and Related Transactions, and Director Independence</w:t>
      </w:r>
      <w:r>
        <w:rPr>
          <w:rFonts w:eastAsia="Times New Roman"/>
          <w:b/>
          <w:bCs/>
          <w:color w:val="000000"/>
          <w:sz w:val="20"/>
          <w:szCs w:val="20"/>
        </w:rPr>
        <w:t>.</w:t>
      </w:r>
    </w:p>
    <w:p w:rsidR="00000000" w:rsidRDefault="00B132B6">
      <w:pPr>
        <w:ind w:firstLine="720"/>
        <w:jc w:val="both"/>
        <w:divId w:val="1929924401"/>
        <w:rPr>
          <w:rFonts w:eastAsia="Times New Roman"/>
        </w:rPr>
      </w:pPr>
      <w:r>
        <w:rPr>
          <w:rFonts w:eastAsia="Times New Roman"/>
          <w:color w:val="000000"/>
          <w:sz w:val="20"/>
          <w:szCs w:val="20"/>
        </w:rPr>
        <w:t>Pursuant to General Instruction G(3) to Form 10-K, the information required by this Item is incorporated herein by</w:t>
      </w:r>
      <w:r>
        <w:rPr>
          <w:rFonts w:eastAsia="Times New Roman"/>
          <w:color w:val="000000"/>
          <w:sz w:val="20"/>
          <w:szCs w:val="20"/>
        </w:rPr>
        <w:t xml:space="preserve"> reference to:</w:t>
      </w:r>
    </w:p>
    <w:p w:rsidR="00000000" w:rsidRDefault="00B132B6">
      <w:pPr>
        <w:ind w:hanging="720"/>
        <w:jc w:val="both"/>
        <w:divId w:val="469908426"/>
        <w:rPr>
          <w:rFonts w:eastAsia="Times New Roman"/>
        </w:rPr>
      </w:pPr>
      <w:r>
        <w:rPr>
          <w:rFonts w:eastAsia="Times New Roman"/>
          <w:color w:val="000000"/>
          <w:sz w:val="20"/>
          <w:szCs w:val="20"/>
        </w:rPr>
        <w:t>(i)the information under the caption "Related Party Transactions" in the Company's definitive Proxy Statement for its 2023 Annual Meeting of Shareholders to be filed pursuant to Regulation 14A;</w:t>
      </w:r>
    </w:p>
    <w:p w:rsidR="00000000" w:rsidRDefault="00B132B6">
      <w:pPr>
        <w:ind w:hanging="720"/>
        <w:jc w:val="both"/>
        <w:divId w:val="1539125023"/>
        <w:rPr>
          <w:rFonts w:eastAsia="Times New Roman"/>
        </w:rPr>
      </w:pPr>
      <w:r>
        <w:rPr>
          <w:rFonts w:eastAsia="Times New Roman"/>
          <w:color w:val="000000"/>
          <w:sz w:val="20"/>
          <w:szCs w:val="20"/>
        </w:rPr>
        <w:t xml:space="preserve">(ii)the information under the caption "Item 1: </w:t>
      </w:r>
      <w:r>
        <w:rPr>
          <w:rFonts w:eastAsia="Times New Roman"/>
          <w:color w:val="000000"/>
          <w:sz w:val="20"/>
          <w:szCs w:val="20"/>
        </w:rPr>
        <w:t>Election of Directors--What is the structure of our board and how often are directors elected?" in the Company's definitive Proxy Statement for its 2023 Annual Meeting of Shareholders to be filed pursuant to Regulation 14A; and</w:t>
      </w:r>
    </w:p>
    <w:p w:rsidR="00000000" w:rsidRDefault="00B132B6">
      <w:pPr>
        <w:ind w:hanging="720"/>
        <w:jc w:val="both"/>
        <w:divId w:val="1532575727"/>
        <w:rPr>
          <w:rFonts w:eastAsia="Times New Roman"/>
        </w:rPr>
      </w:pPr>
      <w:r>
        <w:rPr>
          <w:rFonts w:eastAsia="Times New Roman"/>
          <w:color w:val="000000"/>
          <w:sz w:val="20"/>
          <w:szCs w:val="20"/>
        </w:rPr>
        <w:t>(iii)the information under t</w:t>
      </w:r>
      <w:r>
        <w:rPr>
          <w:rFonts w:eastAsia="Times New Roman"/>
          <w:color w:val="000000"/>
          <w:sz w:val="20"/>
          <w:szCs w:val="20"/>
        </w:rPr>
        <w:t>he caption "Corporate Governance and Board Matters--Committees of the Board" in the Company's definitive Proxy Statement for its 2023 Annual Meeting of Shareholders to be filed pursuant to Regulation 14A.</w:t>
      </w:r>
    </w:p>
    <w:p w:rsidR="00000000" w:rsidRDefault="00B132B6">
      <w:pPr>
        <w:divId w:val="1246913190"/>
        <w:rPr>
          <w:rFonts w:eastAsia="Times New Roman"/>
        </w:rPr>
      </w:pPr>
      <w:r>
        <w:rPr>
          <w:rFonts w:eastAsia="Times New Roman"/>
          <w:b/>
          <w:bCs/>
          <w:color w:val="000000"/>
          <w:sz w:val="20"/>
          <w:szCs w:val="20"/>
          <w:u w:val="single"/>
        </w:rPr>
        <w:t>Item 14</w:t>
      </w:r>
      <w:r>
        <w:rPr>
          <w:rFonts w:eastAsia="Times New Roman"/>
          <w:b/>
          <w:bCs/>
          <w:color w:val="000000"/>
          <w:sz w:val="20"/>
          <w:szCs w:val="20"/>
        </w:rPr>
        <w:t xml:space="preserve">. </w:t>
      </w:r>
      <w:r>
        <w:rPr>
          <w:rFonts w:eastAsia="Times New Roman"/>
          <w:b/>
          <w:bCs/>
          <w:color w:val="000000"/>
          <w:sz w:val="20"/>
          <w:szCs w:val="20"/>
          <w:u w:val="single"/>
        </w:rPr>
        <w:t>Principal Accountant Fees and Services</w:t>
      </w:r>
      <w:r>
        <w:rPr>
          <w:rFonts w:eastAsia="Times New Roman"/>
          <w:b/>
          <w:bCs/>
          <w:color w:val="000000"/>
          <w:sz w:val="20"/>
          <w:szCs w:val="20"/>
        </w:rPr>
        <w:t>.</w:t>
      </w:r>
    </w:p>
    <w:p w:rsidR="00000000" w:rsidRDefault="00B132B6">
      <w:pPr>
        <w:ind w:firstLine="720"/>
        <w:jc w:val="both"/>
        <w:divId w:val="436950578"/>
        <w:rPr>
          <w:rFonts w:eastAsia="Times New Roman"/>
        </w:rPr>
      </w:pPr>
      <w:r>
        <w:rPr>
          <w:rFonts w:eastAsia="Times New Roman"/>
          <w:color w:val="000000"/>
          <w:sz w:val="20"/>
          <w:szCs w:val="20"/>
        </w:rPr>
        <w:t>Pu</w:t>
      </w:r>
      <w:r>
        <w:rPr>
          <w:rFonts w:eastAsia="Times New Roman"/>
          <w:color w:val="000000"/>
          <w:sz w:val="20"/>
          <w:szCs w:val="20"/>
        </w:rPr>
        <w:t>rsuant to General Instruction G(3) to Form 10-K, the information required by this Item is incorporated herein by reference to the information under the caption "Independent Registered Public Accounting Firm Fees and Services" in the Company's definitive Pr</w:t>
      </w:r>
      <w:r>
        <w:rPr>
          <w:rFonts w:eastAsia="Times New Roman"/>
          <w:color w:val="000000"/>
          <w:sz w:val="20"/>
          <w:szCs w:val="20"/>
        </w:rPr>
        <w:t>oxy Statement for its 2023 Annual Meeting of Shareholders to be filed pursuant to Regulation 14A.</w:t>
      </w:r>
    </w:p>
    <w:p w:rsidR="00000000" w:rsidRDefault="00B132B6">
      <w:pPr>
        <w:divId w:val="1358386597"/>
        <w:rPr>
          <w:rFonts w:eastAsia="Times New Roman"/>
        </w:rPr>
      </w:pPr>
      <w:r>
        <w:rPr>
          <w:rFonts w:eastAsia="Times New Roman"/>
          <w:b/>
          <w:bCs/>
          <w:color w:val="000000"/>
          <w:sz w:val="20"/>
          <w:szCs w:val="20"/>
          <w:u w:val="single"/>
        </w:rPr>
        <w:t>PART IV</w:t>
      </w:r>
    </w:p>
    <w:p w:rsidR="00000000" w:rsidRDefault="00B132B6">
      <w:pPr>
        <w:divId w:val="1038967586"/>
        <w:rPr>
          <w:rFonts w:eastAsia="Times New Roman"/>
        </w:rPr>
      </w:pPr>
      <w:r>
        <w:rPr>
          <w:rFonts w:eastAsia="Times New Roman"/>
          <w:b/>
          <w:bCs/>
          <w:color w:val="000000"/>
          <w:sz w:val="20"/>
          <w:szCs w:val="20"/>
          <w:u w:val="single"/>
        </w:rPr>
        <w:t>Item 15</w:t>
      </w:r>
      <w:r>
        <w:rPr>
          <w:rFonts w:eastAsia="Times New Roman"/>
          <w:b/>
          <w:bCs/>
          <w:color w:val="000000"/>
          <w:sz w:val="20"/>
          <w:szCs w:val="20"/>
        </w:rPr>
        <w:t xml:space="preserve">. </w:t>
      </w:r>
      <w:r>
        <w:rPr>
          <w:rFonts w:eastAsia="Times New Roman"/>
          <w:b/>
          <w:bCs/>
          <w:color w:val="000000"/>
          <w:sz w:val="20"/>
          <w:szCs w:val="20"/>
          <w:u w:val="single"/>
        </w:rPr>
        <w:t>Exhibits and, Financial Statement Schedules.</w:t>
      </w:r>
    </w:p>
    <w:p w:rsidR="00000000" w:rsidRDefault="00B132B6">
      <w:pPr>
        <w:ind w:hanging="720"/>
        <w:jc w:val="both"/>
        <w:divId w:val="970284217"/>
        <w:rPr>
          <w:rFonts w:eastAsia="Times New Roman"/>
        </w:rPr>
      </w:pPr>
      <w:r>
        <w:rPr>
          <w:rFonts w:eastAsia="Times New Roman"/>
          <w:color w:val="000000"/>
          <w:sz w:val="20"/>
          <w:szCs w:val="20"/>
        </w:rPr>
        <w:t>(a)Exhibits, Financial Statements and Financial Statement Schedules:</w:t>
      </w:r>
    </w:p>
    <w:p w:rsidR="00000000" w:rsidRDefault="00B132B6">
      <w:pPr>
        <w:ind w:hanging="720"/>
        <w:jc w:val="both"/>
        <w:divId w:val="1517815797"/>
        <w:rPr>
          <w:rFonts w:eastAsia="Times New Roman"/>
        </w:rPr>
      </w:pPr>
      <w:r>
        <w:rPr>
          <w:rFonts w:eastAsia="Times New Roman"/>
          <w:color w:val="000000"/>
          <w:sz w:val="20"/>
          <w:szCs w:val="20"/>
        </w:rPr>
        <w:t>1.Financial Statements:</w:t>
      </w:r>
    </w:p>
    <w:p w:rsidR="00000000" w:rsidRDefault="00B132B6">
      <w:pPr>
        <w:ind w:firstLine="720"/>
        <w:jc w:val="both"/>
        <w:divId w:val="1133719848"/>
        <w:rPr>
          <w:rFonts w:eastAsia="Times New Roman"/>
        </w:rPr>
      </w:pPr>
      <w:r>
        <w:rPr>
          <w:rFonts w:eastAsia="Times New Roman"/>
          <w:color w:val="000000"/>
          <w:sz w:val="20"/>
          <w:szCs w:val="20"/>
        </w:rPr>
        <w:t>The</w:t>
      </w:r>
      <w:r>
        <w:rPr>
          <w:rFonts w:eastAsia="Times New Roman"/>
          <w:color w:val="000000"/>
          <w:sz w:val="20"/>
          <w:szCs w:val="20"/>
        </w:rPr>
        <w:t xml:space="preserve"> following consolidated financial statements of the Company and reports of the Company's independent registered public accounting firm, included in the Company's Annual Report to Shareholders for the year ended December 31, 2022 under the caption "Consolid</w:t>
      </w:r>
      <w:r>
        <w:rPr>
          <w:rFonts w:eastAsia="Times New Roman"/>
          <w:color w:val="000000"/>
          <w:sz w:val="20"/>
          <w:szCs w:val="20"/>
        </w:rPr>
        <w:t>ated Financial Statements", are incorporated herein by reference:</w:t>
      </w:r>
    </w:p>
    <w:p w:rsidR="00000000" w:rsidRDefault="00B132B6">
      <w:pPr>
        <w:jc w:val="both"/>
        <w:divId w:val="1414815839"/>
        <w:rPr>
          <w:rFonts w:eastAsia="Times New Roman"/>
        </w:rPr>
      </w:pPr>
      <w:r>
        <w:rPr>
          <w:rFonts w:eastAsia="Times New Roman"/>
          <w:color w:val="000000"/>
          <w:sz w:val="20"/>
          <w:szCs w:val="20"/>
        </w:rPr>
        <w:t>Report of Independent Registered Public Accounting Firm.</w:t>
      </w:r>
    </w:p>
    <w:p w:rsidR="00000000" w:rsidRDefault="00B132B6">
      <w:pPr>
        <w:ind w:firstLine="720"/>
        <w:jc w:val="both"/>
        <w:divId w:val="779760598"/>
        <w:rPr>
          <w:rFonts w:eastAsia="Times New Roman"/>
        </w:rPr>
      </w:pPr>
      <w:r>
        <w:rPr>
          <w:rFonts w:eastAsia="Times New Roman"/>
          <w:color w:val="000000"/>
          <w:sz w:val="20"/>
          <w:szCs w:val="20"/>
        </w:rPr>
        <w:t>Auditor Name: KPMG LLP</w:t>
      </w:r>
    </w:p>
    <w:p w:rsidR="00000000" w:rsidRDefault="00B132B6">
      <w:pPr>
        <w:ind w:firstLine="720"/>
        <w:jc w:val="both"/>
        <w:divId w:val="1085959171"/>
        <w:rPr>
          <w:rFonts w:eastAsia="Times New Roman"/>
        </w:rPr>
      </w:pPr>
      <w:r>
        <w:rPr>
          <w:rFonts w:eastAsia="Times New Roman"/>
          <w:color w:val="000000"/>
          <w:sz w:val="20"/>
          <w:szCs w:val="20"/>
        </w:rPr>
        <w:t>Auditor Location: St. Louis, MO</w:t>
      </w:r>
    </w:p>
    <w:p w:rsidR="00000000" w:rsidRDefault="00B132B6">
      <w:pPr>
        <w:ind w:firstLine="720"/>
        <w:jc w:val="both"/>
        <w:divId w:val="1642929332"/>
        <w:rPr>
          <w:rFonts w:eastAsia="Times New Roman"/>
        </w:rPr>
      </w:pPr>
      <w:r>
        <w:rPr>
          <w:rFonts w:eastAsia="Times New Roman"/>
          <w:color w:val="000000"/>
          <w:sz w:val="20"/>
          <w:szCs w:val="20"/>
        </w:rPr>
        <w:t>Auditor Firm ID: 185</w:t>
      </w:r>
    </w:p>
    <w:p w:rsidR="00000000" w:rsidRDefault="00B132B6">
      <w:pPr>
        <w:jc w:val="both"/>
        <w:divId w:val="999581960"/>
        <w:rPr>
          <w:rFonts w:eastAsia="Times New Roman"/>
        </w:rPr>
      </w:pPr>
      <w:r>
        <w:rPr>
          <w:rFonts w:eastAsia="Times New Roman"/>
          <w:color w:val="000000"/>
          <w:sz w:val="20"/>
          <w:szCs w:val="20"/>
        </w:rPr>
        <w:t>Consolidated Balance Sheets as of December 31, 2022 and 2021.</w:t>
      </w:r>
    </w:p>
    <w:p w:rsidR="00000000" w:rsidRDefault="00B132B6">
      <w:pPr>
        <w:jc w:val="center"/>
        <w:divId w:val="2017268495"/>
        <w:rPr>
          <w:rFonts w:eastAsia="Times New Roman"/>
        </w:rPr>
      </w:pPr>
      <w:r>
        <w:rPr>
          <w:rFonts w:eastAsia="Times New Roman"/>
          <w:color w:val="000000"/>
          <w:sz w:val="20"/>
          <w:szCs w:val="20"/>
        </w:rPr>
        <w:t>31</w:t>
      </w:r>
    </w:p>
    <w:p w:rsidR="00000000" w:rsidRDefault="00B132B6">
      <w:pPr>
        <w:rPr>
          <w:rFonts w:eastAsia="Times New Roman"/>
        </w:rPr>
      </w:pPr>
      <w:r>
        <w:rPr>
          <w:rFonts w:eastAsia="Times New Roman"/>
        </w:rPr>
        <w:pict>
          <v:rect id="_x0000_i1055" style="width:0;height:1.5pt" o:hralign="center" o:hrstd="t" o:hr="t" fillcolor="#a0a0a0" stroked="f"/>
        </w:pict>
      </w:r>
    </w:p>
    <w:p w:rsidR="00000000" w:rsidRDefault="00B132B6">
      <w:pPr>
        <w:divId w:val="816530624"/>
        <w:rPr>
          <w:rFonts w:eastAsia="Times New Roman"/>
        </w:rPr>
      </w:pPr>
    </w:p>
    <w:p w:rsidR="00000000" w:rsidRDefault="00B132B6">
      <w:pPr>
        <w:jc w:val="both"/>
        <w:divId w:val="778767877"/>
        <w:rPr>
          <w:rFonts w:eastAsia="Times New Roman"/>
        </w:rPr>
      </w:pPr>
      <w:r>
        <w:rPr>
          <w:rFonts w:eastAsia="Times New Roman"/>
          <w:color w:val="000000"/>
          <w:sz w:val="20"/>
          <w:szCs w:val="20"/>
        </w:rPr>
        <w:t>Consolidated Statements of Income for the years ended December 31, 2022, 2021, and 2020.</w:t>
      </w:r>
    </w:p>
    <w:p w:rsidR="00000000" w:rsidRDefault="00B132B6">
      <w:pPr>
        <w:jc w:val="both"/>
        <w:divId w:val="1351495605"/>
        <w:rPr>
          <w:rFonts w:eastAsia="Times New Roman"/>
        </w:rPr>
      </w:pPr>
      <w:r>
        <w:rPr>
          <w:rFonts w:eastAsia="Times New Roman"/>
          <w:color w:val="000000"/>
          <w:sz w:val="20"/>
          <w:szCs w:val="20"/>
        </w:rPr>
        <w:t>Consolidated Statements of Comprehensive (Loss) Income for the years ended December 31, 2022, 2021, and 2020.</w:t>
      </w:r>
    </w:p>
    <w:p w:rsidR="00000000" w:rsidRDefault="00B132B6">
      <w:pPr>
        <w:jc w:val="both"/>
        <w:divId w:val="1014768798"/>
        <w:rPr>
          <w:rFonts w:eastAsia="Times New Roman"/>
        </w:rPr>
      </w:pPr>
      <w:r>
        <w:rPr>
          <w:rFonts w:eastAsia="Times New Roman"/>
          <w:color w:val="000000"/>
          <w:sz w:val="20"/>
          <w:szCs w:val="20"/>
        </w:rPr>
        <w:t>Consolidated Statem</w:t>
      </w:r>
      <w:r>
        <w:rPr>
          <w:rFonts w:eastAsia="Times New Roman"/>
          <w:color w:val="000000"/>
          <w:sz w:val="20"/>
          <w:szCs w:val="20"/>
        </w:rPr>
        <w:t>ents of Stockholders' Equity for the years ended December 31, 2022, 2021, and 2020.</w:t>
      </w:r>
    </w:p>
    <w:p w:rsidR="00000000" w:rsidRDefault="00B132B6">
      <w:pPr>
        <w:jc w:val="both"/>
        <w:divId w:val="1456480532"/>
        <w:rPr>
          <w:rFonts w:eastAsia="Times New Roman"/>
        </w:rPr>
      </w:pPr>
      <w:r>
        <w:rPr>
          <w:rFonts w:eastAsia="Times New Roman"/>
          <w:color w:val="000000"/>
          <w:sz w:val="20"/>
          <w:szCs w:val="20"/>
        </w:rPr>
        <w:t>Consolidated Statements of Cash Flows for the years ended December 31, 2022, 2021, and 2020.</w:t>
      </w:r>
    </w:p>
    <w:p w:rsidR="00000000" w:rsidRDefault="00B132B6">
      <w:pPr>
        <w:jc w:val="both"/>
        <w:divId w:val="193924928"/>
        <w:rPr>
          <w:rFonts w:eastAsia="Times New Roman"/>
        </w:rPr>
      </w:pPr>
      <w:r>
        <w:rPr>
          <w:rFonts w:eastAsia="Times New Roman"/>
          <w:color w:val="000000"/>
          <w:sz w:val="20"/>
          <w:szCs w:val="20"/>
        </w:rPr>
        <w:t>Notes to the Consolidated Financial Statements.</w:t>
      </w:r>
    </w:p>
    <w:p w:rsidR="00000000" w:rsidRDefault="00B132B6">
      <w:pPr>
        <w:ind w:hanging="720"/>
        <w:jc w:val="both"/>
        <w:divId w:val="646714179"/>
        <w:rPr>
          <w:rFonts w:eastAsia="Times New Roman"/>
        </w:rPr>
      </w:pPr>
      <w:r>
        <w:rPr>
          <w:rFonts w:eastAsia="Times New Roman"/>
          <w:color w:val="000000"/>
          <w:sz w:val="20"/>
          <w:szCs w:val="20"/>
        </w:rPr>
        <w:t>2.Financial Statement Schedules</w:t>
      </w:r>
      <w:r>
        <w:rPr>
          <w:rFonts w:eastAsia="Times New Roman"/>
          <w:color w:val="000000"/>
          <w:sz w:val="20"/>
          <w:szCs w:val="20"/>
        </w:rPr>
        <w:t>:</w:t>
      </w:r>
    </w:p>
    <w:p w:rsidR="00000000" w:rsidRDefault="00B132B6">
      <w:pPr>
        <w:ind w:firstLine="720"/>
        <w:jc w:val="both"/>
        <w:divId w:val="297957010"/>
        <w:rPr>
          <w:rFonts w:eastAsia="Times New Roman"/>
        </w:rPr>
      </w:pPr>
      <w:r>
        <w:rPr>
          <w:rFonts w:eastAsia="Times New Roman"/>
          <w:color w:val="000000"/>
          <w:sz w:val="20"/>
          <w:szCs w:val="20"/>
        </w:rPr>
        <w:t>Financial statement schedules have been omitted because they either are not required or are not applicable or because equivalent information has been included in the financial statements, the notes thereto or elsewhere herein.</w:t>
      </w:r>
    </w:p>
    <w:p w:rsidR="00000000" w:rsidRDefault="00B132B6">
      <w:pPr>
        <w:ind w:hanging="720"/>
        <w:jc w:val="both"/>
        <w:divId w:val="2047833236"/>
        <w:rPr>
          <w:rFonts w:eastAsia="Times New Roman"/>
        </w:rPr>
      </w:pPr>
      <w:r>
        <w:rPr>
          <w:rFonts w:eastAsia="Times New Roman"/>
          <w:color w:val="000000"/>
          <w:sz w:val="20"/>
          <w:szCs w:val="20"/>
        </w:rPr>
        <w:t>3.Exhibits:</w:t>
      </w:r>
    </w:p>
    <w:tbl>
      <w:tblPr>
        <w:tblW w:w="5000" w:type="pct"/>
        <w:tblCellMar>
          <w:top w:w="15" w:type="dxa"/>
          <w:left w:w="15" w:type="dxa"/>
          <w:bottom w:w="15" w:type="dxa"/>
          <w:right w:w="15" w:type="dxa"/>
        </w:tblCellMar>
        <w:tblLook w:val="04A0" w:firstRow="1" w:lastRow="0" w:firstColumn="1" w:lastColumn="0" w:noHBand="0" w:noVBand="1"/>
      </w:tblPr>
      <w:tblGrid>
        <w:gridCol w:w="61"/>
        <w:gridCol w:w="627"/>
        <w:gridCol w:w="36"/>
        <w:gridCol w:w="36"/>
        <w:gridCol w:w="36"/>
        <w:gridCol w:w="36"/>
        <w:gridCol w:w="55"/>
        <w:gridCol w:w="7383"/>
        <w:gridCol w:w="36"/>
      </w:tblGrid>
      <w:tr w:rsidR="00000000">
        <w:trPr>
          <w:divId w:val="1770392578"/>
        </w:trPr>
        <w:tc>
          <w:tcPr>
            <w:tcW w:w="50" w:type="pct"/>
            <w:vAlign w:val="center"/>
            <w:hideMark/>
          </w:tcPr>
          <w:p w:rsidR="00000000" w:rsidRDefault="00B132B6">
            <w:pPr>
              <w:ind w:hanging="720"/>
              <w:jc w:val="both"/>
              <w:rPr>
                <w:rFonts w:eastAsia="Times New Roman"/>
              </w:rPr>
            </w:pPr>
          </w:p>
        </w:tc>
        <w:tc>
          <w:tcPr>
            <w:tcW w:w="399"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c>
          <w:tcPr>
            <w:tcW w:w="20"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c>
          <w:tcPr>
            <w:tcW w:w="50" w:type="pct"/>
            <w:vAlign w:val="center"/>
            <w:hideMark/>
          </w:tcPr>
          <w:p w:rsidR="00000000" w:rsidRDefault="00B132B6">
            <w:pPr>
              <w:spacing w:after="100"/>
              <w:rPr>
                <w:rFonts w:eastAsia="Times New Roman"/>
                <w:sz w:val="20"/>
                <w:szCs w:val="20"/>
              </w:rPr>
            </w:pPr>
          </w:p>
        </w:tc>
        <w:tc>
          <w:tcPr>
            <w:tcW w:w="4460"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r>
      <w:tr w:rsidR="00000000">
        <w:trPr>
          <w:divId w:val="1770392578"/>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B132B6">
            <w:pPr>
              <w:spacing w:after="100"/>
              <w:rPr>
                <w:rFonts w:eastAsia="Times New Roman"/>
              </w:rPr>
            </w:pPr>
            <w:r>
              <w:rPr>
                <w:rFonts w:eastAsia="Times New Roman"/>
                <w:b/>
                <w:bCs/>
                <w:color w:val="000000"/>
                <w:sz w:val="16"/>
                <w:szCs w:val="16"/>
              </w:rPr>
              <w:t>Exhibit No.</w:t>
            </w: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B132B6">
            <w:pPr>
              <w:spacing w:after="100"/>
              <w:jc w:val="center"/>
              <w:rPr>
                <w:rFonts w:eastAsia="Times New Roman"/>
              </w:rPr>
            </w:pPr>
            <w:r>
              <w:rPr>
                <w:rFonts w:eastAsia="Times New Roman"/>
                <w:b/>
                <w:bCs/>
                <w:color w:val="000000"/>
                <w:sz w:val="16"/>
                <w:szCs w:val="16"/>
              </w:rPr>
              <w:t>Description</w:t>
            </w:r>
          </w:p>
        </w:tc>
      </w:tr>
      <w:tr w:rsidR="00000000">
        <w:trPr>
          <w:divId w:val="1770392578"/>
          <w:trHeight w:val="180"/>
        </w:trPr>
        <w:tc>
          <w:tcPr>
            <w:tcW w:w="0" w:type="auto"/>
            <w:gridSpan w:val="3"/>
            <w:tcBorders>
              <w:top w:val="single" w:sz="8" w:space="0" w:color="000000"/>
            </w:tcBorders>
            <w:tcMar>
              <w:top w:w="0" w:type="dxa"/>
              <w:left w:w="20" w:type="dxa"/>
              <w:bottom w:w="0" w:type="dxa"/>
              <w:right w:w="20" w:type="dxa"/>
            </w:tcMar>
            <w:vAlign w:val="center"/>
            <w:hideMark/>
          </w:tcPr>
          <w:p w:rsidR="00000000" w:rsidRDefault="00B132B6">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32B6">
            <w:pPr>
              <w:spacing w:after="100"/>
              <w:rPr>
                <w:rFonts w:eastAsia="Times New Roman"/>
                <w:sz w:val="20"/>
                <w:szCs w:val="20"/>
              </w:rPr>
            </w:pPr>
          </w:p>
        </w:tc>
      </w:tr>
      <w:tr w:rsidR="00000000">
        <w:trPr>
          <w:divId w:val="1770392578"/>
        </w:trPr>
        <w:tc>
          <w:tcPr>
            <w:tcW w:w="0" w:type="auto"/>
            <w:gridSpan w:val="3"/>
            <w:tcMar>
              <w:top w:w="30" w:type="dxa"/>
              <w:left w:w="20" w:type="dxa"/>
              <w:bottom w:w="30" w:type="dxa"/>
              <w:right w:w="20" w:type="dxa"/>
            </w:tcMar>
            <w:hideMark/>
          </w:tcPr>
          <w:p w:rsidR="00000000" w:rsidRDefault="00B132B6">
            <w:pPr>
              <w:spacing w:after="100"/>
              <w:rPr>
                <w:rFonts w:eastAsia="Times New Roman"/>
              </w:rPr>
            </w:pPr>
            <w:r>
              <w:rPr>
                <w:rFonts w:eastAsia="Times New Roman"/>
                <w:color w:val="000000"/>
                <w:sz w:val="20"/>
                <w:szCs w:val="20"/>
              </w:rPr>
              <w:t>3.1</w:t>
            </w: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132B6">
            <w:pPr>
              <w:spacing w:after="100"/>
              <w:divId w:val="47924615"/>
              <w:rPr>
                <w:rFonts w:eastAsia="Times New Roman"/>
              </w:rPr>
            </w:pPr>
            <w:hyperlink r:id="rId4" w:history="1">
              <w:r>
                <w:rPr>
                  <w:rStyle w:val="a3"/>
                  <w:rFonts w:eastAsia="Times New Roman"/>
                  <w:sz w:val="20"/>
                  <w:szCs w:val="20"/>
                </w:rPr>
                <w:t>Restated Articles of Incorporation of the Company (filed as Exhibit 3.1 to the Company's current report on Form 8-K on August 9, 2007 and incorporated herein by reference).</w:t>
              </w:r>
            </w:hyperlink>
          </w:p>
        </w:tc>
      </w:tr>
      <w:tr w:rsidR="00000000">
        <w:trPr>
          <w:divId w:val="1770392578"/>
          <w:trHeight w:val="180"/>
        </w:trPr>
        <w:tc>
          <w:tcPr>
            <w:tcW w:w="0" w:type="auto"/>
            <w:gridSpan w:val="3"/>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r>
      <w:tr w:rsidR="00000000">
        <w:trPr>
          <w:divId w:val="1770392578"/>
        </w:trPr>
        <w:tc>
          <w:tcPr>
            <w:tcW w:w="0" w:type="auto"/>
            <w:gridSpan w:val="3"/>
            <w:tcMar>
              <w:top w:w="30" w:type="dxa"/>
              <w:left w:w="20" w:type="dxa"/>
              <w:bottom w:w="30" w:type="dxa"/>
              <w:right w:w="20" w:type="dxa"/>
            </w:tcMar>
            <w:hideMark/>
          </w:tcPr>
          <w:p w:rsidR="00000000" w:rsidRDefault="00B132B6">
            <w:pPr>
              <w:spacing w:after="100"/>
              <w:rPr>
                <w:rFonts w:eastAsia="Times New Roman"/>
              </w:rPr>
            </w:pPr>
            <w:r>
              <w:rPr>
                <w:rFonts w:eastAsia="Times New Roman"/>
                <w:color w:val="000000"/>
                <w:sz w:val="20"/>
                <w:szCs w:val="20"/>
              </w:rPr>
              <w:t>3.2</w:t>
            </w: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132B6">
            <w:pPr>
              <w:spacing w:after="100"/>
              <w:divId w:val="1669409501"/>
              <w:rPr>
                <w:rFonts w:eastAsia="Times New Roman"/>
              </w:rPr>
            </w:pPr>
            <w:hyperlink r:id="rId5" w:history="1">
              <w:r>
                <w:rPr>
                  <w:rStyle w:val="a3"/>
                  <w:rFonts w:eastAsia="Times New Roman"/>
                  <w:sz w:val="20"/>
                  <w:szCs w:val="20"/>
                </w:rPr>
                <w:t>Amended and Restated Bylaws of the Company (filed as Exhibit 3.1 to the Company's current report on Form 8-K on January 27, 2021 and incorporated here</w:t>
              </w:r>
              <w:r>
                <w:rPr>
                  <w:rStyle w:val="a3"/>
                  <w:rFonts w:eastAsia="Times New Roman"/>
                  <w:sz w:val="20"/>
                  <w:szCs w:val="20"/>
                </w:rPr>
                <w:t>in by reference).</w:t>
              </w:r>
            </w:hyperlink>
          </w:p>
        </w:tc>
      </w:tr>
      <w:tr w:rsidR="00000000">
        <w:trPr>
          <w:divId w:val="1770392578"/>
          <w:trHeight w:val="180"/>
        </w:trPr>
        <w:tc>
          <w:tcPr>
            <w:tcW w:w="0" w:type="auto"/>
            <w:gridSpan w:val="3"/>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r>
      <w:tr w:rsidR="00000000">
        <w:trPr>
          <w:divId w:val="1770392578"/>
        </w:trPr>
        <w:tc>
          <w:tcPr>
            <w:tcW w:w="0" w:type="auto"/>
            <w:gridSpan w:val="3"/>
            <w:tcMar>
              <w:top w:w="30" w:type="dxa"/>
              <w:left w:w="20" w:type="dxa"/>
              <w:bottom w:w="30" w:type="dxa"/>
              <w:right w:w="20" w:type="dxa"/>
            </w:tcMar>
            <w:hideMark/>
          </w:tcPr>
          <w:p w:rsidR="00000000" w:rsidRDefault="00B132B6">
            <w:pPr>
              <w:spacing w:after="100"/>
              <w:rPr>
                <w:rFonts w:eastAsia="Times New Roman"/>
              </w:rPr>
            </w:pPr>
            <w:r>
              <w:rPr>
                <w:rFonts w:eastAsia="Times New Roman"/>
                <w:color w:val="000000"/>
                <w:sz w:val="20"/>
                <w:szCs w:val="20"/>
              </w:rPr>
              <w:t>4.1</w:t>
            </w: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132B6">
            <w:pPr>
              <w:spacing w:after="100"/>
              <w:divId w:val="1882816002"/>
              <w:rPr>
                <w:rFonts w:eastAsia="Times New Roman"/>
              </w:rPr>
            </w:pPr>
            <w:hyperlink r:id="rId6" w:history="1">
              <w:r>
                <w:rPr>
                  <w:rStyle w:val="a3"/>
                  <w:rFonts w:eastAsia="Times New Roman"/>
                  <w:sz w:val="20"/>
                  <w:szCs w:val="20"/>
                </w:rPr>
                <w:t>Description of the Company's Securities Registered Pursuant to Section 12 of the Securities Exchange Act of 1934</w:t>
              </w:r>
              <w:r>
                <w:rPr>
                  <w:rStyle w:val="a3"/>
                  <w:rFonts w:eastAsia="Times New Roman"/>
                  <w:sz w:val="20"/>
                  <w:szCs w:val="20"/>
                </w:rPr>
                <w:t xml:space="preserve"> (filed as Exhibit 4.0 to the Company's Annual Report on Form 10-K for the fiscal year ended December 31, 2019 and incorporated herein by reference).</w:t>
              </w:r>
            </w:hyperlink>
          </w:p>
        </w:tc>
      </w:tr>
      <w:tr w:rsidR="00000000">
        <w:trPr>
          <w:divId w:val="1770392578"/>
          <w:trHeight w:val="180"/>
        </w:trPr>
        <w:tc>
          <w:tcPr>
            <w:tcW w:w="0" w:type="auto"/>
            <w:gridSpan w:val="3"/>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r>
      <w:tr w:rsidR="00000000">
        <w:trPr>
          <w:divId w:val="1770392578"/>
        </w:trPr>
        <w:tc>
          <w:tcPr>
            <w:tcW w:w="0" w:type="auto"/>
            <w:gridSpan w:val="3"/>
            <w:tcMar>
              <w:top w:w="30" w:type="dxa"/>
              <w:left w:w="20" w:type="dxa"/>
              <w:bottom w:w="30" w:type="dxa"/>
              <w:right w:w="20" w:type="dxa"/>
            </w:tcMar>
            <w:hideMark/>
          </w:tcPr>
          <w:p w:rsidR="00000000" w:rsidRDefault="00B132B6">
            <w:pPr>
              <w:spacing w:after="100"/>
              <w:rPr>
                <w:rFonts w:eastAsia="Times New Roman"/>
              </w:rPr>
            </w:pPr>
            <w:r>
              <w:rPr>
                <w:rFonts w:eastAsia="Times New Roman"/>
                <w:color w:val="000000"/>
                <w:sz w:val="20"/>
                <w:szCs w:val="20"/>
              </w:rPr>
              <w:t>4.2</w:t>
            </w: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132B6">
            <w:pPr>
              <w:spacing w:after="100"/>
              <w:divId w:val="773525348"/>
              <w:rPr>
                <w:rFonts w:eastAsia="Times New Roman"/>
              </w:rPr>
            </w:pPr>
            <w:hyperlink r:id="rId7" w:history="1">
              <w:r>
                <w:rPr>
                  <w:rStyle w:val="a3"/>
                  <w:rFonts w:eastAsia="Times New Roman"/>
                  <w:sz w:val="20"/>
                  <w:szCs w:val="20"/>
                </w:rPr>
                <w:t>Specimen certificate representing shares of the Company's $1.00 par value Common Stock (filed as Exhibit 4.1 to the Company's current report on Form 8</w:t>
              </w:r>
              <w:r>
                <w:rPr>
                  <w:rStyle w:val="a3"/>
                  <w:rFonts w:eastAsia="Times New Roman"/>
                  <w:sz w:val="20"/>
                  <w:szCs w:val="20"/>
                </w:rPr>
                <w:t>-K/A on June 23, 2017 and incorporated herein by reference).</w:t>
              </w:r>
            </w:hyperlink>
          </w:p>
        </w:tc>
      </w:tr>
      <w:tr w:rsidR="00000000">
        <w:trPr>
          <w:divId w:val="1770392578"/>
          <w:trHeight w:val="180"/>
        </w:trPr>
        <w:tc>
          <w:tcPr>
            <w:tcW w:w="0" w:type="auto"/>
            <w:gridSpan w:val="3"/>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r>
      <w:tr w:rsidR="00000000">
        <w:trPr>
          <w:divId w:val="1770392578"/>
        </w:trPr>
        <w:tc>
          <w:tcPr>
            <w:tcW w:w="0" w:type="auto"/>
            <w:gridSpan w:val="3"/>
            <w:tcMar>
              <w:top w:w="30" w:type="dxa"/>
              <w:left w:w="20" w:type="dxa"/>
              <w:bottom w:w="30" w:type="dxa"/>
              <w:right w:w="20" w:type="dxa"/>
            </w:tcMar>
            <w:hideMark/>
          </w:tcPr>
          <w:p w:rsidR="00000000" w:rsidRDefault="00B132B6">
            <w:pPr>
              <w:spacing w:after="100"/>
              <w:rPr>
                <w:rFonts w:eastAsia="Times New Roman"/>
              </w:rPr>
            </w:pPr>
            <w:r>
              <w:rPr>
                <w:rFonts w:eastAsia="Times New Roman"/>
                <w:color w:val="000000"/>
                <w:sz w:val="20"/>
                <w:szCs w:val="20"/>
              </w:rPr>
              <w:t>10.1</w:t>
            </w: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132B6">
            <w:pPr>
              <w:spacing w:after="100"/>
              <w:divId w:val="81532358"/>
              <w:rPr>
                <w:rFonts w:eastAsia="Times New Roman"/>
              </w:rPr>
            </w:pPr>
            <w:hyperlink r:id="rId8" w:history="1">
              <w:r>
                <w:rPr>
                  <w:rStyle w:val="a3"/>
                  <w:rFonts w:eastAsia="Times New Roman"/>
                  <w:sz w:val="20"/>
                  <w:szCs w:val="20"/>
                </w:rPr>
                <w:t>Form of Change of Control Agreement and schedule of parties thereto (filed as Exhibit 10.2 to the Company's Quarterly Report on Form 10-Q for the quarterly p</w:t>
              </w:r>
              <w:r>
                <w:rPr>
                  <w:rStyle w:val="a3"/>
                  <w:rFonts w:eastAsia="Times New Roman"/>
                  <w:sz w:val="20"/>
                  <w:szCs w:val="20"/>
                </w:rPr>
                <w:t>eriod March 31, 2005 and incorporated herein by reference). *</w:t>
              </w:r>
            </w:hyperlink>
          </w:p>
        </w:tc>
      </w:tr>
      <w:tr w:rsidR="00000000">
        <w:trPr>
          <w:divId w:val="1770392578"/>
          <w:trHeight w:val="180"/>
        </w:trPr>
        <w:tc>
          <w:tcPr>
            <w:tcW w:w="0" w:type="auto"/>
            <w:gridSpan w:val="3"/>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r>
      <w:tr w:rsidR="00000000">
        <w:trPr>
          <w:divId w:val="1770392578"/>
        </w:trPr>
        <w:tc>
          <w:tcPr>
            <w:tcW w:w="0" w:type="auto"/>
            <w:gridSpan w:val="3"/>
            <w:tcMar>
              <w:top w:w="30" w:type="dxa"/>
              <w:left w:w="20" w:type="dxa"/>
              <w:bottom w:w="30" w:type="dxa"/>
              <w:right w:w="20" w:type="dxa"/>
            </w:tcMar>
            <w:hideMark/>
          </w:tcPr>
          <w:p w:rsidR="00000000" w:rsidRDefault="00B132B6">
            <w:pPr>
              <w:spacing w:after="100"/>
              <w:rPr>
                <w:rFonts w:eastAsia="Times New Roman"/>
              </w:rPr>
            </w:pPr>
            <w:r>
              <w:rPr>
                <w:rFonts w:eastAsia="Times New Roman"/>
                <w:color w:val="000000"/>
                <w:sz w:val="20"/>
                <w:szCs w:val="20"/>
              </w:rPr>
              <w:t>10.2</w:t>
            </w: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132B6">
            <w:pPr>
              <w:spacing w:after="100"/>
              <w:jc w:val="both"/>
              <w:divId w:val="1360476069"/>
              <w:rPr>
                <w:rFonts w:eastAsia="Times New Roman"/>
              </w:rPr>
            </w:pPr>
            <w:hyperlink r:id="rId9" w:history="1">
              <w:r>
                <w:rPr>
                  <w:rStyle w:val="a3"/>
                  <w:rFonts w:eastAsia="Times New Roman"/>
                  <w:sz w:val="20"/>
                  <w:szCs w:val="20"/>
                </w:rPr>
                <w:t>Hawthorn Bancshares, Inc. Excess Benefit Plan (filed as Exhibit 10.2 to the Company's current report on Form 8-K on November 13, 2018 and incorporated</w:t>
              </w:r>
              <w:r>
                <w:rPr>
                  <w:rStyle w:val="a3"/>
                  <w:rFonts w:eastAsia="Times New Roman"/>
                  <w:sz w:val="20"/>
                  <w:szCs w:val="20"/>
                </w:rPr>
                <w:t xml:space="preserve"> herein by reference). *</w:t>
              </w:r>
            </w:hyperlink>
          </w:p>
        </w:tc>
      </w:tr>
      <w:tr w:rsidR="00000000">
        <w:trPr>
          <w:divId w:val="1770392578"/>
          <w:trHeight w:val="180"/>
        </w:trPr>
        <w:tc>
          <w:tcPr>
            <w:tcW w:w="0" w:type="auto"/>
            <w:gridSpan w:val="3"/>
            <w:tcMar>
              <w:top w:w="0" w:type="dxa"/>
              <w:left w:w="20" w:type="dxa"/>
              <w:bottom w:w="0" w:type="dxa"/>
              <w:right w:w="20" w:type="dxa"/>
            </w:tcMar>
            <w:vAlign w:val="center"/>
            <w:hideMark/>
          </w:tcPr>
          <w:p w:rsidR="00000000" w:rsidRDefault="00B132B6">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r>
      <w:tr w:rsidR="00000000">
        <w:trPr>
          <w:divId w:val="1770392578"/>
        </w:trPr>
        <w:tc>
          <w:tcPr>
            <w:tcW w:w="0" w:type="auto"/>
            <w:gridSpan w:val="3"/>
            <w:tcMar>
              <w:top w:w="30" w:type="dxa"/>
              <w:left w:w="20" w:type="dxa"/>
              <w:bottom w:w="30" w:type="dxa"/>
              <w:right w:w="20" w:type="dxa"/>
            </w:tcMar>
            <w:hideMark/>
          </w:tcPr>
          <w:p w:rsidR="00000000" w:rsidRDefault="00B132B6">
            <w:pPr>
              <w:spacing w:after="100"/>
              <w:rPr>
                <w:rFonts w:eastAsia="Times New Roman"/>
              </w:rPr>
            </w:pPr>
            <w:r>
              <w:rPr>
                <w:rFonts w:eastAsia="Times New Roman"/>
                <w:color w:val="000000"/>
                <w:sz w:val="20"/>
                <w:szCs w:val="20"/>
              </w:rPr>
              <w:t>13</w:t>
            </w: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132B6">
            <w:pPr>
              <w:spacing w:after="100"/>
              <w:divId w:val="1062220325"/>
              <w:rPr>
                <w:rFonts w:eastAsia="Times New Roman"/>
              </w:rPr>
            </w:pPr>
            <w:hyperlink r:id="rId10" w:history="1">
              <w:r>
                <w:rPr>
                  <w:rStyle w:val="a3"/>
                  <w:rFonts w:eastAsia="Times New Roman"/>
                  <w:sz w:val="20"/>
                  <w:szCs w:val="20"/>
                </w:rPr>
                <w:t>The Company's 202</w:t>
              </w:r>
            </w:hyperlink>
            <w:hyperlink r:id="rId11" w:history="1">
              <w:r>
                <w:rPr>
                  <w:rStyle w:val="a3"/>
                  <w:rFonts w:eastAsia="Times New Roman"/>
                  <w:sz w:val="20"/>
                  <w:szCs w:val="20"/>
                </w:rPr>
                <w:t>2</w:t>
              </w:r>
            </w:hyperlink>
            <w:hyperlink r:id="rId12" w:history="1">
              <w:r>
                <w:rPr>
                  <w:rStyle w:val="a3"/>
                  <w:rFonts w:eastAsia="Times New Roman"/>
                  <w:sz w:val="20"/>
                  <w:szCs w:val="20"/>
                </w:rPr>
                <w:t xml:space="preserve"> </w:t>
              </w:r>
              <w:r>
                <w:rPr>
                  <w:rStyle w:val="a3"/>
                  <w:rFonts w:eastAsia="Times New Roman"/>
                  <w:sz w:val="20"/>
                  <w:szCs w:val="20"/>
                </w:rPr>
                <w:t>Annual Report to Shareholders (only those portions of this Annual Report to Shareholders which are specifically incorporated by reference into this Annual Report on Form 10-K shall be deemed to be filed with the Commission).</w:t>
              </w:r>
            </w:hyperlink>
          </w:p>
        </w:tc>
      </w:tr>
      <w:tr w:rsidR="00000000">
        <w:trPr>
          <w:divId w:val="1770392578"/>
          <w:trHeight w:val="180"/>
        </w:trPr>
        <w:tc>
          <w:tcPr>
            <w:tcW w:w="0" w:type="auto"/>
            <w:gridSpan w:val="3"/>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r>
      <w:tr w:rsidR="00000000">
        <w:trPr>
          <w:divId w:val="1770392578"/>
        </w:trPr>
        <w:tc>
          <w:tcPr>
            <w:tcW w:w="0" w:type="auto"/>
            <w:gridSpan w:val="3"/>
            <w:tcMar>
              <w:top w:w="30" w:type="dxa"/>
              <w:left w:w="20" w:type="dxa"/>
              <w:bottom w:w="30" w:type="dxa"/>
              <w:right w:w="20" w:type="dxa"/>
            </w:tcMar>
            <w:hideMark/>
          </w:tcPr>
          <w:p w:rsidR="00000000" w:rsidRDefault="00B132B6">
            <w:pPr>
              <w:spacing w:after="100"/>
              <w:rPr>
                <w:rFonts w:eastAsia="Times New Roman"/>
              </w:rPr>
            </w:pPr>
            <w:r>
              <w:rPr>
                <w:rFonts w:eastAsia="Times New Roman"/>
                <w:color w:val="000000"/>
                <w:sz w:val="20"/>
                <w:szCs w:val="20"/>
              </w:rPr>
              <w:t>14</w:t>
            </w: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132B6">
            <w:pPr>
              <w:spacing w:after="100"/>
              <w:divId w:val="1518932422"/>
              <w:rPr>
                <w:rFonts w:eastAsia="Times New Roman"/>
              </w:rPr>
            </w:pPr>
            <w:hyperlink r:id="rId13" w:history="1">
              <w:r>
                <w:rPr>
                  <w:rStyle w:val="a3"/>
                  <w:rFonts w:eastAsia="Times New Roman"/>
                  <w:sz w:val="20"/>
                  <w:szCs w:val="20"/>
                </w:rPr>
                <w:t>Code of Business Conduct and Ethics of the Company (filed as Exhibit 14 to the Company's Annual Report on Form 10-K for the fiscal year ended December 31, 2</w:t>
              </w:r>
              <w:r>
                <w:rPr>
                  <w:rStyle w:val="a3"/>
                  <w:rFonts w:eastAsia="Times New Roman"/>
                  <w:sz w:val="20"/>
                  <w:szCs w:val="20"/>
                </w:rPr>
                <w:t xml:space="preserve">018 and incorporated herein by reference). </w:t>
              </w:r>
            </w:hyperlink>
          </w:p>
        </w:tc>
      </w:tr>
      <w:tr w:rsidR="00000000">
        <w:trPr>
          <w:divId w:val="1770392578"/>
          <w:trHeight w:val="180"/>
        </w:trPr>
        <w:tc>
          <w:tcPr>
            <w:tcW w:w="0" w:type="auto"/>
            <w:gridSpan w:val="3"/>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r>
      <w:tr w:rsidR="00000000">
        <w:trPr>
          <w:divId w:val="1770392578"/>
        </w:trPr>
        <w:tc>
          <w:tcPr>
            <w:tcW w:w="0" w:type="auto"/>
            <w:gridSpan w:val="3"/>
            <w:tcMar>
              <w:top w:w="30" w:type="dxa"/>
              <w:left w:w="20" w:type="dxa"/>
              <w:bottom w:w="30" w:type="dxa"/>
              <w:right w:w="20" w:type="dxa"/>
            </w:tcMar>
            <w:hideMark/>
          </w:tcPr>
          <w:p w:rsidR="00000000" w:rsidRDefault="00B132B6">
            <w:pPr>
              <w:spacing w:after="100"/>
              <w:rPr>
                <w:rFonts w:eastAsia="Times New Roman"/>
              </w:rPr>
            </w:pPr>
            <w:r>
              <w:rPr>
                <w:rFonts w:eastAsia="Times New Roman"/>
                <w:color w:val="000000"/>
                <w:sz w:val="20"/>
                <w:szCs w:val="20"/>
              </w:rPr>
              <w:t>21</w:t>
            </w: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132B6">
            <w:pPr>
              <w:spacing w:after="100"/>
              <w:divId w:val="1438409606"/>
              <w:rPr>
                <w:rFonts w:eastAsia="Times New Roman"/>
              </w:rPr>
            </w:pPr>
            <w:hyperlink r:id="rId14" w:history="1">
              <w:r>
                <w:rPr>
                  <w:rStyle w:val="a3"/>
                  <w:rFonts w:eastAsia="Times New Roman"/>
                  <w:sz w:val="20"/>
                  <w:szCs w:val="20"/>
                </w:rPr>
                <w:t>List of Subsidiaries (filed as Exhibit 21 to the Company's Annual Report on Form 10-K for the fiscal year ended December 31, 2018 and incorporated</w:t>
              </w:r>
              <w:r>
                <w:rPr>
                  <w:rStyle w:val="a3"/>
                  <w:rFonts w:eastAsia="Times New Roman"/>
                  <w:sz w:val="20"/>
                  <w:szCs w:val="20"/>
                </w:rPr>
                <w:t xml:space="preserve"> herein by reference).</w:t>
              </w:r>
            </w:hyperlink>
          </w:p>
        </w:tc>
      </w:tr>
      <w:tr w:rsidR="00000000">
        <w:trPr>
          <w:divId w:val="1770392578"/>
          <w:trHeight w:val="180"/>
        </w:trPr>
        <w:tc>
          <w:tcPr>
            <w:tcW w:w="0" w:type="auto"/>
            <w:gridSpan w:val="3"/>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r>
      <w:tr w:rsidR="00000000">
        <w:trPr>
          <w:divId w:val="1770392578"/>
        </w:trPr>
        <w:tc>
          <w:tcPr>
            <w:tcW w:w="0" w:type="auto"/>
            <w:gridSpan w:val="3"/>
            <w:tcMar>
              <w:top w:w="30" w:type="dxa"/>
              <w:left w:w="20" w:type="dxa"/>
              <w:bottom w:w="30" w:type="dxa"/>
              <w:right w:w="20" w:type="dxa"/>
            </w:tcMar>
            <w:hideMark/>
          </w:tcPr>
          <w:p w:rsidR="00000000" w:rsidRDefault="00B132B6">
            <w:pPr>
              <w:spacing w:after="100"/>
              <w:rPr>
                <w:rFonts w:eastAsia="Times New Roman"/>
              </w:rPr>
            </w:pPr>
            <w:r>
              <w:rPr>
                <w:rFonts w:eastAsia="Times New Roman"/>
                <w:color w:val="000000"/>
                <w:sz w:val="20"/>
                <w:szCs w:val="20"/>
              </w:rPr>
              <w:t>23</w:t>
            </w: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132B6">
            <w:pPr>
              <w:spacing w:after="100"/>
              <w:divId w:val="622267189"/>
              <w:rPr>
                <w:rFonts w:eastAsia="Times New Roman"/>
              </w:rPr>
            </w:pPr>
            <w:hyperlink r:id="rId15" w:history="1">
              <w:r>
                <w:rPr>
                  <w:rStyle w:val="a3"/>
                  <w:rFonts w:eastAsia="Times New Roman"/>
                  <w:sz w:val="20"/>
                  <w:szCs w:val="20"/>
                </w:rPr>
                <w:t>Consent of Independent Registered Public Accounting Firm.</w:t>
              </w:r>
            </w:hyperlink>
          </w:p>
        </w:tc>
      </w:tr>
      <w:tr w:rsidR="00000000">
        <w:trPr>
          <w:divId w:val="1770392578"/>
          <w:trHeight w:val="180"/>
        </w:trPr>
        <w:tc>
          <w:tcPr>
            <w:tcW w:w="0" w:type="auto"/>
            <w:gridSpan w:val="3"/>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r>
      <w:tr w:rsidR="00000000">
        <w:trPr>
          <w:divId w:val="1770392578"/>
        </w:trPr>
        <w:tc>
          <w:tcPr>
            <w:tcW w:w="0" w:type="auto"/>
            <w:gridSpan w:val="3"/>
            <w:tcMar>
              <w:top w:w="30" w:type="dxa"/>
              <w:left w:w="20" w:type="dxa"/>
              <w:bottom w:w="30" w:type="dxa"/>
              <w:right w:w="20" w:type="dxa"/>
            </w:tcMar>
            <w:hideMark/>
          </w:tcPr>
          <w:p w:rsidR="00000000" w:rsidRDefault="00B132B6">
            <w:pPr>
              <w:spacing w:after="100"/>
              <w:rPr>
                <w:rFonts w:eastAsia="Times New Roman"/>
              </w:rPr>
            </w:pPr>
            <w:r>
              <w:rPr>
                <w:rFonts w:eastAsia="Times New Roman"/>
                <w:color w:val="000000"/>
                <w:sz w:val="20"/>
                <w:szCs w:val="20"/>
              </w:rPr>
              <w:t>24</w:t>
            </w: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132B6">
            <w:pPr>
              <w:spacing w:after="100"/>
              <w:rPr>
                <w:rFonts w:eastAsia="Times New Roman"/>
              </w:rPr>
            </w:pPr>
            <w:r>
              <w:rPr>
                <w:rFonts w:eastAsia="Times New Roman"/>
                <w:color w:val="000000"/>
                <w:sz w:val="20"/>
                <w:szCs w:val="20"/>
              </w:rPr>
              <w:t>Power of Attorney (included on the signature page to this Annual Report on Form 10-K).</w:t>
            </w:r>
          </w:p>
        </w:tc>
      </w:tr>
      <w:tr w:rsidR="00000000">
        <w:trPr>
          <w:divId w:val="1770392578"/>
          <w:trHeight w:val="180"/>
        </w:trPr>
        <w:tc>
          <w:tcPr>
            <w:tcW w:w="0" w:type="auto"/>
            <w:gridSpan w:val="3"/>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r>
      <w:tr w:rsidR="00000000">
        <w:trPr>
          <w:divId w:val="1770392578"/>
        </w:trPr>
        <w:tc>
          <w:tcPr>
            <w:tcW w:w="0" w:type="auto"/>
            <w:gridSpan w:val="3"/>
            <w:tcMar>
              <w:top w:w="30" w:type="dxa"/>
              <w:left w:w="20" w:type="dxa"/>
              <w:bottom w:w="30" w:type="dxa"/>
              <w:right w:w="20" w:type="dxa"/>
            </w:tcMar>
            <w:hideMark/>
          </w:tcPr>
          <w:p w:rsidR="00000000" w:rsidRDefault="00B132B6">
            <w:pPr>
              <w:spacing w:after="100"/>
              <w:rPr>
                <w:rFonts w:eastAsia="Times New Roman"/>
              </w:rPr>
            </w:pPr>
            <w:r>
              <w:rPr>
                <w:rFonts w:eastAsia="Times New Roman"/>
                <w:color w:val="000000"/>
                <w:sz w:val="20"/>
                <w:szCs w:val="20"/>
              </w:rPr>
              <w:t>31.1</w:t>
            </w: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132B6">
            <w:pPr>
              <w:spacing w:after="100"/>
              <w:divId w:val="1905944923"/>
              <w:rPr>
                <w:rFonts w:eastAsia="Times New Roman"/>
              </w:rPr>
            </w:pPr>
            <w:hyperlink r:id="rId16" w:history="1">
              <w:r>
                <w:rPr>
                  <w:rStyle w:val="a3"/>
                  <w:rFonts w:eastAsia="Times New Roman"/>
                  <w:sz w:val="20"/>
                  <w:szCs w:val="20"/>
                </w:rPr>
                <w:t>Certification of Chief Executive Officer pursuant to Rule 13a-14(a) and Rule 15d-14(a) of the Securities Exchange Act, as amended.</w:t>
              </w:r>
            </w:hyperlink>
          </w:p>
        </w:tc>
      </w:tr>
      <w:tr w:rsidR="00000000">
        <w:trPr>
          <w:divId w:val="1770392578"/>
          <w:trHeight w:val="180"/>
        </w:trPr>
        <w:tc>
          <w:tcPr>
            <w:tcW w:w="0" w:type="auto"/>
            <w:gridSpan w:val="3"/>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r>
    </w:tbl>
    <w:p w:rsidR="00000000" w:rsidRDefault="00B132B6">
      <w:pPr>
        <w:jc w:val="center"/>
        <w:divId w:val="708148344"/>
        <w:rPr>
          <w:rFonts w:eastAsia="Times New Roman"/>
        </w:rPr>
      </w:pPr>
      <w:r>
        <w:rPr>
          <w:rFonts w:eastAsia="Times New Roman"/>
          <w:color w:val="000000"/>
          <w:sz w:val="20"/>
          <w:szCs w:val="20"/>
        </w:rPr>
        <w:t>32</w:t>
      </w:r>
    </w:p>
    <w:p w:rsidR="00000000" w:rsidRDefault="00B132B6">
      <w:pPr>
        <w:rPr>
          <w:rFonts w:eastAsia="Times New Roman"/>
        </w:rPr>
      </w:pPr>
      <w:r>
        <w:rPr>
          <w:rFonts w:eastAsia="Times New Roman"/>
        </w:rPr>
        <w:pict>
          <v:rect id="_x0000_i1056" style="width:0;height:1.5pt" o:hralign="center" o:hrstd="t" o:hr="t" fillcolor="#a0a0a0" stroked="f"/>
        </w:pict>
      </w:r>
    </w:p>
    <w:p w:rsidR="00000000" w:rsidRDefault="00B132B6">
      <w:pPr>
        <w:divId w:val="159555577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86"/>
        <w:gridCol w:w="685"/>
        <w:gridCol w:w="38"/>
        <w:gridCol w:w="36"/>
        <w:gridCol w:w="36"/>
        <w:gridCol w:w="36"/>
        <w:gridCol w:w="38"/>
        <w:gridCol w:w="7315"/>
        <w:gridCol w:w="36"/>
      </w:tblGrid>
      <w:tr w:rsidR="00000000">
        <w:trPr>
          <w:divId w:val="613094818"/>
        </w:trPr>
        <w:tc>
          <w:tcPr>
            <w:tcW w:w="50" w:type="pct"/>
            <w:vAlign w:val="center"/>
            <w:hideMark/>
          </w:tcPr>
          <w:p w:rsidR="00000000" w:rsidRDefault="00B132B6">
            <w:pPr>
              <w:rPr>
                <w:rFonts w:eastAsia="Times New Roman"/>
              </w:rPr>
            </w:pPr>
          </w:p>
        </w:tc>
        <w:tc>
          <w:tcPr>
            <w:tcW w:w="399"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c>
          <w:tcPr>
            <w:tcW w:w="20"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c>
          <w:tcPr>
            <w:tcW w:w="50" w:type="pct"/>
            <w:vAlign w:val="center"/>
            <w:hideMark/>
          </w:tcPr>
          <w:p w:rsidR="00000000" w:rsidRDefault="00B132B6">
            <w:pPr>
              <w:spacing w:after="100"/>
              <w:rPr>
                <w:rFonts w:eastAsia="Times New Roman"/>
                <w:sz w:val="20"/>
                <w:szCs w:val="20"/>
              </w:rPr>
            </w:pPr>
          </w:p>
        </w:tc>
        <w:tc>
          <w:tcPr>
            <w:tcW w:w="4460"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r>
      <w:tr w:rsidR="00000000">
        <w:trPr>
          <w:divId w:val="613094818"/>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B132B6">
            <w:pPr>
              <w:spacing w:after="100"/>
              <w:rPr>
                <w:rFonts w:eastAsia="Times New Roman"/>
              </w:rPr>
            </w:pPr>
            <w:r>
              <w:rPr>
                <w:rFonts w:eastAsia="Times New Roman"/>
                <w:b/>
                <w:bCs/>
                <w:color w:val="000000"/>
                <w:sz w:val="16"/>
                <w:szCs w:val="16"/>
              </w:rPr>
              <w:t>Exhibit No.</w:t>
            </w: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B132B6">
            <w:pPr>
              <w:spacing w:after="100"/>
              <w:jc w:val="center"/>
              <w:rPr>
                <w:rFonts w:eastAsia="Times New Roman"/>
              </w:rPr>
            </w:pPr>
            <w:r>
              <w:rPr>
                <w:rFonts w:eastAsia="Times New Roman"/>
                <w:b/>
                <w:bCs/>
                <w:color w:val="000000"/>
                <w:sz w:val="16"/>
                <w:szCs w:val="16"/>
              </w:rPr>
              <w:t>Description</w:t>
            </w:r>
          </w:p>
        </w:tc>
      </w:tr>
      <w:tr w:rsidR="00000000">
        <w:trPr>
          <w:divId w:val="613094818"/>
        </w:trPr>
        <w:tc>
          <w:tcPr>
            <w:tcW w:w="0" w:type="auto"/>
            <w:gridSpan w:val="3"/>
            <w:tcMar>
              <w:top w:w="30" w:type="dxa"/>
              <w:left w:w="20" w:type="dxa"/>
              <w:bottom w:w="30" w:type="dxa"/>
              <w:right w:w="20" w:type="dxa"/>
            </w:tcMar>
            <w:hideMark/>
          </w:tcPr>
          <w:p w:rsidR="00000000" w:rsidRDefault="00B132B6">
            <w:pPr>
              <w:spacing w:after="100"/>
              <w:rPr>
                <w:rFonts w:eastAsia="Times New Roman"/>
              </w:rPr>
            </w:pPr>
            <w:r>
              <w:rPr>
                <w:rFonts w:eastAsia="Times New Roman"/>
                <w:color w:val="000000"/>
                <w:sz w:val="20"/>
                <w:szCs w:val="20"/>
              </w:rPr>
              <w:t>31.2</w:t>
            </w: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132B6">
            <w:pPr>
              <w:spacing w:after="100"/>
              <w:divId w:val="1413284216"/>
              <w:rPr>
                <w:rFonts w:eastAsia="Times New Roman"/>
              </w:rPr>
            </w:pPr>
            <w:hyperlink r:id="rId17" w:history="1">
              <w:r>
                <w:rPr>
                  <w:rStyle w:val="a3"/>
                  <w:rFonts w:eastAsia="Times New Roman"/>
                  <w:sz w:val="20"/>
                  <w:szCs w:val="20"/>
                </w:rPr>
                <w:t>Certification of Chief Financial Officer pursuant to Rule 13a-14(a) and Rule 15d-14(a) of the Securities Exchange Act, as amended.</w:t>
              </w:r>
            </w:hyperlink>
          </w:p>
        </w:tc>
      </w:tr>
      <w:tr w:rsidR="00000000">
        <w:trPr>
          <w:divId w:val="613094818"/>
          <w:trHeight w:val="180"/>
        </w:trPr>
        <w:tc>
          <w:tcPr>
            <w:tcW w:w="0" w:type="auto"/>
            <w:gridSpan w:val="3"/>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r>
      <w:tr w:rsidR="00000000">
        <w:trPr>
          <w:divId w:val="613094818"/>
        </w:trPr>
        <w:tc>
          <w:tcPr>
            <w:tcW w:w="0" w:type="auto"/>
            <w:gridSpan w:val="3"/>
            <w:tcMar>
              <w:top w:w="30" w:type="dxa"/>
              <w:left w:w="20" w:type="dxa"/>
              <w:bottom w:w="30" w:type="dxa"/>
              <w:right w:w="20" w:type="dxa"/>
            </w:tcMar>
            <w:hideMark/>
          </w:tcPr>
          <w:p w:rsidR="00000000" w:rsidRDefault="00B132B6">
            <w:pPr>
              <w:spacing w:after="100"/>
              <w:rPr>
                <w:rFonts w:eastAsia="Times New Roman"/>
              </w:rPr>
            </w:pPr>
            <w:r>
              <w:rPr>
                <w:rFonts w:eastAsia="Times New Roman"/>
                <w:color w:val="000000"/>
                <w:sz w:val="20"/>
                <w:szCs w:val="20"/>
              </w:rPr>
              <w:t>32.1</w:t>
            </w: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132B6">
            <w:pPr>
              <w:spacing w:after="100"/>
              <w:divId w:val="1802268435"/>
              <w:rPr>
                <w:rFonts w:eastAsia="Times New Roman"/>
              </w:rPr>
            </w:pPr>
            <w:hyperlink r:id="rId18" w:history="1">
              <w:r>
                <w:rPr>
                  <w:rStyle w:val="a3"/>
                  <w:rFonts w:eastAsia="Times New Roman"/>
                  <w:sz w:val="20"/>
                  <w:szCs w:val="20"/>
                </w:rPr>
                <w:t>Certification of Chief Executive Officer pursuant to 18 U.S.C. 1350, as adopted pursuant to Section 906 of the Sarbanes-Oxley Act of 2002.</w:t>
              </w:r>
            </w:hyperlink>
          </w:p>
        </w:tc>
      </w:tr>
      <w:tr w:rsidR="00000000">
        <w:trPr>
          <w:divId w:val="613094818"/>
          <w:trHeight w:val="180"/>
        </w:trPr>
        <w:tc>
          <w:tcPr>
            <w:tcW w:w="0" w:type="auto"/>
            <w:gridSpan w:val="3"/>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r>
      <w:tr w:rsidR="00000000">
        <w:trPr>
          <w:divId w:val="613094818"/>
        </w:trPr>
        <w:tc>
          <w:tcPr>
            <w:tcW w:w="0" w:type="auto"/>
            <w:gridSpan w:val="3"/>
            <w:tcMar>
              <w:top w:w="30" w:type="dxa"/>
              <w:left w:w="20" w:type="dxa"/>
              <w:bottom w:w="30" w:type="dxa"/>
              <w:right w:w="20" w:type="dxa"/>
            </w:tcMar>
            <w:hideMark/>
          </w:tcPr>
          <w:p w:rsidR="00000000" w:rsidRDefault="00B132B6">
            <w:pPr>
              <w:spacing w:after="100"/>
              <w:rPr>
                <w:rFonts w:eastAsia="Times New Roman"/>
              </w:rPr>
            </w:pPr>
            <w:r>
              <w:rPr>
                <w:rFonts w:eastAsia="Times New Roman"/>
                <w:color w:val="000000"/>
                <w:sz w:val="20"/>
                <w:szCs w:val="20"/>
              </w:rPr>
              <w:t>32.2</w:t>
            </w: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132B6">
            <w:pPr>
              <w:spacing w:after="100"/>
              <w:divId w:val="1234201188"/>
              <w:rPr>
                <w:rFonts w:eastAsia="Times New Roman"/>
              </w:rPr>
            </w:pPr>
            <w:hyperlink r:id="rId19" w:history="1">
              <w:r>
                <w:rPr>
                  <w:rStyle w:val="a3"/>
                  <w:rFonts w:eastAsia="Times New Roman"/>
                  <w:sz w:val="20"/>
                  <w:szCs w:val="20"/>
                </w:rPr>
                <w:t>Certification of Chief Financial Officer pursuant to 18 U.S.C</w:t>
              </w:r>
              <w:r>
                <w:rPr>
                  <w:rStyle w:val="a3"/>
                  <w:rFonts w:eastAsia="Times New Roman"/>
                  <w:sz w:val="20"/>
                  <w:szCs w:val="20"/>
                </w:rPr>
                <w:t>. 1350, as adopted pursuant to Section 906 of the Sarbanes-Oxley Act of 2002.</w:t>
              </w:r>
            </w:hyperlink>
          </w:p>
        </w:tc>
      </w:tr>
      <w:tr w:rsidR="00000000">
        <w:trPr>
          <w:divId w:val="613094818"/>
          <w:trHeight w:val="180"/>
        </w:trPr>
        <w:tc>
          <w:tcPr>
            <w:tcW w:w="0" w:type="auto"/>
            <w:gridSpan w:val="3"/>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r>
      <w:tr w:rsidR="00000000">
        <w:trPr>
          <w:divId w:val="613094818"/>
        </w:trPr>
        <w:tc>
          <w:tcPr>
            <w:tcW w:w="0" w:type="auto"/>
            <w:gridSpan w:val="3"/>
            <w:tcMar>
              <w:top w:w="30" w:type="dxa"/>
              <w:left w:w="20" w:type="dxa"/>
              <w:bottom w:w="30" w:type="dxa"/>
              <w:right w:w="20" w:type="dxa"/>
            </w:tcMar>
            <w:hideMark/>
          </w:tcPr>
          <w:p w:rsidR="00000000" w:rsidRDefault="00B132B6">
            <w:pPr>
              <w:spacing w:after="100"/>
              <w:rPr>
                <w:rFonts w:eastAsia="Times New Roman"/>
              </w:rPr>
            </w:pPr>
            <w:r>
              <w:rPr>
                <w:rFonts w:eastAsia="Times New Roman"/>
                <w:color w:val="000000"/>
                <w:sz w:val="20"/>
                <w:szCs w:val="20"/>
              </w:rPr>
              <w:t>101.INS</w:t>
            </w: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132B6">
            <w:pPr>
              <w:spacing w:after="100"/>
              <w:rPr>
                <w:rFonts w:eastAsia="Times New Roman"/>
              </w:rPr>
            </w:pPr>
            <w:r>
              <w:rPr>
                <w:rFonts w:eastAsia="Times New Roman"/>
                <w:color w:val="000000"/>
                <w:sz w:val="20"/>
                <w:szCs w:val="20"/>
              </w:rPr>
              <w:t>Inline XBRL Instance Document (the instance document does not appear in the Interactive Data File because its XBRL tags are embedded within the Inline XBRL document).</w:t>
            </w:r>
          </w:p>
        </w:tc>
      </w:tr>
      <w:tr w:rsidR="00000000">
        <w:trPr>
          <w:divId w:val="613094818"/>
          <w:trHeight w:val="180"/>
        </w:trPr>
        <w:tc>
          <w:tcPr>
            <w:tcW w:w="0" w:type="auto"/>
            <w:gridSpan w:val="3"/>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r>
      <w:tr w:rsidR="00000000">
        <w:trPr>
          <w:divId w:val="613094818"/>
        </w:trPr>
        <w:tc>
          <w:tcPr>
            <w:tcW w:w="0" w:type="auto"/>
            <w:gridSpan w:val="3"/>
            <w:tcMar>
              <w:top w:w="30" w:type="dxa"/>
              <w:left w:w="20" w:type="dxa"/>
              <w:bottom w:w="30" w:type="dxa"/>
              <w:right w:w="20" w:type="dxa"/>
            </w:tcMar>
            <w:hideMark/>
          </w:tcPr>
          <w:p w:rsidR="00000000" w:rsidRDefault="00B132B6">
            <w:pPr>
              <w:spacing w:after="100"/>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132B6">
            <w:pPr>
              <w:spacing w:after="100"/>
              <w:rPr>
                <w:rFonts w:eastAsia="Times New Roman"/>
              </w:rPr>
            </w:pPr>
            <w:r>
              <w:rPr>
                <w:rFonts w:eastAsia="Times New Roman"/>
                <w:color w:val="000000"/>
                <w:sz w:val="20"/>
                <w:szCs w:val="20"/>
              </w:rPr>
              <w:t>Inline XBRL Taxonomy Extension Schema Document.</w:t>
            </w:r>
          </w:p>
        </w:tc>
      </w:tr>
      <w:tr w:rsidR="00000000">
        <w:trPr>
          <w:divId w:val="613094818"/>
          <w:trHeight w:val="180"/>
        </w:trPr>
        <w:tc>
          <w:tcPr>
            <w:tcW w:w="0" w:type="auto"/>
            <w:gridSpan w:val="3"/>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r>
      <w:tr w:rsidR="00000000">
        <w:trPr>
          <w:divId w:val="613094818"/>
        </w:trPr>
        <w:tc>
          <w:tcPr>
            <w:tcW w:w="0" w:type="auto"/>
            <w:gridSpan w:val="3"/>
            <w:tcMar>
              <w:top w:w="30" w:type="dxa"/>
              <w:left w:w="20" w:type="dxa"/>
              <w:bottom w:w="30" w:type="dxa"/>
              <w:right w:w="20" w:type="dxa"/>
            </w:tcMar>
            <w:hideMark/>
          </w:tcPr>
          <w:p w:rsidR="00000000" w:rsidRDefault="00B132B6">
            <w:pPr>
              <w:spacing w:after="100"/>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132B6">
            <w:pPr>
              <w:spacing w:after="100"/>
              <w:rPr>
                <w:rFonts w:eastAsia="Times New Roman"/>
              </w:rPr>
            </w:pPr>
            <w:r>
              <w:rPr>
                <w:rFonts w:eastAsia="Times New Roman"/>
                <w:color w:val="000000"/>
                <w:sz w:val="20"/>
                <w:szCs w:val="20"/>
              </w:rPr>
              <w:t>Inline XBRL Taxonomy Extension Calculation Linkbase Document.</w:t>
            </w:r>
          </w:p>
        </w:tc>
      </w:tr>
      <w:tr w:rsidR="00000000">
        <w:trPr>
          <w:divId w:val="613094818"/>
          <w:trHeight w:val="180"/>
        </w:trPr>
        <w:tc>
          <w:tcPr>
            <w:tcW w:w="0" w:type="auto"/>
            <w:gridSpan w:val="3"/>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r>
      <w:tr w:rsidR="00000000">
        <w:trPr>
          <w:divId w:val="613094818"/>
        </w:trPr>
        <w:tc>
          <w:tcPr>
            <w:tcW w:w="0" w:type="auto"/>
            <w:gridSpan w:val="3"/>
            <w:tcMar>
              <w:top w:w="30" w:type="dxa"/>
              <w:left w:w="20" w:type="dxa"/>
              <w:bottom w:w="30" w:type="dxa"/>
              <w:right w:w="20" w:type="dxa"/>
            </w:tcMar>
            <w:hideMark/>
          </w:tcPr>
          <w:p w:rsidR="00000000" w:rsidRDefault="00B132B6">
            <w:pPr>
              <w:spacing w:after="100"/>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132B6">
            <w:pPr>
              <w:spacing w:after="100"/>
              <w:rPr>
                <w:rFonts w:eastAsia="Times New Roman"/>
              </w:rPr>
            </w:pPr>
            <w:r>
              <w:rPr>
                <w:rFonts w:eastAsia="Times New Roman"/>
                <w:color w:val="000000"/>
                <w:sz w:val="20"/>
                <w:szCs w:val="20"/>
              </w:rPr>
              <w:t>Inline XBRL Taxonomy Extension Definition Linkbase Document.</w:t>
            </w:r>
          </w:p>
        </w:tc>
      </w:tr>
      <w:tr w:rsidR="00000000">
        <w:trPr>
          <w:divId w:val="613094818"/>
          <w:trHeight w:val="180"/>
        </w:trPr>
        <w:tc>
          <w:tcPr>
            <w:tcW w:w="0" w:type="auto"/>
            <w:gridSpan w:val="3"/>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r>
      <w:tr w:rsidR="00000000">
        <w:trPr>
          <w:divId w:val="613094818"/>
        </w:trPr>
        <w:tc>
          <w:tcPr>
            <w:tcW w:w="0" w:type="auto"/>
            <w:gridSpan w:val="3"/>
            <w:tcMar>
              <w:top w:w="30" w:type="dxa"/>
              <w:left w:w="20" w:type="dxa"/>
              <w:bottom w:w="30" w:type="dxa"/>
              <w:right w:w="20" w:type="dxa"/>
            </w:tcMar>
            <w:hideMark/>
          </w:tcPr>
          <w:p w:rsidR="00000000" w:rsidRDefault="00B132B6">
            <w:pPr>
              <w:spacing w:after="100"/>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132B6">
            <w:pPr>
              <w:spacing w:after="100"/>
              <w:rPr>
                <w:rFonts w:eastAsia="Times New Roman"/>
              </w:rPr>
            </w:pPr>
            <w:r>
              <w:rPr>
                <w:rFonts w:eastAsia="Times New Roman"/>
                <w:color w:val="000000"/>
                <w:sz w:val="20"/>
                <w:szCs w:val="20"/>
              </w:rPr>
              <w:t>Inline XBRL Taxonomy Extension Label Linkbase Document.</w:t>
            </w:r>
          </w:p>
        </w:tc>
      </w:tr>
      <w:tr w:rsidR="00000000">
        <w:trPr>
          <w:divId w:val="613094818"/>
          <w:trHeight w:val="180"/>
        </w:trPr>
        <w:tc>
          <w:tcPr>
            <w:tcW w:w="0" w:type="auto"/>
            <w:gridSpan w:val="3"/>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r>
      <w:tr w:rsidR="00000000">
        <w:trPr>
          <w:divId w:val="613094818"/>
        </w:trPr>
        <w:tc>
          <w:tcPr>
            <w:tcW w:w="0" w:type="auto"/>
            <w:gridSpan w:val="3"/>
            <w:tcMar>
              <w:top w:w="30" w:type="dxa"/>
              <w:left w:w="20" w:type="dxa"/>
              <w:bottom w:w="30" w:type="dxa"/>
              <w:right w:w="20" w:type="dxa"/>
            </w:tcMar>
            <w:hideMark/>
          </w:tcPr>
          <w:p w:rsidR="00000000" w:rsidRDefault="00B132B6">
            <w:pPr>
              <w:spacing w:after="100"/>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132B6">
            <w:pPr>
              <w:spacing w:after="100"/>
              <w:rPr>
                <w:rFonts w:eastAsia="Times New Roman"/>
              </w:rPr>
            </w:pPr>
            <w:r>
              <w:rPr>
                <w:rFonts w:eastAsia="Times New Roman"/>
                <w:color w:val="000000"/>
                <w:sz w:val="20"/>
                <w:szCs w:val="20"/>
              </w:rPr>
              <w:t>Inline XBRL Taxonomy Extension Presentation Linkbase Document.</w:t>
            </w:r>
          </w:p>
        </w:tc>
      </w:tr>
      <w:tr w:rsidR="00000000">
        <w:trPr>
          <w:divId w:val="613094818"/>
          <w:trHeight w:val="180"/>
        </w:trPr>
        <w:tc>
          <w:tcPr>
            <w:tcW w:w="0" w:type="auto"/>
            <w:gridSpan w:val="3"/>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r>
      <w:tr w:rsidR="00000000">
        <w:trPr>
          <w:divId w:val="613094818"/>
        </w:trPr>
        <w:tc>
          <w:tcPr>
            <w:tcW w:w="0" w:type="auto"/>
            <w:gridSpan w:val="3"/>
            <w:tcMar>
              <w:top w:w="30" w:type="dxa"/>
              <w:left w:w="20" w:type="dxa"/>
              <w:bottom w:w="30" w:type="dxa"/>
              <w:right w:w="20" w:type="dxa"/>
            </w:tcMar>
            <w:hideMark/>
          </w:tcPr>
          <w:p w:rsidR="00000000" w:rsidRDefault="00B132B6">
            <w:pPr>
              <w:spacing w:after="100"/>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tcMar>
              <w:top w:w="30" w:type="dxa"/>
              <w:left w:w="20" w:type="dxa"/>
              <w:bottom w:w="30" w:type="dxa"/>
              <w:right w:w="20" w:type="dxa"/>
            </w:tcMar>
            <w:hideMark/>
          </w:tcPr>
          <w:p w:rsidR="00000000" w:rsidRDefault="00B132B6">
            <w:pPr>
              <w:spacing w:after="100"/>
              <w:jc w:val="both"/>
              <w:rPr>
                <w:rFonts w:eastAsia="Times New Roman"/>
              </w:rPr>
            </w:pPr>
            <w:r>
              <w:rPr>
                <w:rFonts w:eastAsia="Times New Roman"/>
                <w:color w:val="000000"/>
                <w:sz w:val="20"/>
                <w:szCs w:val="20"/>
              </w:rPr>
              <w:t>Cover Page Interactive Data File (formatted as inline XBRL and contained in Exhibit 101).</w:t>
            </w:r>
          </w:p>
        </w:tc>
      </w:tr>
    </w:tbl>
    <w:p w:rsidR="00000000" w:rsidRDefault="00B132B6">
      <w:pPr>
        <w:divId w:val="1837452349"/>
        <w:rPr>
          <w:rFonts w:eastAsia="Times New Roman"/>
        </w:rPr>
      </w:pPr>
      <w:r>
        <w:rPr>
          <w:rFonts w:eastAsia="Times New Roman"/>
          <w:color w:val="000000"/>
          <w:sz w:val="20"/>
          <w:szCs w:val="20"/>
        </w:rPr>
        <w:t>____________________________</w:t>
      </w:r>
    </w:p>
    <w:p w:rsidR="00000000" w:rsidRDefault="00B132B6">
      <w:pPr>
        <w:ind w:hanging="360"/>
        <w:divId w:val="1419138722"/>
        <w:rPr>
          <w:rFonts w:eastAsia="Times New Roman"/>
        </w:rPr>
      </w:pPr>
      <w:r>
        <w:rPr>
          <w:rFonts w:eastAsia="Times New Roman"/>
          <w:color w:val="000000"/>
          <w:sz w:val="20"/>
          <w:szCs w:val="20"/>
        </w:rPr>
        <w:t>*</w:t>
      </w:r>
      <w:r>
        <w:rPr>
          <w:rFonts w:eastAsia="Times New Roman"/>
          <w:color w:val="000000"/>
          <w:sz w:val="20"/>
          <w:szCs w:val="20"/>
        </w:rPr>
        <w:t>Management contracts or compensatory plans or arrangements required to be identified by Item 15(a).</w:t>
      </w:r>
    </w:p>
    <w:p w:rsidR="00000000" w:rsidRDefault="00B132B6">
      <w:pPr>
        <w:ind w:hanging="720"/>
        <w:divId w:val="955061436"/>
        <w:rPr>
          <w:rFonts w:eastAsia="Times New Roman"/>
        </w:rPr>
      </w:pPr>
      <w:r>
        <w:rPr>
          <w:rFonts w:eastAsia="Times New Roman"/>
          <w:color w:val="000000"/>
          <w:sz w:val="20"/>
          <w:szCs w:val="20"/>
        </w:rPr>
        <w:t>(b)Exhibits.</w:t>
      </w:r>
    </w:p>
    <w:p w:rsidR="00000000" w:rsidRDefault="00B132B6">
      <w:pPr>
        <w:jc w:val="both"/>
        <w:divId w:val="65416900"/>
        <w:rPr>
          <w:rFonts w:eastAsia="Times New Roman"/>
        </w:rPr>
      </w:pPr>
      <w:r>
        <w:rPr>
          <w:rFonts w:eastAsia="Times New Roman"/>
          <w:color w:val="000000"/>
          <w:sz w:val="20"/>
          <w:szCs w:val="20"/>
        </w:rPr>
        <w:t>See exhibits identified above under Item 15(a)3.</w:t>
      </w:r>
    </w:p>
    <w:p w:rsidR="00000000" w:rsidRDefault="00B132B6">
      <w:pPr>
        <w:ind w:hanging="720"/>
        <w:jc w:val="both"/>
        <w:divId w:val="715466821"/>
        <w:rPr>
          <w:rFonts w:eastAsia="Times New Roman"/>
        </w:rPr>
      </w:pPr>
      <w:r>
        <w:rPr>
          <w:rFonts w:eastAsia="Times New Roman"/>
          <w:color w:val="000000"/>
          <w:sz w:val="20"/>
          <w:szCs w:val="20"/>
        </w:rPr>
        <w:t>(c)Financial Statement Schedules.</w:t>
      </w:r>
    </w:p>
    <w:p w:rsidR="00000000" w:rsidRDefault="00B132B6">
      <w:pPr>
        <w:jc w:val="both"/>
        <w:divId w:val="2122607282"/>
        <w:rPr>
          <w:rFonts w:eastAsia="Times New Roman"/>
        </w:rPr>
      </w:pPr>
      <w:r>
        <w:rPr>
          <w:rFonts w:eastAsia="Times New Roman"/>
          <w:color w:val="000000"/>
          <w:sz w:val="20"/>
          <w:szCs w:val="20"/>
        </w:rPr>
        <w:t>See financial statement schedules identified above under Ite</w:t>
      </w:r>
      <w:r>
        <w:rPr>
          <w:rFonts w:eastAsia="Times New Roman"/>
          <w:color w:val="000000"/>
          <w:sz w:val="20"/>
          <w:szCs w:val="20"/>
        </w:rPr>
        <w:t>m 15(a)2, if any.</w:t>
      </w:r>
    </w:p>
    <w:p w:rsidR="00000000" w:rsidRDefault="00B132B6">
      <w:pPr>
        <w:jc w:val="both"/>
        <w:divId w:val="1678537877"/>
        <w:rPr>
          <w:rFonts w:eastAsia="Times New Roman"/>
        </w:rPr>
      </w:pPr>
    </w:p>
    <w:p w:rsidR="00000000" w:rsidRDefault="00B132B6">
      <w:pPr>
        <w:divId w:val="390152835"/>
        <w:rPr>
          <w:rFonts w:eastAsia="Times New Roman"/>
        </w:rPr>
      </w:pPr>
      <w:r>
        <w:rPr>
          <w:rFonts w:eastAsia="Times New Roman"/>
          <w:b/>
          <w:bCs/>
          <w:color w:val="000000"/>
          <w:sz w:val="20"/>
          <w:szCs w:val="20"/>
          <w:u w:val="single"/>
        </w:rPr>
        <w:t>Item 16</w:t>
      </w:r>
      <w:r>
        <w:rPr>
          <w:rFonts w:eastAsia="Times New Roman"/>
          <w:b/>
          <w:bCs/>
          <w:color w:val="000000"/>
          <w:sz w:val="20"/>
          <w:szCs w:val="20"/>
        </w:rPr>
        <w:t xml:space="preserve">. </w:t>
      </w:r>
      <w:r>
        <w:rPr>
          <w:rFonts w:eastAsia="Times New Roman"/>
          <w:b/>
          <w:bCs/>
          <w:color w:val="000000"/>
          <w:u w:val="single"/>
        </w:rPr>
        <w:t>Form 10-K Summary.</w:t>
      </w:r>
    </w:p>
    <w:p w:rsidR="00000000" w:rsidRDefault="00B132B6">
      <w:pPr>
        <w:divId w:val="1226843673"/>
        <w:rPr>
          <w:rFonts w:eastAsia="Times New Roman"/>
        </w:rPr>
      </w:pPr>
    </w:p>
    <w:p w:rsidR="00000000" w:rsidRDefault="00B132B6">
      <w:pPr>
        <w:ind w:firstLine="720"/>
        <w:jc w:val="both"/>
        <w:rPr>
          <w:rFonts w:eastAsia="Times New Roman"/>
        </w:rPr>
      </w:pPr>
      <w:r>
        <w:rPr>
          <w:rFonts w:eastAsia="Times New Roman"/>
          <w:color w:val="000000"/>
          <w:sz w:val="20"/>
          <w:szCs w:val="20"/>
        </w:rPr>
        <w:t>None</w:t>
      </w:r>
    </w:p>
    <w:p w:rsidR="00000000" w:rsidRDefault="00B132B6">
      <w:pPr>
        <w:jc w:val="center"/>
        <w:divId w:val="319117310"/>
        <w:rPr>
          <w:rFonts w:eastAsia="Times New Roman"/>
        </w:rPr>
      </w:pPr>
      <w:r>
        <w:rPr>
          <w:rFonts w:eastAsia="Times New Roman"/>
          <w:color w:val="000000"/>
          <w:sz w:val="20"/>
          <w:szCs w:val="20"/>
        </w:rPr>
        <w:t>33</w:t>
      </w:r>
    </w:p>
    <w:p w:rsidR="00000000" w:rsidRDefault="00B132B6">
      <w:pPr>
        <w:rPr>
          <w:rFonts w:eastAsia="Times New Roman"/>
        </w:rPr>
      </w:pPr>
      <w:r>
        <w:rPr>
          <w:rFonts w:eastAsia="Times New Roman"/>
        </w:rPr>
        <w:pict>
          <v:rect id="_x0000_i1057" style="width:0;height:1.5pt" o:hralign="center" o:hrstd="t" o:hr="t" fillcolor="#a0a0a0" stroked="f"/>
        </w:pict>
      </w:r>
    </w:p>
    <w:p w:rsidR="00000000" w:rsidRDefault="00B132B6">
      <w:pPr>
        <w:divId w:val="1398623701"/>
        <w:rPr>
          <w:rFonts w:eastAsia="Times New Roman"/>
        </w:rPr>
      </w:pPr>
    </w:p>
    <w:p w:rsidR="00000000" w:rsidRDefault="00B132B6">
      <w:pPr>
        <w:divId w:val="1545630610"/>
        <w:rPr>
          <w:rFonts w:eastAsia="Times New Roman"/>
        </w:rPr>
      </w:pPr>
      <w:r>
        <w:rPr>
          <w:rFonts w:eastAsia="Times New Roman"/>
          <w:color w:val="000000"/>
          <w:sz w:val="20"/>
          <w:szCs w:val="20"/>
        </w:rPr>
        <w:t>SIGNATURES</w:t>
      </w:r>
    </w:p>
    <w:p w:rsidR="00000000" w:rsidRDefault="00B132B6">
      <w:pPr>
        <w:ind w:firstLine="720"/>
        <w:jc w:val="both"/>
        <w:divId w:val="1566530799"/>
        <w:rPr>
          <w:rFonts w:eastAsia="Times New Roman"/>
        </w:rPr>
      </w:pPr>
      <w:r>
        <w:rPr>
          <w:rFonts w:eastAsia="Times New Roman"/>
          <w:color w:val="000000"/>
          <w:sz w:val="20"/>
          <w:szCs w:val="20"/>
        </w:rPr>
        <w:t>Pursuant to the requirements of Section 13 or 15(d) of the Securities Exchange Act of 1934, the registrant has duly caused this report to be signed o</w:t>
      </w:r>
      <w:r>
        <w:rPr>
          <w:rFonts w:eastAsia="Times New Roman"/>
          <w:color w:val="000000"/>
          <w:sz w:val="20"/>
          <w:szCs w:val="20"/>
        </w:rPr>
        <w:t>n its behalf by the undersigned, thereunto duly authorized.</w:t>
      </w:r>
    </w:p>
    <w:tbl>
      <w:tblPr>
        <w:tblW w:w="5000" w:type="pct"/>
        <w:tblCellMar>
          <w:top w:w="15" w:type="dxa"/>
          <w:left w:w="15" w:type="dxa"/>
          <w:bottom w:w="15" w:type="dxa"/>
          <w:right w:w="15" w:type="dxa"/>
        </w:tblCellMar>
        <w:tblLook w:val="04A0" w:firstRow="1" w:lastRow="0" w:firstColumn="1" w:lastColumn="0" w:noHBand="0" w:noVBand="1"/>
      </w:tblPr>
      <w:tblGrid>
        <w:gridCol w:w="68"/>
        <w:gridCol w:w="3769"/>
        <w:gridCol w:w="36"/>
        <w:gridCol w:w="78"/>
        <w:gridCol w:w="187"/>
        <w:gridCol w:w="39"/>
        <w:gridCol w:w="75"/>
        <w:gridCol w:w="145"/>
        <w:gridCol w:w="38"/>
        <w:gridCol w:w="51"/>
        <w:gridCol w:w="3784"/>
        <w:gridCol w:w="36"/>
      </w:tblGrid>
      <w:tr w:rsidR="00000000">
        <w:trPr>
          <w:divId w:val="791896755"/>
        </w:trPr>
        <w:tc>
          <w:tcPr>
            <w:tcW w:w="50" w:type="pct"/>
            <w:vAlign w:val="center"/>
            <w:hideMark/>
          </w:tcPr>
          <w:p w:rsidR="00000000" w:rsidRDefault="00B132B6">
            <w:pPr>
              <w:ind w:firstLine="720"/>
              <w:jc w:val="both"/>
              <w:rPr>
                <w:rFonts w:eastAsia="Times New Roman"/>
              </w:rPr>
            </w:pPr>
          </w:p>
        </w:tc>
        <w:tc>
          <w:tcPr>
            <w:tcW w:w="2278"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c>
          <w:tcPr>
            <w:tcW w:w="50" w:type="pct"/>
            <w:vAlign w:val="center"/>
            <w:hideMark/>
          </w:tcPr>
          <w:p w:rsidR="00000000" w:rsidRDefault="00B132B6">
            <w:pPr>
              <w:spacing w:after="100"/>
              <w:rPr>
                <w:rFonts w:eastAsia="Times New Roman"/>
                <w:sz w:val="20"/>
                <w:szCs w:val="20"/>
              </w:rPr>
            </w:pPr>
          </w:p>
        </w:tc>
        <w:tc>
          <w:tcPr>
            <w:tcW w:w="119"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c>
          <w:tcPr>
            <w:tcW w:w="50" w:type="pct"/>
            <w:vAlign w:val="center"/>
            <w:hideMark/>
          </w:tcPr>
          <w:p w:rsidR="00000000" w:rsidRDefault="00B132B6">
            <w:pPr>
              <w:spacing w:after="100"/>
              <w:rPr>
                <w:rFonts w:eastAsia="Times New Roman"/>
                <w:sz w:val="20"/>
                <w:szCs w:val="20"/>
              </w:rPr>
            </w:pPr>
          </w:p>
        </w:tc>
        <w:tc>
          <w:tcPr>
            <w:tcW w:w="96"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c>
          <w:tcPr>
            <w:tcW w:w="50" w:type="pct"/>
            <w:vAlign w:val="center"/>
            <w:hideMark/>
          </w:tcPr>
          <w:p w:rsidR="00000000" w:rsidRDefault="00B132B6">
            <w:pPr>
              <w:spacing w:after="100"/>
              <w:rPr>
                <w:rFonts w:eastAsia="Times New Roman"/>
                <w:sz w:val="20"/>
                <w:szCs w:val="20"/>
              </w:rPr>
            </w:pPr>
          </w:p>
        </w:tc>
        <w:tc>
          <w:tcPr>
            <w:tcW w:w="2286"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r>
      <w:tr w:rsidR="00000000">
        <w:trPr>
          <w:divId w:val="791896755"/>
        </w:trPr>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B132B6">
            <w:pPr>
              <w:spacing w:after="100"/>
              <w:rPr>
                <w:rFonts w:eastAsia="Times New Roman"/>
              </w:rPr>
            </w:pPr>
            <w:r>
              <w:rPr>
                <w:rFonts w:eastAsia="Times New Roman"/>
                <w:color w:val="000000"/>
                <w:sz w:val="20"/>
                <w:szCs w:val="20"/>
              </w:rPr>
              <w:t>HAWTHORN BANCSHARES, INC.</w:t>
            </w:r>
          </w:p>
        </w:tc>
      </w:tr>
      <w:tr w:rsidR="00000000">
        <w:trPr>
          <w:divId w:val="791896755"/>
          <w:trHeight w:val="300"/>
        </w:trPr>
        <w:tc>
          <w:tcPr>
            <w:tcW w:w="0" w:type="auto"/>
            <w:gridSpan w:val="3"/>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r>
      <w:tr w:rsidR="00000000">
        <w:trPr>
          <w:divId w:val="791896755"/>
        </w:trPr>
        <w:tc>
          <w:tcPr>
            <w:tcW w:w="0" w:type="auto"/>
            <w:gridSpan w:val="3"/>
            <w:tcMar>
              <w:top w:w="30" w:type="dxa"/>
              <w:left w:w="20" w:type="dxa"/>
              <w:bottom w:w="30" w:type="dxa"/>
              <w:right w:w="20" w:type="dxa"/>
            </w:tcMar>
            <w:vAlign w:val="bottom"/>
            <w:hideMark/>
          </w:tcPr>
          <w:p w:rsidR="00000000" w:rsidRDefault="00B132B6">
            <w:pPr>
              <w:spacing w:after="100"/>
              <w:ind w:hanging="144"/>
              <w:divId w:val="1329599742"/>
              <w:rPr>
                <w:rFonts w:eastAsia="Times New Roman"/>
              </w:rPr>
            </w:pPr>
            <w:r>
              <w:rPr>
                <w:rFonts w:eastAsia="Times New Roman"/>
                <w:color w:val="000000"/>
                <w:sz w:val="20"/>
                <w:szCs w:val="20"/>
              </w:rPr>
              <w:t>Dated: March 29, 2023</w:t>
            </w:r>
          </w:p>
        </w:tc>
        <w:tc>
          <w:tcPr>
            <w:tcW w:w="0" w:type="auto"/>
            <w:gridSpan w:val="3"/>
            <w:tcMar>
              <w:top w:w="30" w:type="dxa"/>
              <w:left w:w="20" w:type="dxa"/>
              <w:bottom w:w="30" w:type="dxa"/>
              <w:right w:w="20" w:type="dxa"/>
            </w:tcMar>
            <w:vAlign w:val="bottom"/>
            <w:hideMark/>
          </w:tcPr>
          <w:p w:rsidR="00000000" w:rsidRDefault="00B132B6">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rsidR="00000000" w:rsidRDefault="00B132B6">
            <w:pPr>
              <w:spacing w:after="100"/>
              <w:rPr>
                <w:rFonts w:eastAsia="Times New Roman"/>
              </w:rPr>
            </w:pPr>
            <w:r>
              <w:rPr>
                <w:rFonts w:eastAsia="Times New Roman"/>
                <w:color w:val="000000"/>
                <w:sz w:val="20"/>
                <w:szCs w:val="20"/>
              </w:rPr>
              <w:t>/s/</w:t>
            </w:r>
          </w:p>
        </w:tc>
        <w:tc>
          <w:tcPr>
            <w:tcW w:w="0" w:type="auto"/>
            <w:gridSpan w:val="3"/>
            <w:tcMar>
              <w:top w:w="30" w:type="dxa"/>
              <w:left w:w="20" w:type="dxa"/>
              <w:bottom w:w="30" w:type="dxa"/>
              <w:right w:w="20" w:type="dxa"/>
            </w:tcMar>
            <w:vAlign w:val="bottom"/>
            <w:hideMark/>
          </w:tcPr>
          <w:p w:rsidR="00000000" w:rsidRDefault="00B132B6">
            <w:pPr>
              <w:spacing w:after="100"/>
              <w:rPr>
                <w:rFonts w:eastAsia="Times New Roman"/>
              </w:rPr>
            </w:pPr>
            <w:r>
              <w:rPr>
                <w:rFonts w:eastAsia="Times New Roman"/>
                <w:color w:val="000000"/>
                <w:sz w:val="20"/>
                <w:szCs w:val="20"/>
              </w:rPr>
              <w:t>David T. Turner</w:t>
            </w:r>
          </w:p>
        </w:tc>
      </w:tr>
      <w:tr w:rsidR="00000000">
        <w:trPr>
          <w:divId w:val="791896755"/>
        </w:trPr>
        <w:tc>
          <w:tcPr>
            <w:tcW w:w="0" w:type="auto"/>
            <w:gridSpan w:val="3"/>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B132B6">
            <w:pPr>
              <w:spacing w:after="100"/>
              <w:rPr>
                <w:rFonts w:eastAsia="Times New Roman"/>
                <w:sz w:val="20"/>
                <w:szCs w:val="20"/>
              </w:rPr>
            </w:pPr>
          </w:p>
        </w:tc>
        <w:tc>
          <w:tcPr>
            <w:tcW w:w="0" w:type="auto"/>
            <w:gridSpan w:val="3"/>
            <w:tcBorders>
              <w:top w:val="single" w:sz="6" w:space="0" w:color="000000"/>
            </w:tcBorders>
            <w:tcMar>
              <w:top w:w="30" w:type="dxa"/>
              <w:left w:w="164" w:type="dxa"/>
              <w:bottom w:w="30" w:type="dxa"/>
              <w:right w:w="20" w:type="dxa"/>
            </w:tcMar>
            <w:vAlign w:val="bottom"/>
            <w:hideMark/>
          </w:tcPr>
          <w:p w:rsidR="00000000" w:rsidRDefault="00B132B6">
            <w:pPr>
              <w:spacing w:after="100"/>
              <w:ind w:hanging="144"/>
              <w:rPr>
                <w:rFonts w:eastAsia="Times New Roman"/>
              </w:rPr>
            </w:pPr>
            <w:r>
              <w:rPr>
                <w:rFonts w:eastAsia="Times New Roman"/>
                <w:color w:val="000000"/>
                <w:sz w:val="20"/>
                <w:szCs w:val="20"/>
              </w:rPr>
              <w:t>David T. Turner, Chairman of the Board,</w:t>
            </w:r>
          </w:p>
        </w:tc>
      </w:tr>
      <w:tr w:rsidR="00000000">
        <w:trPr>
          <w:divId w:val="791896755"/>
        </w:trPr>
        <w:tc>
          <w:tcPr>
            <w:tcW w:w="0" w:type="auto"/>
            <w:gridSpan w:val="3"/>
            <w:tcMar>
              <w:top w:w="0" w:type="dxa"/>
              <w:left w:w="20" w:type="dxa"/>
              <w:bottom w:w="0" w:type="dxa"/>
              <w:right w:w="20" w:type="dxa"/>
            </w:tcMar>
            <w:vAlign w:val="center"/>
            <w:hideMark/>
          </w:tcPr>
          <w:p w:rsidR="00000000" w:rsidRDefault="00B132B6">
            <w:pPr>
              <w:spacing w:after="100"/>
              <w:ind w:hanging="144"/>
              <w:rPr>
                <w:rFonts w:eastAsia="Times New Roman"/>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c>
          <w:tcPr>
            <w:tcW w:w="0" w:type="auto"/>
            <w:gridSpan w:val="3"/>
            <w:tcMar>
              <w:top w:w="30" w:type="dxa"/>
              <w:left w:w="164" w:type="dxa"/>
              <w:bottom w:w="30" w:type="dxa"/>
              <w:right w:w="20" w:type="dxa"/>
            </w:tcMar>
            <w:vAlign w:val="bottom"/>
            <w:hideMark/>
          </w:tcPr>
          <w:p w:rsidR="00000000" w:rsidRDefault="00B132B6">
            <w:pPr>
              <w:spacing w:after="100"/>
              <w:ind w:hanging="144"/>
              <w:rPr>
                <w:rFonts w:eastAsia="Times New Roman"/>
              </w:rPr>
            </w:pPr>
            <w:r>
              <w:rPr>
                <w:rFonts w:eastAsia="Times New Roman"/>
                <w:color w:val="000000"/>
                <w:sz w:val="20"/>
                <w:szCs w:val="20"/>
              </w:rPr>
              <w:t>President and Chief Executive Officer</w:t>
            </w:r>
          </w:p>
        </w:tc>
      </w:tr>
    </w:tbl>
    <w:p w:rsidR="00000000" w:rsidRDefault="00B132B6">
      <w:pPr>
        <w:ind w:firstLine="720"/>
        <w:jc w:val="both"/>
        <w:divId w:val="184292781"/>
        <w:rPr>
          <w:rFonts w:eastAsia="Times New Roman"/>
        </w:rPr>
      </w:pPr>
      <w:r>
        <w:rPr>
          <w:rFonts w:eastAsia="Times New Roman"/>
          <w:color w:val="000000"/>
          <w:sz w:val="20"/>
          <w:szCs w:val="20"/>
        </w:rPr>
        <w:t xml:space="preserve">KNOW ALL PERSONS BY THESE PRESENTS, that each person whose signature appears below constitutes and appoints David T. Turner and Stephen E. Guthrie, or either of them, his attorneys-in-fact, for such person in any and all capacities, to sign any amendments </w:t>
      </w:r>
      <w:r>
        <w:rPr>
          <w:rFonts w:eastAsia="Times New Roman"/>
          <w:color w:val="000000"/>
          <w:sz w:val="20"/>
          <w:szCs w:val="20"/>
        </w:rPr>
        <w:t>to this report and to file the same, with exhibits thereto, and other documents in connection therewith, with the Securities and Exchange Commission, hereby ratifying and confirming all that either of said attorneys-in-fact, or substitute or substitutes, m</w:t>
      </w:r>
      <w:r>
        <w:rPr>
          <w:rFonts w:eastAsia="Times New Roman"/>
          <w:color w:val="000000"/>
          <w:sz w:val="20"/>
          <w:szCs w:val="20"/>
        </w:rPr>
        <w:t>ay do or cause to be done by virtue hereof.</w:t>
      </w:r>
    </w:p>
    <w:p w:rsidR="00000000" w:rsidRDefault="00B132B6">
      <w:pPr>
        <w:ind w:firstLine="720"/>
        <w:jc w:val="both"/>
        <w:divId w:val="299455426"/>
        <w:rPr>
          <w:rFonts w:eastAsia="Times New Roman"/>
        </w:rPr>
      </w:pPr>
      <w:r>
        <w:rPr>
          <w:rFonts w:eastAsia="Times New Roman"/>
          <w:color w:val="000000"/>
          <w:sz w:val="20"/>
          <w:szCs w:val="20"/>
        </w:rPr>
        <w:t>Pursuant to the requirements of the Securities Exchange Act of 1934, this report has been signed below by the following persons on behalf of the registrant and in the capacities and on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53"/>
        <w:gridCol w:w="4008"/>
        <w:gridCol w:w="37"/>
        <w:gridCol w:w="36"/>
        <w:gridCol w:w="36"/>
        <w:gridCol w:w="36"/>
        <w:gridCol w:w="54"/>
        <w:gridCol w:w="4008"/>
        <w:gridCol w:w="38"/>
      </w:tblGrid>
      <w:tr w:rsidR="00000000">
        <w:trPr>
          <w:divId w:val="395711061"/>
        </w:trPr>
        <w:tc>
          <w:tcPr>
            <w:tcW w:w="50" w:type="pct"/>
            <w:vAlign w:val="center"/>
            <w:hideMark/>
          </w:tcPr>
          <w:p w:rsidR="00000000" w:rsidRDefault="00B132B6">
            <w:pPr>
              <w:ind w:firstLine="720"/>
              <w:jc w:val="both"/>
              <w:rPr>
                <w:rFonts w:eastAsia="Times New Roman"/>
              </w:rPr>
            </w:pPr>
          </w:p>
        </w:tc>
        <w:tc>
          <w:tcPr>
            <w:tcW w:w="2429"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c>
          <w:tcPr>
            <w:tcW w:w="20"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c>
          <w:tcPr>
            <w:tcW w:w="50" w:type="pct"/>
            <w:vAlign w:val="center"/>
            <w:hideMark/>
          </w:tcPr>
          <w:p w:rsidR="00000000" w:rsidRDefault="00B132B6">
            <w:pPr>
              <w:spacing w:after="100"/>
              <w:rPr>
                <w:rFonts w:eastAsia="Times New Roman"/>
                <w:sz w:val="20"/>
                <w:szCs w:val="20"/>
              </w:rPr>
            </w:pPr>
          </w:p>
        </w:tc>
        <w:tc>
          <w:tcPr>
            <w:tcW w:w="2429" w:type="pct"/>
            <w:vAlign w:val="center"/>
            <w:hideMark/>
          </w:tcPr>
          <w:p w:rsidR="00000000" w:rsidRDefault="00B132B6">
            <w:pPr>
              <w:spacing w:after="100"/>
              <w:rPr>
                <w:rFonts w:eastAsia="Times New Roman"/>
                <w:sz w:val="20"/>
                <w:szCs w:val="20"/>
              </w:rPr>
            </w:pPr>
          </w:p>
        </w:tc>
        <w:tc>
          <w:tcPr>
            <w:tcW w:w="5" w:type="pct"/>
            <w:vAlign w:val="center"/>
            <w:hideMark/>
          </w:tcPr>
          <w:p w:rsidR="00000000" w:rsidRDefault="00B132B6">
            <w:pPr>
              <w:spacing w:after="100"/>
              <w:rPr>
                <w:rFonts w:eastAsia="Times New Roman"/>
                <w:sz w:val="20"/>
                <w:szCs w:val="20"/>
              </w:rPr>
            </w:pPr>
          </w:p>
        </w:tc>
      </w:tr>
      <w:tr w:rsidR="00000000">
        <w:trPr>
          <w:divId w:val="395711061"/>
        </w:trPr>
        <w:tc>
          <w:tcPr>
            <w:tcW w:w="0" w:type="auto"/>
            <w:gridSpan w:val="3"/>
            <w:tcMar>
              <w:top w:w="30" w:type="dxa"/>
              <w:left w:w="164" w:type="dxa"/>
              <w:bottom w:w="30" w:type="dxa"/>
              <w:right w:w="20" w:type="dxa"/>
            </w:tcMar>
            <w:vAlign w:val="bottom"/>
            <w:hideMark/>
          </w:tcPr>
          <w:p w:rsidR="00000000" w:rsidRDefault="00B132B6">
            <w:pPr>
              <w:spacing w:after="100"/>
              <w:ind w:hanging="144"/>
              <w:rPr>
                <w:rFonts w:eastAsia="Times New Roman"/>
              </w:rPr>
            </w:pPr>
            <w:r>
              <w:rPr>
                <w:rFonts w:eastAsia="Times New Roman"/>
                <w:b/>
                <w:bCs/>
                <w:color w:val="000000"/>
                <w:sz w:val="18"/>
                <w:szCs w:val="18"/>
              </w:rPr>
              <w:t>Date</w:t>
            </w:r>
          </w:p>
        </w:tc>
        <w:tc>
          <w:tcPr>
            <w:tcW w:w="0" w:type="auto"/>
            <w:gridSpan w:val="3"/>
            <w:tcMar>
              <w:top w:w="0" w:type="dxa"/>
              <w:left w:w="20" w:type="dxa"/>
              <w:bottom w:w="0" w:type="dxa"/>
              <w:right w:w="20" w:type="dxa"/>
            </w:tcMar>
            <w:vAlign w:val="center"/>
            <w:hideMark/>
          </w:tcPr>
          <w:p w:rsidR="00000000" w:rsidRDefault="00B132B6">
            <w:pPr>
              <w:spacing w:after="100"/>
              <w:ind w:hanging="144"/>
              <w:rPr>
                <w:rFonts w:eastAsia="Times New Roman"/>
              </w:rPr>
            </w:pPr>
          </w:p>
        </w:tc>
        <w:tc>
          <w:tcPr>
            <w:tcW w:w="0" w:type="auto"/>
            <w:gridSpan w:val="3"/>
            <w:tcMar>
              <w:top w:w="30" w:type="dxa"/>
              <w:left w:w="20" w:type="dxa"/>
              <w:bottom w:w="30" w:type="dxa"/>
              <w:right w:w="20" w:type="dxa"/>
            </w:tcMar>
            <w:vAlign w:val="bottom"/>
            <w:hideMark/>
          </w:tcPr>
          <w:p w:rsidR="00000000" w:rsidRDefault="00B132B6">
            <w:pPr>
              <w:spacing w:after="100"/>
              <w:jc w:val="center"/>
              <w:rPr>
                <w:rFonts w:eastAsia="Times New Roman"/>
              </w:rPr>
            </w:pPr>
            <w:r>
              <w:rPr>
                <w:rFonts w:eastAsia="Times New Roman"/>
                <w:b/>
                <w:bCs/>
                <w:color w:val="000000"/>
                <w:sz w:val="18"/>
                <w:szCs w:val="18"/>
              </w:rPr>
              <w:t>Signature and Title</w:t>
            </w:r>
          </w:p>
        </w:tc>
      </w:tr>
      <w:tr w:rsidR="00000000">
        <w:trPr>
          <w:divId w:val="395711061"/>
          <w:trHeight w:val="180"/>
        </w:trPr>
        <w:tc>
          <w:tcPr>
            <w:tcW w:w="0" w:type="auto"/>
            <w:gridSpan w:val="3"/>
            <w:tcBorders>
              <w:top w:val="single" w:sz="8" w:space="0" w:color="000000"/>
            </w:tcBorders>
            <w:tcMar>
              <w:top w:w="0" w:type="dxa"/>
              <w:left w:w="20" w:type="dxa"/>
              <w:bottom w:w="0" w:type="dxa"/>
              <w:right w:w="20" w:type="dxa"/>
            </w:tcMar>
            <w:vAlign w:val="center"/>
            <w:hideMark/>
          </w:tcPr>
          <w:p w:rsidR="00000000" w:rsidRDefault="00B132B6">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132B6">
            <w:pPr>
              <w:spacing w:after="100"/>
              <w:rPr>
                <w:rFonts w:eastAsia="Times New Roman"/>
                <w:sz w:val="20"/>
                <w:szCs w:val="20"/>
              </w:rPr>
            </w:pPr>
          </w:p>
        </w:tc>
      </w:tr>
      <w:tr w:rsidR="00000000">
        <w:trPr>
          <w:divId w:val="395711061"/>
        </w:trPr>
        <w:tc>
          <w:tcPr>
            <w:tcW w:w="0" w:type="auto"/>
            <w:gridSpan w:val="3"/>
            <w:tcMar>
              <w:top w:w="30" w:type="dxa"/>
              <w:left w:w="164" w:type="dxa"/>
              <w:bottom w:w="30" w:type="dxa"/>
              <w:right w:w="20" w:type="dxa"/>
            </w:tcMar>
            <w:vAlign w:val="bottom"/>
            <w:hideMark/>
          </w:tcPr>
          <w:p w:rsidR="00000000" w:rsidRDefault="00B132B6">
            <w:pPr>
              <w:spacing w:after="100"/>
              <w:ind w:hanging="144"/>
              <w:rPr>
                <w:rFonts w:eastAsia="Times New Roman"/>
              </w:rPr>
            </w:pPr>
            <w:r>
              <w:rPr>
                <w:rFonts w:eastAsia="Times New Roman"/>
                <w:color w:val="000000"/>
                <w:sz w:val="18"/>
                <w:szCs w:val="18"/>
              </w:rPr>
              <w:t>March 29, 2023</w:t>
            </w:r>
          </w:p>
        </w:tc>
        <w:tc>
          <w:tcPr>
            <w:tcW w:w="0" w:type="auto"/>
            <w:gridSpan w:val="3"/>
            <w:tcMar>
              <w:top w:w="0" w:type="dxa"/>
              <w:left w:w="20" w:type="dxa"/>
              <w:bottom w:w="0" w:type="dxa"/>
              <w:right w:w="20" w:type="dxa"/>
            </w:tcMar>
            <w:vAlign w:val="center"/>
            <w:hideMark/>
          </w:tcPr>
          <w:p w:rsidR="00000000" w:rsidRDefault="00B132B6">
            <w:pPr>
              <w:spacing w:after="100"/>
              <w:ind w:hanging="144"/>
              <w:rPr>
                <w:rFonts w:eastAsia="Times New Roman"/>
              </w:rPr>
            </w:pPr>
          </w:p>
        </w:tc>
        <w:tc>
          <w:tcPr>
            <w:tcW w:w="0" w:type="auto"/>
            <w:gridSpan w:val="3"/>
            <w:tcMar>
              <w:top w:w="30" w:type="dxa"/>
              <w:left w:w="20" w:type="dxa"/>
              <w:bottom w:w="30" w:type="dxa"/>
              <w:right w:w="20" w:type="dxa"/>
            </w:tcMar>
            <w:vAlign w:val="bottom"/>
            <w:hideMark/>
          </w:tcPr>
          <w:p w:rsidR="00000000" w:rsidRDefault="00B132B6">
            <w:pPr>
              <w:spacing w:after="100"/>
              <w:rPr>
                <w:rFonts w:eastAsia="Times New Roman"/>
              </w:rPr>
            </w:pPr>
            <w:r>
              <w:rPr>
                <w:rFonts w:eastAsia="Times New Roman"/>
                <w:color w:val="000000"/>
                <w:sz w:val="18"/>
                <w:szCs w:val="18"/>
              </w:rPr>
              <w:t>/s/ David T. Turner</w:t>
            </w:r>
          </w:p>
        </w:tc>
      </w:tr>
      <w:tr w:rsidR="00000000">
        <w:trPr>
          <w:divId w:val="395711061"/>
        </w:trPr>
        <w:tc>
          <w:tcPr>
            <w:tcW w:w="0" w:type="auto"/>
            <w:gridSpan w:val="3"/>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B132B6">
            <w:pPr>
              <w:spacing w:after="100"/>
              <w:rPr>
                <w:rFonts w:eastAsia="Times New Roman"/>
              </w:rPr>
            </w:pPr>
            <w:r>
              <w:rPr>
                <w:rFonts w:eastAsia="Times New Roman"/>
                <w:color w:val="000000"/>
                <w:sz w:val="18"/>
                <w:szCs w:val="18"/>
              </w:rPr>
              <w:t>David T. Turner, Chairman of the Board, President and Chief Executive Officer (Principal Executive Officer) and Director</w:t>
            </w:r>
          </w:p>
        </w:tc>
      </w:tr>
      <w:tr w:rsidR="00000000">
        <w:trPr>
          <w:divId w:val="395711061"/>
          <w:trHeight w:val="180"/>
        </w:trPr>
        <w:tc>
          <w:tcPr>
            <w:tcW w:w="0" w:type="auto"/>
            <w:gridSpan w:val="3"/>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r>
      <w:tr w:rsidR="00000000">
        <w:trPr>
          <w:divId w:val="395711061"/>
        </w:trPr>
        <w:tc>
          <w:tcPr>
            <w:tcW w:w="0" w:type="auto"/>
            <w:gridSpan w:val="3"/>
            <w:tcMar>
              <w:top w:w="30" w:type="dxa"/>
              <w:left w:w="164" w:type="dxa"/>
              <w:bottom w:w="30" w:type="dxa"/>
              <w:right w:w="20" w:type="dxa"/>
            </w:tcMar>
            <w:vAlign w:val="bottom"/>
            <w:hideMark/>
          </w:tcPr>
          <w:p w:rsidR="00000000" w:rsidRDefault="00B132B6">
            <w:pPr>
              <w:spacing w:after="100"/>
              <w:ind w:hanging="144"/>
              <w:rPr>
                <w:rFonts w:eastAsia="Times New Roman"/>
              </w:rPr>
            </w:pPr>
            <w:r>
              <w:rPr>
                <w:rFonts w:eastAsia="Times New Roman"/>
                <w:color w:val="000000"/>
                <w:sz w:val="18"/>
                <w:szCs w:val="18"/>
              </w:rPr>
              <w:t>March 29, 2023</w:t>
            </w:r>
          </w:p>
        </w:tc>
        <w:tc>
          <w:tcPr>
            <w:tcW w:w="0" w:type="auto"/>
            <w:gridSpan w:val="3"/>
            <w:tcMar>
              <w:top w:w="0" w:type="dxa"/>
              <w:left w:w="20" w:type="dxa"/>
              <w:bottom w:w="0" w:type="dxa"/>
              <w:right w:w="20" w:type="dxa"/>
            </w:tcMar>
            <w:vAlign w:val="center"/>
            <w:hideMark/>
          </w:tcPr>
          <w:p w:rsidR="00000000" w:rsidRDefault="00B132B6">
            <w:pPr>
              <w:spacing w:after="100"/>
              <w:ind w:hanging="144"/>
              <w:rPr>
                <w:rFonts w:eastAsia="Times New Roman"/>
              </w:rPr>
            </w:pPr>
          </w:p>
        </w:tc>
        <w:tc>
          <w:tcPr>
            <w:tcW w:w="0" w:type="auto"/>
            <w:gridSpan w:val="3"/>
            <w:tcMar>
              <w:top w:w="30" w:type="dxa"/>
              <w:left w:w="20" w:type="dxa"/>
              <w:bottom w:w="30" w:type="dxa"/>
              <w:right w:w="20" w:type="dxa"/>
            </w:tcMar>
            <w:vAlign w:val="bottom"/>
            <w:hideMark/>
          </w:tcPr>
          <w:p w:rsidR="00000000" w:rsidRDefault="00B132B6">
            <w:pPr>
              <w:spacing w:after="100"/>
              <w:rPr>
                <w:rFonts w:eastAsia="Times New Roman"/>
              </w:rPr>
            </w:pPr>
            <w:r>
              <w:rPr>
                <w:rFonts w:eastAsia="Times New Roman"/>
                <w:color w:val="000000"/>
                <w:sz w:val="18"/>
                <w:szCs w:val="18"/>
              </w:rPr>
              <w:t>/s/ Stephen E. Guthrie</w:t>
            </w:r>
          </w:p>
        </w:tc>
      </w:tr>
      <w:tr w:rsidR="00000000">
        <w:trPr>
          <w:divId w:val="395711061"/>
        </w:trPr>
        <w:tc>
          <w:tcPr>
            <w:tcW w:w="0" w:type="auto"/>
            <w:gridSpan w:val="3"/>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c>
          <w:tcPr>
            <w:tcW w:w="0" w:type="auto"/>
            <w:gridSpan w:val="3"/>
            <w:tcBorders>
              <w:top w:val="single" w:sz="6" w:space="0" w:color="000000"/>
            </w:tcBorders>
            <w:tcMar>
              <w:top w:w="30" w:type="dxa"/>
              <w:left w:w="164" w:type="dxa"/>
              <w:bottom w:w="30" w:type="dxa"/>
              <w:right w:w="20" w:type="dxa"/>
            </w:tcMar>
            <w:vAlign w:val="bottom"/>
            <w:hideMark/>
          </w:tcPr>
          <w:p w:rsidR="00000000" w:rsidRDefault="00B132B6">
            <w:pPr>
              <w:spacing w:after="100"/>
              <w:ind w:hanging="144"/>
              <w:rPr>
                <w:rFonts w:eastAsia="Times New Roman"/>
              </w:rPr>
            </w:pPr>
            <w:r>
              <w:rPr>
                <w:rFonts w:eastAsia="Times New Roman"/>
                <w:color w:val="000000"/>
                <w:sz w:val="18"/>
                <w:szCs w:val="18"/>
              </w:rPr>
              <w:t>Stephen E. Guthrie, Chief Financial Officer</w:t>
            </w:r>
          </w:p>
        </w:tc>
      </w:tr>
      <w:tr w:rsidR="00000000">
        <w:trPr>
          <w:divId w:val="395711061"/>
        </w:trPr>
        <w:tc>
          <w:tcPr>
            <w:tcW w:w="0" w:type="auto"/>
            <w:gridSpan w:val="3"/>
            <w:tcMar>
              <w:top w:w="0" w:type="dxa"/>
              <w:left w:w="20" w:type="dxa"/>
              <w:bottom w:w="0" w:type="dxa"/>
              <w:right w:w="20" w:type="dxa"/>
            </w:tcMar>
            <w:vAlign w:val="center"/>
            <w:hideMark/>
          </w:tcPr>
          <w:p w:rsidR="00000000" w:rsidRDefault="00B132B6">
            <w:pPr>
              <w:spacing w:after="100"/>
              <w:ind w:hanging="144"/>
              <w:rPr>
                <w:rFonts w:eastAsia="Times New Roman"/>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132B6">
            <w:pPr>
              <w:spacing w:after="100"/>
              <w:rPr>
                <w:rFonts w:eastAsia="Times New Roman"/>
              </w:rPr>
            </w:pPr>
            <w:r>
              <w:rPr>
                <w:rFonts w:eastAsia="Times New Roman"/>
                <w:color w:val="000000"/>
                <w:sz w:val="18"/>
                <w:szCs w:val="18"/>
              </w:rPr>
              <w:t>(Principal Financial Officer and Principal Accounting Officer)</w:t>
            </w:r>
          </w:p>
        </w:tc>
      </w:tr>
      <w:tr w:rsidR="00000000">
        <w:trPr>
          <w:divId w:val="395711061"/>
          <w:trHeight w:val="180"/>
        </w:trPr>
        <w:tc>
          <w:tcPr>
            <w:tcW w:w="0" w:type="auto"/>
            <w:gridSpan w:val="3"/>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r>
      <w:tr w:rsidR="00000000">
        <w:trPr>
          <w:divId w:val="395711061"/>
        </w:trPr>
        <w:tc>
          <w:tcPr>
            <w:tcW w:w="0" w:type="auto"/>
            <w:gridSpan w:val="3"/>
            <w:tcMar>
              <w:top w:w="30" w:type="dxa"/>
              <w:left w:w="164" w:type="dxa"/>
              <w:bottom w:w="30" w:type="dxa"/>
              <w:right w:w="20" w:type="dxa"/>
            </w:tcMar>
            <w:vAlign w:val="bottom"/>
            <w:hideMark/>
          </w:tcPr>
          <w:p w:rsidR="00000000" w:rsidRDefault="00B132B6">
            <w:pPr>
              <w:spacing w:after="100"/>
              <w:ind w:hanging="144"/>
              <w:rPr>
                <w:rFonts w:eastAsia="Times New Roman"/>
              </w:rPr>
            </w:pPr>
            <w:r>
              <w:rPr>
                <w:rFonts w:eastAsia="Times New Roman"/>
                <w:color w:val="000000"/>
                <w:sz w:val="18"/>
                <w:szCs w:val="18"/>
              </w:rPr>
              <w:t>March 29, 2023</w:t>
            </w:r>
          </w:p>
        </w:tc>
        <w:tc>
          <w:tcPr>
            <w:tcW w:w="0" w:type="auto"/>
            <w:gridSpan w:val="3"/>
            <w:tcMar>
              <w:top w:w="0" w:type="dxa"/>
              <w:left w:w="20" w:type="dxa"/>
              <w:bottom w:w="0" w:type="dxa"/>
              <w:right w:w="20" w:type="dxa"/>
            </w:tcMar>
            <w:vAlign w:val="center"/>
            <w:hideMark/>
          </w:tcPr>
          <w:p w:rsidR="00000000" w:rsidRDefault="00B132B6">
            <w:pPr>
              <w:spacing w:after="100"/>
              <w:ind w:hanging="144"/>
              <w:rPr>
                <w:rFonts w:eastAsia="Times New Roman"/>
              </w:rPr>
            </w:pPr>
          </w:p>
        </w:tc>
        <w:tc>
          <w:tcPr>
            <w:tcW w:w="0" w:type="auto"/>
            <w:gridSpan w:val="3"/>
            <w:tcMar>
              <w:top w:w="30" w:type="dxa"/>
              <w:left w:w="20" w:type="dxa"/>
              <w:bottom w:w="30" w:type="dxa"/>
              <w:right w:w="20" w:type="dxa"/>
            </w:tcMar>
            <w:vAlign w:val="bottom"/>
            <w:hideMark/>
          </w:tcPr>
          <w:p w:rsidR="00000000" w:rsidRDefault="00B132B6">
            <w:pPr>
              <w:spacing w:after="100"/>
              <w:rPr>
                <w:rFonts w:eastAsia="Times New Roman"/>
              </w:rPr>
            </w:pPr>
            <w:r>
              <w:rPr>
                <w:rFonts w:eastAsia="Times New Roman"/>
                <w:color w:val="000000"/>
                <w:sz w:val="18"/>
                <w:szCs w:val="18"/>
              </w:rPr>
              <w:t>/s/ Kathleen L. Bruegenhemke</w:t>
            </w:r>
          </w:p>
        </w:tc>
      </w:tr>
      <w:tr w:rsidR="00000000">
        <w:trPr>
          <w:divId w:val="395711061"/>
        </w:trPr>
        <w:tc>
          <w:tcPr>
            <w:tcW w:w="0" w:type="auto"/>
            <w:gridSpan w:val="3"/>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B132B6">
            <w:pPr>
              <w:spacing w:after="100"/>
              <w:rPr>
                <w:rFonts w:eastAsia="Times New Roman"/>
              </w:rPr>
            </w:pPr>
            <w:r>
              <w:rPr>
                <w:rFonts w:eastAsia="Times New Roman"/>
                <w:color w:val="000000"/>
                <w:sz w:val="18"/>
                <w:szCs w:val="18"/>
              </w:rPr>
              <w:t>Kathleen L. Bruegenhemke, Director</w:t>
            </w:r>
          </w:p>
        </w:tc>
      </w:tr>
      <w:tr w:rsidR="00000000">
        <w:trPr>
          <w:divId w:val="395711061"/>
          <w:trHeight w:val="180"/>
        </w:trPr>
        <w:tc>
          <w:tcPr>
            <w:tcW w:w="0" w:type="auto"/>
            <w:gridSpan w:val="3"/>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r>
      <w:tr w:rsidR="00000000">
        <w:trPr>
          <w:divId w:val="395711061"/>
        </w:trPr>
        <w:tc>
          <w:tcPr>
            <w:tcW w:w="0" w:type="auto"/>
            <w:gridSpan w:val="3"/>
            <w:tcMar>
              <w:top w:w="30" w:type="dxa"/>
              <w:left w:w="164" w:type="dxa"/>
              <w:bottom w:w="30" w:type="dxa"/>
              <w:right w:w="20" w:type="dxa"/>
            </w:tcMar>
            <w:vAlign w:val="bottom"/>
            <w:hideMark/>
          </w:tcPr>
          <w:p w:rsidR="00000000" w:rsidRDefault="00B132B6">
            <w:pPr>
              <w:spacing w:after="100"/>
              <w:ind w:hanging="144"/>
              <w:rPr>
                <w:rFonts w:eastAsia="Times New Roman"/>
              </w:rPr>
            </w:pPr>
            <w:r>
              <w:rPr>
                <w:rFonts w:eastAsia="Times New Roman"/>
                <w:color w:val="000000"/>
                <w:sz w:val="18"/>
                <w:szCs w:val="18"/>
              </w:rPr>
              <w:t>March 29, 2023</w:t>
            </w:r>
          </w:p>
        </w:tc>
        <w:tc>
          <w:tcPr>
            <w:tcW w:w="0" w:type="auto"/>
            <w:gridSpan w:val="3"/>
            <w:tcMar>
              <w:top w:w="0" w:type="dxa"/>
              <w:left w:w="20" w:type="dxa"/>
              <w:bottom w:w="0" w:type="dxa"/>
              <w:right w:w="20" w:type="dxa"/>
            </w:tcMar>
            <w:vAlign w:val="center"/>
            <w:hideMark/>
          </w:tcPr>
          <w:p w:rsidR="00000000" w:rsidRDefault="00B132B6">
            <w:pPr>
              <w:spacing w:after="100"/>
              <w:ind w:hanging="144"/>
              <w:rPr>
                <w:rFonts w:eastAsia="Times New Roman"/>
              </w:rPr>
            </w:pPr>
          </w:p>
        </w:tc>
        <w:tc>
          <w:tcPr>
            <w:tcW w:w="0" w:type="auto"/>
            <w:gridSpan w:val="3"/>
            <w:tcMar>
              <w:top w:w="30" w:type="dxa"/>
              <w:left w:w="20" w:type="dxa"/>
              <w:bottom w:w="30" w:type="dxa"/>
              <w:right w:w="20" w:type="dxa"/>
            </w:tcMar>
            <w:vAlign w:val="bottom"/>
            <w:hideMark/>
          </w:tcPr>
          <w:p w:rsidR="00000000" w:rsidRDefault="00B132B6">
            <w:pPr>
              <w:spacing w:after="100"/>
              <w:rPr>
                <w:rFonts w:eastAsia="Times New Roman"/>
              </w:rPr>
            </w:pPr>
            <w:r>
              <w:rPr>
                <w:rFonts w:eastAsia="Times New Roman"/>
                <w:color w:val="000000"/>
                <w:sz w:val="18"/>
                <w:szCs w:val="18"/>
              </w:rPr>
              <w:t>/s/ Frank E. Burkhead</w:t>
            </w:r>
          </w:p>
        </w:tc>
      </w:tr>
      <w:tr w:rsidR="00000000">
        <w:trPr>
          <w:divId w:val="395711061"/>
        </w:trPr>
        <w:tc>
          <w:tcPr>
            <w:tcW w:w="0" w:type="auto"/>
            <w:gridSpan w:val="3"/>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B132B6">
            <w:pPr>
              <w:spacing w:after="100"/>
              <w:rPr>
                <w:rFonts w:eastAsia="Times New Roman"/>
              </w:rPr>
            </w:pPr>
            <w:r>
              <w:rPr>
                <w:rFonts w:eastAsia="Times New Roman"/>
                <w:color w:val="000000"/>
                <w:sz w:val="18"/>
                <w:szCs w:val="18"/>
              </w:rPr>
              <w:t>Frank E. Burkhead, Director</w:t>
            </w:r>
          </w:p>
        </w:tc>
      </w:tr>
      <w:tr w:rsidR="00000000">
        <w:trPr>
          <w:divId w:val="395711061"/>
          <w:trHeight w:val="180"/>
        </w:trPr>
        <w:tc>
          <w:tcPr>
            <w:tcW w:w="0" w:type="auto"/>
            <w:gridSpan w:val="3"/>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r>
      <w:tr w:rsidR="00000000">
        <w:trPr>
          <w:divId w:val="395711061"/>
        </w:trPr>
        <w:tc>
          <w:tcPr>
            <w:tcW w:w="0" w:type="auto"/>
            <w:gridSpan w:val="3"/>
            <w:tcMar>
              <w:top w:w="30" w:type="dxa"/>
              <w:left w:w="164" w:type="dxa"/>
              <w:bottom w:w="30" w:type="dxa"/>
              <w:right w:w="20" w:type="dxa"/>
            </w:tcMar>
            <w:vAlign w:val="bottom"/>
            <w:hideMark/>
          </w:tcPr>
          <w:p w:rsidR="00000000" w:rsidRDefault="00B132B6">
            <w:pPr>
              <w:spacing w:after="100"/>
              <w:ind w:hanging="144"/>
              <w:rPr>
                <w:rFonts w:eastAsia="Times New Roman"/>
              </w:rPr>
            </w:pPr>
            <w:r>
              <w:rPr>
                <w:rFonts w:eastAsia="Times New Roman"/>
                <w:color w:val="000000"/>
                <w:sz w:val="18"/>
                <w:szCs w:val="18"/>
              </w:rPr>
              <w:t>March 29, 2023</w:t>
            </w:r>
          </w:p>
        </w:tc>
        <w:tc>
          <w:tcPr>
            <w:tcW w:w="0" w:type="auto"/>
            <w:gridSpan w:val="3"/>
            <w:tcMar>
              <w:top w:w="0" w:type="dxa"/>
              <w:left w:w="20" w:type="dxa"/>
              <w:bottom w:w="0" w:type="dxa"/>
              <w:right w:w="20" w:type="dxa"/>
            </w:tcMar>
            <w:vAlign w:val="center"/>
            <w:hideMark/>
          </w:tcPr>
          <w:p w:rsidR="00000000" w:rsidRDefault="00B132B6">
            <w:pPr>
              <w:spacing w:after="100"/>
              <w:ind w:hanging="144"/>
              <w:rPr>
                <w:rFonts w:eastAsia="Times New Roman"/>
              </w:rPr>
            </w:pPr>
          </w:p>
        </w:tc>
        <w:tc>
          <w:tcPr>
            <w:tcW w:w="0" w:type="auto"/>
            <w:gridSpan w:val="3"/>
            <w:tcMar>
              <w:top w:w="30" w:type="dxa"/>
              <w:left w:w="20" w:type="dxa"/>
              <w:bottom w:w="30" w:type="dxa"/>
              <w:right w:w="20" w:type="dxa"/>
            </w:tcMar>
            <w:vAlign w:val="bottom"/>
            <w:hideMark/>
          </w:tcPr>
          <w:p w:rsidR="00000000" w:rsidRDefault="00B132B6">
            <w:pPr>
              <w:spacing w:after="100"/>
              <w:rPr>
                <w:rFonts w:eastAsia="Times New Roman"/>
              </w:rPr>
            </w:pPr>
            <w:r>
              <w:rPr>
                <w:rFonts w:eastAsia="Times New Roman"/>
                <w:color w:val="000000"/>
                <w:sz w:val="18"/>
                <w:szCs w:val="18"/>
              </w:rPr>
              <w:t>/s/ Philip D. Freeman</w:t>
            </w:r>
          </w:p>
        </w:tc>
      </w:tr>
      <w:tr w:rsidR="00000000">
        <w:trPr>
          <w:divId w:val="395711061"/>
        </w:trPr>
        <w:tc>
          <w:tcPr>
            <w:tcW w:w="0" w:type="auto"/>
            <w:gridSpan w:val="3"/>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B132B6">
            <w:pPr>
              <w:spacing w:after="100"/>
              <w:rPr>
                <w:rFonts w:eastAsia="Times New Roman"/>
              </w:rPr>
            </w:pPr>
            <w:r>
              <w:rPr>
                <w:rFonts w:eastAsia="Times New Roman"/>
                <w:color w:val="000000"/>
                <w:sz w:val="18"/>
                <w:szCs w:val="18"/>
              </w:rPr>
              <w:t>Philip D. Freeman, Director</w:t>
            </w:r>
          </w:p>
        </w:tc>
      </w:tr>
      <w:tr w:rsidR="00000000">
        <w:trPr>
          <w:divId w:val="395711061"/>
          <w:trHeight w:val="180"/>
        </w:trPr>
        <w:tc>
          <w:tcPr>
            <w:tcW w:w="0" w:type="auto"/>
            <w:gridSpan w:val="3"/>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r>
      <w:tr w:rsidR="00000000">
        <w:trPr>
          <w:divId w:val="395711061"/>
        </w:trPr>
        <w:tc>
          <w:tcPr>
            <w:tcW w:w="0" w:type="auto"/>
            <w:gridSpan w:val="3"/>
            <w:tcMar>
              <w:top w:w="30" w:type="dxa"/>
              <w:left w:w="164" w:type="dxa"/>
              <w:bottom w:w="30" w:type="dxa"/>
              <w:right w:w="20" w:type="dxa"/>
            </w:tcMar>
            <w:vAlign w:val="bottom"/>
            <w:hideMark/>
          </w:tcPr>
          <w:p w:rsidR="00000000" w:rsidRDefault="00B132B6">
            <w:pPr>
              <w:spacing w:after="100"/>
              <w:ind w:hanging="144"/>
              <w:rPr>
                <w:rFonts w:eastAsia="Times New Roman"/>
              </w:rPr>
            </w:pPr>
            <w:r>
              <w:rPr>
                <w:rFonts w:eastAsia="Times New Roman"/>
                <w:color w:val="000000"/>
                <w:sz w:val="18"/>
                <w:szCs w:val="18"/>
              </w:rPr>
              <w:t>March 29, 2023</w:t>
            </w:r>
          </w:p>
        </w:tc>
        <w:tc>
          <w:tcPr>
            <w:tcW w:w="0" w:type="auto"/>
            <w:gridSpan w:val="3"/>
            <w:tcMar>
              <w:top w:w="0" w:type="dxa"/>
              <w:left w:w="20" w:type="dxa"/>
              <w:bottom w:w="0" w:type="dxa"/>
              <w:right w:w="20" w:type="dxa"/>
            </w:tcMar>
            <w:vAlign w:val="center"/>
            <w:hideMark/>
          </w:tcPr>
          <w:p w:rsidR="00000000" w:rsidRDefault="00B132B6">
            <w:pPr>
              <w:spacing w:after="100"/>
              <w:ind w:hanging="144"/>
              <w:rPr>
                <w:rFonts w:eastAsia="Times New Roman"/>
              </w:rPr>
            </w:pPr>
          </w:p>
        </w:tc>
        <w:tc>
          <w:tcPr>
            <w:tcW w:w="0" w:type="auto"/>
            <w:gridSpan w:val="3"/>
            <w:tcMar>
              <w:top w:w="30" w:type="dxa"/>
              <w:left w:w="20" w:type="dxa"/>
              <w:bottom w:w="30" w:type="dxa"/>
              <w:right w:w="20" w:type="dxa"/>
            </w:tcMar>
            <w:vAlign w:val="bottom"/>
            <w:hideMark/>
          </w:tcPr>
          <w:p w:rsidR="00000000" w:rsidRDefault="00B132B6">
            <w:pPr>
              <w:spacing w:after="100"/>
              <w:rPr>
                <w:rFonts w:eastAsia="Times New Roman"/>
              </w:rPr>
            </w:pPr>
            <w:r>
              <w:rPr>
                <w:rFonts w:eastAsia="Times New Roman"/>
                <w:color w:val="000000"/>
                <w:sz w:val="18"/>
                <w:szCs w:val="18"/>
              </w:rPr>
              <w:t>/s/ Kevin L. Riley</w:t>
            </w:r>
          </w:p>
        </w:tc>
      </w:tr>
      <w:tr w:rsidR="00000000">
        <w:trPr>
          <w:divId w:val="395711061"/>
        </w:trPr>
        <w:tc>
          <w:tcPr>
            <w:tcW w:w="0" w:type="auto"/>
            <w:gridSpan w:val="3"/>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B132B6">
            <w:pPr>
              <w:spacing w:after="100"/>
              <w:rPr>
                <w:rFonts w:eastAsia="Times New Roman"/>
              </w:rPr>
            </w:pPr>
            <w:r>
              <w:rPr>
                <w:rFonts w:eastAsia="Times New Roman"/>
                <w:color w:val="000000"/>
                <w:sz w:val="18"/>
                <w:szCs w:val="18"/>
              </w:rPr>
              <w:t>Kevin L. Riley, Director</w:t>
            </w:r>
          </w:p>
        </w:tc>
      </w:tr>
      <w:tr w:rsidR="00000000">
        <w:trPr>
          <w:divId w:val="395711061"/>
          <w:trHeight w:val="180"/>
        </w:trPr>
        <w:tc>
          <w:tcPr>
            <w:tcW w:w="0" w:type="auto"/>
            <w:gridSpan w:val="3"/>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r>
      <w:tr w:rsidR="00000000">
        <w:trPr>
          <w:divId w:val="395711061"/>
        </w:trPr>
        <w:tc>
          <w:tcPr>
            <w:tcW w:w="0" w:type="auto"/>
            <w:gridSpan w:val="3"/>
            <w:tcMar>
              <w:top w:w="30" w:type="dxa"/>
              <w:left w:w="164" w:type="dxa"/>
              <w:bottom w:w="30" w:type="dxa"/>
              <w:right w:w="20" w:type="dxa"/>
            </w:tcMar>
            <w:vAlign w:val="bottom"/>
            <w:hideMark/>
          </w:tcPr>
          <w:p w:rsidR="00000000" w:rsidRDefault="00B132B6">
            <w:pPr>
              <w:spacing w:after="100"/>
              <w:ind w:hanging="144"/>
              <w:rPr>
                <w:rFonts w:eastAsia="Times New Roman"/>
              </w:rPr>
            </w:pPr>
            <w:r>
              <w:rPr>
                <w:rFonts w:eastAsia="Times New Roman"/>
                <w:color w:val="000000"/>
                <w:sz w:val="18"/>
                <w:szCs w:val="18"/>
              </w:rPr>
              <w:t>March 29, 2023</w:t>
            </w:r>
          </w:p>
        </w:tc>
        <w:tc>
          <w:tcPr>
            <w:tcW w:w="0" w:type="auto"/>
            <w:gridSpan w:val="3"/>
            <w:tcMar>
              <w:top w:w="0" w:type="dxa"/>
              <w:left w:w="20" w:type="dxa"/>
              <w:bottom w:w="0" w:type="dxa"/>
              <w:right w:w="20" w:type="dxa"/>
            </w:tcMar>
            <w:vAlign w:val="center"/>
            <w:hideMark/>
          </w:tcPr>
          <w:p w:rsidR="00000000" w:rsidRDefault="00B132B6">
            <w:pPr>
              <w:spacing w:after="100"/>
              <w:ind w:hanging="144"/>
              <w:rPr>
                <w:rFonts w:eastAsia="Times New Roman"/>
              </w:rPr>
            </w:pPr>
          </w:p>
        </w:tc>
        <w:tc>
          <w:tcPr>
            <w:tcW w:w="0" w:type="auto"/>
            <w:gridSpan w:val="3"/>
            <w:tcMar>
              <w:top w:w="30" w:type="dxa"/>
              <w:left w:w="20" w:type="dxa"/>
              <w:bottom w:w="30" w:type="dxa"/>
              <w:right w:w="20" w:type="dxa"/>
            </w:tcMar>
            <w:vAlign w:val="bottom"/>
            <w:hideMark/>
          </w:tcPr>
          <w:p w:rsidR="00000000" w:rsidRDefault="00B132B6">
            <w:pPr>
              <w:spacing w:after="100"/>
              <w:rPr>
                <w:rFonts w:eastAsia="Times New Roman"/>
              </w:rPr>
            </w:pPr>
            <w:r>
              <w:rPr>
                <w:rFonts w:eastAsia="Times New Roman"/>
                <w:color w:val="000000"/>
                <w:sz w:val="18"/>
                <w:szCs w:val="18"/>
              </w:rPr>
              <w:t>/s/ Gus S. (Jack) Wetzel III</w:t>
            </w:r>
          </w:p>
        </w:tc>
      </w:tr>
      <w:tr w:rsidR="00000000">
        <w:trPr>
          <w:divId w:val="395711061"/>
        </w:trPr>
        <w:tc>
          <w:tcPr>
            <w:tcW w:w="0" w:type="auto"/>
            <w:gridSpan w:val="3"/>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B132B6">
            <w:pPr>
              <w:spacing w:after="100"/>
              <w:rPr>
                <w:rFonts w:eastAsia="Times New Roman"/>
              </w:rPr>
            </w:pPr>
            <w:r>
              <w:rPr>
                <w:rFonts w:eastAsia="Times New Roman"/>
                <w:color w:val="000000"/>
                <w:sz w:val="18"/>
                <w:szCs w:val="18"/>
              </w:rPr>
              <w:t>Gus S. (Jack) Wetzel III, Director</w:t>
            </w:r>
          </w:p>
        </w:tc>
      </w:tr>
      <w:tr w:rsidR="00000000">
        <w:trPr>
          <w:divId w:val="395711061"/>
          <w:trHeight w:val="180"/>
        </w:trPr>
        <w:tc>
          <w:tcPr>
            <w:tcW w:w="0" w:type="auto"/>
            <w:gridSpan w:val="3"/>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r>
      <w:tr w:rsidR="00000000">
        <w:trPr>
          <w:divId w:val="395711061"/>
        </w:trPr>
        <w:tc>
          <w:tcPr>
            <w:tcW w:w="0" w:type="auto"/>
            <w:gridSpan w:val="3"/>
            <w:tcMar>
              <w:top w:w="30" w:type="dxa"/>
              <w:left w:w="164" w:type="dxa"/>
              <w:bottom w:w="30" w:type="dxa"/>
              <w:right w:w="20" w:type="dxa"/>
            </w:tcMar>
            <w:vAlign w:val="bottom"/>
            <w:hideMark/>
          </w:tcPr>
          <w:p w:rsidR="00000000" w:rsidRDefault="00B132B6">
            <w:pPr>
              <w:spacing w:after="100"/>
              <w:ind w:hanging="144"/>
              <w:rPr>
                <w:rFonts w:eastAsia="Times New Roman"/>
              </w:rPr>
            </w:pPr>
            <w:r>
              <w:rPr>
                <w:rFonts w:eastAsia="Times New Roman"/>
                <w:color w:val="000000"/>
                <w:sz w:val="18"/>
                <w:szCs w:val="18"/>
              </w:rPr>
              <w:t>March 29, 2023</w:t>
            </w:r>
          </w:p>
        </w:tc>
        <w:tc>
          <w:tcPr>
            <w:tcW w:w="0" w:type="auto"/>
            <w:gridSpan w:val="3"/>
            <w:tcMar>
              <w:top w:w="0" w:type="dxa"/>
              <w:left w:w="20" w:type="dxa"/>
              <w:bottom w:w="0" w:type="dxa"/>
              <w:right w:w="20" w:type="dxa"/>
            </w:tcMar>
            <w:vAlign w:val="center"/>
            <w:hideMark/>
          </w:tcPr>
          <w:p w:rsidR="00000000" w:rsidRDefault="00B132B6">
            <w:pPr>
              <w:spacing w:after="100"/>
              <w:ind w:hanging="144"/>
              <w:rPr>
                <w:rFonts w:eastAsia="Times New Roman"/>
              </w:rPr>
            </w:pPr>
          </w:p>
        </w:tc>
        <w:tc>
          <w:tcPr>
            <w:tcW w:w="0" w:type="auto"/>
            <w:gridSpan w:val="3"/>
            <w:tcMar>
              <w:top w:w="30" w:type="dxa"/>
              <w:left w:w="20" w:type="dxa"/>
              <w:bottom w:w="30" w:type="dxa"/>
              <w:right w:w="20" w:type="dxa"/>
            </w:tcMar>
            <w:vAlign w:val="bottom"/>
            <w:hideMark/>
          </w:tcPr>
          <w:p w:rsidR="00000000" w:rsidRDefault="00B132B6">
            <w:pPr>
              <w:spacing w:after="100"/>
              <w:rPr>
                <w:rFonts w:eastAsia="Times New Roman"/>
              </w:rPr>
            </w:pPr>
            <w:r>
              <w:rPr>
                <w:rFonts w:eastAsia="Times New Roman"/>
                <w:color w:val="000000"/>
                <w:sz w:val="18"/>
                <w:szCs w:val="18"/>
              </w:rPr>
              <w:t xml:space="preserve">/s/ Jonathan D. Holtaway </w:t>
            </w:r>
          </w:p>
        </w:tc>
      </w:tr>
      <w:tr w:rsidR="00000000">
        <w:trPr>
          <w:divId w:val="395711061"/>
        </w:trPr>
        <w:tc>
          <w:tcPr>
            <w:tcW w:w="0" w:type="auto"/>
            <w:gridSpan w:val="3"/>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B132B6">
            <w:pPr>
              <w:spacing w:after="100"/>
              <w:rPr>
                <w:rFonts w:eastAsia="Times New Roman"/>
              </w:rPr>
            </w:pPr>
            <w:r>
              <w:rPr>
                <w:rFonts w:eastAsia="Times New Roman"/>
                <w:color w:val="000000"/>
                <w:sz w:val="18"/>
                <w:szCs w:val="18"/>
              </w:rPr>
              <w:t>Jonathan D. Holtaway, Director</w:t>
            </w:r>
          </w:p>
        </w:tc>
      </w:tr>
      <w:tr w:rsidR="00000000">
        <w:trPr>
          <w:divId w:val="395711061"/>
          <w:trHeight w:val="180"/>
        </w:trPr>
        <w:tc>
          <w:tcPr>
            <w:tcW w:w="0" w:type="auto"/>
            <w:gridSpan w:val="3"/>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r>
      <w:tr w:rsidR="00000000">
        <w:trPr>
          <w:divId w:val="395711061"/>
        </w:trPr>
        <w:tc>
          <w:tcPr>
            <w:tcW w:w="0" w:type="auto"/>
            <w:gridSpan w:val="3"/>
            <w:tcMar>
              <w:top w:w="30" w:type="dxa"/>
              <w:left w:w="164" w:type="dxa"/>
              <w:bottom w:w="30" w:type="dxa"/>
              <w:right w:w="20" w:type="dxa"/>
            </w:tcMar>
            <w:vAlign w:val="bottom"/>
            <w:hideMark/>
          </w:tcPr>
          <w:p w:rsidR="00000000" w:rsidRDefault="00B132B6">
            <w:pPr>
              <w:spacing w:after="100"/>
              <w:ind w:hanging="144"/>
              <w:rPr>
                <w:rFonts w:eastAsia="Times New Roman"/>
              </w:rPr>
            </w:pPr>
            <w:r>
              <w:rPr>
                <w:rFonts w:eastAsia="Times New Roman"/>
                <w:color w:val="000000"/>
                <w:sz w:val="18"/>
                <w:szCs w:val="18"/>
              </w:rPr>
              <w:t>March 29, 2023</w:t>
            </w:r>
          </w:p>
        </w:tc>
        <w:tc>
          <w:tcPr>
            <w:tcW w:w="0" w:type="auto"/>
            <w:gridSpan w:val="3"/>
            <w:tcMar>
              <w:top w:w="0" w:type="dxa"/>
              <w:left w:w="20" w:type="dxa"/>
              <w:bottom w:w="0" w:type="dxa"/>
              <w:right w:w="20" w:type="dxa"/>
            </w:tcMar>
            <w:vAlign w:val="center"/>
            <w:hideMark/>
          </w:tcPr>
          <w:p w:rsidR="00000000" w:rsidRDefault="00B132B6">
            <w:pPr>
              <w:spacing w:after="100"/>
              <w:ind w:hanging="144"/>
              <w:rPr>
                <w:rFonts w:eastAsia="Times New Roman"/>
              </w:rPr>
            </w:pPr>
          </w:p>
        </w:tc>
        <w:tc>
          <w:tcPr>
            <w:tcW w:w="0" w:type="auto"/>
            <w:gridSpan w:val="3"/>
            <w:tcMar>
              <w:top w:w="30" w:type="dxa"/>
              <w:left w:w="20" w:type="dxa"/>
              <w:bottom w:w="30" w:type="dxa"/>
              <w:right w:w="20" w:type="dxa"/>
            </w:tcMar>
            <w:vAlign w:val="bottom"/>
            <w:hideMark/>
          </w:tcPr>
          <w:p w:rsidR="00000000" w:rsidRDefault="00B132B6">
            <w:pPr>
              <w:spacing w:after="100"/>
              <w:rPr>
                <w:rFonts w:eastAsia="Times New Roman"/>
              </w:rPr>
            </w:pPr>
            <w:r>
              <w:rPr>
                <w:rFonts w:eastAsia="Times New Roman"/>
                <w:color w:val="000000"/>
                <w:sz w:val="18"/>
                <w:szCs w:val="18"/>
              </w:rPr>
              <w:t>/s/ Jonathan L. States</w:t>
            </w:r>
          </w:p>
        </w:tc>
      </w:tr>
      <w:tr w:rsidR="00000000">
        <w:trPr>
          <w:divId w:val="395711061"/>
        </w:trPr>
        <w:tc>
          <w:tcPr>
            <w:tcW w:w="0" w:type="auto"/>
            <w:gridSpan w:val="3"/>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B132B6">
            <w:pPr>
              <w:spacing w:after="100"/>
              <w:rPr>
                <w:rFonts w:eastAsia="Times New Roman"/>
              </w:rPr>
            </w:pPr>
            <w:r>
              <w:rPr>
                <w:rFonts w:eastAsia="Times New Roman"/>
                <w:color w:val="000000"/>
                <w:sz w:val="18"/>
                <w:szCs w:val="18"/>
              </w:rPr>
              <w:t>Jonathan L. States, Director</w:t>
            </w:r>
          </w:p>
        </w:tc>
      </w:tr>
      <w:tr w:rsidR="00000000">
        <w:trPr>
          <w:divId w:val="395711061"/>
          <w:trHeight w:val="180"/>
        </w:trPr>
        <w:tc>
          <w:tcPr>
            <w:tcW w:w="0" w:type="auto"/>
            <w:gridSpan w:val="3"/>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r>
      <w:tr w:rsidR="00000000">
        <w:trPr>
          <w:divId w:val="395711061"/>
        </w:trPr>
        <w:tc>
          <w:tcPr>
            <w:tcW w:w="0" w:type="auto"/>
            <w:gridSpan w:val="3"/>
            <w:tcMar>
              <w:top w:w="30" w:type="dxa"/>
              <w:left w:w="164" w:type="dxa"/>
              <w:bottom w:w="30" w:type="dxa"/>
              <w:right w:w="20" w:type="dxa"/>
            </w:tcMar>
            <w:vAlign w:val="bottom"/>
            <w:hideMark/>
          </w:tcPr>
          <w:p w:rsidR="00000000" w:rsidRDefault="00B132B6">
            <w:pPr>
              <w:spacing w:after="100"/>
              <w:ind w:hanging="144"/>
              <w:rPr>
                <w:rFonts w:eastAsia="Times New Roman"/>
              </w:rPr>
            </w:pPr>
            <w:r>
              <w:rPr>
                <w:rFonts w:eastAsia="Times New Roman"/>
                <w:color w:val="000000"/>
                <w:sz w:val="18"/>
                <w:szCs w:val="18"/>
              </w:rPr>
              <w:t>March 29, 2023</w:t>
            </w:r>
          </w:p>
        </w:tc>
        <w:tc>
          <w:tcPr>
            <w:tcW w:w="0" w:type="auto"/>
            <w:gridSpan w:val="3"/>
            <w:tcMar>
              <w:top w:w="0" w:type="dxa"/>
              <w:left w:w="20" w:type="dxa"/>
              <w:bottom w:w="0" w:type="dxa"/>
              <w:right w:w="20" w:type="dxa"/>
            </w:tcMar>
            <w:vAlign w:val="center"/>
            <w:hideMark/>
          </w:tcPr>
          <w:p w:rsidR="00000000" w:rsidRDefault="00B132B6">
            <w:pPr>
              <w:spacing w:after="100"/>
              <w:ind w:hanging="144"/>
              <w:rPr>
                <w:rFonts w:eastAsia="Times New Roman"/>
              </w:rPr>
            </w:pPr>
          </w:p>
        </w:tc>
        <w:tc>
          <w:tcPr>
            <w:tcW w:w="0" w:type="auto"/>
            <w:gridSpan w:val="3"/>
            <w:tcMar>
              <w:top w:w="30" w:type="dxa"/>
              <w:left w:w="20" w:type="dxa"/>
              <w:bottom w:w="30" w:type="dxa"/>
              <w:right w:w="20" w:type="dxa"/>
            </w:tcMar>
            <w:vAlign w:val="bottom"/>
            <w:hideMark/>
          </w:tcPr>
          <w:p w:rsidR="00000000" w:rsidRDefault="00B132B6">
            <w:pPr>
              <w:spacing w:after="100"/>
              <w:rPr>
                <w:rFonts w:eastAsia="Times New Roman"/>
              </w:rPr>
            </w:pPr>
            <w:r>
              <w:rPr>
                <w:rFonts w:eastAsia="Times New Roman"/>
                <w:color w:val="000000"/>
                <w:sz w:val="18"/>
                <w:szCs w:val="18"/>
              </w:rPr>
              <w:t>/s/ Shawna M. Hettinger</w:t>
            </w:r>
          </w:p>
        </w:tc>
      </w:tr>
      <w:tr w:rsidR="00000000">
        <w:trPr>
          <w:divId w:val="395711061"/>
        </w:trPr>
        <w:tc>
          <w:tcPr>
            <w:tcW w:w="0" w:type="auto"/>
            <w:gridSpan w:val="3"/>
            <w:tcMar>
              <w:top w:w="0" w:type="dxa"/>
              <w:left w:w="20" w:type="dxa"/>
              <w:bottom w:w="0" w:type="dxa"/>
              <w:right w:w="20" w:type="dxa"/>
            </w:tcMar>
            <w:vAlign w:val="center"/>
            <w:hideMark/>
          </w:tcPr>
          <w:p w:rsidR="00000000" w:rsidRDefault="00B132B6">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132B6">
            <w:pPr>
              <w:spacing w:after="100"/>
              <w:rPr>
                <w:rFonts w:eastAsia="Times New Roman"/>
                <w:sz w:val="20"/>
                <w:szCs w:val="20"/>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B132B6">
            <w:pPr>
              <w:spacing w:after="100"/>
              <w:rPr>
                <w:rFonts w:eastAsia="Times New Roman"/>
              </w:rPr>
            </w:pPr>
            <w:r>
              <w:rPr>
                <w:rFonts w:eastAsia="Times New Roman"/>
                <w:color w:val="000000"/>
                <w:sz w:val="18"/>
                <w:szCs w:val="18"/>
              </w:rPr>
              <w:t>Shawna M. Hettinger Director</w:t>
            </w:r>
          </w:p>
        </w:tc>
      </w:tr>
    </w:tbl>
    <w:p w:rsidR="00B132B6" w:rsidRDefault="00B132B6">
      <w:pPr>
        <w:jc w:val="center"/>
        <w:divId w:val="1130124183"/>
        <w:rPr>
          <w:rFonts w:eastAsia="Times New Roman"/>
        </w:rPr>
      </w:pPr>
      <w:r>
        <w:rPr>
          <w:rFonts w:eastAsia="Times New Roman"/>
          <w:color w:val="000000"/>
          <w:sz w:val="20"/>
          <w:szCs w:val="20"/>
        </w:rPr>
        <w:t>34</w:t>
      </w:r>
    </w:p>
    <w:sectPr w:rsidR="00B132B6">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132B6"/>
    <w:rsid w:val="00B132B6"/>
  </w:rsids>
  <m:mathPr>
    <m:mathFont m:val="Cambria Math"/>
    <m:brkBin m:val="before"/>
    <m:brkBinSub m:val="--"/>
    <m:smallFrac m:val="0"/>
    <m:dispDef/>
    <m:lMargin m:val="0"/>
    <m:rMargin m:val="0"/>
    <m:defJc m:val="centerGroup"/>
    <m:wrapIndent m:val="1440"/>
    <m:intLim m:val="subSup"/>
    <m:naryLim m:val="undOvr"/>
  </m:mathPr>
  <w:attachedSchema w:val="http://xbrl.org/2006/xbrldi"/>
  <w:attachedSchema w:val="http://www.xbrl.org/2013/inlineXBRL"/>
  <w:attachedSchema w:val="http://www.w3.org/1999/xlink"/>
  <w:attachedSchema w:val="http://fasb.org/srt/2022"/>
  <w:attachedSchema w:val="http://www.xbrl.org/2003/linkbase"/>
  <w:attachedSchema w:val="http://www.sec.gov/inlineXBRL/transformation/2015-08-31"/>
  <w:attachedSchema w:val="http://hawthornbancshares.com/20221231"/>
  <w:attachedSchema w:val="http://www.xbrl.org/2003/instance"/>
  <w:attachedSchema w:val="http://fasb.org/us-gaap/2022"/>
  <w:attachedSchema w:val="http://www.xbrl.org/2003/iso4217"/>
  <w:attachedSchema w:val="http://www.xbrl.org/inlineXBRL/transformation/2020-02-12"/>
  <w:attachedSchema w:val="http://xbrl.sec.gov/dei/2022"/>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8954">
      <w:marLeft w:val="0"/>
      <w:marRight w:val="0"/>
      <w:marTop w:val="240"/>
      <w:marBottom w:val="0"/>
      <w:divBdr>
        <w:top w:val="none" w:sz="0" w:space="0" w:color="auto"/>
        <w:left w:val="none" w:sz="0" w:space="0" w:color="auto"/>
        <w:bottom w:val="none" w:sz="0" w:space="0" w:color="auto"/>
        <w:right w:val="none" w:sz="0" w:space="0" w:color="auto"/>
      </w:divBdr>
    </w:div>
    <w:div w:id="8266377">
      <w:marLeft w:val="0"/>
      <w:marRight w:val="0"/>
      <w:marTop w:val="240"/>
      <w:marBottom w:val="0"/>
      <w:divBdr>
        <w:top w:val="none" w:sz="0" w:space="0" w:color="auto"/>
        <w:left w:val="none" w:sz="0" w:space="0" w:color="auto"/>
        <w:bottom w:val="none" w:sz="0" w:space="0" w:color="auto"/>
        <w:right w:val="none" w:sz="0" w:space="0" w:color="auto"/>
      </w:divBdr>
    </w:div>
    <w:div w:id="31082398">
      <w:marLeft w:val="0"/>
      <w:marRight w:val="0"/>
      <w:marTop w:val="120"/>
      <w:marBottom w:val="0"/>
      <w:divBdr>
        <w:top w:val="none" w:sz="0" w:space="0" w:color="auto"/>
        <w:left w:val="none" w:sz="0" w:space="0" w:color="auto"/>
        <w:bottom w:val="none" w:sz="0" w:space="0" w:color="auto"/>
        <w:right w:val="none" w:sz="0" w:space="0" w:color="auto"/>
      </w:divBdr>
    </w:div>
    <w:div w:id="32506112">
      <w:marLeft w:val="0"/>
      <w:marRight w:val="0"/>
      <w:marTop w:val="120"/>
      <w:marBottom w:val="0"/>
      <w:divBdr>
        <w:top w:val="none" w:sz="0" w:space="0" w:color="auto"/>
        <w:left w:val="none" w:sz="0" w:space="0" w:color="auto"/>
        <w:bottom w:val="none" w:sz="0" w:space="0" w:color="auto"/>
        <w:right w:val="none" w:sz="0" w:space="0" w:color="auto"/>
      </w:divBdr>
    </w:div>
    <w:div w:id="33501092">
      <w:marLeft w:val="0"/>
      <w:marRight w:val="0"/>
      <w:marTop w:val="240"/>
      <w:marBottom w:val="0"/>
      <w:divBdr>
        <w:top w:val="none" w:sz="0" w:space="0" w:color="auto"/>
        <w:left w:val="none" w:sz="0" w:space="0" w:color="auto"/>
        <w:bottom w:val="none" w:sz="0" w:space="0" w:color="auto"/>
        <w:right w:val="none" w:sz="0" w:space="0" w:color="auto"/>
      </w:divBdr>
    </w:div>
    <w:div w:id="33966087">
      <w:marLeft w:val="0"/>
      <w:marRight w:val="0"/>
      <w:marTop w:val="240"/>
      <w:marBottom w:val="240"/>
      <w:divBdr>
        <w:top w:val="none" w:sz="0" w:space="0" w:color="auto"/>
        <w:left w:val="none" w:sz="0" w:space="0" w:color="auto"/>
        <w:bottom w:val="none" w:sz="0" w:space="0" w:color="auto"/>
        <w:right w:val="none" w:sz="0" w:space="0" w:color="auto"/>
      </w:divBdr>
    </w:div>
    <w:div w:id="39089706">
      <w:marLeft w:val="0"/>
      <w:marRight w:val="0"/>
      <w:marTop w:val="240"/>
      <w:marBottom w:val="0"/>
      <w:divBdr>
        <w:top w:val="none" w:sz="0" w:space="0" w:color="auto"/>
        <w:left w:val="none" w:sz="0" w:space="0" w:color="auto"/>
        <w:bottom w:val="none" w:sz="0" w:space="0" w:color="auto"/>
        <w:right w:val="none" w:sz="0" w:space="0" w:color="auto"/>
      </w:divBdr>
    </w:div>
    <w:div w:id="39481219">
      <w:marLeft w:val="0"/>
      <w:marRight w:val="0"/>
      <w:marTop w:val="240"/>
      <w:marBottom w:val="0"/>
      <w:divBdr>
        <w:top w:val="none" w:sz="0" w:space="0" w:color="auto"/>
        <w:left w:val="none" w:sz="0" w:space="0" w:color="auto"/>
        <w:bottom w:val="none" w:sz="0" w:space="0" w:color="auto"/>
        <w:right w:val="none" w:sz="0" w:space="0" w:color="auto"/>
      </w:divBdr>
    </w:div>
    <w:div w:id="40793575">
      <w:marLeft w:val="0"/>
      <w:marRight w:val="0"/>
      <w:marTop w:val="240"/>
      <w:marBottom w:val="0"/>
      <w:divBdr>
        <w:top w:val="none" w:sz="0" w:space="0" w:color="auto"/>
        <w:left w:val="none" w:sz="0" w:space="0" w:color="auto"/>
        <w:bottom w:val="none" w:sz="0" w:space="0" w:color="auto"/>
        <w:right w:val="none" w:sz="0" w:space="0" w:color="auto"/>
      </w:divBdr>
    </w:div>
    <w:div w:id="44529617">
      <w:marLeft w:val="0"/>
      <w:marRight w:val="0"/>
      <w:marTop w:val="120"/>
      <w:marBottom w:val="0"/>
      <w:divBdr>
        <w:top w:val="none" w:sz="0" w:space="0" w:color="auto"/>
        <w:left w:val="none" w:sz="0" w:space="0" w:color="auto"/>
        <w:bottom w:val="none" w:sz="0" w:space="0" w:color="auto"/>
        <w:right w:val="none" w:sz="0" w:space="0" w:color="auto"/>
      </w:divBdr>
    </w:div>
    <w:div w:id="61025356">
      <w:marLeft w:val="0"/>
      <w:marRight w:val="0"/>
      <w:marTop w:val="120"/>
      <w:marBottom w:val="0"/>
      <w:divBdr>
        <w:top w:val="none" w:sz="0" w:space="0" w:color="auto"/>
        <w:left w:val="none" w:sz="0" w:space="0" w:color="auto"/>
        <w:bottom w:val="none" w:sz="0" w:space="0" w:color="auto"/>
        <w:right w:val="none" w:sz="0" w:space="0" w:color="auto"/>
      </w:divBdr>
    </w:div>
    <w:div w:id="65037037">
      <w:marLeft w:val="0"/>
      <w:marRight w:val="0"/>
      <w:marTop w:val="240"/>
      <w:marBottom w:val="0"/>
      <w:divBdr>
        <w:top w:val="none" w:sz="0" w:space="0" w:color="auto"/>
        <w:left w:val="none" w:sz="0" w:space="0" w:color="auto"/>
        <w:bottom w:val="none" w:sz="0" w:space="0" w:color="auto"/>
        <w:right w:val="none" w:sz="0" w:space="0" w:color="auto"/>
      </w:divBdr>
    </w:div>
    <w:div w:id="65416900">
      <w:marLeft w:val="0"/>
      <w:marRight w:val="0"/>
      <w:marTop w:val="120"/>
      <w:marBottom w:val="0"/>
      <w:divBdr>
        <w:top w:val="none" w:sz="0" w:space="0" w:color="auto"/>
        <w:left w:val="none" w:sz="0" w:space="0" w:color="auto"/>
        <w:bottom w:val="none" w:sz="0" w:space="0" w:color="auto"/>
        <w:right w:val="none" w:sz="0" w:space="0" w:color="auto"/>
      </w:divBdr>
    </w:div>
    <w:div w:id="70008221">
      <w:marLeft w:val="0"/>
      <w:marRight w:val="0"/>
      <w:marTop w:val="120"/>
      <w:marBottom w:val="0"/>
      <w:divBdr>
        <w:top w:val="none" w:sz="0" w:space="0" w:color="auto"/>
        <w:left w:val="none" w:sz="0" w:space="0" w:color="auto"/>
        <w:bottom w:val="none" w:sz="0" w:space="0" w:color="auto"/>
        <w:right w:val="none" w:sz="0" w:space="0" w:color="auto"/>
      </w:divBdr>
    </w:div>
    <w:div w:id="87652834">
      <w:marLeft w:val="0"/>
      <w:marRight w:val="0"/>
      <w:marTop w:val="0"/>
      <w:marBottom w:val="0"/>
      <w:divBdr>
        <w:top w:val="none" w:sz="0" w:space="0" w:color="auto"/>
        <w:left w:val="none" w:sz="0" w:space="0" w:color="auto"/>
        <w:bottom w:val="none" w:sz="0" w:space="0" w:color="auto"/>
        <w:right w:val="none" w:sz="0" w:space="0" w:color="auto"/>
      </w:divBdr>
      <w:divsChild>
        <w:div w:id="1061755399">
          <w:marLeft w:val="0"/>
          <w:marRight w:val="0"/>
          <w:marTop w:val="240"/>
          <w:marBottom w:val="0"/>
          <w:divBdr>
            <w:top w:val="none" w:sz="0" w:space="0" w:color="auto"/>
            <w:left w:val="none" w:sz="0" w:space="0" w:color="auto"/>
            <w:bottom w:val="none" w:sz="0" w:space="0" w:color="auto"/>
            <w:right w:val="none" w:sz="0" w:space="0" w:color="auto"/>
          </w:divBdr>
        </w:div>
      </w:divsChild>
    </w:div>
    <w:div w:id="117989682">
      <w:marLeft w:val="0"/>
      <w:marRight w:val="0"/>
      <w:marTop w:val="240"/>
      <w:marBottom w:val="0"/>
      <w:divBdr>
        <w:top w:val="none" w:sz="0" w:space="0" w:color="auto"/>
        <w:left w:val="none" w:sz="0" w:space="0" w:color="auto"/>
        <w:bottom w:val="none" w:sz="0" w:space="0" w:color="auto"/>
        <w:right w:val="none" w:sz="0" w:space="0" w:color="auto"/>
      </w:divBdr>
    </w:div>
    <w:div w:id="121576950">
      <w:marLeft w:val="0"/>
      <w:marRight w:val="0"/>
      <w:marTop w:val="240"/>
      <w:marBottom w:val="0"/>
      <w:divBdr>
        <w:top w:val="none" w:sz="0" w:space="0" w:color="auto"/>
        <w:left w:val="none" w:sz="0" w:space="0" w:color="auto"/>
        <w:bottom w:val="none" w:sz="0" w:space="0" w:color="auto"/>
        <w:right w:val="none" w:sz="0" w:space="0" w:color="auto"/>
      </w:divBdr>
    </w:div>
    <w:div w:id="137764697">
      <w:marLeft w:val="0"/>
      <w:marRight w:val="0"/>
      <w:marTop w:val="120"/>
      <w:marBottom w:val="0"/>
      <w:divBdr>
        <w:top w:val="none" w:sz="0" w:space="0" w:color="auto"/>
        <w:left w:val="none" w:sz="0" w:space="0" w:color="auto"/>
        <w:bottom w:val="none" w:sz="0" w:space="0" w:color="auto"/>
        <w:right w:val="none" w:sz="0" w:space="0" w:color="auto"/>
      </w:divBdr>
    </w:div>
    <w:div w:id="138301977">
      <w:marLeft w:val="0"/>
      <w:marRight w:val="0"/>
      <w:marTop w:val="0"/>
      <w:marBottom w:val="0"/>
      <w:divBdr>
        <w:top w:val="none" w:sz="0" w:space="0" w:color="auto"/>
        <w:left w:val="none" w:sz="0" w:space="0" w:color="auto"/>
        <w:bottom w:val="none" w:sz="0" w:space="0" w:color="auto"/>
        <w:right w:val="none" w:sz="0" w:space="0" w:color="auto"/>
      </w:divBdr>
      <w:divsChild>
        <w:div w:id="1321808850">
          <w:marLeft w:val="0"/>
          <w:marRight w:val="0"/>
          <w:marTop w:val="240"/>
          <w:marBottom w:val="0"/>
          <w:divBdr>
            <w:top w:val="none" w:sz="0" w:space="0" w:color="auto"/>
            <w:left w:val="none" w:sz="0" w:space="0" w:color="auto"/>
            <w:bottom w:val="none" w:sz="0" w:space="0" w:color="auto"/>
            <w:right w:val="none" w:sz="0" w:space="0" w:color="auto"/>
          </w:divBdr>
        </w:div>
      </w:divsChild>
    </w:div>
    <w:div w:id="143280441">
      <w:marLeft w:val="0"/>
      <w:marRight w:val="0"/>
      <w:marTop w:val="0"/>
      <w:marBottom w:val="0"/>
      <w:divBdr>
        <w:top w:val="none" w:sz="0" w:space="0" w:color="auto"/>
        <w:left w:val="none" w:sz="0" w:space="0" w:color="auto"/>
        <w:bottom w:val="none" w:sz="0" w:space="0" w:color="auto"/>
        <w:right w:val="none" w:sz="0" w:space="0" w:color="auto"/>
      </w:divBdr>
      <w:divsChild>
        <w:div w:id="1917546951">
          <w:marLeft w:val="0"/>
          <w:marRight w:val="0"/>
          <w:marTop w:val="0"/>
          <w:marBottom w:val="0"/>
          <w:divBdr>
            <w:top w:val="none" w:sz="0" w:space="0" w:color="auto"/>
            <w:left w:val="none" w:sz="0" w:space="0" w:color="auto"/>
            <w:bottom w:val="none" w:sz="0" w:space="0" w:color="auto"/>
            <w:right w:val="none" w:sz="0" w:space="0" w:color="auto"/>
          </w:divBdr>
        </w:div>
      </w:divsChild>
    </w:div>
    <w:div w:id="143670375">
      <w:marLeft w:val="0"/>
      <w:marRight w:val="0"/>
      <w:marTop w:val="240"/>
      <w:marBottom w:val="0"/>
      <w:divBdr>
        <w:top w:val="none" w:sz="0" w:space="0" w:color="auto"/>
        <w:left w:val="none" w:sz="0" w:space="0" w:color="auto"/>
        <w:bottom w:val="none" w:sz="0" w:space="0" w:color="auto"/>
        <w:right w:val="none" w:sz="0" w:space="0" w:color="auto"/>
      </w:divBdr>
    </w:div>
    <w:div w:id="146212536">
      <w:marLeft w:val="0"/>
      <w:marRight w:val="0"/>
      <w:marTop w:val="240"/>
      <w:marBottom w:val="0"/>
      <w:divBdr>
        <w:top w:val="none" w:sz="0" w:space="0" w:color="auto"/>
        <w:left w:val="none" w:sz="0" w:space="0" w:color="auto"/>
        <w:bottom w:val="none" w:sz="0" w:space="0" w:color="auto"/>
        <w:right w:val="none" w:sz="0" w:space="0" w:color="auto"/>
      </w:divBdr>
    </w:div>
    <w:div w:id="162550112">
      <w:marLeft w:val="0"/>
      <w:marRight w:val="0"/>
      <w:marTop w:val="120"/>
      <w:marBottom w:val="0"/>
      <w:divBdr>
        <w:top w:val="none" w:sz="0" w:space="0" w:color="auto"/>
        <w:left w:val="none" w:sz="0" w:space="0" w:color="auto"/>
        <w:bottom w:val="none" w:sz="0" w:space="0" w:color="auto"/>
        <w:right w:val="none" w:sz="0" w:space="0" w:color="auto"/>
      </w:divBdr>
    </w:div>
    <w:div w:id="165941400">
      <w:marLeft w:val="0"/>
      <w:marRight w:val="0"/>
      <w:marTop w:val="0"/>
      <w:marBottom w:val="0"/>
      <w:divBdr>
        <w:top w:val="none" w:sz="0" w:space="0" w:color="auto"/>
        <w:left w:val="none" w:sz="0" w:space="0" w:color="auto"/>
        <w:bottom w:val="none" w:sz="0" w:space="0" w:color="auto"/>
        <w:right w:val="none" w:sz="0" w:space="0" w:color="auto"/>
      </w:divBdr>
      <w:divsChild>
        <w:div w:id="1821381116">
          <w:marLeft w:val="0"/>
          <w:marRight w:val="0"/>
          <w:marTop w:val="0"/>
          <w:marBottom w:val="0"/>
          <w:divBdr>
            <w:top w:val="none" w:sz="0" w:space="0" w:color="auto"/>
            <w:left w:val="none" w:sz="0" w:space="0" w:color="auto"/>
            <w:bottom w:val="none" w:sz="0" w:space="0" w:color="auto"/>
            <w:right w:val="none" w:sz="0" w:space="0" w:color="auto"/>
          </w:divBdr>
        </w:div>
      </w:divsChild>
    </w:div>
    <w:div w:id="170074821">
      <w:marLeft w:val="0"/>
      <w:marRight w:val="0"/>
      <w:marTop w:val="240"/>
      <w:marBottom w:val="0"/>
      <w:divBdr>
        <w:top w:val="none" w:sz="0" w:space="0" w:color="auto"/>
        <w:left w:val="none" w:sz="0" w:space="0" w:color="auto"/>
        <w:bottom w:val="none" w:sz="0" w:space="0" w:color="auto"/>
        <w:right w:val="none" w:sz="0" w:space="0" w:color="auto"/>
      </w:divBdr>
    </w:div>
    <w:div w:id="176967277">
      <w:marLeft w:val="0"/>
      <w:marRight w:val="0"/>
      <w:marTop w:val="240"/>
      <w:marBottom w:val="0"/>
      <w:divBdr>
        <w:top w:val="none" w:sz="0" w:space="0" w:color="auto"/>
        <w:left w:val="none" w:sz="0" w:space="0" w:color="auto"/>
        <w:bottom w:val="none" w:sz="0" w:space="0" w:color="auto"/>
        <w:right w:val="none" w:sz="0" w:space="0" w:color="auto"/>
      </w:divBdr>
    </w:div>
    <w:div w:id="179903871">
      <w:marLeft w:val="0"/>
      <w:marRight w:val="0"/>
      <w:marTop w:val="0"/>
      <w:marBottom w:val="0"/>
      <w:divBdr>
        <w:top w:val="none" w:sz="0" w:space="0" w:color="auto"/>
        <w:left w:val="none" w:sz="0" w:space="0" w:color="auto"/>
        <w:bottom w:val="none" w:sz="0" w:space="0" w:color="auto"/>
        <w:right w:val="none" w:sz="0" w:space="0" w:color="auto"/>
      </w:divBdr>
      <w:divsChild>
        <w:div w:id="118643525">
          <w:marLeft w:val="0"/>
          <w:marRight w:val="0"/>
          <w:marTop w:val="240"/>
          <w:marBottom w:val="0"/>
          <w:divBdr>
            <w:top w:val="none" w:sz="0" w:space="0" w:color="auto"/>
            <w:left w:val="none" w:sz="0" w:space="0" w:color="auto"/>
            <w:bottom w:val="none" w:sz="0" w:space="0" w:color="auto"/>
            <w:right w:val="none" w:sz="0" w:space="0" w:color="auto"/>
          </w:divBdr>
        </w:div>
      </w:divsChild>
    </w:div>
    <w:div w:id="184292781">
      <w:marLeft w:val="0"/>
      <w:marRight w:val="0"/>
      <w:marTop w:val="240"/>
      <w:marBottom w:val="0"/>
      <w:divBdr>
        <w:top w:val="none" w:sz="0" w:space="0" w:color="auto"/>
        <w:left w:val="none" w:sz="0" w:space="0" w:color="auto"/>
        <w:bottom w:val="none" w:sz="0" w:space="0" w:color="auto"/>
        <w:right w:val="none" w:sz="0" w:space="0" w:color="auto"/>
      </w:divBdr>
    </w:div>
    <w:div w:id="185949431">
      <w:marLeft w:val="0"/>
      <w:marRight w:val="0"/>
      <w:marTop w:val="0"/>
      <w:marBottom w:val="0"/>
      <w:divBdr>
        <w:top w:val="none" w:sz="0" w:space="0" w:color="auto"/>
        <w:left w:val="none" w:sz="0" w:space="0" w:color="auto"/>
        <w:bottom w:val="none" w:sz="0" w:space="0" w:color="auto"/>
        <w:right w:val="none" w:sz="0" w:space="0" w:color="auto"/>
      </w:divBdr>
      <w:divsChild>
        <w:div w:id="1881355018">
          <w:marLeft w:val="0"/>
          <w:marRight w:val="0"/>
          <w:marTop w:val="0"/>
          <w:marBottom w:val="0"/>
          <w:divBdr>
            <w:top w:val="none" w:sz="0" w:space="0" w:color="auto"/>
            <w:left w:val="none" w:sz="0" w:space="0" w:color="auto"/>
            <w:bottom w:val="none" w:sz="0" w:space="0" w:color="auto"/>
            <w:right w:val="none" w:sz="0" w:space="0" w:color="auto"/>
          </w:divBdr>
        </w:div>
      </w:divsChild>
    </w:div>
    <w:div w:id="190267421">
      <w:marLeft w:val="0"/>
      <w:marRight w:val="0"/>
      <w:marTop w:val="240"/>
      <w:marBottom w:val="0"/>
      <w:divBdr>
        <w:top w:val="none" w:sz="0" w:space="0" w:color="auto"/>
        <w:left w:val="none" w:sz="0" w:space="0" w:color="auto"/>
        <w:bottom w:val="none" w:sz="0" w:space="0" w:color="auto"/>
        <w:right w:val="none" w:sz="0" w:space="0" w:color="auto"/>
      </w:divBdr>
    </w:div>
    <w:div w:id="192500997">
      <w:marLeft w:val="0"/>
      <w:marRight w:val="0"/>
      <w:marTop w:val="240"/>
      <w:marBottom w:val="0"/>
      <w:divBdr>
        <w:top w:val="none" w:sz="0" w:space="0" w:color="auto"/>
        <w:left w:val="none" w:sz="0" w:space="0" w:color="auto"/>
        <w:bottom w:val="none" w:sz="0" w:space="0" w:color="auto"/>
        <w:right w:val="none" w:sz="0" w:space="0" w:color="auto"/>
      </w:divBdr>
    </w:div>
    <w:div w:id="192883062">
      <w:marLeft w:val="0"/>
      <w:marRight w:val="0"/>
      <w:marTop w:val="240"/>
      <w:marBottom w:val="0"/>
      <w:divBdr>
        <w:top w:val="none" w:sz="0" w:space="0" w:color="auto"/>
        <w:left w:val="none" w:sz="0" w:space="0" w:color="auto"/>
        <w:bottom w:val="none" w:sz="0" w:space="0" w:color="auto"/>
        <w:right w:val="none" w:sz="0" w:space="0" w:color="auto"/>
      </w:divBdr>
    </w:div>
    <w:div w:id="193467824">
      <w:marLeft w:val="0"/>
      <w:marRight w:val="0"/>
      <w:marTop w:val="0"/>
      <w:marBottom w:val="0"/>
      <w:divBdr>
        <w:top w:val="none" w:sz="0" w:space="0" w:color="auto"/>
        <w:left w:val="none" w:sz="0" w:space="0" w:color="auto"/>
        <w:bottom w:val="none" w:sz="0" w:space="0" w:color="auto"/>
        <w:right w:val="none" w:sz="0" w:space="0" w:color="auto"/>
      </w:divBdr>
      <w:divsChild>
        <w:div w:id="1485924613">
          <w:marLeft w:val="0"/>
          <w:marRight w:val="0"/>
          <w:marTop w:val="240"/>
          <w:marBottom w:val="0"/>
          <w:divBdr>
            <w:top w:val="none" w:sz="0" w:space="0" w:color="auto"/>
            <w:left w:val="none" w:sz="0" w:space="0" w:color="auto"/>
            <w:bottom w:val="none" w:sz="0" w:space="0" w:color="auto"/>
            <w:right w:val="none" w:sz="0" w:space="0" w:color="auto"/>
          </w:divBdr>
        </w:div>
      </w:divsChild>
    </w:div>
    <w:div w:id="193887142">
      <w:marLeft w:val="0"/>
      <w:marRight w:val="0"/>
      <w:marTop w:val="120"/>
      <w:marBottom w:val="0"/>
      <w:divBdr>
        <w:top w:val="none" w:sz="0" w:space="0" w:color="auto"/>
        <w:left w:val="none" w:sz="0" w:space="0" w:color="auto"/>
        <w:bottom w:val="none" w:sz="0" w:space="0" w:color="auto"/>
        <w:right w:val="none" w:sz="0" w:space="0" w:color="auto"/>
      </w:divBdr>
    </w:div>
    <w:div w:id="193924928">
      <w:marLeft w:val="0"/>
      <w:marRight w:val="0"/>
      <w:marTop w:val="240"/>
      <w:marBottom w:val="0"/>
      <w:divBdr>
        <w:top w:val="none" w:sz="0" w:space="0" w:color="auto"/>
        <w:left w:val="none" w:sz="0" w:space="0" w:color="auto"/>
        <w:bottom w:val="none" w:sz="0" w:space="0" w:color="auto"/>
        <w:right w:val="none" w:sz="0" w:space="0" w:color="auto"/>
      </w:divBdr>
    </w:div>
    <w:div w:id="203912104">
      <w:marLeft w:val="0"/>
      <w:marRight w:val="0"/>
      <w:marTop w:val="240"/>
      <w:marBottom w:val="0"/>
      <w:divBdr>
        <w:top w:val="none" w:sz="0" w:space="0" w:color="auto"/>
        <w:left w:val="none" w:sz="0" w:space="0" w:color="auto"/>
        <w:bottom w:val="none" w:sz="0" w:space="0" w:color="auto"/>
        <w:right w:val="none" w:sz="0" w:space="0" w:color="auto"/>
      </w:divBdr>
    </w:div>
    <w:div w:id="208881732">
      <w:marLeft w:val="0"/>
      <w:marRight w:val="0"/>
      <w:marTop w:val="240"/>
      <w:marBottom w:val="0"/>
      <w:divBdr>
        <w:top w:val="none" w:sz="0" w:space="0" w:color="auto"/>
        <w:left w:val="none" w:sz="0" w:space="0" w:color="auto"/>
        <w:bottom w:val="none" w:sz="0" w:space="0" w:color="auto"/>
        <w:right w:val="none" w:sz="0" w:space="0" w:color="auto"/>
      </w:divBdr>
    </w:div>
    <w:div w:id="219286981">
      <w:marLeft w:val="0"/>
      <w:marRight w:val="0"/>
      <w:marTop w:val="0"/>
      <w:marBottom w:val="0"/>
      <w:divBdr>
        <w:top w:val="none" w:sz="0" w:space="0" w:color="auto"/>
        <w:left w:val="none" w:sz="0" w:space="0" w:color="auto"/>
        <w:bottom w:val="none" w:sz="0" w:space="0" w:color="auto"/>
        <w:right w:val="none" w:sz="0" w:space="0" w:color="auto"/>
      </w:divBdr>
      <w:divsChild>
        <w:div w:id="1252735447">
          <w:marLeft w:val="0"/>
          <w:marRight w:val="0"/>
          <w:marTop w:val="240"/>
          <w:marBottom w:val="0"/>
          <w:divBdr>
            <w:top w:val="none" w:sz="0" w:space="0" w:color="auto"/>
            <w:left w:val="none" w:sz="0" w:space="0" w:color="auto"/>
            <w:bottom w:val="none" w:sz="0" w:space="0" w:color="auto"/>
            <w:right w:val="none" w:sz="0" w:space="0" w:color="auto"/>
          </w:divBdr>
        </w:div>
      </w:divsChild>
    </w:div>
    <w:div w:id="226843349">
      <w:marLeft w:val="0"/>
      <w:marRight w:val="0"/>
      <w:marTop w:val="240"/>
      <w:marBottom w:val="0"/>
      <w:divBdr>
        <w:top w:val="none" w:sz="0" w:space="0" w:color="auto"/>
        <w:left w:val="none" w:sz="0" w:space="0" w:color="auto"/>
        <w:bottom w:val="none" w:sz="0" w:space="0" w:color="auto"/>
        <w:right w:val="none" w:sz="0" w:space="0" w:color="auto"/>
      </w:divBdr>
    </w:div>
    <w:div w:id="227301744">
      <w:marLeft w:val="0"/>
      <w:marRight w:val="0"/>
      <w:marTop w:val="240"/>
      <w:marBottom w:val="0"/>
      <w:divBdr>
        <w:top w:val="none" w:sz="0" w:space="0" w:color="auto"/>
        <w:left w:val="none" w:sz="0" w:space="0" w:color="auto"/>
        <w:bottom w:val="none" w:sz="0" w:space="0" w:color="auto"/>
        <w:right w:val="none" w:sz="0" w:space="0" w:color="auto"/>
      </w:divBdr>
    </w:div>
    <w:div w:id="227501953">
      <w:marLeft w:val="0"/>
      <w:marRight w:val="0"/>
      <w:marTop w:val="240"/>
      <w:marBottom w:val="0"/>
      <w:divBdr>
        <w:top w:val="none" w:sz="0" w:space="0" w:color="auto"/>
        <w:left w:val="none" w:sz="0" w:space="0" w:color="auto"/>
        <w:bottom w:val="none" w:sz="0" w:space="0" w:color="auto"/>
        <w:right w:val="none" w:sz="0" w:space="0" w:color="auto"/>
      </w:divBdr>
    </w:div>
    <w:div w:id="233203728">
      <w:marLeft w:val="0"/>
      <w:marRight w:val="0"/>
      <w:marTop w:val="240"/>
      <w:marBottom w:val="0"/>
      <w:divBdr>
        <w:top w:val="none" w:sz="0" w:space="0" w:color="auto"/>
        <w:left w:val="none" w:sz="0" w:space="0" w:color="auto"/>
        <w:bottom w:val="none" w:sz="0" w:space="0" w:color="auto"/>
        <w:right w:val="none" w:sz="0" w:space="0" w:color="auto"/>
      </w:divBdr>
    </w:div>
    <w:div w:id="234629676">
      <w:marLeft w:val="0"/>
      <w:marRight w:val="0"/>
      <w:marTop w:val="0"/>
      <w:marBottom w:val="0"/>
      <w:divBdr>
        <w:top w:val="none" w:sz="0" w:space="0" w:color="auto"/>
        <w:left w:val="none" w:sz="0" w:space="0" w:color="auto"/>
        <w:bottom w:val="none" w:sz="0" w:space="0" w:color="auto"/>
        <w:right w:val="none" w:sz="0" w:space="0" w:color="auto"/>
      </w:divBdr>
    </w:div>
    <w:div w:id="236940125">
      <w:marLeft w:val="0"/>
      <w:marRight w:val="0"/>
      <w:marTop w:val="120"/>
      <w:marBottom w:val="0"/>
      <w:divBdr>
        <w:top w:val="none" w:sz="0" w:space="0" w:color="auto"/>
        <w:left w:val="none" w:sz="0" w:space="0" w:color="auto"/>
        <w:bottom w:val="none" w:sz="0" w:space="0" w:color="auto"/>
        <w:right w:val="none" w:sz="0" w:space="0" w:color="auto"/>
      </w:divBdr>
    </w:div>
    <w:div w:id="248198323">
      <w:marLeft w:val="0"/>
      <w:marRight w:val="0"/>
      <w:marTop w:val="240"/>
      <w:marBottom w:val="0"/>
      <w:divBdr>
        <w:top w:val="none" w:sz="0" w:space="0" w:color="auto"/>
        <w:left w:val="none" w:sz="0" w:space="0" w:color="auto"/>
        <w:bottom w:val="none" w:sz="0" w:space="0" w:color="auto"/>
        <w:right w:val="none" w:sz="0" w:space="0" w:color="auto"/>
      </w:divBdr>
    </w:div>
    <w:div w:id="250164052">
      <w:marLeft w:val="0"/>
      <w:marRight w:val="0"/>
      <w:marTop w:val="120"/>
      <w:marBottom w:val="0"/>
      <w:divBdr>
        <w:top w:val="none" w:sz="0" w:space="0" w:color="auto"/>
        <w:left w:val="none" w:sz="0" w:space="0" w:color="auto"/>
        <w:bottom w:val="none" w:sz="0" w:space="0" w:color="auto"/>
        <w:right w:val="none" w:sz="0" w:space="0" w:color="auto"/>
      </w:divBdr>
    </w:div>
    <w:div w:id="252208708">
      <w:marLeft w:val="0"/>
      <w:marRight w:val="0"/>
      <w:marTop w:val="0"/>
      <w:marBottom w:val="0"/>
      <w:divBdr>
        <w:top w:val="none" w:sz="0" w:space="0" w:color="auto"/>
        <w:left w:val="none" w:sz="0" w:space="0" w:color="auto"/>
        <w:bottom w:val="none" w:sz="0" w:space="0" w:color="auto"/>
        <w:right w:val="none" w:sz="0" w:space="0" w:color="auto"/>
      </w:divBdr>
    </w:div>
    <w:div w:id="253560418">
      <w:marLeft w:val="0"/>
      <w:marRight w:val="0"/>
      <w:marTop w:val="120"/>
      <w:marBottom w:val="0"/>
      <w:divBdr>
        <w:top w:val="none" w:sz="0" w:space="0" w:color="auto"/>
        <w:left w:val="none" w:sz="0" w:space="0" w:color="auto"/>
        <w:bottom w:val="none" w:sz="0" w:space="0" w:color="auto"/>
        <w:right w:val="none" w:sz="0" w:space="0" w:color="auto"/>
      </w:divBdr>
    </w:div>
    <w:div w:id="257106984">
      <w:marLeft w:val="0"/>
      <w:marRight w:val="0"/>
      <w:marTop w:val="240"/>
      <w:marBottom w:val="0"/>
      <w:divBdr>
        <w:top w:val="none" w:sz="0" w:space="0" w:color="auto"/>
        <w:left w:val="none" w:sz="0" w:space="0" w:color="auto"/>
        <w:bottom w:val="none" w:sz="0" w:space="0" w:color="auto"/>
        <w:right w:val="none" w:sz="0" w:space="0" w:color="auto"/>
      </w:divBdr>
    </w:div>
    <w:div w:id="261108327">
      <w:marLeft w:val="0"/>
      <w:marRight w:val="0"/>
      <w:marTop w:val="120"/>
      <w:marBottom w:val="0"/>
      <w:divBdr>
        <w:top w:val="none" w:sz="0" w:space="0" w:color="auto"/>
        <w:left w:val="none" w:sz="0" w:space="0" w:color="auto"/>
        <w:bottom w:val="none" w:sz="0" w:space="0" w:color="auto"/>
        <w:right w:val="none" w:sz="0" w:space="0" w:color="auto"/>
      </w:divBdr>
    </w:div>
    <w:div w:id="266163298">
      <w:marLeft w:val="0"/>
      <w:marRight w:val="0"/>
      <w:marTop w:val="0"/>
      <w:marBottom w:val="0"/>
      <w:divBdr>
        <w:top w:val="none" w:sz="0" w:space="0" w:color="auto"/>
        <w:left w:val="none" w:sz="0" w:space="0" w:color="auto"/>
        <w:bottom w:val="none" w:sz="0" w:space="0" w:color="auto"/>
        <w:right w:val="none" w:sz="0" w:space="0" w:color="auto"/>
      </w:divBdr>
    </w:div>
    <w:div w:id="276564639">
      <w:marLeft w:val="0"/>
      <w:marRight w:val="0"/>
      <w:marTop w:val="240"/>
      <w:marBottom w:val="0"/>
      <w:divBdr>
        <w:top w:val="none" w:sz="0" w:space="0" w:color="auto"/>
        <w:left w:val="none" w:sz="0" w:space="0" w:color="auto"/>
        <w:bottom w:val="none" w:sz="0" w:space="0" w:color="auto"/>
        <w:right w:val="none" w:sz="0" w:space="0" w:color="auto"/>
      </w:divBdr>
    </w:div>
    <w:div w:id="280115553">
      <w:marLeft w:val="0"/>
      <w:marRight w:val="0"/>
      <w:marTop w:val="0"/>
      <w:marBottom w:val="0"/>
      <w:divBdr>
        <w:top w:val="none" w:sz="0" w:space="0" w:color="auto"/>
        <w:left w:val="none" w:sz="0" w:space="0" w:color="auto"/>
        <w:bottom w:val="none" w:sz="0" w:space="0" w:color="auto"/>
        <w:right w:val="none" w:sz="0" w:space="0" w:color="auto"/>
      </w:divBdr>
      <w:divsChild>
        <w:div w:id="1398623701">
          <w:marLeft w:val="0"/>
          <w:marRight w:val="0"/>
          <w:marTop w:val="240"/>
          <w:marBottom w:val="0"/>
          <w:divBdr>
            <w:top w:val="none" w:sz="0" w:space="0" w:color="auto"/>
            <w:left w:val="none" w:sz="0" w:space="0" w:color="auto"/>
            <w:bottom w:val="none" w:sz="0" w:space="0" w:color="auto"/>
            <w:right w:val="none" w:sz="0" w:space="0" w:color="auto"/>
          </w:divBdr>
        </w:div>
      </w:divsChild>
    </w:div>
    <w:div w:id="283654854">
      <w:marLeft w:val="0"/>
      <w:marRight w:val="0"/>
      <w:marTop w:val="120"/>
      <w:marBottom w:val="0"/>
      <w:divBdr>
        <w:top w:val="none" w:sz="0" w:space="0" w:color="auto"/>
        <w:left w:val="none" w:sz="0" w:space="0" w:color="auto"/>
        <w:bottom w:val="none" w:sz="0" w:space="0" w:color="auto"/>
        <w:right w:val="none" w:sz="0" w:space="0" w:color="auto"/>
      </w:divBdr>
    </w:div>
    <w:div w:id="287400539">
      <w:marLeft w:val="0"/>
      <w:marRight w:val="0"/>
      <w:marTop w:val="240"/>
      <w:marBottom w:val="0"/>
      <w:divBdr>
        <w:top w:val="none" w:sz="0" w:space="0" w:color="auto"/>
        <w:left w:val="none" w:sz="0" w:space="0" w:color="auto"/>
        <w:bottom w:val="none" w:sz="0" w:space="0" w:color="auto"/>
        <w:right w:val="none" w:sz="0" w:space="0" w:color="auto"/>
      </w:divBdr>
    </w:div>
    <w:div w:id="297957010">
      <w:marLeft w:val="0"/>
      <w:marRight w:val="0"/>
      <w:marTop w:val="240"/>
      <w:marBottom w:val="0"/>
      <w:divBdr>
        <w:top w:val="none" w:sz="0" w:space="0" w:color="auto"/>
        <w:left w:val="none" w:sz="0" w:space="0" w:color="auto"/>
        <w:bottom w:val="none" w:sz="0" w:space="0" w:color="auto"/>
        <w:right w:val="none" w:sz="0" w:space="0" w:color="auto"/>
      </w:divBdr>
    </w:div>
    <w:div w:id="299455426">
      <w:marLeft w:val="0"/>
      <w:marRight w:val="0"/>
      <w:marTop w:val="240"/>
      <w:marBottom w:val="0"/>
      <w:divBdr>
        <w:top w:val="none" w:sz="0" w:space="0" w:color="auto"/>
        <w:left w:val="none" w:sz="0" w:space="0" w:color="auto"/>
        <w:bottom w:val="none" w:sz="0" w:space="0" w:color="auto"/>
        <w:right w:val="none" w:sz="0" w:space="0" w:color="auto"/>
      </w:divBdr>
    </w:div>
    <w:div w:id="301421525">
      <w:marLeft w:val="0"/>
      <w:marRight w:val="0"/>
      <w:marTop w:val="0"/>
      <w:marBottom w:val="0"/>
      <w:divBdr>
        <w:top w:val="none" w:sz="0" w:space="0" w:color="auto"/>
        <w:left w:val="none" w:sz="0" w:space="0" w:color="auto"/>
        <w:bottom w:val="none" w:sz="0" w:space="0" w:color="auto"/>
        <w:right w:val="none" w:sz="0" w:space="0" w:color="auto"/>
      </w:divBdr>
      <w:divsChild>
        <w:div w:id="1805392161">
          <w:marLeft w:val="0"/>
          <w:marRight w:val="0"/>
          <w:marTop w:val="0"/>
          <w:marBottom w:val="0"/>
          <w:divBdr>
            <w:top w:val="none" w:sz="0" w:space="0" w:color="auto"/>
            <w:left w:val="none" w:sz="0" w:space="0" w:color="auto"/>
            <w:bottom w:val="none" w:sz="0" w:space="0" w:color="auto"/>
            <w:right w:val="none" w:sz="0" w:space="0" w:color="auto"/>
          </w:divBdr>
        </w:div>
      </w:divsChild>
    </w:div>
    <w:div w:id="301928544">
      <w:marLeft w:val="0"/>
      <w:marRight w:val="0"/>
      <w:marTop w:val="0"/>
      <w:marBottom w:val="0"/>
      <w:divBdr>
        <w:top w:val="none" w:sz="0" w:space="0" w:color="auto"/>
        <w:left w:val="none" w:sz="0" w:space="0" w:color="auto"/>
        <w:bottom w:val="none" w:sz="0" w:space="0" w:color="auto"/>
        <w:right w:val="none" w:sz="0" w:space="0" w:color="auto"/>
      </w:divBdr>
      <w:divsChild>
        <w:div w:id="479151793">
          <w:marLeft w:val="0"/>
          <w:marRight w:val="0"/>
          <w:marTop w:val="240"/>
          <w:marBottom w:val="0"/>
          <w:divBdr>
            <w:top w:val="none" w:sz="0" w:space="0" w:color="auto"/>
            <w:left w:val="none" w:sz="0" w:space="0" w:color="auto"/>
            <w:bottom w:val="none" w:sz="0" w:space="0" w:color="auto"/>
            <w:right w:val="none" w:sz="0" w:space="0" w:color="auto"/>
          </w:divBdr>
        </w:div>
      </w:divsChild>
    </w:div>
    <w:div w:id="305472188">
      <w:marLeft w:val="0"/>
      <w:marRight w:val="0"/>
      <w:marTop w:val="240"/>
      <w:marBottom w:val="0"/>
      <w:divBdr>
        <w:top w:val="none" w:sz="0" w:space="0" w:color="auto"/>
        <w:left w:val="none" w:sz="0" w:space="0" w:color="auto"/>
        <w:bottom w:val="none" w:sz="0" w:space="0" w:color="auto"/>
        <w:right w:val="none" w:sz="0" w:space="0" w:color="auto"/>
      </w:divBdr>
      <w:divsChild>
        <w:div w:id="384261996">
          <w:marLeft w:val="0"/>
          <w:marRight w:val="0"/>
          <w:marTop w:val="0"/>
          <w:marBottom w:val="0"/>
          <w:divBdr>
            <w:top w:val="none" w:sz="0" w:space="0" w:color="auto"/>
            <w:left w:val="none" w:sz="0" w:space="0" w:color="auto"/>
            <w:bottom w:val="none" w:sz="0" w:space="0" w:color="auto"/>
            <w:right w:val="none" w:sz="0" w:space="0" w:color="auto"/>
          </w:divBdr>
        </w:div>
        <w:div w:id="1654021984">
          <w:marLeft w:val="0"/>
          <w:marRight w:val="0"/>
          <w:marTop w:val="0"/>
          <w:marBottom w:val="0"/>
          <w:divBdr>
            <w:top w:val="none" w:sz="0" w:space="0" w:color="auto"/>
            <w:left w:val="none" w:sz="0" w:space="0" w:color="auto"/>
            <w:bottom w:val="none" w:sz="0" w:space="0" w:color="auto"/>
            <w:right w:val="none" w:sz="0" w:space="0" w:color="auto"/>
          </w:divBdr>
        </w:div>
        <w:div w:id="165748082">
          <w:marLeft w:val="0"/>
          <w:marRight w:val="0"/>
          <w:marTop w:val="0"/>
          <w:marBottom w:val="0"/>
          <w:divBdr>
            <w:top w:val="none" w:sz="0" w:space="0" w:color="auto"/>
            <w:left w:val="none" w:sz="0" w:space="0" w:color="auto"/>
            <w:bottom w:val="none" w:sz="0" w:space="0" w:color="auto"/>
            <w:right w:val="none" w:sz="0" w:space="0" w:color="auto"/>
          </w:divBdr>
        </w:div>
        <w:div w:id="804548746">
          <w:marLeft w:val="0"/>
          <w:marRight w:val="0"/>
          <w:marTop w:val="0"/>
          <w:marBottom w:val="0"/>
          <w:divBdr>
            <w:top w:val="none" w:sz="0" w:space="0" w:color="auto"/>
            <w:left w:val="none" w:sz="0" w:space="0" w:color="auto"/>
            <w:bottom w:val="none" w:sz="0" w:space="0" w:color="auto"/>
            <w:right w:val="none" w:sz="0" w:space="0" w:color="auto"/>
          </w:divBdr>
        </w:div>
        <w:div w:id="74673790">
          <w:marLeft w:val="0"/>
          <w:marRight w:val="0"/>
          <w:marTop w:val="0"/>
          <w:marBottom w:val="0"/>
          <w:divBdr>
            <w:top w:val="none" w:sz="0" w:space="0" w:color="auto"/>
            <w:left w:val="none" w:sz="0" w:space="0" w:color="auto"/>
            <w:bottom w:val="none" w:sz="0" w:space="0" w:color="auto"/>
            <w:right w:val="none" w:sz="0" w:space="0" w:color="auto"/>
          </w:divBdr>
        </w:div>
        <w:div w:id="1998991699">
          <w:marLeft w:val="0"/>
          <w:marRight w:val="0"/>
          <w:marTop w:val="0"/>
          <w:marBottom w:val="0"/>
          <w:divBdr>
            <w:top w:val="none" w:sz="0" w:space="0" w:color="auto"/>
            <w:left w:val="none" w:sz="0" w:space="0" w:color="auto"/>
            <w:bottom w:val="none" w:sz="0" w:space="0" w:color="auto"/>
            <w:right w:val="none" w:sz="0" w:space="0" w:color="auto"/>
          </w:divBdr>
        </w:div>
        <w:div w:id="1284077382">
          <w:marLeft w:val="0"/>
          <w:marRight w:val="0"/>
          <w:marTop w:val="0"/>
          <w:marBottom w:val="0"/>
          <w:divBdr>
            <w:top w:val="none" w:sz="0" w:space="0" w:color="auto"/>
            <w:left w:val="none" w:sz="0" w:space="0" w:color="auto"/>
            <w:bottom w:val="none" w:sz="0" w:space="0" w:color="auto"/>
            <w:right w:val="none" w:sz="0" w:space="0" w:color="auto"/>
          </w:divBdr>
        </w:div>
        <w:div w:id="1800144683">
          <w:marLeft w:val="0"/>
          <w:marRight w:val="0"/>
          <w:marTop w:val="0"/>
          <w:marBottom w:val="0"/>
          <w:divBdr>
            <w:top w:val="none" w:sz="0" w:space="0" w:color="auto"/>
            <w:left w:val="none" w:sz="0" w:space="0" w:color="auto"/>
            <w:bottom w:val="none" w:sz="0" w:space="0" w:color="auto"/>
            <w:right w:val="none" w:sz="0" w:space="0" w:color="auto"/>
          </w:divBdr>
        </w:div>
      </w:divsChild>
    </w:div>
    <w:div w:id="330260380">
      <w:marLeft w:val="0"/>
      <w:marRight w:val="0"/>
      <w:marTop w:val="0"/>
      <w:marBottom w:val="0"/>
      <w:divBdr>
        <w:top w:val="none" w:sz="0" w:space="0" w:color="auto"/>
        <w:left w:val="none" w:sz="0" w:space="0" w:color="auto"/>
        <w:bottom w:val="none" w:sz="0" w:space="0" w:color="auto"/>
        <w:right w:val="none" w:sz="0" w:space="0" w:color="auto"/>
      </w:divBdr>
      <w:divsChild>
        <w:div w:id="55976169">
          <w:marLeft w:val="0"/>
          <w:marRight w:val="0"/>
          <w:marTop w:val="240"/>
          <w:marBottom w:val="0"/>
          <w:divBdr>
            <w:top w:val="none" w:sz="0" w:space="0" w:color="auto"/>
            <w:left w:val="none" w:sz="0" w:space="0" w:color="auto"/>
            <w:bottom w:val="none" w:sz="0" w:space="0" w:color="auto"/>
            <w:right w:val="none" w:sz="0" w:space="0" w:color="auto"/>
          </w:divBdr>
        </w:div>
      </w:divsChild>
    </w:div>
    <w:div w:id="330377917">
      <w:marLeft w:val="0"/>
      <w:marRight w:val="0"/>
      <w:marTop w:val="120"/>
      <w:marBottom w:val="0"/>
      <w:divBdr>
        <w:top w:val="none" w:sz="0" w:space="0" w:color="auto"/>
        <w:left w:val="none" w:sz="0" w:space="0" w:color="auto"/>
        <w:bottom w:val="none" w:sz="0" w:space="0" w:color="auto"/>
        <w:right w:val="none" w:sz="0" w:space="0" w:color="auto"/>
      </w:divBdr>
    </w:div>
    <w:div w:id="334573158">
      <w:marLeft w:val="0"/>
      <w:marRight w:val="0"/>
      <w:marTop w:val="240"/>
      <w:marBottom w:val="0"/>
      <w:divBdr>
        <w:top w:val="none" w:sz="0" w:space="0" w:color="auto"/>
        <w:left w:val="none" w:sz="0" w:space="0" w:color="auto"/>
        <w:bottom w:val="none" w:sz="0" w:space="0" w:color="auto"/>
        <w:right w:val="none" w:sz="0" w:space="0" w:color="auto"/>
      </w:divBdr>
    </w:div>
    <w:div w:id="335348359">
      <w:marLeft w:val="0"/>
      <w:marRight w:val="0"/>
      <w:marTop w:val="0"/>
      <w:marBottom w:val="0"/>
      <w:divBdr>
        <w:top w:val="none" w:sz="0" w:space="0" w:color="auto"/>
        <w:left w:val="none" w:sz="0" w:space="0" w:color="auto"/>
        <w:bottom w:val="none" w:sz="0" w:space="0" w:color="auto"/>
        <w:right w:val="none" w:sz="0" w:space="0" w:color="auto"/>
      </w:divBdr>
      <w:divsChild>
        <w:div w:id="1731801792">
          <w:marLeft w:val="0"/>
          <w:marRight w:val="0"/>
          <w:marTop w:val="0"/>
          <w:marBottom w:val="0"/>
          <w:divBdr>
            <w:top w:val="none" w:sz="0" w:space="0" w:color="auto"/>
            <w:left w:val="none" w:sz="0" w:space="0" w:color="auto"/>
            <w:bottom w:val="none" w:sz="0" w:space="0" w:color="auto"/>
            <w:right w:val="none" w:sz="0" w:space="0" w:color="auto"/>
          </w:divBdr>
        </w:div>
      </w:divsChild>
    </w:div>
    <w:div w:id="335815865">
      <w:marLeft w:val="0"/>
      <w:marRight w:val="0"/>
      <w:marTop w:val="240"/>
      <w:marBottom w:val="0"/>
      <w:divBdr>
        <w:top w:val="none" w:sz="0" w:space="0" w:color="auto"/>
        <w:left w:val="none" w:sz="0" w:space="0" w:color="auto"/>
        <w:bottom w:val="none" w:sz="0" w:space="0" w:color="auto"/>
        <w:right w:val="none" w:sz="0" w:space="0" w:color="auto"/>
      </w:divBdr>
    </w:div>
    <w:div w:id="338697770">
      <w:marLeft w:val="0"/>
      <w:marRight w:val="0"/>
      <w:marTop w:val="240"/>
      <w:marBottom w:val="0"/>
      <w:divBdr>
        <w:top w:val="none" w:sz="0" w:space="0" w:color="auto"/>
        <w:left w:val="none" w:sz="0" w:space="0" w:color="auto"/>
        <w:bottom w:val="none" w:sz="0" w:space="0" w:color="auto"/>
        <w:right w:val="none" w:sz="0" w:space="0" w:color="auto"/>
      </w:divBdr>
    </w:div>
    <w:div w:id="343673970">
      <w:marLeft w:val="0"/>
      <w:marRight w:val="0"/>
      <w:marTop w:val="240"/>
      <w:marBottom w:val="0"/>
      <w:divBdr>
        <w:top w:val="none" w:sz="0" w:space="0" w:color="auto"/>
        <w:left w:val="none" w:sz="0" w:space="0" w:color="auto"/>
        <w:bottom w:val="none" w:sz="0" w:space="0" w:color="auto"/>
        <w:right w:val="none" w:sz="0" w:space="0" w:color="auto"/>
      </w:divBdr>
    </w:div>
    <w:div w:id="352460982">
      <w:marLeft w:val="0"/>
      <w:marRight w:val="0"/>
      <w:marTop w:val="240"/>
      <w:marBottom w:val="0"/>
      <w:divBdr>
        <w:top w:val="none" w:sz="0" w:space="0" w:color="auto"/>
        <w:left w:val="none" w:sz="0" w:space="0" w:color="auto"/>
        <w:bottom w:val="none" w:sz="0" w:space="0" w:color="auto"/>
        <w:right w:val="none" w:sz="0" w:space="0" w:color="auto"/>
      </w:divBdr>
    </w:div>
    <w:div w:id="354426785">
      <w:marLeft w:val="0"/>
      <w:marRight w:val="0"/>
      <w:marTop w:val="0"/>
      <w:marBottom w:val="0"/>
      <w:divBdr>
        <w:top w:val="none" w:sz="0" w:space="0" w:color="auto"/>
        <w:left w:val="none" w:sz="0" w:space="0" w:color="auto"/>
        <w:bottom w:val="none" w:sz="0" w:space="0" w:color="auto"/>
        <w:right w:val="none" w:sz="0" w:space="0" w:color="auto"/>
      </w:divBdr>
      <w:divsChild>
        <w:div w:id="542179475">
          <w:marLeft w:val="0"/>
          <w:marRight w:val="0"/>
          <w:marTop w:val="240"/>
          <w:marBottom w:val="0"/>
          <w:divBdr>
            <w:top w:val="none" w:sz="0" w:space="0" w:color="auto"/>
            <w:left w:val="none" w:sz="0" w:space="0" w:color="auto"/>
            <w:bottom w:val="none" w:sz="0" w:space="0" w:color="auto"/>
            <w:right w:val="none" w:sz="0" w:space="0" w:color="auto"/>
          </w:divBdr>
        </w:div>
      </w:divsChild>
    </w:div>
    <w:div w:id="362947322">
      <w:marLeft w:val="0"/>
      <w:marRight w:val="0"/>
      <w:marTop w:val="240"/>
      <w:marBottom w:val="0"/>
      <w:divBdr>
        <w:top w:val="none" w:sz="0" w:space="0" w:color="auto"/>
        <w:left w:val="none" w:sz="0" w:space="0" w:color="auto"/>
        <w:bottom w:val="none" w:sz="0" w:space="0" w:color="auto"/>
        <w:right w:val="none" w:sz="0" w:space="0" w:color="auto"/>
      </w:divBdr>
    </w:div>
    <w:div w:id="369846263">
      <w:marLeft w:val="0"/>
      <w:marRight w:val="0"/>
      <w:marTop w:val="0"/>
      <w:marBottom w:val="0"/>
      <w:divBdr>
        <w:top w:val="none" w:sz="0" w:space="0" w:color="auto"/>
        <w:left w:val="none" w:sz="0" w:space="0" w:color="auto"/>
        <w:bottom w:val="none" w:sz="0" w:space="0" w:color="auto"/>
        <w:right w:val="none" w:sz="0" w:space="0" w:color="auto"/>
      </w:divBdr>
      <w:divsChild>
        <w:div w:id="1162739806">
          <w:marLeft w:val="0"/>
          <w:marRight w:val="0"/>
          <w:marTop w:val="0"/>
          <w:marBottom w:val="0"/>
          <w:divBdr>
            <w:top w:val="none" w:sz="0" w:space="0" w:color="auto"/>
            <w:left w:val="none" w:sz="0" w:space="0" w:color="auto"/>
            <w:bottom w:val="none" w:sz="0" w:space="0" w:color="auto"/>
            <w:right w:val="none" w:sz="0" w:space="0" w:color="auto"/>
          </w:divBdr>
        </w:div>
      </w:divsChild>
    </w:div>
    <w:div w:id="369959372">
      <w:marLeft w:val="0"/>
      <w:marRight w:val="0"/>
      <w:marTop w:val="240"/>
      <w:marBottom w:val="0"/>
      <w:divBdr>
        <w:top w:val="none" w:sz="0" w:space="0" w:color="auto"/>
        <w:left w:val="none" w:sz="0" w:space="0" w:color="auto"/>
        <w:bottom w:val="none" w:sz="0" w:space="0" w:color="auto"/>
        <w:right w:val="none" w:sz="0" w:space="0" w:color="auto"/>
      </w:divBdr>
    </w:div>
    <w:div w:id="379940014">
      <w:marLeft w:val="0"/>
      <w:marRight w:val="0"/>
      <w:marTop w:val="240"/>
      <w:marBottom w:val="0"/>
      <w:divBdr>
        <w:top w:val="none" w:sz="0" w:space="0" w:color="auto"/>
        <w:left w:val="none" w:sz="0" w:space="0" w:color="auto"/>
        <w:bottom w:val="none" w:sz="0" w:space="0" w:color="auto"/>
        <w:right w:val="none" w:sz="0" w:space="0" w:color="auto"/>
      </w:divBdr>
    </w:div>
    <w:div w:id="382338583">
      <w:marLeft w:val="0"/>
      <w:marRight w:val="0"/>
      <w:marTop w:val="240"/>
      <w:marBottom w:val="0"/>
      <w:divBdr>
        <w:top w:val="none" w:sz="0" w:space="0" w:color="auto"/>
        <w:left w:val="none" w:sz="0" w:space="0" w:color="auto"/>
        <w:bottom w:val="none" w:sz="0" w:space="0" w:color="auto"/>
        <w:right w:val="none" w:sz="0" w:space="0" w:color="auto"/>
      </w:divBdr>
    </w:div>
    <w:div w:id="383987803">
      <w:marLeft w:val="0"/>
      <w:marRight w:val="0"/>
      <w:marTop w:val="120"/>
      <w:marBottom w:val="0"/>
      <w:divBdr>
        <w:top w:val="none" w:sz="0" w:space="0" w:color="auto"/>
        <w:left w:val="none" w:sz="0" w:space="0" w:color="auto"/>
        <w:bottom w:val="none" w:sz="0" w:space="0" w:color="auto"/>
        <w:right w:val="none" w:sz="0" w:space="0" w:color="auto"/>
      </w:divBdr>
    </w:div>
    <w:div w:id="390152835">
      <w:marLeft w:val="0"/>
      <w:marRight w:val="0"/>
      <w:marTop w:val="0"/>
      <w:marBottom w:val="0"/>
      <w:divBdr>
        <w:top w:val="none" w:sz="0" w:space="0" w:color="auto"/>
        <w:left w:val="none" w:sz="0" w:space="0" w:color="auto"/>
        <w:bottom w:val="none" w:sz="0" w:space="0" w:color="auto"/>
        <w:right w:val="none" w:sz="0" w:space="0" w:color="auto"/>
      </w:divBdr>
    </w:div>
    <w:div w:id="395711061">
      <w:marLeft w:val="0"/>
      <w:marRight w:val="0"/>
      <w:marTop w:val="240"/>
      <w:marBottom w:val="0"/>
      <w:divBdr>
        <w:top w:val="none" w:sz="0" w:space="0" w:color="auto"/>
        <w:left w:val="none" w:sz="0" w:space="0" w:color="auto"/>
        <w:bottom w:val="none" w:sz="0" w:space="0" w:color="auto"/>
        <w:right w:val="none" w:sz="0" w:space="0" w:color="auto"/>
      </w:divBdr>
    </w:div>
    <w:div w:id="399376499">
      <w:marLeft w:val="0"/>
      <w:marRight w:val="0"/>
      <w:marTop w:val="240"/>
      <w:marBottom w:val="0"/>
      <w:divBdr>
        <w:top w:val="none" w:sz="0" w:space="0" w:color="auto"/>
        <w:left w:val="none" w:sz="0" w:space="0" w:color="auto"/>
        <w:bottom w:val="none" w:sz="0" w:space="0" w:color="auto"/>
        <w:right w:val="none" w:sz="0" w:space="0" w:color="auto"/>
      </w:divBdr>
    </w:div>
    <w:div w:id="400950802">
      <w:marLeft w:val="0"/>
      <w:marRight w:val="0"/>
      <w:marTop w:val="240"/>
      <w:marBottom w:val="0"/>
      <w:divBdr>
        <w:top w:val="none" w:sz="0" w:space="0" w:color="auto"/>
        <w:left w:val="none" w:sz="0" w:space="0" w:color="auto"/>
        <w:bottom w:val="none" w:sz="0" w:space="0" w:color="auto"/>
        <w:right w:val="none" w:sz="0" w:space="0" w:color="auto"/>
      </w:divBdr>
    </w:div>
    <w:div w:id="401955016">
      <w:marLeft w:val="0"/>
      <w:marRight w:val="0"/>
      <w:marTop w:val="240"/>
      <w:marBottom w:val="0"/>
      <w:divBdr>
        <w:top w:val="none" w:sz="0" w:space="0" w:color="auto"/>
        <w:left w:val="none" w:sz="0" w:space="0" w:color="auto"/>
        <w:bottom w:val="none" w:sz="0" w:space="0" w:color="auto"/>
        <w:right w:val="none" w:sz="0" w:space="0" w:color="auto"/>
      </w:divBdr>
    </w:div>
    <w:div w:id="407926714">
      <w:marLeft w:val="0"/>
      <w:marRight w:val="0"/>
      <w:marTop w:val="240"/>
      <w:marBottom w:val="0"/>
      <w:divBdr>
        <w:top w:val="none" w:sz="0" w:space="0" w:color="auto"/>
        <w:left w:val="none" w:sz="0" w:space="0" w:color="auto"/>
        <w:bottom w:val="none" w:sz="0" w:space="0" w:color="auto"/>
        <w:right w:val="none" w:sz="0" w:space="0" w:color="auto"/>
      </w:divBdr>
    </w:div>
    <w:div w:id="417096677">
      <w:marLeft w:val="0"/>
      <w:marRight w:val="0"/>
      <w:marTop w:val="240"/>
      <w:marBottom w:val="0"/>
      <w:divBdr>
        <w:top w:val="none" w:sz="0" w:space="0" w:color="auto"/>
        <w:left w:val="none" w:sz="0" w:space="0" w:color="auto"/>
        <w:bottom w:val="none" w:sz="0" w:space="0" w:color="auto"/>
        <w:right w:val="none" w:sz="0" w:space="0" w:color="auto"/>
      </w:divBdr>
    </w:div>
    <w:div w:id="418453555">
      <w:marLeft w:val="0"/>
      <w:marRight w:val="0"/>
      <w:marTop w:val="240"/>
      <w:marBottom w:val="0"/>
      <w:divBdr>
        <w:top w:val="none" w:sz="0" w:space="0" w:color="auto"/>
        <w:left w:val="none" w:sz="0" w:space="0" w:color="auto"/>
        <w:bottom w:val="none" w:sz="0" w:space="0" w:color="auto"/>
        <w:right w:val="none" w:sz="0" w:space="0" w:color="auto"/>
      </w:divBdr>
    </w:div>
    <w:div w:id="422070094">
      <w:marLeft w:val="0"/>
      <w:marRight w:val="0"/>
      <w:marTop w:val="240"/>
      <w:marBottom w:val="0"/>
      <w:divBdr>
        <w:top w:val="none" w:sz="0" w:space="0" w:color="auto"/>
        <w:left w:val="none" w:sz="0" w:space="0" w:color="auto"/>
        <w:bottom w:val="none" w:sz="0" w:space="0" w:color="auto"/>
        <w:right w:val="none" w:sz="0" w:space="0" w:color="auto"/>
      </w:divBdr>
    </w:div>
    <w:div w:id="422724289">
      <w:marLeft w:val="0"/>
      <w:marRight w:val="0"/>
      <w:marTop w:val="240"/>
      <w:marBottom w:val="0"/>
      <w:divBdr>
        <w:top w:val="none" w:sz="0" w:space="0" w:color="auto"/>
        <w:left w:val="none" w:sz="0" w:space="0" w:color="auto"/>
        <w:bottom w:val="none" w:sz="0" w:space="0" w:color="auto"/>
        <w:right w:val="none" w:sz="0" w:space="0" w:color="auto"/>
      </w:divBdr>
    </w:div>
    <w:div w:id="427652819">
      <w:marLeft w:val="0"/>
      <w:marRight w:val="0"/>
      <w:marTop w:val="240"/>
      <w:marBottom w:val="0"/>
      <w:divBdr>
        <w:top w:val="none" w:sz="0" w:space="0" w:color="auto"/>
        <w:left w:val="none" w:sz="0" w:space="0" w:color="auto"/>
        <w:bottom w:val="none" w:sz="0" w:space="0" w:color="auto"/>
        <w:right w:val="none" w:sz="0" w:space="0" w:color="auto"/>
      </w:divBdr>
    </w:div>
    <w:div w:id="433748640">
      <w:marLeft w:val="0"/>
      <w:marRight w:val="0"/>
      <w:marTop w:val="240"/>
      <w:marBottom w:val="0"/>
      <w:divBdr>
        <w:top w:val="none" w:sz="0" w:space="0" w:color="auto"/>
        <w:left w:val="none" w:sz="0" w:space="0" w:color="auto"/>
        <w:bottom w:val="none" w:sz="0" w:space="0" w:color="auto"/>
        <w:right w:val="none" w:sz="0" w:space="0" w:color="auto"/>
      </w:divBdr>
    </w:div>
    <w:div w:id="436950578">
      <w:marLeft w:val="0"/>
      <w:marRight w:val="0"/>
      <w:marTop w:val="240"/>
      <w:marBottom w:val="0"/>
      <w:divBdr>
        <w:top w:val="none" w:sz="0" w:space="0" w:color="auto"/>
        <w:left w:val="none" w:sz="0" w:space="0" w:color="auto"/>
        <w:bottom w:val="none" w:sz="0" w:space="0" w:color="auto"/>
        <w:right w:val="none" w:sz="0" w:space="0" w:color="auto"/>
      </w:divBdr>
    </w:div>
    <w:div w:id="441925664">
      <w:marLeft w:val="0"/>
      <w:marRight w:val="0"/>
      <w:marTop w:val="120"/>
      <w:marBottom w:val="0"/>
      <w:divBdr>
        <w:top w:val="none" w:sz="0" w:space="0" w:color="auto"/>
        <w:left w:val="none" w:sz="0" w:space="0" w:color="auto"/>
        <w:bottom w:val="none" w:sz="0" w:space="0" w:color="auto"/>
        <w:right w:val="none" w:sz="0" w:space="0" w:color="auto"/>
      </w:divBdr>
    </w:div>
    <w:div w:id="442266816">
      <w:marLeft w:val="0"/>
      <w:marRight w:val="0"/>
      <w:marTop w:val="240"/>
      <w:marBottom w:val="0"/>
      <w:divBdr>
        <w:top w:val="none" w:sz="0" w:space="0" w:color="auto"/>
        <w:left w:val="none" w:sz="0" w:space="0" w:color="auto"/>
        <w:bottom w:val="none" w:sz="0" w:space="0" w:color="auto"/>
        <w:right w:val="none" w:sz="0" w:space="0" w:color="auto"/>
      </w:divBdr>
    </w:div>
    <w:div w:id="447511977">
      <w:marLeft w:val="0"/>
      <w:marRight w:val="0"/>
      <w:marTop w:val="240"/>
      <w:marBottom w:val="0"/>
      <w:divBdr>
        <w:top w:val="none" w:sz="0" w:space="0" w:color="auto"/>
        <w:left w:val="none" w:sz="0" w:space="0" w:color="auto"/>
        <w:bottom w:val="none" w:sz="0" w:space="0" w:color="auto"/>
        <w:right w:val="none" w:sz="0" w:space="0" w:color="auto"/>
      </w:divBdr>
    </w:div>
    <w:div w:id="457456959">
      <w:marLeft w:val="0"/>
      <w:marRight w:val="0"/>
      <w:marTop w:val="240"/>
      <w:marBottom w:val="0"/>
      <w:divBdr>
        <w:top w:val="none" w:sz="0" w:space="0" w:color="auto"/>
        <w:left w:val="none" w:sz="0" w:space="0" w:color="auto"/>
        <w:bottom w:val="none" w:sz="0" w:space="0" w:color="auto"/>
        <w:right w:val="none" w:sz="0" w:space="0" w:color="auto"/>
      </w:divBdr>
    </w:div>
    <w:div w:id="460538609">
      <w:marLeft w:val="0"/>
      <w:marRight w:val="0"/>
      <w:marTop w:val="0"/>
      <w:marBottom w:val="0"/>
      <w:divBdr>
        <w:top w:val="none" w:sz="0" w:space="0" w:color="auto"/>
        <w:left w:val="none" w:sz="0" w:space="0" w:color="auto"/>
        <w:bottom w:val="none" w:sz="0" w:space="0" w:color="auto"/>
        <w:right w:val="none" w:sz="0" w:space="0" w:color="auto"/>
      </w:divBdr>
      <w:divsChild>
        <w:div w:id="812528277">
          <w:marLeft w:val="0"/>
          <w:marRight w:val="0"/>
          <w:marTop w:val="240"/>
          <w:marBottom w:val="0"/>
          <w:divBdr>
            <w:top w:val="none" w:sz="0" w:space="0" w:color="auto"/>
            <w:left w:val="none" w:sz="0" w:space="0" w:color="auto"/>
            <w:bottom w:val="none" w:sz="0" w:space="0" w:color="auto"/>
            <w:right w:val="none" w:sz="0" w:space="0" w:color="auto"/>
          </w:divBdr>
        </w:div>
      </w:divsChild>
    </w:div>
    <w:div w:id="463432626">
      <w:marLeft w:val="0"/>
      <w:marRight w:val="0"/>
      <w:marTop w:val="120"/>
      <w:marBottom w:val="0"/>
      <w:divBdr>
        <w:top w:val="none" w:sz="0" w:space="0" w:color="auto"/>
        <w:left w:val="none" w:sz="0" w:space="0" w:color="auto"/>
        <w:bottom w:val="none" w:sz="0" w:space="0" w:color="auto"/>
        <w:right w:val="none" w:sz="0" w:space="0" w:color="auto"/>
      </w:divBdr>
    </w:div>
    <w:div w:id="466896740">
      <w:marLeft w:val="0"/>
      <w:marRight w:val="0"/>
      <w:marTop w:val="240"/>
      <w:marBottom w:val="0"/>
      <w:divBdr>
        <w:top w:val="none" w:sz="0" w:space="0" w:color="auto"/>
        <w:left w:val="none" w:sz="0" w:space="0" w:color="auto"/>
        <w:bottom w:val="none" w:sz="0" w:space="0" w:color="auto"/>
        <w:right w:val="none" w:sz="0" w:space="0" w:color="auto"/>
      </w:divBdr>
      <w:divsChild>
        <w:div w:id="447892492">
          <w:marLeft w:val="0"/>
          <w:marRight w:val="0"/>
          <w:marTop w:val="0"/>
          <w:marBottom w:val="0"/>
          <w:divBdr>
            <w:top w:val="none" w:sz="0" w:space="0" w:color="auto"/>
            <w:left w:val="none" w:sz="0" w:space="0" w:color="auto"/>
            <w:bottom w:val="none" w:sz="0" w:space="0" w:color="auto"/>
            <w:right w:val="none" w:sz="0" w:space="0" w:color="auto"/>
          </w:divBdr>
        </w:div>
      </w:divsChild>
    </w:div>
    <w:div w:id="469908426">
      <w:marLeft w:val="0"/>
      <w:marRight w:val="0"/>
      <w:marTop w:val="120"/>
      <w:marBottom w:val="0"/>
      <w:divBdr>
        <w:top w:val="none" w:sz="0" w:space="0" w:color="auto"/>
        <w:left w:val="none" w:sz="0" w:space="0" w:color="auto"/>
        <w:bottom w:val="none" w:sz="0" w:space="0" w:color="auto"/>
        <w:right w:val="none" w:sz="0" w:space="0" w:color="auto"/>
      </w:divBdr>
    </w:div>
    <w:div w:id="473452321">
      <w:marLeft w:val="0"/>
      <w:marRight w:val="0"/>
      <w:marTop w:val="200"/>
      <w:marBottom w:val="0"/>
      <w:divBdr>
        <w:top w:val="none" w:sz="0" w:space="0" w:color="auto"/>
        <w:left w:val="none" w:sz="0" w:space="0" w:color="auto"/>
        <w:bottom w:val="none" w:sz="0" w:space="0" w:color="auto"/>
        <w:right w:val="none" w:sz="0" w:space="0" w:color="auto"/>
      </w:divBdr>
    </w:div>
    <w:div w:id="482551246">
      <w:marLeft w:val="0"/>
      <w:marRight w:val="0"/>
      <w:marTop w:val="60"/>
      <w:marBottom w:val="0"/>
      <w:divBdr>
        <w:top w:val="none" w:sz="0" w:space="0" w:color="auto"/>
        <w:left w:val="none" w:sz="0" w:space="0" w:color="auto"/>
        <w:bottom w:val="none" w:sz="0" w:space="0" w:color="auto"/>
        <w:right w:val="none" w:sz="0" w:space="0" w:color="auto"/>
      </w:divBdr>
    </w:div>
    <w:div w:id="487747962">
      <w:marLeft w:val="0"/>
      <w:marRight w:val="0"/>
      <w:marTop w:val="240"/>
      <w:marBottom w:val="0"/>
      <w:divBdr>
        <w:top w:val="none" w:sz="0" w:space="0" w:color="auto"/>
        <w:left w:val="none" w:sz="0" w:space="0" w:color="auto"/>
        <w:bottom w:val="none" w:sz="0" w:space="0" w:color="auto"/>
        <w:right w:val="none" w:sz="0" w:space="0" w:color="auto"/>
      </w:divBdr>
    </w:div>
    <w:div w:id="488985383">
      <w:marLeft w:val="0"/>
      <w:marRight w:val="0"/>
      <w:marTop w:val="120"/>
      <w:marBottom w:val="0"/>
      <w:divBdr>
        <w:top w:val="none" w:sz="0" w:space="0" w:color="auto"/>
        <w:left w:val="none" w:sz="0" w:space="0" w:color="auto"/>
        <w:bottom w:val="none" w:sz="0" w:space="0" w:color="auto"/>
        <w:right w:val="none" w:sz="0" w:space="0" w:color="auto"/>
      </w:divBdr>
    </w:div>
    <w:div w:id="492600966">
      <w:marLeft w:val="0"/>
      <w:marRight w:val="0"/>
      <w:marTop w:val="240"/>
      <w:marBottom w:val="0"/>
      <w:divBdr>
        <w:top w:val="none" w:sz="0" w:space="0" w:color="auto"/>
        <w:left w:val="none" w:sz="0" w:space="0" w:color="auto"/>
        <w:bottom w:val="none" w:sz="0" w:space="0" w:color="auto"/>
        <w:right w:val="none" w:sz="0" w:space="0" w:color="auto"/>
      </w:divBdr>
    </w:div>
    <w:div w:id="492988234">
      <w:marLeft w:val="0"/>
      <w:marRight w:val="0"/>
      <w:marTop w:val="120"/>
      <w:marBottom w:val="0"/>
      <w:divBdr>
        <w:top w:val="none" w:sz="0" w:space="0" w:color="auto"/>
        <w:left w:val="none" w:sz="0" w:space="0" w:color="auto"/>
        <w:bottom w:val="none" w:sz="0" w:space="0" w:color="auto"/>
        <w:right w:val="none" w:sz="0" w:space="0" w:color="auto"/>
      </w:divBdr>
    </w:div>
    <w:div w:id="497353900">
      <w:marLeft w:val="0"/>
      <w:marRight w:val="0"/>
      <w:marTop w:val="120"/>
      <w:marBottom w:val="0"/>
      <w:divBdr>
        <w:top w:val="none" w:sz="0" w:space="0" w:color="auto"/>
        <w:left w:val="none" w:sz="0" w:space="0" w:color="auto"/>
        <w:bottom w:val="none" w:sz="0" w:space="0" w:color="auto"/>
        <w:right w:val="none" w:sz="0" w:space="0" w:color="auto"/>
      </w:divBdr>
    </w:div>
    <w:div w:id="498279152">
      <w:marLeft w:val="0"/>
      <w:marRight w:val="0"/>
      <w:marTop w:val="240"/>
      <w:marBottom w:val="0"/>
      <w:divBdr>
        <w:top w:val="none" w:sz="0" w:space="0" w:color="auto"/>
        <w:left w:val="none" w:sz="0" w:space="0" w:color="auto"/>
        <w:bottom w:val="none" w:sz="0" w:space="0" w:color="auto"/>
        <w:right w:val="none" w:sz="0" w:space="0" w:color="auto"/>
      </w:divBdr>
    </w:div>
    <w:div w:id="500042992">
      <w:marLeft w:val="0"/>
      <w:marRight w:val="0"/>
      <w:marTop w:val="240"/>
      <w:marBottom w:val="0"/>
      <w:divBdr>
        <w:top w:val="none" w:sz="0" w:space="0" w:color="auto"/>
        <w:left w:val="none" w:sz="0" w:space="0" w:color="auto"/>
        <w:bottom w:val="none" w:sz="0" w:space="0" w:color="auto"/>
        <w:right w:val="none" w:sz="0" w:space="0" w:color="auto"/>
      </w:divBdr>
    </w:div>
    <w:div w:id="501089803">
      <w:marLeft w:val="0"/>
      <w:marRight w:val="0"/>
      <w:marTop w:val="240"/>
      <w:marBottom w:val="0"/>
      <w:divBdr>
        <w:top w:val="none" w:sz="0" w:space="0" w:color="auto"/>
        <w:left w:val="none" w:sz="0" w:space="0" w:color="auto"/>
        <w:bottom w:val="none" w:sz="0" w:space="0" w:color="auto"/>
        <w:right w:val="none" w:sz="0" w:space="0" w:color="auto"/>
      </w:divBdr>
    </w:div>
    <w:div w:id="505246845">
      <w:marLeft w:val="0"/>
      <w:marRight w:val="0"/>
      <w:marTop w:val="120"/>
      <w:marBottom w:val="0"/>
      <w:divBdr>
        <w:top w:val="none" w:sz="0" w:space="0" w:color="auto"/>
        <w:left w:val="none" w:sz="0" w:space="0" w:color="auto"/>
        <w:bottom w:val="none" w:sz="0" w:space="0" w:color="auto"/>
        <w:right w:val="none" w:sz="0" w:space="0" w:color="auto"/>
      </w:divBdr>
    </w:div>
    <w:div w:id="505554466">
      <w:marLeft w:val="0"/>
      <w:marRight w:val="0"/>
      <w:marTop w:val="240"/>
      <w:marBottom w:val="0"/>
      <w:divBdr>
        <w:top w:val="none" w:sz="0" w:space="0" w:color="auto"/>
        <w:left w:val="none" w:sz="0" w:space="0" w:color="auto"/>
        <w:bottom w:val="none" w:sz="0" w:space="0" w:color="auto"/>
        <w:right w:val="none" w:sz="0" w:space="0" w:color="auto"/>
      </w:divBdr>
    </w:div>
    <w:div w:id="511265525">
      <w:marLeft w:val="0"/>
      <w:marRight w:val="0"/>
      <w:marTop w:val="0"/>
      <w:marBottom w:val="0"/>
      <w:divBdr>
        <w:top w:val="none" w:sz="0" w:space="0" w:color="auto"/>
        <w:left w:val="none" w:sz="0" w:space="0" w:color="auto"/>
        <w:bottom w:val="none" w:sz="0" w:space="0" w:color="auto"/>
        <w:right w:val="none" w:sz="0" w:space="0" w:color="auto"/>
      </w:divBdr>
      <w:divsChild>
        <w:div w:id="747926287">
          <w:marLeft w:val="0"/>
          <w:marRight w:val="0"/>
          <w:marTop w:val="0"/>
          <w:marBottom w:val="0"/>
          <w:divBdr>
            <w:top w:val="none" w:sz="0" w:space="0" w:color="auto"/>
            <w:left w:val="none" w:sz="0" w:space="0" w:color="auto"/>
            <w:bottom w:val="none" w:sz="0" w:space="0" w:color="auto"/>
            <w:right w:val="none" w:sz="0" w:space="0" w:color="auto"/>
          </w:divBdr>
        </w:div>
      </w:divsChild>
    </w:div>
    <w:div w:id="528878547">
      <w:marLeft w:val="0"/>
      <w:marRight w:val="0"/>
      <w:marTop w:val="120"/>
      <w:marBottom w:val="0"/>
      <w:divBdr>
        <w:top w:val="none" w:sz="0" w:space="0" w:color="auto"/>
        <w:left w:val="none" w:sz="0" w:space="0" w:color="auto"/>
        <w:bottom w:val="none" w:sz="0" w:space="0" w:color="auto"/>
        <w:right w:val="none" w:sz="0" w:space="0" w:color="auto"/>
      </w:divBdr>
    </w:div>
    <w:div w:id="535429991">
      <w:marLeft w:val="0"/>
      <w:marRight w:val="0"/>
      <w:marTop w:val="240"/>
      <w:marBottom w:val="0"/>
      <w:divBdr>
        <w:top w:val="none" w:sz="0" w:space="0" w:color="auto"/>
        <w:left w:val="none" w:sz="0" w:space="0" w:color="auto"/>
        <w:bottom w:val="none" w:sz="0" w:space="0" w:color="auto"/>
        <w:right w:val="none" w:sz="0" w:space="0" w:color="auto"/>
      </w:divBdr>
    </w:div>
    <w:div w:id="539829855">
      <w:marLeft w:val="0"/>
      <w:marRight w:val="0"/>
      <w:marTop w:val="120"/>
      <w:marBottom w:val="0"/>
      <w:divBdr>
        <w:top w:val="none" w:sz="0" w:space="0" w:color="auto"/>
        <w:left w:val="none" w:sz="0" w:space="0" w:color="auto"/>
        <w:bottom w:val="none" w:sz="0" w:space="0" w:color="auto"/>
        <w:right w:val="none" w:sz="0" w:space="0" w:color="auto"/>
      </w:divBdr>
    </w:div>
    <w:div w:id="553351273">
      <w:marLeft w:val="0"/>
      <w:marRight w:val="0"/>
      <w:marTop w:val="240"/>
      <w:marBottom w:val="0"/>
      <w:divBdr>
        <w:top w:val="none" w:sz="0" w:space="0" w:color="auto"/>
        <w:left w:val="none" w:sz="0" w:space="0" w:color="auto"/>
        <w:bottom w:val="none" w:sz="0" w:space="0" w:color="auto"/>
        <w:right w:val="none" w:sz="0" w:space="0" w:color="auto"/>
      </w:divBdr>
    </w:div>
    <w:div w:id="554775892">
      <w:marLeft w:val="0"/>
      <w:marRight w:val="0"/>
      <w:marTop w:val="240"/>
      <w:marBottom w:val="0"/>
      <w:divBdr>
        <w:top w:val="none" w:sz="0" w:space="0" w:color="auto"/>
        <w:left w:val="none" w:sz="0" w:space="0" w:color="auto"/>
        <w:bottom w:val="none" w:sz="0" w:space="0" w:color="auto"/>
        <w:right w:val="none" w:sz="0" w:space="0" w:color="auto"/>
      </w:divBdr>
    </w:div>
    <w:div w:id="557782606">
      <w:marLeft w:val="0"/>
      <w:marRight w:val="0"/>
      <w:marTop w:val="240"/>
      <w:marBottom w:val="0"/>
      <w:divBdr>
        <w:top w:val="none" w:sz="0" w:space="0" w:color="auto"/>
        <w:left w:val="none" w:sz="0" w:space="0" w:color="auto"/>
        <w:bottom w:val="none" w:sz="0" w:space="0" w:color="auto"/>
        <w:right w:val="none" w:sz="0" w:space="0" w:color="auto"/>
      </w:divBdr>
    </w:div>
    <w:div w:id="566456227">
      <w:marLeft w:val="0"/>
      <w:marRight w:val="0"/>
      <w:marTop w:val="240"/>
      <w:marBottom w:val="0"/>
      <w:divBdr>
        <w:top w:val="none" w:sz="0" w:space="0" w:color="auto"/>
        <w:left w:val="none" w:sz="0" w:space="0" w:color="auto"/>
        <w:bottom w:val="none" w:sz="0" w:space="0" w:color="auto"/>
        <w:right w:val="none" w:sz="0" w:space="0" w:color="auto"/>
      </w:divBdr>
    </w:div>
    <w:div w:id="567764892">
      <w:marLeft w:val="0"/>
      <w:marRight w:val="0"/>
      <w:marTop w:val="0"/>
      <w:marBottom w:val="0"/>
      <w:divBdr>
        <w:top w:val="none" w:sz="0" w:space="0" w:color="auto"/>
        <w:left w:val="none" w:sz="0" w:space="0" w:color="auto"/>
        <w:bottom w:val="none" w:sz="0" w:space="0" w:color="auto"/>
        <w:right w:val="none" w:sz="0" w:space="0" w:color="auto"/>
      </w:divBdr>
      <w:divsChild>
        <w:div w:id="183135851">
          <w:marLeft w:val="0"/>
          <w:marRight w:val="0"/>
          <w:marTop w:val="240"/>
          <w:marBottom w:val="0"/>
          <w:divBdr>
            <w:top w:val="none" w:sz="0" w:space="0" w:color="auto"/>
            <w:left w:val="none" w:sz="0" w:space="0" w:color="auto"/>
            <w:bottom w:val="none" w:sz="0" w:space="0" w:color="auto"/>
            <w:right w:val="none" w:sz="0" w:space="0" w:color="auto"/>
          </w:divBdr>
        </w:div>
      </w:divsChild>
    </w:div>
    <w:div w:id="570580281">
      <w:marLeft w:val="0"/>
      <w:marRight w:val="0"/>
      <w:marTop w:val="120"/>
      <w:marBottom w:val="0"/>
      <w:divBdr>
        <w:top w:val="none" w:sz="0" w:space="0" w:color="auto"/>
        <w:left w:val="none" w:sz="0" w:space="0" w:color="auto"/>
        <w:bottom w:val="none" w:sz="0" w:space="0" w:color="auto"/>
        <w:right w:val="none" w:sz="0" w:space="0" w:color="auto"/>
      </w:divBdr>
    </w:div>
    <w:div w:id="570894469">
      <w:marLeft w:val="0"/>
      <w:marRight w:val="0"/>
      <w:marTop w:val="240"/>
      <w:marBottom w:val="0"/>
      <w:divBdr>
        <w:top w:val="none" w:sz="0" w:space="0" w:color="auto"/>
        <w:left w:val="none" w:sz="0" w:space="0" w:color="auto"/>
        <w:bottom w:val="none" w:sz="0" w:space="0" w:color="auto"/>
        <w:right w:val="none" w:sz="0" w:space="0" w:color="auto"/>
      </w:divBdr>
    </w:div>
    <w:div w:id="571933269">
      <w:marLeft w:val="0"/>
      <w:marRight w:val="0"/>
      <w:marTop w:val="120"/>
      <w:marBottom w:val="0"/>
      <w:divBdr>
        <w:top w:val="none" w:sz="0" w:space="0" w:color="auto"/>
        <w:left w:val="none" w:sz="0" w:space="0" w:color="auto"/>
        <w:bottom w:val="none" w:sz="0" w:space="0" w:color="auto"/>
        <w:right w:val="none" w:sz="0" w:space="0" w:color="auto"/>
      </w:divBdr>
    </w:div>
    <w:div w:id="573198342">
      <w:marLeft w:val="0"/>
      <w:marRight w:val="0"/>
      <w:marTop w:val="120"/>
      <w:marBottom w:val="0"/>
      <w:divBdr>
        <w:top w:val="none" w:sz="0" w:space="0" w:color="auto"/>
        <w:left w:val="none" w:sz="0" w:space="0" w:color="auto"/>
        <w:bottom w:val="none" w:sz="0" w:space="0" w:color="auto"/>
        <w:right w:val="none" w:sz="0" w:space="0" w:color="auto"/>
      </w:divBdr>
    </w:div>
    <w:div w:id="576020529">
      <w:marLeft w:val="0"/>
      <w:marRight w:val="0"/>
      <w:marTop w:val="120"/>
      <w:marBottom w:val="0"/>
      <w:divBdr>
        <w:top w:val="none" w:sz="0" w:space="0" w:color="auto"/>
        <w:left w:val="none" w:sz="0" w:space="0" w:color="auto"/>
        <w:bottom w:val="none" w:sz="0" w:space="0" w:color="auto"/>
        <w:right w:val="none" w:sz="0" w:space="0" w:color="auto"/>
      </w:divBdr>
    </w:div>
    <w:div w:id="585112368">
      <w:marLeft w:val="0"/>
      <w:marRight w:val="0"/>
      <w:marTop w:val="240"/>
      <w:marBottom w:val="0"/>
      <w:divBdr>
        <w:top w:val="none" w:sz="0" w:space="0" w:color="auto"/>
        <w:left w:val="none" w:sz="0" w:space="0" w:color="auto"/>
        <w:bottom w:val="none" w:sz="0" w:space="0" w:color="auto"/>
        <w:right w:val="none" w:sz="0" w:space="0" w:color="auto"/>
      </w:divBdr>
    </w:div>
    <w:div w:id="587035906">
      <w:marLeft w:val="0"/>
      <w:marRight w:val="0"/>
      <w:marTop w:val="200"/>
      <w:marBottom w:val="0"/>
      <w:divBdr>
        <w:top w:val="none" w:sz="0" w:space="0" w:color="auto"/>
        <w:left w:val="none" w:sz="0" w:space="0" w:color="auto"/>
        <w:bottom w:val="none" w:sz="0" w:space="0" w:color="auto"/>
        <w:right w:val="none" w:sz="0" w:space="0" w:color="auto"/>
      </w:divBdr>
    </w:div>
    <w:div w:id="589436887">
      <w:marLeft w:val="0"/>
      <w:marRight w:val="0"/>
      <w:marTop w:val="120"/>
      <w:marBottom w:val="0"/>
      <w:divBdr>
        <w:top w:val="none" w:sz="0" w:space="0" w:color="auto"/>
        <w:left w:val="none" w:sz="0" w:space="0" w:color="auto"/>
        <w:bottom w:val="none" w:sz="0" w:space="0" w:color="auto"/>
        <w:right w:val="none" w:sz="0" w:space="0" w:color="auto"/>
      </w:divBdr>
    </w:div>
    <w:div w:id="590889461">
      <w:marLeft w:val="0"/>
      <w:marRight w:val="0"/>
      <w:marTop w:val="240"/>
      <w:marBottom w:val="0"/>
      <w:divBdr>
        <w:top w:val="none" w:sz="0" w:space="0" w:color="auto"/>
        <w:left w:val="none" w:sz="0" w:space="0" w:color="auto"/>
        <w:bottom w:val="none" w:sz="0" w:space="0" w:color="auto"/>
        <w:right w:val="none" w:sz="0" w:space="0" w:color="auto"/>
      </w:divBdr>
    </w:div>
    <w:div w:id="604046133">
      <w:marLeft w:val="0"/>
      <w:marRight w:val="0"/>
      <w:marTop w:val="240"/>
      <w:marBottom w:val="0"/>
      <w:divBdr>
        <w:top w:val="none" w:sz="0" w:space="0" w:color="auto"/>
        <w:left w:val="none" w:sz="0" w:space="0" w:color="auto"/>
        <w:bottom w:val="none" w:sz="0" w:space="0" w:color="auto"/>
        <w:right w:val="none" w:sz="0" w:space="0" w:color="auto"/>
      </w:divBdr>
    </w:div>
    <w:div w:id="604465933">
      <w:marLeft w:val="0"/>
      <w:marRight w:val="0"/>
      <w:marTop w:val="240"/>
      <w:marBottom w:val="0"/>
      <w:divBdr>
        <w:top w:val="none" w:sz="0" w:space="0" w:color="auto"/>
        <w:left w:val="none" w:sz="0" w:space="0" w:color="auto"/>
        <w:bottom w:val="none" w:sz="0" w:space="0" w:color="auto"/>
        <w:right w:val="none" w:sz="0" w:space="0" w:color="auto"/>
      </w:divBdr>
    </w:div>
    <w:div w:id="607591023">
      <w:marLeft w:val="0"/>
      <w:marRight w:val="0"/>
      <w:marTop w:val="240"/>
      <w:marBottom w:val="0"/>
      <w:divBdr>
        <w:top w:val="none" w:sz="0" w:space="0" w:color="auto"/>
        <w:left w:val="none" w:sz="0" w:space="0" w:color="auto"/>
        <w:bottom w:val="none" w:sz="0" w:space="0" w:color="auto"/>
        <w:right w:val="none" w:sz="0" w:space="0" w:color="auto"/>
      </w:divBdr>
    </w:div>
    <w:div w:id="607935317">
      <w:marLeft w:val="0"/>
      <w:marRight w:val="0"/>
      <w:marTop w:val="240"/>
      <w:marBottom w:val="0"/>
      <w:divBdr>
        <w:top w:val="none" w:sz="0" w:space="0" w:color="auto"/>
        <w:left w:val="none" w:sz="0" w:space="0" w:color="auto"/>
        <w:bottom w:val="none" w:sz="0" w:space="0" w:color="auto"/>
        <w:right w:val="none" w:sz="0" w:space="0" w:color="auto"/>
      </w:divBdr>
    </w:div>
    <w:div w:id="613094818">
      <w:marLeft w:val="0"/>
      <w:marRight w:val="0"/>
      <w:marTop w:val="240"/>
      <w:marBottom w:val="0"/>
      <w:divBdr>
        <w:top w:val="none" w:sz="0" w:space="0" w:color="auto"/>
        <w:left w:val="none" w:sz="0" w:space="0" w:color="auto"/>
        <w:bottom w:val="none" w:sz="0" w:space="0" w:color="auto"/>
        <w:right w:val="none" w:sz="0" w:space="0" w:color="auto"/>
      </w:divBdr>
      <w:divsChild>
        <w:div w:id="1413284216">
          <w:marLeft w:val="0"/>
          <w:marRight w:val="0"/>
          <w:marTop w:val="0"/>
          <w:marBottom w:val="180"/>
          <w:divBdr>
            <w:top w:val="none" w:sz="0" w:space="0" w:color="auto"/>
            <w:left w:val="none" w:sz="0" w:space="0" w:color="auto"/>
            <w:bottom w:val="none" w:sz="0" w:space="0" w:color="auto"/>
            <w:right w:val="none" w:sz="0" w:space="0" w:color="auto"/>
          </w:divBdr>
        </w:div>
        <w:div w:id="1802268435">
          <w:marLeft w:val="0"/>
          <w:marRight w:val="0"/>
          <w:marTop w:val="0"/>
          <w:marBottom w:val="180"/>
          <w:divBdr>
            <w:top w:val="none" w:sz="0" w:space="0" w:color="auto"/>
            <w:left w:val="none" w:sz="0" w:space="0" w:color="auto"/>
            <w:bottom w:val="none" w:sz="0" w:space="0" w:color="auto"/>
            <w:right w:val="none" w:sz="0" w:space="0" w:color="auto"/>
          </w:divBdr>
        </w:div>
        <w:div w:id="1234201188">
          <w:marLeft w:val="0"/>
          <w:marRight w:val="0"/>
          <w:marTop w:val="0"/>
          <w:marBottom w:val="180"/>
          <w:divBdr>
            <w:top w:val="none" w:sz="0" w:space="0" w:color="auto"/>
            <w:left w:val="none" w:sz="0" w:space="0" w:color="auto"/>
            <w:bottom w:val="none" w:sz="0" w:space="0" w:color="auto"/>
            <w:right w:val="none" w:sz="0" w:space="0" w:color="auto"/>
          </w:divBdr>
        </w:div>
      </w:divsChild>
    </w:div>
    <w:div w:id="614681313">
      <w:marLeft w:val="0"/>
      <w:marRight w:val="0"/>
      <w:marTop w:val="240"/>
      <w:marBottom w:val="0"/>
      <w:divBdr>
        <w:top w:val="none" w:sz="0" w:space="0" w:color="auto"/>
        <w:left w:val="none" w:sz="0" w:space="0" w:color="auto"/>
        <w:bottom w:val="none" w:sz="0" w:space="0" w:color="auto"/>
        <w:right w:val="none" w:sz="0" w:space="0" w:color="auto"/>
      </w:divBdr>
    </w:div>
    <w:div w:id="622031280">
      <w:marLeft w:val="0"/>
      <w:marRight w:val="0"/>
      <w:marTop w:val="0"/>
      <w:marBottom w:val="0"/>
      <w:divBdr>
        <w:top w:val="none" w:sz="0" w:space="0" w:color="auto"/>
        <w:left w:val="none" w:sz="0" w:space="0" w:color="auto"/>
        <w:bottom w:val="none" w:sz="0" w:space="0" w:color="auto"/>
        <w:right w:val="none" w:sz="0" w:space="0" w:color="auto"/>
      </w:divBdr>
      <w:divsChild>
        <w:div w:id="2121217689">
          <w:marLeft w:val="0"/>
          <w:marRight w:val="0"/>
          <w:marTop w:val="0"/>
          <w:marBottom w:val="0"/>
          <w:divBdr>
            <w:top w:val="none" w:sz="0" w:space="0" w:color="auto"/>
            <w:left w:val="none" w:sz="0" w:space="0" w:color="auto"/>
            <w:bottom w:val="none" w:sz="0" w:space="0" w:color="auto"/>
            <w:right w:val="none" w:sz="0" w:space="0" w:color="auto"/>
          </w:divBdr>
        </w:div>
      </w:divsChild>
    </w:div>
    <w:div w:id="622539080">
      <w:marLeft w:val="0"/>
      <w:marRight w:val="0"/>
      <w:marTop w:val="240"/>
      <w:marBottom w:val="0"/>
      <w:divBdr>
        <w:top w:val="none" w:sz="0" w:space="0" w:color="auto"/>
        <w:left w:val="none" w:sz="0" w:space="0" w:color="auto"/>
        <w:bottom w:val="none" w:sz="0" w:space="0" w:color="auto"/>
        <w:right w:val="none" w:sz="0" w:space="0" w:color="auto"/>
      </w:divBdr>
    </w:div>
    <w:div w:id="622618971">
      <w:marLeft w:val="0"/>
      <w:marRight w:val="0"/>
      <w:marTop w:val="240"/>
      <w:marBottom w:val="0"/>
      <w:divBdr>
        <w:top w:val="none" w:sz="0" w:space="0" w:color="auto"/>
        <w:left w:val="none" w:sz="0" w:space="0" w:color="auto"/>
        <w:bottom w:val="none" w:sz="0" w:space="0" w:color="auto"/>
        <w:right w:val="none" w:sz="0" w:space="0" w:color="auto"/>
      </w:divBdr>
    </w:div>
    <w:div w:id="623124734">
      <w:marLeft w:val="0"/>
      <w:marRight w:val="0"/>
      <w:marTop w:val="120"/>
      <w:marBottom w:val="0"/>
      <w:divBdr>
        <w:top w:val="none" w:sz="0" w:space="0" w:color="auto"/>
        <w:left w:val="none" w:sz="0" w:space="0" w:color="auto"/>
        <w:bottom w:val="none" w:sz="0" w:space="0" w:color="auto"/>
        <w:right w:val="none" w:sz="0" w:space="0" w:color="auto"/>
      </w:divBdr>
    </w:div>
    <w:div w:id="625047169">
      <w:marLeft w:val="0"/>
      <w:marRight w:val="0"/>
      <w:marTop w:val="240"/>
      <w:marBottom w:val="0"/>
      <w:divBdr>
        <w:top w:val="none" w:sz="0" w:space="0" w:color="auto"/>
        <w:left w:val="none" w:sz="0" w:space="0" w:color="auto"/>
        <w:bottom w:val="none" w:sz="0" w:space="0" w:color="auto"/>
        <w:right w:val="none" w:sz="0" w:space="0" w:color="auto"/>
      </w:divBdr>
    </w:div>
    <w:div w:id="626936123">
      <w:marLeft w:val="0"/>
      <w:marRight w:val="0"/>
      <w:marTop w:val="240"/>
      <w:marBottom w:val="0"/>
      <w:divBdr>
        <w:top w:val="none" w:sz="0" w:space="0" w:color="auto"/>
        <w:left w:val="none" w:sz="0" w:space="0" w:color="auto"/>
        <w:bottom w:val="none" w:sz="0" w:space="0" w:color="auto"/>
        <w:right w:val="none" w:sz="0" w:space="0" w:color="auto"/>
      </w:divBdr>
    </w:div>
    <w:div w:id="630595198">
      <w:marLeft w:val="0"/>
      <w:marRight w:val="0"/>
      <w:marTop w:val="0"/>
      <w:marBottom w:val="0"/>
      <w:divBdr>
        <w:top w:val="none" w:sz="0" w:space="0" w:color="auto"/>
        <w:left w:val="none" w:sz="0" w:space="0" w:color="auto"/>
        <w:bottom w:val="none" w:sz="0" w:space="0" w:color="auto"/>
        <w:right w:val="none" w:sz="0" w:space="0" w:color="auto"/>
      </w:divBdr>
      <w:divsChild>
        <w:div w:id="2109616032">
          <w:marLeft w:val="0"/>
          <w:marRight w:val="0"/>
          <w:marTop w:val="0"/>
          <w:marBottom w:val="0"/>
          <w:divBdr>
            <w:top w:val="none" w:sz="0" w:space="0" w:color="auto"/>
            <w:left w:val="none" w:sz="0" w:space="0" w:color="auto"/>
            <w:bottom w:val="none" w:sz="0" w:space="0" w:color="auto"/>
            <w:right w:val="none" w:sz="0" w:space="0" w:color="auto"/>
          </w:divBdr>
        </w:div>
      </w:divsChild>
    </w:div>
    <w:div w:id="640423295">
      <w:marLeft w:val="0"/>
      <w:marRight w:val="0"/>
      <w:marTop w:val="120"/>
      <w:marBottom w:val="0"/>
      <w:divBdr>
        <w:top w:val="none" w:sz="0" w:space="0" w:color="auto"/>
        <w:left w:val="none" w:sz="0" w:space="0" w:color="auto"/>
        <w:bottom w:val="none" w:sz="0" w:space="0" w:color="auto"/>
        <w:right w:val="none" w:sz="0" w:space="0" w:color="auto"/>
      </w:divBdr>
    </w:div>
    <w:div w:id="646714179">
      <w:marLeft w:val="0"/>
      <w:marRight w:val="0"/>
      <w:marTop w:val="240"/>
      <w:marBottom w:val="0"/>
      <w:divBdr>
        <w:top w:val="none" w:sz="0" w:space="0" w:color="auto"/>
        <w:left w:val="none" w:sz="0" w:space="0" w:color="auto"/>
        <w:bottom w:val="none" w:sz="0" w:space="0" w:color="auto"/>
        <w:right w:val="none" w:sz="0" w:space="0" w:color="auto"/>
      </w:divBdr>
    </w:div>
    <w:div w:id="647825366">
      <w:marLeft w:val="0"/>
      <w:marRight w:val="0"/>
      <w:marTop w:val="0"/>
      <w:marBottom w:val="0"/>
      <w:divBdr>
        <w:top w:val="none" w:sz="0" w:space="0" w:color="auto"/>
        <w:left w:val="none" w:sz="0" w:space="0" w:color="auto"/>
        <w:bottom w:val="none" w:sz="0" w:space="0" w:color="auto"/>
        <w:right w:val="none" w:sz="0" w:space="0" w:color="auto"/>
      </w:divBdr>
      <w:divsChild>
        <w:div w:id="816530624">
          <w:marLeft w:val="0"/>
          <w:marRight w:val="0"/>
          <w:marTop w:val="240"/>
          <w:marBottom w:val="0"/>
          <w:divBdr>
            <w:top w:val="none" w:sz="0" w:space="0" w:color="auto"/>
            <w:left w:val="none" w:sz="0" w:space="0" w:color="auto"/>
            <w:bottom w:val="none" w:sz="0" w:space="0" w:color="auto"/>
            <w:right w:val="none" w:sz="0" w:space="0" w:color="auto"/>
          </w:divBdr>
        </w:div>
      </w:divsChild>
    </w:div>
    <w:div w:id="654333927">
      <w:marLeft w:val="0"/>
      <w:marRight w:val="0"/>
      <w:marTop w:val="0"/>
      <w:marBottom w:val="0"/>
      <w:divBdr>
        <w:top w:val="none" w:sz="0" w:space="0" w:color="auto"/>
        <w:left w:val="none" w:sz="0" w:space="0" w:color="auto"/>
        <w:bottom w:val="none" w:sz="0" w:space="0" w:color="auto"/>
        <w:right w:val="none" w:sz="0" w:space="0" w:color="auto"/>
      </w:divBdr>
      <w:divsChild>
        <w:div w:id="1629778252">
          <w:marLeft w:val="0"/>
          <w:marRight w:val="0"/>
          <w:marTop w:val="240"/>
          <w:marBottom w:val="0"/>
          <w:divBdr>
            <w:top w:val="none" w:sz="0" w:space="0" w:color="auto"/>
            <w:left w:val="none" w:sz="0" w:space="0" w:color="auto"/>
            <w:bottom w:val="none" w:sz="0" w:space="0" w:color="auto"/>
            <w:right w:val="none" w:sz="0" w:space="0" w:color="auto"/>
          </w:divBdr>
        </w:div>
      </w:divsChild>
    </w:div>
    <w:div w:id="657419519">
      <w:marLeft w:val="0"/>
      <w:marRight w:val="0"/>
      <w:marTop w:val="240"/>
      <w:marBottom w:val="0"/>
      <w:divBdr>
        <w:top w:val="none" w:sz="0" w:space="0" w:color="auto"/>
        <w:left w:val="none" w:sz="0" w:space="0" w:color="auto"/>
        <w:bottom w:val="none" w:sz="0" w:space="0" w:color="auto"/>
        <w:right w:val="none" w:sz="0" w:space="0" w:color="auto"/>
      </w:divBdr>
    </w:div>
    <w:div w:id="665673553">
      <w:marLeft w:val="0"/>
      <w:marRight w:val="0"/>
      <w:marTop w:val="240"/>
      <w:marBottom w:val="0"/>
      <w:divBdr>
        <w:top w:val="none" w:sz="0" w:space="0" w:color="auto"/>
        <w:left w:val="none" w:sz="0" w:space="0" w:color="auto"/>
        <w:bottom w:val="none" w:sz="0" w:space="0" w:color="auto"/>
        <w:right w:val="none" w:sz="0" w:space="0" w:color="auto"/>
      </w:divBdr>
    </w:div>
    <w:div w:id="669716272">
      <w:marLeft w:val="0"/>
      <w:marRight w:val="0"/>
      <w:marTop w:val="0"/>
      <w:marBottom w:val="0"/>
      <w:divBdr>
        <w:top w:val="none" w:sz="0" w:space="0" w:color="auto"/>
        <w:left w:val="none" w:sz="0" w:space="0" w:color="auto"/>
        <w:bottom w:val="none" w:sz="0" w:space="0" w:color="auto"/>
        <w:right w:val="none" w:sz="0" w:space="0" w:color="auto"/>
      </w:divBdr>
    </w:div>
    <w:div w:id="670063009">
      <w:marLeft w:val="0"/>
      <w:marRight w:val="0"/>
      <w:marTop w:val="120"/>
      <w:marBottom w:val="0"/>
      <w:divBdr>
        <w:top w:val="none" w:sz="0" w:space="0" w:color="auto"/>
        <w:left w:val="none" w:sz="0" w:space="0" w:color="auto"/>
        <w:bottom w:val="none" w:sz="0" w:space="0" w:color="auto"/>
        <w:right w:val="none" w:sz="0" w:space="0" w:color="auto"/>
      </w:divBdr>
    </w:div>
    <w:div w:id="683438976">
      <w:marLeft w:val="0"/>
      <w:marRight w:val="0"/>
      <w:marTop w:val="120"/>
      <w:marBottom w:val="0"/>
      <w:divBdr>
        <w:top w:val="none" w:sz="0" w:space="0" w:color="auto"/>
        <w:left w:val="none" w:sz="0" w:space="0" w:color="auto"/>
        <w:bottom w:val="none" w:sz="0" w:space="0" w:color="auto"/>
        <w:right w:val="none" w:sz="0" w:space="0" w:color="auto"/>
      </w:divBdr>
    </w:div>
    <w:div w:id="684404309">
      <w:marLeft w:val="0"/>
      <w:marRight w:val="0"/>
      <w:marTop w:val="240"/>
      <w:marBottom w:val="0"/>
      <w:divBdr>
        <w:top w:val="none" w:sz="0" w:space="0" w:color="auto"/>
        <w:left w:val="none" w:sz="0" w:space="0" w:color="auto"/>
        <w:bottom w:val="none" w:sz="0" w:space="0" w:color="auto"/>
        <w:right w:val="none" w:sz="0" w:space="0" w:color="auto"/>
      </w:divBdr>
    </w:div>
    <w:div w:id="688723629">
      <w:marLeft w:val="0"/>
      <w:marRight w:val="0"/>
      <w:marTop w:val="240"/>
      <w:marBottom w:val="0"/>
      <w:divBdr>
        <w:top w:val="none" w:sz="0" w:space="0" w:color="auto"/>
        <w:left w:val="none" w:sz="0" w:space="0" w:color="auto"/>
        <w:bottom w:val="none" w:sz="0" w:space="0" w:color="auto"/>
        <w:right w:val="none" w:sz="0" w:space="0" w:color="auto"/>
      </w:divBdr>
    </w:div>
    <w:div w:id="704329658">
      <w:marLeft w:val="0"/>
      <w:marRight w:val="0"/>
      <w:marTop w:val="240"/>
      <w:marBottom w:val="0"/>
      <w:divBdr>
        <w:top w:val="none" w:sz="0" w:space="0" w:color="auto"/>
        <w:left w:val="none" w:sz="0" w:space="0" w:color="auto"/>
        <w:bottom w:val="none" w:sz="0" w:space="0" w:color="auto"/>
        <w:right w:val="none" w:sz="0" w:space="0" w:color="auto"/>
      </w:divBdr>
    </w:div>
    <w:div w:id="710376653">
      <w:marLeft w:val="0"/>
      <w:marRight w:val="0"/>
      <w:marTop w:val="240"/>
      <w:marBottom w:val="240"/>
      <w:divBdr>
        <w:top w:val="none" w:sz="0" w:space="0" w:color="auto"/>
        <w:left w:val="none" w:sz="0" w:space="0" w:color="auto"/>
        <w:bottom w:val="none" w:sz="0" w:space="0" w:color="auto"/>
        <w:right w:val="none" w:sz="0" w:space="0" w:color="auto"/>
      </w:divBdr>
    </w:div>
    <w:div w:id="712969478">
      <w:marLeft w:val="0"/>
      <w:marRight w:val="0"/>
      <w:marTop w:val="0"/>
      <w:marBottom w:val="0"/>
      <w:divBdr>
        <w:top w:val="none" w:sz="0" w:space="0" w:color="auto"/>
        <w:left w:val="none" w:sz="0" w:space="0" w:color="auto"/>
        <w:bottom w:val="none" w:sz="0" w:space="0" w:color="auto"/>
        <w:right w:val="none" w:sz="0" w:space="0" w:color="auto"/>
      </w:divBdr>
    </w:div>
    <w:div w:id="715466821">
      <w:marLeft w:val="0"/>
      <w:marRight w:val="0"/>
      <w:marTop w:val="120"/>
      <w:marBottom w:val="0"/>
      <w:divBdr>
        <w:top w:val="none" w:sz="0" w:space="0" w:color="auto"/>
        <w:left w:val="none" w:sz="0" w:space="0" w:color="auto"/>
        <w:bottom w:val="none" w:sz="0" w:space="0" w:color="auto"/>
        <w:right w:val="none" w:sz="0" w:space="0" w:color="auto"/>
      </w:divBdr>
    </w:div>
    <w:div w:id="715860666">
      <w:marLeft w:val="0"/>
      <w:marRight w:val="0"/>
      <w:marTop w:val="240"/>
      <w:marBottom w:val="0"/>
      <w:divBdr>
        <w:top w:val="none" w:sz="0" w:space="0" w:color="auto"/>
        <w:left w:val="none" w:sz="0" w:space="0" w:color="auto"/>
        <w:bottom w:val="none" w:sz="0" w:space="0" w:color="auto"/>
        <w:right w:val="none" w:sz="0" w:space="0" w:color="auto"/>
      </w:divBdr>
    </w:div>
    <w:div w:id="721055542">
      <w:marLeft w:val="0"/>
      <w:marRight w:val="0"/>
      <w:marTop w:val="240"/>
      <w:marBottom w:val="0"/>
      <w:divBdr>
        <w:top w:val="none" w:sz="0" w:space="0" w:color="auto"/>
        <w:left w:val="none" w:sz="0" w:space="0" w:color="auto"/>
        <w:bottom w:val="none" w:sz="0" w:space="0" w:color="auto"/>
        <w:right w:val="none" w:sz="0" w:space="0" w:color="auto"/>
      </w:divBdr>
    </w:div>
    <w:div w:id="722406820">
      <w:marLeft w:val="0"/>
      <w:marRight w:val="0"/>
      <w:marTop w:val="120"/>
      <w:marBottom w:val="0"/>
      <w:divBdr>
        <w:top w:val="none" w:sz="0" w:space="0" w:color="auto"/>
        <w:left w:val="none" w:sz="0" w:space="0" w:color="auto"/>
        <w:bottom w:val="none" w:sz="0" w:space="0" w:color="auto"/>
        <w:right w:val="none" w:sz="0" w:space="0" w:color="auto"/>
      </w:divBdr>
    </w:div>
    <w:div w:id="722601877">
      <w:marLeft w:val="0"/>
      <w:marRight w:val="0"/>
      <w:marTop w:val="0"/>
      <w:marBottom w:val="0"/>
      <w:divBdr>
        <w:top w:val="none" w:sz="0" w:space="0" w:color="auto"/>
        <w:left w:val="none" w:sz="0" w:space="0" w:color="auto"/>
        <w:bottom w:val="none" w:sz="0" w:space="0" w:color="auto"/>
        <w:right w:val="none" w:sz="0" w:space="0" w:color="auto"/>
      </w:divBdr>
    </w:div>
    <w:div w:id="731807691">
      <w:marLeft w:val="0"/>
      <w:marRight w:val="0"/>
      <w:marTop w:val="0"/>
      <w:marBottom w:val="0"/>
      <w:divBdr>
        <w:top w:val="none" w:sz="0" w:space="0" w:color="auto"/>
        <w:left w:val="none" w:sz="0" w:space="0" w:color="auto"/>
        <w:bottom w:val="none" w:sz="0" w:space="0" w:color="auto"/>
        <w:right w:val="none" w:sz="0" w:space="0" w:color="auto"/>
      </w:divBdr>
    </w:div>
    <w:div w:id="736130475">
      <w:marLeft w:val="0"/>
      <w:marRight w:val="0"/>
      <w:marTop w:val="120"/>
      <w:marBottom w:val="0"/>
      <w:divBdr>
        <w:top w:val="none" w:sz="0" w:space="0" w:color="auto"/>
        <w:left w:val="none" w:sz="0" w:space="0" w:color="auto"/>
        <w:bottom w:val="none" w:sz="0" w:space="0" w:color="auto"/>
        <w:right w:val="none" w:sz="0" w:space="0" w:color="auto"/>
      </w:divBdr>
    </w:div>
    <w:div w:id="756245973">
      <w:marLeft w:val="0"/>
      <w:marRight w:val="0"/>
      <w:marTop w:val="0"/>
      <w:marBottom w:val="0"/>
      <w:divBdr>
        <w:top w:val="none" w:sz="0" w:space="0" w:color="auto"/>
        <w:left w:val="none" w:sz="0" w:space="0" w:color="auto"/>
        <w:bottom w:val="none" w:sz="0" w:space="0" w:color="auto"/>
        <w:right w:val="none" w:sz="0" w:space="0" w:color="auto"/>
      </w:divBdr>
      <w:divsChild>
        <w:div w:id="1213618367">
          <w:marLeft w:val="0"/>
          <w:marRight w:val="0"/>
          <w:marTop w:val="0"/>
          <w:marBottom w:val="0"/>
          <w:divBdr>
            <w:top w:val="none" w:sz="0" w:space="0" w:color="auto"/>
            <w:left w:val="none" w:sz="0" w:space="0" w:color="auto"/>
            <w:bottom w:val="none" w:sz="0" w:space="0" w:color="auto"/>
            <w:right w:val="none" w:sz="0" w:space="0" w:color="auto"/>
          </w:divBdr>
        </w:div>
      </w:divsChild>
    </w:div>
    <w:div w:id="759837048">
      <w:marLeft w:val="0"/>
      <w:marRight w:val="0"/>
      <w:marTop w:val="120"/>
      <w:marBottom w:val="0"/>
      <w:divBdr>
        <w:top w:val="none" w:sz="0" w:space="0" w:color="auto"/>
        <w:left w:val="none" w:sz="0" w:space="0" w:color="auto"/>
        <w:bottom w:val="none" w:sz="0" w:space="0" w:color="auto"/>
        <w:right w:val="none" w:sz="0" w:space="0" w:color="auto"/>
      </w:divBdr>
    </w:div>
    <w:div w:id="761494571">
      <w:marLeft w:val="0"/>
      <w:marRight w:val="0"/>
      <w:marTop w:val="240"/>
      <w:marBottom w:val="0"/>
      <w:divBdr>
        <w:top w:val="none" w:sz="0" w:space="0" w:color="auto"/>
        <w:left w:val="none" w:sz="0" w:space="0" w:color="auto"/>
        <w:bottom w:val="none" w:sz="0" w:space="0" w:color="auto"/>
        <w:right w:val="none" w:sz="0" w:space="0" w:color="auto"/>
      </w:divBdr>
    </w:div>
    <w:div w:id="761877066">
      <w:marLeft w:val="0"/>
      <w:marRight w:val="0"/>
      <w:marTop w:val="240"/>
      <w:marBottom w:val="0"/>
      <w:divBdr>
        <w:top w:val="none" w:sz="0" w:space="0" w:color="auto"/>
        <w:left w:val="none" w:sz="0" w:space="0" w:color="auto"/>
        <w:bottom w:val="none" w:sz="0" w:space="0" w:color="auto"/>
        <w:right w:val="none" w:sz="0" w:space="0" w:color="auto"/>
      </w:divBdr>
    </w:div>
    <w:div w:id="764158197">
      <w:marLeft w:val="0"/>
      <w:marRight w:val="0"/>
      <w:marTop w:val="240"/>
      <w:marBottom w:val="0"/>
      <w:divBdr>
        <w:top w:val="none" w:sz="0" w:space="0" w:color="auto"/>
        <w:left w:val="none" w:sz="0" w:space="0" w:color="auto"/>
        <w:bottom w:val="none" w:sz="0" w:space="0" w:color="auto"/>
        <w:right w:val="none" w:sz="0" w:space="0" w:color="auto"/>
      </w:divBdr>
    </w:div>
    <w:div w:id="778767877">
      <w:marLeft w:val="0"/>
      <w:marRight w:val="0"/>
      <w:marTop w:val="240"/>
      <w:marBottom w:val="0"/>
      <w:divBdr>
        <w:top w:val="none" w:sz="0" w:space="0" w:color="auto"/>
        <w:left w:val="none" w:sz="0" w:space="0" w:color="auto"/>
        <w:bottom w:val="none" w:sz="0" w:space="0" w:color="auto"/>
        <w:right w:val="none" w:sz="0" w:space="0" w:color="auto"/>
      </w:divBdr>
    </w:div>
    <w:div w:id="779760598">
      <w:marLeft w:val="0"/>
      <w:marRight w:val="0"/>
      <w:marTop w:val="240"/>
      <w:marBottom w:val="0"/>
      <w:divBdr>
        <w:top w:val="none" w:sz="0" w:space="0" w:color="auto"/>
        <w:left w:val="none" w:sz="0" w:space="0" w:color="auto"/>
        <w:bottom w:val="none" w:sz="0" w:space="0" w:color="auto"/>
        <w:right w:val="none" w:sz="0" w:space="0" w:color="auto"/>
      </w:divBdr>
    </w:div>
    <w:div w:id="787698502">
      <w:marLeft w:val="0"/>
      <w:marRight w:val="0"/>
      <w:marTop w:val="120"/>
      <w:marBottom w:val="0"/>
      <w:divBdr>
        <w:top w:val="none" w:sz="0" w:space="0" w:color="auto"/>
        <w:left w:val="none" w:sz="0" w:space="0" w:color="auto"/>
        <w:bottom w:val="none" w:sz="0" w:space="0" w:color="auto"/>
        <w:right w:val="none" w:sz="0" w:space="0" w:color="auto"/>
      </w:divBdr>
    </w:div>
    <w:div w:id="791896755">
      <w:marLeft w:val="0"/>
      <w:marRight w:val="0"/>
      <w:marTop w:val="240"/>
      <w:marBottom w:val="0"/>
      <w:divBdr>
        <w:top w:val="none" w:sz="0" w:space="0" w:color="auto"/>
        <w:left w:val="none" w:sz="0" w:space="0" w:color="auto"/>
        <w:bottom w:val="none" w:sz="0" w:space="0" w:color="auto"/>
        <w:right w:val="none" w:sz="0" w:space="0" w:color="auto"/>
      </w:divBdr>
      <w:divsChild>
        <w:div w:id="1329599742">
          <w:marLeft w:val="0"/>
          <w:marRight w:val="0"/>
          <w:marTop w:val="0"/>
          <w:marBottom w:val="0"/>
          <w:divBdr>
            <w:top w:val="none" w:sz="0" w:space="0" w:color="auto"/>
            <w:left w:val="none" w:sz="0" w:space="0" w:color="auto"/>
            <w:bottom w:val="none" w:sz="0" w:space="0" w:color="auto"/>
            <w:right w:val="none" w:sz="0" w:space="0" w:color="auto"/>
          </w:divBdr>
        </w:div>
      </w:divsChild>
    </w:div>
    <w:div w:id="792480294">
      <w:marLeft w:val="0"/>
      <w:marRight w:val="0"/>
      <w:marTop w:val="240"/>
      <w:marBottom w:val="0"/>
      <w:divBdr>
        <w:top w:val="none" w:sz="0" w:space="0" w:color="auto"/>
        <w:left w:val="none" w:sz="0" w:space="0" w:color="auto"/>
        <w:bottom w:val="none" w:sz="0" w:space="0" w:color="auto"/>
        <w:right w:val="none" w:sz="0" w:space="0" w:color="auto"/>
      </w:divBdr>
    </w:div>
    <w:div w:id="792676609">
      <w:marLeft w:val="0"/>
      <w:marRight w:val="0"/>
      <w:marTop w:val="120"/>
      <w:marBottom w:val="0"/>
      <w:divBdr>
        <w:top w:val="none" w:sz="0" w:space="0" w:color="auto"/>
        <w:left w:val="none" w:sz="0" w:space="0" w:color="auto"/>
        <w:bottom w:val="none" w:sz="0" w:space="0" w:color="auto"/>
        <w:right w:val="none" w:sz="0" w:space="0" w:color="auto"/>
      </w:divBdr>
    </w:div>
    <w:div w:id="794104226">
      <w:marLeft w:val="0"/>
      <w:marRight w:val="0"/>
      <w:marTop w:val="240"/>
      <w:marBottom w:val="0"/>
      <w:divBdr>
        <w:top w:val="none" w:sz="0" w:space="0" w:color="auto"/>
        <w:left w:val="none" w:sz="0" w:space="0" w:color="auto"/>
        <w:bottom w:val="none" w:sz="0" w:space="0" w:color="auto"/>
        <w:right w:val="none" w:sz="0" w:space="0" w:color="auto"/>
      </w:divBdr>
    </w:div>
    <w:div w:id="800197122">
      <w:marLeft w:val="0"/>
      <w:marRight w:val="0"/>
      <w:marTop w:val="200"/>
      <w:marBottom w:val="0"/>
      <w:divBdr>
        <w:top w:val="none" w:sz="0" w:space="0" w:color="auto"/>
        <w:left w:val="none" w:sz="0" w:space="0" w:color="auto"/>
        <w:bottom w:val="none" w:sz="0" w:space="0" w:color="auto"/>
        <w:right w:val="none" w:sz="0" w:space="0" w:color="auto"/>
      </w:divBdr>
    </w:div>
    <w:div w:id="801272203">
      <w:marLeft w:val="0"/>
      <w:marRight w:val="0"/>
      <w:marTop w:val="240"/>
      <w:marBottom w:val="0"/>
      <w:divBdr>
        <w:top w:val="none" w:sz="0" w:space="0" w:color="auto"/>
        <w:left w:val="none" w:sz="0" w:space="0" w:color="auto"/>
        <w:bottom w:val="none" w:sz="0" w:space="0" w:color="auto"/>
        <w:right w:val="none" w:sz="0" w:space="0" w:color="auto"/>
      </w:divBdr>
    </w:div>
    <w:div w:id="810757371">
      <w:marLeft w:val="0"/>
      <w:marRight w:val="0"/>
      <w:marTop w:val="240"/>
      <w:marBottom w:val="0"/>
      <w:divBdr>
        <w:top w:val="none" w:sz="0" w:space="0" w:color="auto"/>
        <w:left w:val="none" w:sz="0" w:space="0" w:color="auto"/>
        <w:bottom w:val="none" w:sz="0" w:space="0" w:color="auto"/>
        <w:right w:val="none" w:sz="0" w:space="0" w:color="auto"/>
      </w:divBdr>
    </w:div>
    <w:div w:id="812673731">
      <w:marLeft w:val="0"/>
      <w:marRight w:val="0"/>
      <w:marTop w:val="0"/>
      <w:marBottom w:val="0"/>
      <w:divBdr>
        <w:top w:val="none" w:sz="0" w:space="0" w:color="auto"/>
        <w:left w:val="none" w:sz="0" w:space="0" w:color="auto"/>
        <w:bottom w:val="none" w:sz="0" w:space="0" w:color="auto"/>
        <w:right w:val="none" w:sz="0" w:space="0" w:color="auto"/>
      </w:divBdr>
      <w:divsChild>
        <w:div w:id="1046487233">
          <w:marLeft w:val="0"/>
          <w:marRight w:val="0"/>
          <w:marTop w:val="0"/>
          <w:marBottom w:val="0"/>
          <w:divBdr>
            <w:top w:val="none" w:sz="0" w:space="0" w:color="auto"/>
            <w:left w:val="none" w:sz="0" w:space="0" w:color="auto"/>
            <w:bottom w:val="none" w:sz="0" w:space="0" w:color="auto"/>
            <w:right w:val="none" w:sz="0" w:space="0" w:color="auto"/>
          </w:divBdr>
        </w:div>
      </w:divsChild>
    </w:div>
    <w:div w:id="814027673">
      <w:marLeft w:val="0"/>
      <w:marRight w:val="0"/>
      <w:marTop w:val="0"/>
      <w:marBottom w:val="0"/>
      <w:divBdr>
        <w:top w:val="none" w:sz="0" w:space="0" w:color="auto"/>
        <w:left w:val="none" w:sz="0" w:space="0" w:color="auto"/>
        <w:bottom w:val="none" w:sz="0" w:space="0" w:color="auto"/>
        <w:right w:val="none" w:sz="0" w:space="0" w:color="auto"/>
      </w:divBdr>
      <w:divsChild>
        <w:div w:id="1401824396">
          <w:marLeft w:val="0"/>
          <w:marRight w:val="0"/>
          <w:marTop w:val="240"/>
          <w:marBottom w:val="0"/>
          <w:divBdr>
            <w:top w:val="none" w:sz="0" w:space="0" w:color="auto"/>
            <w:left w:val="none" w:sz="0" w:space="0" w:color="auto"/>
            <w:bottom w:val="none" w:sz="0" w:space="0" w:color="auto"/>
            <w:right w:val="none" w:sz="0" w:space="0" w:color="auto"/>
          </w:divBdr>
        </w:div>
      </w:divsChild>
    </w:div>
    <w:div w:id="822355999">
      <w:marLeft w:val="0"/>
      <w:marRight w:val="0"/>
      <w:marTop w:val="240"/>
      <w:marBottom w:val="0"/>
      <w:divBdr>
        <w:top w:val="none" w:sz="0" w:space="0" w:color="auto"/>
        <w:left w:val="none" w:sz="0" w:space="0" w:color="auto"/>
        <w:bottom w:val="none" w:sz="0" w:space="0" w:color="auto"/>
        <w:right w:val="none" w:sz="0" w:space="0" w:color="auto"/>
      </w:divBdr>
    </w:div>
    <w:div w:id="822819884">
      <w:marLeft w:val="0"/>
      <w:marRight w:val="0"/>
      <w:marTop w:val="120"/>
      <w:marBottom w:val="0"/>
      <w:divBdr>
        <w:top w:val="none" w:sz="0" w:space="0" w:color="auto"/>
        <w:left w:val="none" w:sz="0" w:space="0" w:color="auto"/>
        <w:bottom w:val="none" w:sz="0" w:space="0" w:color="auto"/>
        <w:right w:val="none" w:sz="0" w:space="0" w:color="auto"/>
      </w:divBdr>
    </w:div>
    <w:div w:id="823666023">
      <w:marLeft w:val="0"/>
      <w:marRight w:val="0"/>
      <w:marTop w:val="0"/>
      <w:marBottom w:val="0"/>
      <w:divBdr>
        <w:top w:val="none" w:sz="0" w:space="0" w:color="auto"/>
        <w:left w:val="none" w:sz="0" w:space="0" w:color="auto"/>
        <w:bottom w:val="none" w:sz="0" w:space="0" w:color="auto"/>
        <w:right w:val="none" w:sz="0" w:space="0" w:color="auto"/>
      </w:divBdr>
      <w:divsChild>
        <w:div w:id="415976188">
          <w:marLeft w:val="0"/>
          <w:marRight w:val="0"/>
          <w:marTop w:val="240"/>
          <w:marBottom w:val="0"/>
          <w:divBdr>
            <w:top w:val="none" w:sz="0" w:space="0" w:color="auto"/>
            <w:left w:val="none" w:sz="0" w:space="0" w:color="auto"/>
            <w:bottom w:val="none" w:sz="0" w:space="0" w:color="auto"/>
            <w:right w:val="none" w:sz="0" w:space="0" w:color="auto"/>
          </w:divBdr>
        </w:div>
      </w:divsChild>
    </w:div>
    <w:div w:id="827742900">
      <w:marLeft w:val="0"/>
      <w:marRight w:val="0"/>
      <w:marTop w:val="0"/>
      <w:marBottom w:val="0"/>
      <w:divBdr>
        <w:top w:val="none" w:sz="0" w:space="0" w:color="auto"/>
        <w:left w:val="none" w:sz="0" w:space="0" w:color="auto"/>
        <w:bottom w:val="none" w:sz="0" w:space="0" w:color="auto"/>
        <w:right w:val="none" w:sz="0" w:space="0" w:color="auto"/>
      </w:divBdr>
      <w:divsChild>
        <w:div w:id="1422022853">
          <w:marLeft w:val="0"/>
          <w:marRight w:val="0"/>
          <w:marTop w:val="0"/>
          <w:marBottom w:val="0"/>
          <w:divBdr>
            <w:top w:val="none" w:sz="0" w:space="0" w:color="auto"/>
            <w:left w:val="none" w:sz="0" w:space="0" w:color="auto"/>
            <w:bottom w:val="none" w:sz="0" w:space="0" w:color="auto"/>
            <w:right w:val="none" w:sz="0" w:space="0" w:color="auto"/>
          </w:divBdr>
        </w:div>
      </w:divsChild>
    </w:div>
    <w:div w:id="828206346">
      <w:marLeft w:val="0"/>
      <w:marRight w:val="0"/>
      <w:marTop w:val="240"/>
      <w:marBottom w:val="0"/>
      <w:divBdr>
        <w:top w:val="none" w:sz="0" w:space="0" w:color="auto"/>
        <w:left w:val="none" w:sz="0" w:space="0" w:color="auto"/>
        <w:bottom w:val="none" w:sz="0" w:space="0" w:color="auto"/>
        <w:right w:val="none" w:sz="0" w:space="0" w:color="auto"/>
      </w:divBdr>
    </w:div>
    <w:div w:id="834802844">
      <w:marLeft w:val="0"/>
      <w:marRight w:val="0"/>
      <w:marTop w:val="0"/>
      <w:marBottom w:val="0"/>
      <w:divBdr>
        <w:top w:val="none" w:sz="0" w:space="0" w:color="auto"/>
        <w:left w:val="none" w:sz="0" w:space="0" w:color="auto"/>
        <w:bottom w:val="none" w:sz="0" w:space="0" w:color="auto"/>
        <w:right w:val="none" w:sz="0" w:space="0" w:color="auto"/>
      </w:divBdr>
    </w:div>
    <w:div w:id="838077120">
      <w:marLeft w:val="0"/>
      <w:marRight w:val="0"/>
      <w:marTop w:val="240"/>
      <w:marBottom w:val="0"/>
      <w:divBdr>
        <w:top w:val="none" w:sz="0" w:space="0" w:color="auto"/>
        <w:left w:val="none" w:sz="0" w:space="0" w:color="auto"/>
        <w:bottom w:val="none" w:sz="0" w:space="0" w:color="auto"/>
        <w:right w:val="none" w:sz="0" w:space="0" w:color="auto"/>
      </w:divBdr>
    </w:div>
    <w:div w:id="839543580">
      <w:marLeft w:val="0"/>
      <w:marRight w:val="0"/>
      <w:marTop w:val="0"/>
      <w:marBottom w:val="0"/>
      <w:divBdr>
        <w:top w:val="none" w:sz="0" w:space="0" w:color="auto"/>
        <w:left w:val="none" w:sz="0" w:space="0" w:color="auto"/>
        <w:bottom w:val="none" w:sz="0" w:space="0" w:color="auto"/>
        <w:right w:val="none" w:sz="0" w:space="0" w:color="auto"/>
      </w:divBdr>
      <w:divsChild>
        <w:div w:id="1009867607">
          <w:marLeft w:val="0"/>
          <w:marRight w:val="0"/>
          <w:marTop w:val="240"/>
          <w:marBottom w:val="0"/>
          <w:divBdr>
            <w:top w:val="none" w:sz="0" w:space="0" w:color="auto"/>
            <w:left w:val="none" w:sz="0" w:space="0" w:color="auto"/>
            <w:bottom w:val="none" w:sz="0" w:space="0" w:color="auto"/>
            <w:right w:val="none" w:sz="0" w:space="0" w:color="auto"/>
          </w:divBdr>
        </w:div>
      </w:divsChild>
    </w:div>
    <w:div w:id="842666885">
      <w:marLeft w:val="0"/>
      <w:marRight w:val="0"/>
      <w:marTop w:val="0"/>
      <w:marBottom w:val="0"/>
      <w:divBdr>
        <w:top w:val="none" w:sz="0" w:space="0" w:color="auto"/>
        <w:left w:val="none" w:sz="0" w:space="0" w:color="auto"/>
        <w:bottom w:val="none" w:sz="0" w:space="0" w:color="auto"/>
        <w:right w:val="none" w:sz="0" w:space="0" w:color="auto"/>
      </w:divBdr>
      <w:divsChild>
        <w:div w:id="653483933">
          <w:marLeft w:val="0"/>
          <w:marRight w:val="0"/>
          <w:marTop w:val="0"/>
          <w:marBottom w:val="0"/>
          <w:divBdr>
            <w:top w:val="none" w:sz="0" w:space="0" w:color="auto"/>
            <w:left w:val="none" w:sz="0" w:space="0" w:color="auto"/>
            <w:bottom w:val="none" w:sz="0" w:space="0" w:color="auto"/>
            <w:right w:val="none" w:sz="0" w:space="0" w:color="auto"/>
          </w:divBdr>
        </w:div>
      </w:divsChild>
    </w:div>
    <w:div w:id="844323532">
      <w:marLeft w:val="0"/>
      <w:marRight w:val="0"/>
      <w:marTop w:val="240"/>
      <w:marBottom w:val="0"/>
      <w:divBdr>
        <w:top w:val="none" w:sz="0" w:space="0" w:color="auto"/>
        <w:left w:val="none" w:sz="0" w:space="0" w:color="auto"/>
        <w:bottom w:val="none" w:sz="0" w:space="0" w:color="auto"/>
        <w:right w:val="none" w:sz="0" w:space="0" w:color="auto"/>
      </w:divBdr>
    </w:div>
    <w:div w:id="845630766">
      <w:marLeft w:val="0"/>
      <w:marRight w:val="0"/>
      <w:marTop w:val="200"/>
      <w:marBottom w:val="0"/>
      <w:divBdr>
        <w:top w:val="none" w:sz="0" w:space="0" w:color="auto"/>
        <w:left w:val="none" w:sz="0" w:space="0" w:color="auto"/>
        <w:bottom w:val="none" w:sz="0" w:space="0" w:color="auto"/>
        <w:right w:val="none" w:sz="0" w:space="0" w:color="auto"/>
      </w:divBdr>
    </w:div>
    <w:div w:id="851647650">
      <w:marLeft w:val="0"/>
      <w:marRight w:val="0"/>
      <w:marTop w:val="0"/>
      <w:marBottom w:val="0"/>
      <w:divBdr>
        <w:top w:val="none" w:sz="0" w:space="0" w:color="auto"/>
        <w:left w:val="none" w:sz="0" w:space="0" w:color="auto"/>
        <w:bottom w:val="none" w:sz="0" w:space="0" w:color="auto"/>
        <w:right w:val="none" w:sz="0" w:space="0" w:color="auto"/>
      </w:divBdr>
    </w:div>
    <w:div w:id="854684246">
      <w:marLeft w:val="0"/>
      <w:marRight w:val="0"/>
      <w:marTop w:val="0"/>
      <w:marBottom w:val="0"/>
      <w:divBdr>
        <w:top w:val="none" w:sz="0" w:space="0" w:color="auto"/>
        <w:left w:val="none" w:sz="0" w:space="0" w:color="auto"/>
        <w:bottom w:val="none" w:sz="0" w:space="0" w:color="auto"/>
        <w:right w:val="none" w:sz="0" w:space="0" w:color="auto"/>
      </w:divBdr>
      <w:divsChild>
        <w:div w:id="686949194">
          <w:marLeft w:val="0"/>
          <w:marRight w:val="0"/>
          <w:marTop w:val="0"/>
          <w:marBottom w:val="0"/>
          <w:divBdr>
            <w:top w:val="none" w:sz="0" w:space="0" w:color="auto"/>
            <w:left w:val="none" w:sz="0" w:space="0" w:color="auto"/>
            <w:bottom w:val="none" w:sz="0" w:space="0" w:color="auto"/>
            <w:right w:val="none" w:sz="0" w:space="0" w:color="auto"/>
          </w:divBdr>
        </w:div>
      </w:divsChild>
    </w:div>
    <w:div w:id="882445735">
      <w:marLeft w:val="0"/>
      <w:marRight w:val="0"/>
      <w:marTop w:val="120"/>
      <w:marBottom w:val="0"/>
      <w:divBdr>
        <w:top w:val="none" w:sz="0" w:space="0" w:color="auto"/>
        <w:left w:val="none" w:sz="0" w:space="0" w:color="auto"/>
        <w:bottom w:val="none" w:sz="0" w:space="0" w:color="auto"/>
        <w:right w:val="none" w:sz="0" w:space="0" w:color="auto"/>
      </w:divBdr>
    </w:div>
    <w:div w:id="887112277">
      <w:marLeft w:val="0"/>
      <w:marRight w:val="0"/>
      <w:marTop w:val="0"/>
      <w:marBottom w:val="0"/>
      <w:divBdr>
        <w:top w:val="none" w:sz="0" w:space="0" w:color="auto"/>
        <w:left w:val="none" w:sz="0" w:space="0" w:color="auto"/>
        <w:bottom w:val="none" w:sz="0" w:space="0" w:color="auto"/>
        <w:right w:val="none" w:sz="0" w:space="0" w:color="auto"/>
      </w:divBdr>
      <w:divsChild>
        <w:div w:id="1354724608">
          <w:marLeft w:val="0"/>
          <w:marRight w:val="0"/>
          <w:marTop w:val="240"/>
          <w:marBottom w:val="0"/>
          <w:divBdr>
            <w:top w:val="none" w:sz="0" w:space="0" w:color="auto"/>
            <w:left w:val="none" w:sz="0" w:space="0" w:color="auto"/>
            <w:bottom w:val="none" w:sz="0" w:space="0" w:color="auto"/>
            <w:right w:val="none" w:sz="0" w:space="0" w:color="auto"/>
          </w:divBdr>
        </w:div>
      </w:divsChild>
    </w:div>
    <w:div w:id="888686548">
      <w:marLeft w:val="0"/>
      <w:marRight w:val="0"/>
      <w:marTop w:val="240"/>
      <w:marBottom w:val="0"/>
      <w:divBdr>
        <w:top w:val="none" w:sz="0" w:space="0" w:color="auto"/>
        <w:left w:val="none" w:sz="0" w:space="0" w:color="auto"/>
        <w:bottom w:val="none" w:sz="0" w:space="0" w:color="auto"/>
        <w:right w:val="none" w:sz="0" w:space="0" w:color="auto"/>
      </w:divBdr>
    </w:div>
    <w:div w:id="889876853">
      <w:marLeft w:val="0"/>
      <w:marRight w:val="0"/>
      <w:marTop w:val="0"/>
      <w:marBottom w:val="0"/>
      <w:divBdr>
        <w:top w:val="none" w:sz="0" w:space="0" w:color="auto"/>
        <w:left w:val="none" w:sz="0" w:space="0" w:color="auto"/>
        <w:bottom w:val="none" w:sz="0" w:space="0" w:color="auto"/>
        <w:right w:val="none" w:sz="0" w:space="0" w:color="auto"/>
      </w:divBdr>
      <w:divsChild>
        <w:div w:id="170876893">
          <w:marLeft w:val="0"/>
          <w:marRight w:val="0"/>
          <w:marTop w:val="240"/>
          <w:marBottom w:val="0"/>
          <w:divBdr>
            <w:top w:val="none" w:sz="0" w:space="0" w:color="auto"/>
            <w:left w:val="none" w:sz="0" w:space="0" w:color="auto"/>
            <w:bottom w:val="none" w:sz="0" w:space="0" w:color="auto"/>
            <w:right w:val="none" w:sz="0" w:space="0" w:color="auto"/>
          </w:divBdr>
        </w:div>
      </w:divsChild>
    </w:div>
    <w:div w:id="891385753">
      <w:marLeft w:val="0"/>
      <w:marRight w:val="0"/>
      <w:marTop w:val="120"/>
      <w:marBottom w:val="0"/>
      <w:divBdr>
        <w:top w:val="none" w:sz="0" w:space="0" w:color="auto"/>
        <w:left w:val="none" w:sz="0" w:space="0" w:color="auto"/>
        <w:bottom w:val="none" w:sz="0" w:space="0" w:color="auto"/>
        <w:right w:val="none" w:sz="0" w:space="0" w:color="auto"/>
      </w:divBdr>
    </w:div>
    <w:div w:id="908225933">
      <w:marLeft w:val="0"/>
      <w:marRight w:val="0"/>
      <w:marTop w:val="0"/>
      <w:marBottom w:val="0"/>
      <w:divBdr>
        <w:top w:val="none" w:sz="0" w:space="0" w:color="auto"/>
        <w:left w:val="none" w:sz="0" w:space="0" w:color="auto"/>
        <w:bottom w:val="none" w:sz="0" w:space="0" w:color="auto"/>
        <w:right w:val="none" w:sz="0" w:space="0" w:color="auto"/>
      </w:divBdr>
      <w:divsChild>
        <w:div w:id="278222405">
          <w:marLeft w:val="0"/>
          <w:marRight w:val="0"/>
          <w:marTop w:val="0"/>
          <w:marBottom w:val="0"/>
          <w:divBdr>
            <w:top w:val="none" w:sz="0" w:space="0" w:color="auto"/>
            <w:left w:val="none" w:sz="0" w:space="0" w:color="auto"/>
            <w:bottom w:val="none" w:sz="0" w:space="0" w:color="auto"/>
            <w:right w:val="none" w:sz="0" w:space="0" w:color="auto"/>
          </w:divBdr>
        </w:div>
      </w:divsChild>
    </w:div>
    <w:div w:id="909926777">
      <w:marLeft w:val="0"/>
      <w:marRight w:val="0"/>
      <w:marTop w:val="120"/>
      <w:marBottom w:val="0"/>
      <w:divBdr>
        <w:top w:val="none" w:sz="0" w:space="0" w:color="auto"/>
        <w:left w:val="none" w:sz="0" w:space="0" w:color="auto"/>
        <w:bottom w:val="none" w:sz="0" w:space="0" w:color="auto"/>
        <w:right w:val="none" w:sz="0" w:space="0" w:color="auto"/>
      </w:divBdr>
    </w:div>
    <w:div w:id="911738763">
      <w:marLeft w:val="0"/>
      <w:marRight w:val="0"/>
      <w:marTop w:val="120"/>
      <w:marBottom w:val="0"/>
      <w:divBdr>
        <w:top w:val="none" w:sz="0" w:space="0" w:color="auto"/>
        <w:left w:val="none" w:sz="0" w:space="0" w:color="auto"/>
        <w:bottom w:val="none" w:sz="0" w:space="0" w:color="auto"/>
        <w:right w:val="none" w:sz="0" w:space="0" w:color="auto"/>
      </w:divBdr>
    </w:div>
    <w:div w:id="914053879">
      <w:marLeft w:val="0"/>
      <w:marRight w:val="0"/>
      <w:marTop w:val="120"/>
      <w:marBottom w:val="0"/>
      <w:divBdr>
        <w:top w:val="none" w:sz="0" w:space="0" w:color="auto"/>
        <w:left w:val="none" w:sz="0" w:space="0" w:color="auto"/>
        <w:bottom w:val="none" w:sz="0" w:space="0" w:color="auto"/>
        <w:right w:val="none" w:sz="0" w:space="0" w:color="auto"/>
      </w:divBdr>
    </w:div>
    <w:div w:id="919869107">
      <w:marLeft w:val="0"/>
      <w:marRight w:val="0"/>
      <w:marTop w:val="0"/>
      <w:marBottom w:val="0"/>
      <w:divBdr>
        <w:top w:val="none" w:sz="0" w:space="0" w:color="auto"/>
        <w:left w:val="none" w:sz="0" w:space="0" w:color="auto"/>
        <w:bottom w:val="none" w:sz="0" w:space="0" w:color="auto"/>
        <w:right w:val="none" w:sz="0" w:space="0" w:color="auto"/>
      </w:divBdr>
      <w:divsChild>
        <w:div w:id="708148344">
          <w:marLeft w:val="0"/>
          <w:marRight w:val="0"/>
          <w:marTop w:val="0"/>
          <w:marBottom w:val="0"/>
          <w:divBdr>
            <w:top w:val="none" w:sz="0" w:space="0" w:color="auto"/>
            <w:left w:val="none" w:sz="0" w:space="0" w:color="auto"/>
            <w:bottom w:val="none" w:sz="0" w:space="0" w:color="auto"/>
            <w:right w:val="none" w:sz="0" w:space="0" w:color="auto"/>
          </w:divBdr>
        </w:div>
      </w:divsChild>
    </w:div>
    <w:div w:id="921719097">
      <w:marLeft w:val="0"/>
      <w:marRight w:val="0"/>
      <w:marTop w:val="240"/>
      <w:marBottom w:val="0"/>
      <w:divBdr>
        <w:top w:val="none" w:sz="0" w:space="0" w:color="auto"/>
        <w:left w:val="none" w:sz="0" w:space="0" w:color="auto"/>
        <w:bottom w:val="none" w:sz="0" w:space="0" w:color="auto"/>
        <w:right w:val="none" w:sz="0" w:space="0" w:color="auto"/>
      </w:divBdr>
    </w:div>
    <w:div w:id="929200050">
      <w:marLeft w:val="0"/>
      <w:marRight w:val="0"/>
      <w:marTop w:val="240"/>
      <w:marBottom w:val="0"/>
      <w:divBdr>
        <w:top w:val="none" w:sz="0" w:space="0" w:color="auto"/>
        <w:left w:val="none" w:sz="0" w:space="0" w:color="auto"/>
        <w:bottom w:val="none" w:sz="0" w:space="0" w:color="auto"/>
        <w:right w:val="none" w:sz="0" w:space="0" w:color="auto"/>
      </w:divBdr>
    </w:div>
    <w:div w:id="933130931">
      <w:marLeft w:val="0"/>
      <w:marRight w:val="0"/>
      <w:marTop w:val="240"/>
      <w:marBottom w:val="0"/>
      <w:divBdr>
        <w:top w:val="none" w:sz="0" w:space="0" w:color="auto"/>
        <w:left w:val="none" w:sz="0" w:space="0" w:color="auto"/>
        <w:bottom w:val="none" w:sz="0" w:space="0" w:color="auto"/>
        <w:right w:val="none" w:sz="0" w:space="0" w:color="auto"/>
      </w:divBdr>
    </w:div>
    <w:div w:id="935553198">
      <w:marLeft w:val="0"/>
      <w:marRight w:val="0"/>
      <w:marTop w:val="120"/>
      <w:marBottom w:val="0"/>
      <w:divBdr>
        <w:top w:val="none" w:sz="0" w:space="0" w:color="auto"/>
        <w:left w:val="none" w:sz="0" w:space="0" w:color="auto"/>
        <w:bottom w:val="none" w:sz="0" w:space="0" w:color="auto"/>
        <w:right w:val="none" w:sz="0" w:space="0" w:color="auto"/>
      </w:divBdr>
    </w:div>
    <w:div w:id="936787850">
      <w:marLeft w:val="0"/>
      <w:marRight w:val="0"/>
      <w:marTop w:val="120"/>
      <w:marBottom w:val="0"/>
      <w:divBdr>
        <w:top w:val="none" w:sz="0" w:space="0" w:color="auto"/>
        <w:left w:val="none" w:sz="0" w:space="0" w:color="auto"/>
        <w:bottom w:val="none" w:sz="0" w:space="0" w:color="auto"/>
        <w:right w:val="none" w:sz="0" w:space="0" w:color="auto"/>
      </w:divBdr>
    </w:div>
    <w:div w:id="945235992">
      <w:marLeft w:val="0"/>
      <w:marRight w:val="0"/>
      <w:marTop w:val="0"/>
      <w:marBottom w:val="0"/>
      <w:divBdr>
        <w:top w:val="none" w:sz="0" w:space="0" w:color="auto"/>
        <w:left w:val="none" w:sz="0" w:space="0" w:color="auto"/>
        <w:bottom w:val="none" w:sz="0" w:space="0" w:color="auto"/>
        <w:right w:val="none" w:sz="0" w:space="0" w:color="auto"/>
      </w:divBdr>
    </w:div>
    <w:div w:id="948121140">
      <w:marLeft w:val="0"/>
      <w:marRight w:val="0"/>
      <w:marTop w:val="240"/>
      <w:marBottom w:val="0"/>
      <w:divBdr>
        <w:top w:val="none" w:sz="0" w:space="0" w:color="auto"/>
        <w:left w:val="none" w:sz="0" w:space="0" w:color="auto"/>
        <w:bottom w:val="none" w:sz="0" w:space="0" w:color="auto"/>
        <w:right w:val="none" w:sz="0" w:space="0" w:color="auto"/>
      </w:divBdr>
    </w:div>
    <w:div w:id="948243828">
      <w:marLeft w:val="0"/>
      <w:marRight w:val="0"/>
      <w:marTop w:val="0"/>
      <w:marBottom w:val="0"/>
      <w:divBdr>
        <w:top w:val="none" w:sz="0" w:space="0" w:color="auto"/>
        <w:left w:val="none" w:sz="0" w:space="0" w:color="auto"/>
        <w:bottom w:val="none" w:sz="0" w:space="0" w:color="auto"/>
        <w:right w:val="none" w:sz="0" w:space="0" w:color="auto"/>
      </w:divBdr>
      <w:divsChild>
        <w:div w:id="1845971618">
          <w:marLeft w:val="0"/>
          <w:marRight w:val="0"/>
          <w:marTop w:val="0"/>
          <w:marBottom w:val="0"/>
          <w:divBdr>
            <w:top w:val="none" w:sz="0" w:space="0" w:color="auto"/>
            <w:left w:val="none" w:sz="0" w:space="0" w:color="auto"/>
            <w:bottom w:val="none" w:sz="0" w:space="0" w:color="auto"/>
            <w:right w:val="none" w:sz="0" w:space="0" w:color="auto"/>
          </w:divBdr>
        </w:div>
      </w:divsChild>
    </w:div>
    <w:div w:id="948858447">
      <w:marLeft w:val="0"/>
      <w:marRight w:val="0"/>
      <w:marTop w:val="240"/>
      <w:marBottom w:val="0"/>
      <w:divBdr>
        <w:top w:val="none" w:sz="0" w:space="0" w:color="auto"/>
        <w:left w:val="none" w:sz="0" w:space="0" w:color="auto"/>
        <w:bottom w:val="none" w:sz="0" w:space="0" w:color="auto"/>
        <w:right w:val="none" w:sz="0" w:space="0" w:color="auto"/>
      </w:divBdr>
    </w:div>
    <w:div w:id="953053966">
      <w:marLeft w:val="0"/>
      <w:marRight w:val="0"/>
      <w:marTop w:val="240"/>
      <w:marBottom w:val="0"/>
      <w:divBdr>
        <w:top w:val="none" w:sz="0" w:space="0" w:color="auto"/>
        <w:left w:val="none" w:sz="0" w:space="0" w:color="auto"/>
        <w:bottom w:val="none" w:sz="0" w:space="0" w:color="auto"/>
        <w:right w:val="none" w:sz="0" w:space="0" w:color="auto"/>
      </w:divBdr>
    </w:div>
    <w:div w:id="955061436">
      <w:marLeft w:val="0"/>
      <w:marRight w:val="0"/>
      <w:marTop w:val="120"/>
      <w:marBottom w:val="0"/>
      <w:divBdr>
        <w:top w:val="none" w:sz="0" w:space="0" w:color="auto"/>
        <w:left w:val="none" w:sz="0" w:space="0" w:color="auto"/>
        <w:bottom w:val="none" w:sz="0" w:space="0" w:color="auto"/>
        <w:right w:val="none" w:sz="0" w:space="0" w:color="auto"/>
      </w:divBdr>
    </w:div>
    <w:div w:id="960379381">
      <w:marLeft w:val="0"/>
      <w:marRight w:val="0"/>
      <w:marTop w:val="240"/>
      <w:marBottom w:val="0"/>
      <w:divBdr>
        <w:top w:val="none" w:sz="0" w:space="0" w:color="auto"/>
        <w:left w:val="none" w:sz="0" w:space="0" w:color="auto"/>
        <w:bottom w:val="none" w:sz="0" w:space="0" w:color="auto"/>
        <w:right w:val="none" w:sz="0" w:space="0" w:color="auto"/>
      </w:divBdr>
    </w:div>
    <w:div w:id="963925400">
      <w:marLeft w:val="0"/>
      <w:marRight w:val="0"/>
      <w:marTop w:val="240"/>
      <w:marBottom w:val="0"/>
      <w:divBdr>
        <w:top w:val="none" w:sz="0" w:space="0" w:color="auto"/>
        <w:left w:val="none" w:sz="0" w:space="0" w:color="auto"/>
        <w:bottom w:val="none" w:sz="0" w:space="0" w:color="auto"/>
        <w:right w:val="none" w:sz="0" w:space="0" w:color="auto"/>
      </w:divBdr>
    </w:div>
    <w:div w:id="964312714">
      <w:marLeft w:val="0"/>
      <w:marRight w:val="0"/>
      <w:marTop w:val="240"/>
      <w:marBottom w:val="0"/>
      <w:divBdr>
        <w:top w:val="none" w:sz="0" w:space="0" w:color="auto"/>
        <w:left w:val="none" w:sz="0" w:space="0" w:color="auto"/>
        <w:bottom w:val="none" w:sz="0" w:space="0" w:color="auto"/>
        <w:right w:val="none" w:sz="0" w:space="0" w:color="auto"/>
      </w:divBdr>
    </w:div>
    <w:div w:id="964967621">
      <w:marLeft w:val="0"/>
      <w:marRight w:val="0"/>
      <w:marTop w:val="240"/>
      <w:marBottom w:val="0"/>
      <w:divBdr>
        <w:top w:val="none" w:sz="0" w:space="0" w:color="auto"/>
        <w:left w:val="none" w:sz="0" w:space="0" w:color="auto"/>
        <w:bottom w:val="none" w:sz="0" w:space="0" w:color="auto"/>
        <w:right w:val="none" w:sz="0" w:space="0" w:color="auto"/>
      </w:divBdr>
    </w:div>
    <w:div w:id="967517404">
      <w:marLeft w:val="0"/>
      <w:marRight w:val="0"/>
      <w:marTop w:val="240"/>
      <w:marBottom w:val="0"/>
      <w:divBdr>
        <w:top w:val="none" w:sz="0" w:space="0" w:color="auto"/>
        <w:left w:val="none" w:sz="0" w:space="0" w:color="auto"/>
        <w:bottom w:val="none" w:sz="0" w:space="0" w:color="auto"/>
        <w:right w:val="none" w:sz="0" w:space="0" w:color="auto"/>
      </w:divBdr>
    </w:div>
    <w:div w:id="967853412">
      <w:marLeft w:val="0"/>
      <w:marRight w:val="0"/>
      <w:marTop w:val="200"/>
      <w:marBottom w:val="0"/>
      <w:divBdr>
        <w:top w:val="none" w:sz="0" w:space="0" w:color="auto"/>
        <w:left w:val="none" w:sz="0" w:space="0" w:color="auto"/>
        <w:bottom w:val="none" w:sz="0" w:space="0" w:color="auto"/>
        <w:right w:val="none" w:sz="0" w:space="0" w:color="auto"/>
      </w:divBdr>
    </w:div>
    <w:div w:id="968895289">
      <w:marLeft w:val="0"/>
      <w:marRight w:val="0"/>
      <w:marTop w:val="120"/>
      <w:marBottom w:val="0"/>
      <w:divBdr>
        <w:top w:val="none" w:sz="0" w:space="0" w:color="auto"/>
        <w:left w:val="none" w:sz="0" w:space="0" w:color="auto"/>
        <w:bottom w:val="none" w:sz="0" w:space="0" w:color="auto"/>
        <w:right w:val="none" w:sz="0" w:space="0" w:color="auto"/>
      </w:divBdr>
    </w:div>
    <w:div w:id="970284217">
      <w:marLeft w:val="0"/>
      <w:marRight w:val="0"/>
      <w:marTop w:val="240"/>
      <w:marBottom w:val="0"/>
      <w:divBdr>
        <w:top w:val="none" w:sz="0" w:space="0" w:color="auto"/>
        <w:left w:val="none" w:sz="0" w:space="0" w:color="auto"/>
        <w:bottom w:val="none" w:sz="0" w:space="0" w:color="auto"/>
        <w:right w:val="none" w:sz="0" w:space="0" w:color="auto"/>
      </w:divBdr>
    </w:div>
    <w:div w:id="971906671">
      <w:marLeft w:val="0"/>
      <w:marRight w:val="0"/>
      <w:marTop w:val="0"/>
      <w:marBottom w:val="0"/>
      <w:divBdr>
        <w:top w:val="none" w:sz="0" w:space="0" w:color="auto"/>
        <w:left w:val="none" w:sz="0" w:space="0" w:color="auto"/>
        <w:bottom w:val="none" w:sz="0" w:space="0" w:color="auto"/>
        <w:right w:val="none" w:sz="0" w:space="0" w:color="auto"/>
      </w:divBdr>
      <w:divsChild>
        <w:div w:id="283466156">
          <w:marLeft w:val="0"/>
          <w:marRight w:val="0"/>
          <w:marTop w:val="0"/>
          <w:marBottom w:val="0"/>
          <w:divBdr>
            <w:top w:val="none" w:sz="0" w:space="0" w:color="auto"/>
            <w:left w:val="none" w:sz="0" w:space="0" w:color="auto"/>
            <w:bottom w:val="none" w:sz="0" w:space="0" w:color="auto"/>
            <w:right w:val="none" w:sz="0" w:space="0" w:color="auto"/>
          </w:divBdr>
        </w:div>
      </w:divsChild>
    </w:div>
    <w:div w:id="973103360">
      <w:marLeft w:val="0"/>
      <w:marRight w:val="0"/>
      <w:marTop w:val="240"/>
      <w:marBottom w:val="0"/>
      <w:divBdr>
        <w:top w:val="none" w:sz="0" w:space="0" w:color="auto"/>
        <w:left w:val="none" w:sz="0" w:space="0" w:color="auto"/>
        <w:bottom w:val="none" w:sz="0" w:space="0" w:color="auto"/>
        <w:right w:val="none" w:sz="0" w:space="0" w:color="auto"/>
      </w:divBdr>
    </w:div>
    <w:div w:id="973407945">
      <w:marLeft w:val="0"/>
      <w:marRight w:val="0"/>
      <w:marTop w:val="240"/>
      <w:marBottom w:val="0"/>
      <w:divBdr>
        <w:top w:val="none" w:sz="0" w:space="0" w:color="auto"/>
        <w:left w:val="none" w:sz="0" w:space="0" w:color="auto"/>
        <w:bottom w:val="none" w:sz="0" w:space="0" w:color="auto"/>
        <w:right w:val="none" w:sz="0" w:space="0" w:color="auto"/>
      </w:divBdr>
    </w:div>
    <w:div w:id="978151352">
      <w:marLeft w:val="0"/>
      <w:marRight w:val="0"/>
      <w:marTop w:val="240"/>
      <w:marBottom w:val="0"/>
      <w:divBdr>
        <w:top w:val="none" w:sz="0" w:space="0" w:color="auto"/>
        <w:left w:val="none" w:sz="0" w:space="0" w:color="auto"/>
        <w:bottom w:val="none" w:sz="0" w:space="0" w:color="auto"/>
        <w:right w:val="none" w:sz="0" w:space="0" w:color="auto"/>
      </w:divBdr>
    </w:div>
    <w:div w:id="978539649">
      <w:marLeft w:val="0"/>
      <w:marRight w:val="0"/>
      <w:marTop w:val="120"/>
      <w:marBottom w:val="0"/>
      <w:divBdr>
        <w:top w:val="none" w:sz="0" w:space="0" w:color="auto"/>
        <w:left w:val="none" w:sz="0" w:space="0" w:color="auto"/>
        <w:bottom w:val="none" w:sz="0" w:space="0" w:color="auto"/>
        <w:right w:val="none" w:sz="0" w:space="0" w:color="auto"/>
      </w:divBdr>
    </w:div>
    <w:div w:id="978920138">
      <w:marLeft w:val="0"/>
      <w:marRight w:val="0"/>
      <w:marTop w:val="240"/>
      <w:marBottom w:val="0"/>
      <w:divBdr>
        <w:top w:val="none" w:sz="0" w:space="0" w:color="auto"/>
        <w:left w:val="none" w:sz="0" w:space="0" w:color="auto"/>
        <w:bottom w:val="none" w:sz="0" w:space="0" w:color="auto"/>
        <w:right w:val="none" w:sz="0" w:space="0" w:color="auto"/>
      </w:divBdr>
    </w:div>
    <w:div w:id="979504538">
      <w:marLeft w:val="0"/>
      <w:marRight w:val="0"/>
      <w:marTop w:val="240"/>
      <w:marBottom w:val="0"/>
      <w:divBdr>
        <w:top w:val="none" w:sz="0" w:space="0" w:color="auto"/>
        <w:left w:val="none" w:sz="0" w:space="0" w:color="auto"/>
        <w:bottom w:val="none" w:sz="0" w:space="0" w:color="auto"/>
        <w:right w:val="none" w:sz="0" w:space="0" w:color="auto"/>
      </w:divBdr>
    </w:div>
    <w:div w:id="987593198">
      <w:marLeft w:val="0"/>
      <w:marRight w:val="0"/>
      <w:marTop w:val="120"/>
      <w:marBottom w:val="0"/>
      <w:divBdr>
        <w:top w:val="none" w:sz="0" w:space="0" w:color="auto"/>
        <w:left w:val="none" w:sz="0" w:space="0" w:color="auto"/>
        <w:bottom w:val="none" w:sz="0" w:space="0" w:color="auto"/>
        <w:right w:val="none" w:sz="0" w:space="0" w:color="auto"/>
      </w:divBdr>
    </w:div>
    <w:div w:id="992876524">
      <w:marLeft w:val="0"/>
      <w:marRight w:val="0"/>
      <w:marTop w:val="240"/>
      <w:marBottom w:val="0"/>
      <w:divBdr>
        <w:top w:val="none" w:sz="0" w:space="0" w:color="auto"/>
        <w:left w:val="none" w:sz="0" w:space="0" w:color="auto"/>
        <w:bottom w:val="none" w:sz="0" w:space="0" w:color="auto"/>
        <w:right w:val="none" w:sz="0" w:space="0" w:color="auto"/>
      </w:divBdr>
    </w:div>
    <w:div w:id="999581960">
      <w:marLeft w:val="0"/>
      <w:marRight w:val="0"/>
      <w:marTop w:val="240"/>
      <w:marBottom w:val="0"/>
      <w:divBdr>
        <w:top w:val="none" w:sz="0" w:space="0" w:color="auto"/>
        <w:left w:val="none" w:sz="0" w:space="0" w:color="auto"/>
        <w:bottom w:val="none" w:sz="0" w:space="0" w:color="auto"/>
        <w:right w:val="none" w:sz="0" w:space="0" w:color="auto"/>
      </w:divBdr>
    </w:div>
    <w:div w:id="1003359591">
      <w:marLeft w:val="0"/>
      <w:marRight w:val="0"/>
      <w:marTop w:val="240"/>
      <w:marBottom w:val="0"/>
      <w:divBdr>
        <w:top w:val="none" w:sz="0" w:space="0" w:color="auto"/>
        <w:left w:val="none" w:sz="0" w:space="0" w:color="auto"/>
        <w:bottom w:val="none" w:sz="0" w:space="0" w:color="auto"/>
        <w:right w:val="none" w:sz="0" w:space="0" w:color="auto"/>
      </w:divBdr>
    </w:div>
    <w:div w:id="1005133407">
      <w:marLeft w:val="0"/>
      <w:marRight w:val="0"/>
      <w:marTop w:val="240"/>
      <w:marBottom w:val="0"/>
      <w:divBdr>
        <w:top w:val="none" w:sz="0" w:space="0" w:color="auto"/>
        <w:left w:val="none" w:sz="0" w:space="0" w:color="auto"/>
        <w:bottom w:val="none" w:sz="0" w:space="0" w:color="auto"/>
        <w:right w:val="none" w:sz="0" w:space="0" w:color="auto"/>
      </w:divBdr>
    </w:div>
    <w:div w:id="1006594523">
      <w:marLeft w:val="0"/>
      <w:marRight w:val="0"/>
      <w:marTop w:val="240"/>
      <w:marBottom w:val="0"/>
      <w:divBdr>
        <w:top w:val="none" w:sz="0" w:space="0" w:color="auto"/>
        <w:left w:val="none" w:sz="0" w:space="0" w:color="auto"/>
        <w:bottom w:val="none" w:sz="0" w:space="0" w:color="auto"/>
        <w:right w:val="none" w:sz="0" w:space="0" w:color="auto"/>
      </w:divBdr>
    </w:div>
    <w:div w:id="1011184073">
      <w:marLeft w:val="0"/>
      <w:marRight w:val="0"/>
      <w:marTop w:val="240"/>
      <w:marBottom w:val="0"/>
      <w:divBdr>
        <w:top w:val="none" w:sz="0" w:space="0" w:color="auto"/>
        <w:left w:val="none" w:sz="0" w:space="0" w:color="auto"/>
        <w:bottom w:val="none" w:sz="0" w:space="0" w:color="auto"/>
        <w:right w:val="none" w:sz="0" w:space="0" w:color="auto"/>
      </w:divBdr>
    </w:div>
    <w:div w:id="1012025791">
      <w:marLeft w:val="0"/>
      <w:marRight w:val="0"/>
      <w:marTop w:val="120"/>
      <w:marBottom w:val="0"/>
      <w:divBdr>
        <w:top w:val="none" w:sz="0" w:space="0" w:color="auto"/>
        <w:left w:val="none" w:sz="0" w:space="0" w:color="auto"/>
        <w:bottom w:val="none" w:sz="0" w:space="0" w:color="auto"/>
        <w:right w:val="none" w:sz="0" w:space="0" w:color="auto"/>
      </w:divBdr>
    </w:div>
    <w:div w:id="1014112256">
      <w:marLeft w:val="0"/>
      <w:marRight w:val="0"/>
      <w:marTop w:val="120"/>
      <w:marBottom w:val="0"/>
      <w:divBdr>
        <w:top w:val="none" w:sz="0" w:space="0" w:color="auto"/>
        <w:left w:val="none" w:sz="0" w:space="0" w:color="auto"/>
        <w:bottom w:val="none" w:sz="0" w:space="0" w:color="auto"/>
        <w:right w:val="none" w:sz="0" w:space="0" w:color="auto"/>
      </w:divBdr>
    </w:div>
    <w:div w:id="1014768798">
      <w:marLeft w:val="0"/>
      <w:marRight w:val="0"/>
      <w:marTop w:val="240"/>
      <w:marBottom w:val="0"/>
      <w:divBdr>
        <w:top w:val="none" w:sz="0" w:space="0" w:color="auto"/>
        <w:left w:val="none" w:sz="0" w:space="0" w:color="auto"/>
        <w:bottom w:val="none" w:sz="0" w:space="0" w:color="auto"/>
        <w:right w:val="none" w:sz="0" w:space="0" w:color="auto"/>
      </w:divBdr>
    </w:div>
    <w:div w:id="1017728598">
      <w:marLeft w:val="0"/>
      <w:marRight w:val="0"/>
      <w:marTop w:val="240"/>
      <w:marBottom w:val="240"/>
      <w:divBdr>
        <w:top w:val="none" w:sz="0" w:space="0" w:color="auto"/>
        <w:left w:val="none" w:sz="0" w:space="0" w:color="auto"/>
        <w:bottom w:val="none" w:sz="0" w:space="0" w:color="auto"/>
        <w:right w:val="none" w:sz="0" w:space="0" w:color="auto"/>
      </w:divBdr>
    </w:div>
    <w:div w:id="1018196646">
      <w:marLeft w:val="0"/>
      <w:marRight w:val="0"/>
      <w:marTop w:val="240"/>
      <w:marBottom w:val="0"/>
      <w:divBdr>
        <w:top w:val="none" w:sz="0" w:space="0" w:color="auto"/>
        <w:left w:val="none" w:sz="0" w:space="0" w:color="auto"/>
        <w:bottom w:val="none" w:sz="0" w:space="0" w:color="auto"/>
        <w:right w:val="none" w:sz="0" w:space="0" w:color="auto"/>
      </w:divBdr>
    </w:div>
    <w:div w:id="1027482226">
      <w:marLeft w:val="0"/>
      <w:marRight w:val="0"/>
      <w:marTop w:val="120"/>
      <w:marBottom w:val="0"/>
      <w:divBdr>
        <w:top w:val="none" w:sz="0" w:space="0" w:color="auto"/>
        <w:left w:val="none" w:sz="0" w:space="0" w:color="auto"/>
        <w:bottom w:val="none" w:sz="0" w:space="0" w:color="auto"/>
        <w:right w:val="none" w:sz="0" w:space="0" w:color="auto"/>
      </w:divBdr>
    </w:div>
    <w:div w:id="1029448391">
      <w:marLeft w:val="0"/>
      <w:marRight w:val="0"/>
      <w:marTop w:val="0"/>
      <w:marBottom w:val="0"/>
      <w:divBdr>
        <w:top w:val="none" w:sz="0" w:space="0" w:color="auto"/>
        <w:left w:val="none" w:sz="0" w:space="0" w:color="auto"/>
        <w:bottom w:val="none" w:sz="0" w:space="0" w:color="auto"/>
        <w:right w:val="none" w:sz="0" w:space="0" w:color="auto"/>
      </w:divBdr>
      <w:divsChild>
        <w:div w:id="1497725302">
          <w:marLeft w:val="0"/>
          <w:marRight w:val="0"/>
          <w:marTop w:val="240"/>
          <w:marBottom w:val="0"/>
          <w:divBdr>
            <w:top w:val="none" w:sz="0" w:space="0" w:color="auto"/>
            <w:left w:val="none" w:sz="0" w:space="0" w:color="auto"/>
            <w:bottom w:val="none" w:sz="0" w:space="0" w:color="auto"/>
            <w:right w:val="none" w:sz="0" w:space="0" w:color="auto"/>
          </w:divBdr>
        </w:div>
      </w:divsChild>
    </w:div>
    <w:div w:id="1030230200">
      <w:marLeft w:val="0"/>
      <w:marRight w:val="0"/>
      <w:marTop w:val="120"/>
      <w:marBottom w:val="0"/>
      <w:divBdr>
        <w:top w:val="none" w:sz="0" w:space="0" w:color="auto"/>
        <w:left w:val="none" w:sz="0" w:space="0" w:color="auto"/>
        <w:bottom w:val="none" w:sz="0" w:space="0" w:color="auto"/>
        <w:right w:val="none" w:sz="0" w:space="0" w:color="auto"/>
      </w:divBdr>
    </w:div>
    <w:div w:id="1031106689">
      <w:marLeft w:val="0"/>
      <w:marRight w:val="0"/>
      <w:marTop w:val="240"/>
      <w:marBottom w:val="0"/>
      <w:divBdr>
        <w:top w:val="none" w:sz="0" w:space="0" w:color="auto"/>
        <w:left w:val="none" w:sz="0" w:space="0" w:color="auto"/>
        <w:bottom w:val="none" w:sz="0" w:space="0" w:color="auto"/>
        <w:right w:val="none" w:sz="0" w:space="0" w:color="auto"/>
      </w:divBdr>
    </w:div>
    <w:div w:id="1031876424">
      <w:marLeft w:val="0"/>
      <w:marRight w:val="0"/>
      <w:marTop w:val="240"/>
      <w:marBottom w:val="0"/>
      <w:divBdr>
        <w:top w:val="none" w:sz="0" w:space="0" w:color="auto"/>
        <w:left w:val="none" w:sz="0" w:space="0" w:color="auto"/>
        <w:bottom w:val="none" w:sz="0" w:space="0" w:color="auto"/>
        <w:right w:val="none" w:sz="0" w:space="0" w:color="auto"/>
      </w:divBdr>
    </w:div>
    <w:div w:id="1033002456">
      <w:marLeft w:val="0"/>
      <w:marRight w:val="0"/>
      <w:marTop w:val="120"/>
      <w:marBottom w:val="0"/>
      <w:divBdr>
        <w:top w:val="none" w:sz="0" w:space="0" w:color="auto"/>
        <w:left w:val="none" w:sz="0" w:space="0" w:color="auto"/>
        <w:bottom w:val="none" w:sz="0" w:space="0" w:color="auto"/>
        <w:right w:val="none" w:sz="0" w:space="0" w:color="auto"/>
      </w:divBdr>
      <w:divsChild>
        <w:div w:id="657416545">
          <w:marLeft w:val="0"/>
          <w:marRight w:val="0"/>
          <w:marTop w:val="0"/>
          <w:marBottom w:val="0"/>
          <w:divBdr>
            <w:top w:val="none" w:sz="0" w:space="0" w:color="auto"/>
            <w:left w:val="none" w:sz="0" w:space="0" w:color="auto"/>
            <w:bottom w:val="none" w:sz="0" w:space="0" w:color="auto"/>
            <w:right w:val="none" w:sz="0" w:space="0" w:color="auto"/>
          </w:divBdr>
        </w:div>
        <w:div w:id="1714038091">
          <w:marLeft w:val="0"/>
          <w:marRight w:val="0"/>
          <w:marTop w:val="0"/>
          <w:marBottom w:val="0"/>
          <w:divBdr>
            <w:top w:val="none" w:sz="0" w:space="0" w:color="auto"/>
            <w:left w:val="none" w:sz="0" w:space="0" w:color="auto"/>
            <w:bottom w:val="none" w:sz="0" w:space="0" w:color="auto"/>
            <w:right w:val="none" w:sz="0" w:space="0" w:color="auto"/>
          </w:divBdr>
        </w:div>
        <w:div w:id="1063597793">
          <w:marLeft w:val="0"/>
          <w:marRight w:val="0"/>
          <w:marTop w:val="0"/>
          <w:marBottom w:val="0"/>
          <w:divBdr>
            <w:top w:val="none" w:sz="0" w:space="0" w:color="auto"/>
            <w:left w:val="none" w:sz="0" w:space="0" w:color="auto"/>
            <w:bottom w:val="none" w:sz="0" w:space="0" w:color="auto"/>
            <w:right w:val="none" w:sz="0" w:space="0" w:color="auto"/>
          </w:divBdr>
        </w:div>
        <w:div w:id="1982344579">
          <w:marLeft w:val="0"/>
          <w:marRight w:val="0"/>
          <w:marTop w:val="0"/>
          <w:marBottom w:val="0"/>
          <w:divBdr>
            <w:top w:val="none" w:sz="0" w:space="0" w:color="auto"/>
            <w:left w:val="none" w:sz="0" w:space="0" w:color="auto"/>
            <w:bottom w:val="none" w:sz="0" w:space="0" w:color="auto"/>
            <w:right w:val="none" w:sz="0" w:space="0" w:color="auto"/>
          </w:divBdr>
        </w:div>
        <w:div w:id="69618867">
          <w:marLeft w:val="0"/>
          <w:marRight w:val="0"/>
          <w:marTop w:val="0"/>
          <w:marBottom w:val="0"/>
          <w:divBdr>
            <w:top w:val="none" w:sz="0" w:space="0" w:color="auto"/>
            <w:left w:val="none" w:sz="0" w:space="0" w:color="auto"/>
            <w:bottom w:val="none" w:sz="0" w:space="0" w:color="auto"/>
            <w:right w:val="none" w:sz="0" w:space="0" w:color="auto"/>
          </w:divBdr>
        </w:div>
      </w:divsChild>
    </w:div>
    <w:div w:id="1035496762">
      <w:marLeft w:val="0"/>
      <w:marRight w:val="0"/>
      <w:marTop w:val="120"/>
      <w:marBottom w:val="0"/>
      <w:divBdr>
        <w:top w:val="none" w:sz="0" w:space="0" w:color="auto"/>
        <w:left w:val="none" w:sz="0" w:space="0" w:color="auto"/>
        <w:bottom w:val="none" w:sz="0" w:space="0" w:color="auto"/>
        <w:right w:val="none" w:sz="0" w:space="0" w:color="auto"/>
      </w:divBdr>
    </w:div>
    <w:div w:id="1038967586">
      <w:marLeft w:val="0"/>
      <w:marRight w:val="0"/>
      <w:marTop w:val="240"/>
      <w:marBottom w:val="0"/>
      <w:divBdr>
        <w:top w:val="none" w:sz="0" w:space="0" w:color="auto"/>
        <w:left w:val="none" w:sz="0" w:space="0" w:color="auto"/>
        <w:bottom w:val="none" w:sz="0" w:space="0" w:color="auto"/>
        <w:right w:val="none" w:sz="0" w:space="0" w:color="auto"/>
      </w:divBdr>
    </w:div>
    <w:div w:id="1042906246">
      <w:marLeft w:val="0"/>
      <w:marRight w:val="0"/>
      <w:marTop w:val="240"/>
      <w:marBottom w:val="0"/>
      <w:divBdr>
        <w:top w:val="none" w:sz="0" w:space="0" w:color="auto"/>
        <w:left w:val="none" w:sz="0" w:space="0" w:color="auto"/>
        <w:bottom w:val="none" w:sz="0" w:space="0" w:color="auto"/>
        <w:right w:val="none" w:sz="0" w:space="0" w:color="auto"/>
      </w:divBdr>
    </w:div>
    <w:div w:id="1043672795">
      <w:marLeft w:val="0"/>
      <w:marRight w:val="0"/>
      <w:marTop w:val="0"/>
      <w:marBottom w:val="0"/>
      <w:divBdr>
        <w:top w:val="none" w:sz="0" w:space="0" w:color="auto"/>
        <w:left w:val="none" w:sz="0" w:space="0" w:color="auto"/>
        <w:bottom w:val="none" w:sz="0" w:space="0" w:color="auto"/>
        <w:right w:val="none" w:sz="0" w:space="0" w:color="auto"/>
      </w:divBdr>
      <w:divsChild>
        <w:div w:id="1399085387">
          <w:marLeft w:val="0"/>
          <w:marRight w:val="0"/>
          <w:marTop w:val="0"/>
          <w:marBottom w:val="0"/>
          <w:divBdr>
            <w:top w:val="none" w:sz="0" w:space="0" w:color="auto"/>
            <w:left w:val="none" w:sz="0" w:space="0" w:color="auto"/>
            <w:bottom w:val="none" w:sz="0" w:space="0" w:color="auto"/>
            <w:right w:val="none" w:sz="0" w:space="0" w:color="auto"/>
          </w:divBdr>
        </w:div>
      </w:divsChild>
    </w:div>
    <w:div w:id="1048066309">
      <w:marLeft w:val="0"/>
      <w:marRight w:val="0"/>
      <w:marTop w:val="240"/>
      <w:marBottom w:val="0"/>
      <w:divBdr>
        <w:top w:val="none" w:sz="0" w:space="0" w:color="auto"/>
        <w:left w:val="none" w:sz="0" w:space="0" w:color="auto"/>
        <w:bottom w:val="none" w:sz="0" w:space="0" w:color="auto"/>
        <w:right w:val="none" w:sz="0" w:space="0" w:color="auto"/>
      </w:divBdr>
    </w:div>
    <w:div w:id="1049960418">
      <w:marLeft w:val="0"/>
      <w:marRight w:val="0"/>
      <w:marTop w:val="240"/>
      <w:marBottom w:val="0"/>
      <w:divBdr>
        <w:top w:val="none" w:sz="0" w:space="0" w:color="auto"/>
        <w:left w:val="none" w:sz="0" w:space="0" w:color="auto"/>
        <w:bottom w:val="none" w:sz="0" w:space="0" w:color="auto"/>
        <w:right w:val="none" w:sz="0" w:space="0" w:color="auto"/>
      </w:divBdr>
    </w:div>
    <w:div w:id="1052313533">
      <w:marLeft w:val="0"/>
      <w:marRight w:val="0"/>
      <w:marTop w:val="240"/>
      <w:marBottom w:val="0"/>
      <w:divBdr>
        <w:top w:val="none" w:sz="0" w:space="0" w:color="auto"/>
        <w:left w:val="none" w:sz="0" w:space="0" w:color="auto"/>
        <w:bottom w:val="none" w:sz="0" w:space="0" w:color="auto"/>
        <w:right w:val="none" w:sz="0" w:space="0" w:color="auto"/>
      </w:divBdr>
    </w:div>
    <w:div w:id="1073354278">
      <w:marLeft w:val="0"/>
      <w:marRight w:val="0"/>
      <w:marTop w:val="0"/>
      <w:marBottom w:val="0"/>
      <w:divBdr>
        <w:top w:val="none" w:sz="0" w:space="0" w:color="auto"/>
        <w:left w:val="none" w:sz="0" w:space="0" w:color="auto"/>
        <w:bottom w:val="none" w:sz="0" w:space="0" w:color="auto"/>
        <w:right w:val="none" w:sz="0" w:space="0" w:color="auto"/>
      </w:divBdr>
      <w:divsChild>
        <w:div w:id="857237606">
          <w:marLeft w:val="0"/>
          <w:marRight w:val="0"/>
          <w:marTop w:val="0"/>
          <w:marBottom w:val="0"/>
          <w:divBdr>
            <w:top w:val="none" w:sz="0" w:space="0" w:color="auto"/>
            <w:left w:val="none" w:sz="0" w:space="0" w:color="auto"/>
            <w:bottom w:val="none" w:sz="0" w:space="0" w:color="auto"/>
            <w:right w:val="none" w:sz="0" w:space="0" w:color="auto"/>
          </w:divBdr>
        </w:div>
      </w:divsChild>
    </w:div>
    <w:div w:id="1074861523">
      <w:marLeft w:val="0"/>
      <w:marRight w:val="0"/>
      <w:marTop w:val="120"/>
      <w:marBottom w:val="0"/>
      <w:divBdr>
        <w:top w:val="none" w:sz="0" w:space="0" w:color="auto"/>
        <w:left w:val="none" w:sz="0" w:space="0" w:color="auto"/>
        <w:bottom w:val="none" w:sz="0" w:space="0" w:color="auto"/>
        <w:right w:val="none" w:sz="0" w:space="0" w:color="auto"/>
      </w:divBdr>
    </w:div>
    <w:div w:id="1078208018">
      <w:marLeft w:val="0"/>
      <w:marRight w:val="0"/>
      <w:marTop w:val="240"/>
      <w:marBottom w:val="0"/>
      <w:divBdr>
        <w:top w:val="none" w:sz="0" w:space="0" w:color="auto"/>
        <w:left w:val="none" w:sz="0" w:space="0" w:color="auto"/>
        <w:bottom w:val="none" w:sz="0" w:space="0" w:color="auto"/>
        <w:right w:val="none" w:sz="0" w:space="0" w:color="auto"/>
      </w:divBdr>
    </w:div>
    <w:div w:id="1079984447">
      <w:marLeft w:val="0"/>
      <w:marRight w:val="0"/>
      <w:marTop w:val="240"/>
      <w:marBottom w:val="0"/>
      <w:divBdr>
        <w:top w:val="none" w:sz="0" w:space="0" w:color="auto"/>
        <w:left w:val="none" w:sz="0" w:space="0" w:color="auto"/>
        <w:bottom w:val="none" w:sz="0" w:space="0" w:color="auto"/>
        <w:right w:val="none" w:sz="0" w:space="0" w:color="auto"/>
      </w:divBdr>
    </w:div>
    <w:div w:id="1081029658">
      <w:marLeft w:val="0"/>
      <w:marRight w:val="0"/>
      <w:marTop w:val="240"/>
      <w:marBottom w:val="0"/>
      <w:divBdr>
        <w:top w:val="none" w:sz="0" w:space="0" w:color="auto"/>
        <w:left w:val="none" w:sz="0" w:space="0" w:color="auto"/>
        <w:bottom w:val="none" w:sz="0" w:space="0" w:color="auto"/>
        <w:right w:val="none" w:sz="0" w:space="0" w:color="auto"/>
      </w:divBdr>
    </w:div>
    <w:div w:id="1083836039">
      <w:marLeft w:val="0"/>
      <w:marRight w:val="0"/>
      <w:marTop w:val="120"/>
      <w:marBottom w:val="0"/>
      <w:divBdr>
        <w:top w:val="none" w:sz="0" w:space="0" w:color="auto"/>
        <w:left w:val="none" w:sz="0" w:space="0" w:color="auto"/>
        <w:bottom w:val="none" w:sz="0" w:space="0" w:color="auto"/>
        <w:right w:val="none" w:sz="0" w:space="0" w:color="auto"/>
      </w:divBdr>
    </w:div>
    <w:div w:id="1085804103">
      <w:marLeft w:val="0"/>
      <w:marRight w:val="0"/>
      <w:marTop w:val="240"/>
      <w:marBottom w:val="0"/>
      <w:divBdr>
        <w:top w:val="none" w:sz="0" w:space="0" w:color="auto"/>
        <w:left w:val="none" w:sz="0" w:space="0" w:color="auto"/>
        <w:bottom w:val="none" w:sz="0" w:space="0" w:color="auto"/>
        <w:right w:val="none" w:sz="0" w:space="0" w:color="auto"/>
      </w:divBdr>
    </w:div>
    <w:div w:id="1085959171">
      <w:marLeft w:val="0"/>
      <w:marRight w:val="0"/>
      <w:marTop w:val="60"/>
      <w:marBottom w:val="0"/>
      <w:divBdr>
        <w:top w:val="none" w:sz="0" w:space="0" w:color="auto"/>
        <w:left w:val="none" w:sz="0" w:space="0" w:color="auto"/>
        <w:bottom w:val="none" w:sz="0" w:space="0" w:color="auto"/>
        <w:right w:val="none" w:sz="0" w:space="0" w:color="auto"/>
      </w:divBdr>
    </w:div>
    <w:div w:id="1093210897">
      <w:marLeft w:val="0"/>
      <w:marRight w:val="0"/>
      <w:marTop w:val="0"/>
      <w:marBottom w:val="0"/>
      <w:divBdr>
        <w:top w:val="none" w:sz="0" w:space="0" w:color="auto"/>
        <w:left w:val="none" w:sz="0" w:space="0" w:color="auto"/>
        <w:bottom w:val="none" w:sz="0" w:space="0" w:color="auto"/>
        <w:right w:val="none" w:sz="0" w:space="0" w:color="auto"/>
      </w:divBdr>
      <w:divsChild>
        <w:div w:id="887645473">
          <w:marLeft w:val="0"/>
          <w:marRight w:val="0"/>
          <w:marTop w:val="240"/>
          <w:marBottom w:val="0"/>
          <w:divBdr>
            <w:top w:val="none" w:sz="0" w:space="0" w:color="auto"/>
            <w:left w:val="none" w:sz="0" w:space="0" w:color="auto"/>
            <w:bottom w:val="none" w:sz="0" w:space="0" w:color="auto"/>
            <w:right w:val="none" w:sz="0" w:space="0" w:color="auto"/>
          </w:divBdr>
        </w:div>
      </w:divsChild>
    </w:div>
    <w:div w:id="1094745553">
      <w:marLeft w:val="0"/>
      <w:marRight w:val="0"/>
      <w:marTop w:val="0"/>
      <w:marBottom w:val="0"/>
      <w:divBdr>
        <w:top w:val="none" w:sz="0" w:space="0" w:color="auto"/>
        <w:left w:val="none" w:sz="0" w:space="0" w:color="auto"/>
        <w:bottom w:val="none" w:sz="0" w:space="0" w:color="auto"/>
        <w:right w:val="none" w:sz="0" w:space="0" w:color="auto"/>
      </w:divBdr>
      <w:divsChild>
        <w:div w:id="1380548011">
          <w:marLeft w:val="0"/>
          <w:marRight w:val="0"/>
          <w:marTop w:val="0"/>
          <w:marBottom w:val="0"/>
          <w:divBdr>
            <w:top w:val="none" w:sz="0" w:space="0" w:color="auto"/>
            <w:left w:val="none" w:sz="0" w:space="0" w:color="auto"/>
            <w:bottom w:val="none" w:sz="0" w:space="0" w:color="auto"/>
            <w:right w:val="none" w:sz="0" w:space="0" w:color="auto"/>
          </w:divBdr>
        </w:div>
      </w:divsChild>
    </w:div>
    <w:div w:id="1097292759">
      <w:marLeft w:val="0"/>
      <w:marRight w:val="0"/>
      <w:marTop w:val="240"/>
      <w:marBottom w:val="0"/>
      <w:divBdr>
        <w:top w:val="none" w:sz="0" w:space="0" w:color="auto"/>
        <w:left w:val="none" w:sz="0" w:space="0" w:color="auto"/>
        <w:bottom w:val="none" w:sz="0" w:space="0" w:color="auto"/>
        <w:right w:val="none" w:sz="0" w:space="0" w:color="auto"/>
      </w:divBdr>
    </w:div>
    <w:div w:id="1098603531">
      <w:marLeft w:val="0"/>
      <w:marRight w:val="0"/>
      <w:marTop w:val="0"/>
      <w:marBottom w:val="0"/>
      <w:divBdr>
        <w:top w:val="none" w:sz="0" w:space="0" w:color="auto"/>
        <w:left w:val="none" w:sz="0" w:space="0" w:color="auto"/>
        <w:bottom w:val="none" w:sz="0" w:space="0" w:color="auto"/>
        <w:right w:val="none" w:sz="0" w:space="0" w:color="auto"/>
      </w:divBdr>
      <w:divsChild>
        <w:div w:id="2017268495">
          <w:marLeft w:val="0"/>
          <w:marRight w:val="0"/>
          <w:marTop w:val="0"/>
          <w:marBottom w:val="0"/>
          <w:divBdr>
            <w:top w:val="none" w:sz="0" w:space="0" w:color="auto"/>
            <w:left w:val="none" w:sz="0" w:space="0" w:color="auto"/>
            <w:bottom w:val="none" w:sz="0" w:space="0" w:color="auto"/>
            <w:right w:val="none" w:sz="0" w:space="0" w:color="auto"/>
          </w:divBdr>
        </w:div>
      </w:divsChild>
    </w:div>
    <w:div w:id="1100370145">
      <w:marLeft w:val="0"/>
      <w:marRight w:val="0"/>
      <w:marTop w:val="240"/>
      <w:marBottom w:val="0"/>
      <w:divBdr>
        <w:top w:val="none" w:sz="0" w:space="0" w:color="auto"/>
        <w:left w:val="none" w:sz="0" w:space="0" w:color="auto"/>
        <w:bottom w:val="none" w:sz="0" w:space="0" w:color="auto"/>
        <w:right w:val="none" w:sz="0" w:space="0" w:color="auto"/>
      </w:divBdr>
    </w:div>
    <w:div w:id="1102918654">
      <w:marLeft w:val="0"/>
      <w:marRight w:val="0"/>
      <w:marTop w:val="240"/>
      <w:marBottom w:val="0"/>
      <w:divBdr>
        <w:top w:val="none" w:sz="0" w:space="0" w:color="auto"/>
        <w:left w:val="none" w:sz="0" w:space="0" w:color="auto"/>
        <w:bottom w:val="none" w:sz="0" w:space="0" w:color="auto"/>
        <w:right w:val="none" w:sz="0" w:space="0" w:color="auto"/>
      </w:divBdr>
    </w:div>
    <w:div w:id="1105610359">
      <w:marLeft w:val="0"/>
      <w:marRight w:val="0"/>
      <w:marTop w:val="240"/>
      <w:marBottom w:val="0"/>
      <w:divBdr>
        <w:top w:val="none" w:sz="0" w:space="0" w:color="auto"/>
        <w:left w:val="none" w:sz="0" w:space="0" w:color="auto"/>
        <w:bottom w:val="none" w:sz="0" w:space="0" w:color="auto"/>
        <w:right w:val="none" w:sz="0" w:space="0" w:color="auto"/>
      </w:divBdr>
    </w:div>
    <w:div w:id="1111390874">
      <w:marLeft w:val="0"/>
      <w:marRight w:val="0"/>
      <w:marTop w:val="0"/>
      <w:marBottom w:val="0"/>
      <w:divBdr>
        <w:top w:val="none" w:sz="0" w:space="0" w:color="auto"/>
        <w:left w:val="none" w:sz="0" w:space="0" w:color="auto"/>
        <w:bottom w:val="none" w:sz="0" w:space="0" w:color="auto"/>
        <w:right w:val="none" w:sz="0" w:space="0" w:color="auto"/>
      </w:divBdr>
      <w:divsChild>
        <w:div w:id="1785272173">
          <w:marLeft w:val="0"/>
          <w:marRight w:val="0"/>
          <w:marTop w:val="0"/>
          <w:marBottom w:val="0"/>
          <w:divBdr>
            <w:top w:val="none" w:sz="0" w:space="0" w:color="auto"/>
            <w:left w:val="none" w:sz="0" w:space="0" w:color="auto"/>
            <w:bottom w:val="none" w:sz="0" w:space="0" w:color="auto"/>
            <w:right w:val="none" w:sz="0" w:space="0" w:color="auto"/>
          </w:divBdr>
        </w:div>
      </w:divsChild>
    </w:div>
    <w:div w:id="1111435117">
      <w:marLeft w:val="0"/>
      <w:marRight w:val="0"/>
      <w:marTop w:val="120"/>
      <w:marBottom w:val="0"/>
      <w:divBdr>
        <w:top w:val="none" w:sz="0" w:space="0" w:color="auto"/>
        <w:left w:val="none" w:sz="0" w:space="0" w:color="auto"/>
        <w:bottom w:val="none" w:sz="0" w:space="0" w:color="auto"/>
        <w:right w:val="none" w:sz="0" w:space="0" w:color="auto"/>
      </w:divBdr>
      <w:divsChild>
        <w:div w:id="113062937">
          <w:marLeft w:val="0"/>
          <w:marRight w:val="0"/>
          <w:marTop w:val="0"/>
          <w:marBottom w:val="0"/>
          <w:divBdr>
            <w:top w:val="none" w:sz="0" w:space="0" w:color="auto"/>
            <w:left w:val="none" w:sz="0" w:space="0" w:color="auto"/>
            <w:bottom w:val="none" w:sz="0" w:space="0" w:color="auto"/>
            <w:right w:val="none" w:sz="0" w:space="0" w:color="auto"/>
          </w:divBdr>
        </w:div>
      </w:divsChild>
    </w:div>
    <w:div w:id="1114593353">
      <w:marLeft w:val="0"/>
      <w:marRight w:val="0"/>
      <w:marTop w:val="0"/>
      <w:marBottom w:val="0"/>
      <w:divBdr>
        <w:top w:val="none" w:sz="0" w:space="0" w:color="auto"/>
        <w:left w:val="none" w:sz="0" w:space="0" w:color="auto"/>
        <w:bottom w:val="none" w:sz="0" w:space="0" w:color="auto"/>
        <w:right w:val="none" w:sz="0" w:space="0" w:color="auto"/>
      </w:divBdr>
      <w:divsChild>
        <w:div w:id="1701201793">
          <w:marLeft w:val="0"/>
          <w:marRight w:val="0"/>
          <w:marTop w:val="0"/>
          <w:marBottom w:val="0"/>
          <w:divBdr>
            <w:top w:val="none" w:sz="0" w:space="0" w:color="auto"/>
            <w:left w:val="none" w:sz="0" w:space="0" w:color="auto"/>
            <w:bottom w:val="none" w:sz="0" w:space="0" w:color="auto"/>
            <w:right w:val="none" w:sz="0" w:space="0" w:color="auto"/>
          </w:divBdr>
        </w:div>
      </w:divsChild>
    </w:div>
    <w:div w:id="1118530328">
      <w:marLeft w:val="0"/>
      <w:marRight w:val="0"/>
      <w:marTop w:val="240"/>
      <w:marBottom w:val="0"/>
      <w:divBdr>
        <w:top w:val="none" w:sz="0" w:space="0" w:color="auto"/>
        <w:left w:val="none" w:sz="0" w:space="0" w:color="auto"/>
        <w:bottom w:val="none" w:sz="0" w:space="0" w:color="auto"/>
        <w:right w:val="none" w:sz="0" w:space="0" w:color="auto"/>
      </w:divBdr>
    </w:div>
    <w:div w:id="1121462819">
      <w:marLeft w:val="0"/>
      <w:marRight w:val="0"/>
      <w:marTop w:val="240"/>
      <w:marBottom w:val="0"/>
      <w:divBdr>
        <w:top w:val="none" w:sz="0" w:space="0" w:color="auto"/>
        <w:left w:val="none" w:sz="0" w:space="0" w:color="auto"/>
        <w:bottom w:val="none" w:sz="0" w:space="0" w:color="auto"/>
        <w:right w:val="none" w:sz="0" w:space="0" w:color="auto"/>
      </w:divBdr>
    </w:div>
    <w:div w:id="1128553164">
      <w:marLeft w:val="0"/>
      <w:marRight w:val="0"/>
      <w:marTop w:val="240"/>
      <w:marBottom w:val="0"/>
      <w:divBdr>
        <w:top w:val="none" w:sz="0" w:space="0" w:color="auto"/>
        <w:left w:val="none" w:sz="0" w:space="0" w:color="auto"/>
        <w:bottom w:val="none" w:sz="0" w:space="0" w:color="auto"/>
        <w:right w:val="none" w:sz="0" w:space="0" w:color="auto"/>
      </w:divBdr>
    </w:div>
    <w:div w:id="1132138965">
      <w:marLeft w:val="0"/>
      <w:marRight w:val="0"/>
      <w:marTop w:val="240"/>
      <w:marBottom w:val="0"/>
      <w:divBdr>
        <w:top w:val="none" w:sz="0" w:space="0" w:color="auto"/>
        <w:left w:val="none" w:sz="0" w:space="0" w:color="auto"/>
        <w:bottom w:val="none" w:sz="0" w:space="0" w:color="auto"/>
        <w:right w:val="none" w:sz="0" w:space="0" w:color="auto"/>
      </w:divBdr>
    </w:div>
    <w:div w:id="1133719848">
      <w:marLeft w:val="0"/>
      <w:marRight w:val="0"/>
      <w:marTop w:val="240"/>
      <w:marBottom w:val="0"/>
      <w:divBdr>
        <w:top w:val="none" w:sz="0" w:space="0" w:color="auto"/>
        <w:left w:val="none" w:sz="0" w:space="0" w:color="auto"/>
        <w:bottom w:val="none" w:sz="0" w:space="0" w:color="auto"/>
        <w:right w:val="none" w:sz="0" w:space="0" w:color="auto"/>
      </w:divBdr>
    </w:div>
    <w:div w:id="1139150767">
      <w:marLeft w:val="0"/>
      <w:marRight w:val="0"/>
      <w:marTop w:val="0"/>
      <w:marBottom w:val="0"/>
      <w:divBdr>
        <w:top w:val="none" w:sz="0" w:space="0" w:color="auto"/>
        <w:left w:val="none" w:sz="0" w:space="0" w:color="auto"/>
        <w:bottom w:val="none" w:sz="0" w:space="0" w:color="auto"/>
        <w:right w:val="none" w:sz="0" w:space="0" w:color="auto"/>
      </w:divBdr>
      <w:divsChild>
        <w:div w:id="1670864124">
          <w:marLeft w:val="0"/>
          <w:marRight w:val="0"/>
          <w:marTop w:val="240"/>
          <w:marBottom w:val="0"/>
          <w:divBdr>
            <w:top w:val="none" w:sz="0" w:space="0" w:color="auto"/>
            <w:left w:val="none" w:sz="0" w:space="0" w:color="auto"/>
            <w:bottom w:val="none" w:sz="0" w:space="0" w:color="auto"/>
            <w:right w:val="none" w:sz="0" w:space="0" w:color="auto"/>
          </w:divBdr>
        </w:div>
      </w:divsChild>
    </w:div>
    <w:div w:id="1147548786">
      <w:marLeft w:val="0"/>
      <w:marRight w:val="0"/>
      <w:marTop w:val="240"/>
      <w:marBottom w:val="0"/>
      <w:divBdr>
        <w:top w:val="none" w:sz="0" w:space="0" w:color="auto"/>
        <w:left w:val="none" w:sz="0" w:space="0" w:color="auto"/>
        <w:bottom w:val="none" w:sz="0" w:space="0" w:color="auto"/>
        <w:right w:val="none" w:sz="0" w:space="0" w:color="auto"/>
      </w:divBdr>
    </w:div>
    <w:div w:id="1148668853">
      <w:marLeft w:val="0"/>
      <w:marRight w:val="0"/>
      <w:marTop w:val="0"/>
      <w:marBottom w:val="0"/>
      <w:divBdr>
        <w:top w:val="none" w:sz="0" w:space="0" w:color="auto"/>
        <w:left w:val="none" w:sz="0" w:space="0" w:color="auto"/>
        <w:bottom w:val="none" w:sz="0" w:space="0" w:color="auto"/>
        <w:right w:val="none" w:sz="0" w:space="0" w:color="auto"/>
      </w:divBdr>
    </w:div>
    <w:div w:id="1159153815">
      <w:marLeft w:val="0"/>
      <w:marRight w:val="0"/>
      <w:marTop w:val="0"/>
      <w:marBottom w:val="0"/>
      <w:divBdr>
        <w:top w:val="none" w:sz="0" w:space="0" w:color="auto"/>
        <w:left w:val="none" w:sz="0" w:space="0" w:color="auto"/>
        <w:bottom w:val="none" w:sz="0" w:space="0" w:color="auto"/>
        <w:right w:val="none" w:sz="0" w:space="0" w:color="auto"/>
      </w:divBdr>
    </w:div>
    <w:div w:id="1162282725">
      <w:marLeft w:val="0"/>
      <w:marRight w:val="0"/>
      <w:marTop w:val="0"/>
      <w:marBottom w:val="0"/>
      <w:divBdr>
        <w:top w:val="none" w:sz="0" w:space="0" w:color="auto"/>
        <w:left w:val="none" w:sz="0" w:space="0" w:color="auto"/>
        <w:bottom w:val="none" w:sz="0" w:space="0" w:color="auto"/>
        <w:right w:val="none" w:sz="0" w:space="0" w:color="auto"/>
      </w:divBdr>
      <w:divsChild>
        <w:div w:id="336662237">
          <w:marLeft w:val="0"/>
          <w:marRight w:val="0"/>
          <w:marTop w:val="0"/>
          <w:marBottom w:val="0"/>
          <w:divBdr>
            <w:top w:val="none" w:sz="0" w:space="0" w:color="auto"/>
            <w:left w:val="none" w:sz="0" w:space="0" w:color="auto"/>
            <w:bottom w:val="none" w:sz="0" w:space="0" w:color="auto"/>
            <w:right w:val="none" w:sz="0" w:space="0" w:color="auto"/>
          </w:divBdr>
        </w:div>
      </w:divsChild>
    </w:div>
    <w:div w:id="1171682917">
      <w:marLeft w:val="0"/>
      <w:marRight w:val="0"/>
      <w:marTop w:val="120"/>
      <w:marBottom w:val="0"/>
      <w:divBdr>
        <w:top w:val="none" w:sz="0" w:space="0" w:color="auto"/>
        <w:left w:val="none" w:sz="0" w:space="0" w:color="auto"/>
        <w:bottom w:val="none" w:sz="0" w:space="0" w:color="auto"/>
        <w:right w:val="none" w:sz="0" w:space="0" w:color="auto"/>
      </w:divBdr>
    </w:div>
    <w:div w:id="1173183975">
      <w:marLeft w:val="0"/>
      <w:marRight w:val="0"/>
      <w:marTop w:val="120"/>
      <w:marBottom w:val="0"/>
      <w:divBdr>
        <w:top w:val="none" w:sz="0" w:space="0" w:color="auto"/>
        <w:left w:val="none" w:sz="0" w:space="0" w:color="auto"/>
        <w:bottom w:val="none" w:sz="0" w:space="0" w:color="auto"/>
        <w:right w:val="none" w:sz="0" w:space="0" w:color="auto"/>
      </w:divBdr>
    </w:div>
    <w:div w:id="1194222490">
      <w:marLeft w:val="0"/>
      <w:marRight w:val="0"/>
      <w:marTop w:val="240"/>
      <w:marBottom w:val="0"/>
      <w:divBdr>
        <w:top w:val="none" w:sz="0" w:space="0" w:color="auto"/>
        <w:left w:val="none" w:sz="0" w:space="0" w:color="auto"/>
        <w:bottom w:val="none" w:sz="0" w:space="0" w:color="auto"/>
        <w:right w:val="none" w:sz="0" w:space="0" w:color="auto"/>
      </w:divBdr>
      <w:divsChild>
        <w:div w:id="1212158170">
          <w:marLeft w:val="0"/>
          <w:marRight w:val="0"/>
          <w:marTop w:val="0"/>
          <w:marBottom w:val="0"/>
          <w:divBdr>
            <w:top w:val="none" w:sz="0" w:space="0" w:color="auto"/>
            <w:left w:val="none" w:sz="0" w:space="0" w:color="auto"/>
            <w:bottom w:val="none" w:sz="0" w:space="0" w:color="auto"/>
            <w:right w:val="none" w:sz="0" w:space="0" w:color="auto"/>
          </w:divBdr>
        </w:div>
        <w:div w:id="90975571">
          <w:marLeft w:val="0"/>
          <w:marRight w:val="0"/>
          <w:marTop w:val="0"/>
          <w:marBottom w:val="0"/>
          <w:divBdr>
            <w:top w:val="none" w:sz="0" w:space="0" w:color="auto"/>
            <w:left w:val="none" w:sz="0" w:space="0" w:color="auto"/>
            <w:bottom w:val="none" w:sz="0" w:space="0" w:color="auto"/>
            <w:right w:val="none" w:sz="0" w:space="0" w:color="auto"/>
          </w:divBdr>
        </w:div>
        <w:div w:id="1303390194">
          <w:marLeft w:val="0"/>
          <w:marRight w:val="0"/>
          <w:marTop w:val="0"/>
          <w:marBottom w:val="0"/>
          <w:divBdr>
            <w:top w:val="none" w:sz="0" w:space="0" w:color="auto"/>
            <w:left w:val="none" w:sz="0" w:space="0" w:color="auto"/>
            <w:bottom w:val="none" w:sz="0" w:space="0" w:color="auto"/>
            <w:right w:val="none" w:sz="0" w:space="0" w:color="auto"/>
          </w:divBdr>
        </w:div>
        <w:div w:id="1936399449">
          <w:marLeft w:val="0"/>
          <w:marRight w:val="0"/>
          <w:marTop w:val="0"/>
          <w:marBottom w:val="0"/>
          <w:divBdr>
            <w:top w:val="none" w:sz="0" w:space="0" w:color="auto"/>
            <w:left w:val="none" w:sz="0" w:space="0" w:color="auto"/>
            <w:bottom w:val="none" w:sz="0" w:space="0" w:color="auto"/>
            <w:right w:val="none" w:sz="0" w:space="0" w:color="auto"/>
          </w:divBdr>
        </w:div>
        <w:div w:id="547104807">
          <w:marLeft w:val="0"/>
          <w:marRight w:val="0"/>
          <w:marTop w:val="0"/>
          <w:marBottom w:val="0"/>
          <w:divBdr>
            <w:top w:val="none" w:sz="0" w:space="0" w:color="auto"/>
            <w:left w:val="none" w:sz="0" w:space="0" w:color="auto"/>
            <w:bottom w:val="none" w:sz="0" w:space="0" w:color="auto"/>
            <w:right w:val="none" w:sz="0" w:space="0" w:color="auto"/>
          </w:divBdr>
        </w:div>
        <w:div w:id="1669210471">
          <w:marLeft w:val="0"/>
          <w:marRight w:val="0"/>
          <w:marTop w:val="0"/>
          <w:marBottom w:val="0"/>
          <w:divBdr>
            <w:top w:val="none" w:sz="0" w:space="0" w:color="auto"/>
            <w:left w:val="none" w:sz="0" w:space="0" w:color="auto"/>
            <w:bottom w:val="none" w:sz="0" w:space="0" w:color="auto"/>
            <w:right w:val="none" w:sz="0" w:space="0" w:color="auto"/>
          </w:divBdr>
        </w:div>
      </w:divsChild>
    </w:div>
    <w:div w:id="1199660635">
      <w:marLeft w:val="0"/>
      <w:marRight w:val="0"/>
      <w:marTop w:val="240"/>
      <w:marBottom w:val="0"/>
      <w:divBdr>
        <w:top w:val="none" w:sz="0" w:space="0" w:color="auto"/>
        <w:left w:val="none" w:sz="0" w:space="0" w:color="auto"/>
        <w:bottom w:val="none" w:sz="0" w:space="0" w:color="auto"/>
        <w:right w:val="none" w:sz="0" w:space="0" w:color="auto"/>
      </w:divBdr>
    </w:div>
    <w:div w:id="1201548362">
      <w:marLeft w:val="0"/>
      <w:marRight w:val="0"/>
      <w:marTop w:val="120"/>
      <w:marBottom w:val="0"/>
      <w:divBdr>
        <w:top w:val="none" w:sz="0" w:space="0" w:color="auto"/>
        <w:left w:val="none" w:sz="0" w:space="0" w:color="auto"/>
        <w:bottom w:val="none" w:sz="0" w:space="0" w:color="auto"/>
        <w:right w:val="none" w:sz="0" w:space="0" w:color="auto"/>
      </w:divBdr>
    </w:div>
    <w:div w:id="1205405856">
      <w:marLeft w:val="0"/>
      <w:marRight w:val="0"/>
      <w:marTop w:val="0"/>
      <w:marBottom w:val="0"/>
      <w:divBdr>
        <w:top w:val="none" w:sz="0" w:space="0" w:color="auto"/>
        <w:left w:val="none" w:sz="0" w:space="0" w:color="auto"/>
        <w:bottom w:val="none" w:sz="0" w:space="0" w:color="auto"/>
        <w:right w:val="none" w:sz="0" w:space="0" w:color="auto"/>
      </w:divBdr>
      <w:divsChild>
        <w:div w:id="1577398791">
          <w:marLeft w:val="0"/>
          <w:marRight w:val="0"/>
          <w:marTop w:val="240"/>
          <w:marBottom w:val="0"/>
          <w:divBdr>
            <w:top w:val="none" w:sz="0" w:space="0" w:color="auto"/>
            <w:left w:val="none" w:sz="0" w:space="0" w:color="auto"/>
            <w:bottom w:val="none" w:sz="0" w:space="0" w:color="auto"/>
            <w:right w:val="none" w:sz="0" w:space="0" w:color="auto"/>
          </w:divBdr>
        </w:div>
      </w:divsChild>
    </w:div>
    <w:div w:id="1208487108">
      <w:marLeft w:val="0"/>
      <w:marRight w:val="0"/>
      <w:marTop w:val="0"/>
      <w:marBottom w:val="0"/>
      <w:divBdr>
        <w:top w:val="none" w:sz="0" w:space="0" w:color="auto"/>
        <w:left w:val="none" w:sz="0" w:space="0" w:color="auto"/>
        <w:bottom w:val="none" w:sz="0" w:space="0" w:color="auto"/>
        <w:right w:val="none" w:sz="0" w:space="0" w:color="auto"/>
      </w:divBdr>
      <w:divsChild>
        <w:div w:id="179585964">
          <w:marLeft w:val="0"/>
          <w:marRight w:val="0"/>
          <w:marTop w:val="240"/>
          <w:marBottom w:val="0"/>
          <w:divBdr>
            <w:top w:val="none" w:sz="0" w:space="0" w:color="auto"/>
            <w:left w:val="none" w:sz="0" w:space="0" w:color="auto"/>
            <w:bottom w:val="none" w:sz="0" w:space="0" w:color="auto"/>
            <w:right w:val="none" w:sz="0" w:space="0" w:color="auto"/>
          </w:divBdr>
        </w:div>
      </w:divsChild>
    </w:div>
    <w:div w:id="1215460370">
      <w:marLeft w:val="0"/>
      <w:marRight w:val="0"/>
      <w:marTop w:val="240"/>
      <w:marBottom w:val="0"/>
      <w:divBdr>
        <w:top w:val="none" w:sz="0" w:space="0" w:color="auto"/>
        <w:left w:val="none" w:sz="0" w:space="0" w:color="auto"/>
        <w:bottom w:val="none" w:sz="0" w:space="0" w:color="auto"/>
        <w:right w:val="none" w:sz="0" w:space="0" w:color="auto"/>
      </w:divBdr>
    </w:div>
    <w:div w:id="1223562576">
      <w:marLeft w:val="0"/>
      <w:marRight w:val="0"/>
      <w:marTop w:val="120"/>
      <w:marBottom w:val="0"/>
      <w:divBdr>
        <w:top w:val="none" w:sz="0" w:space="0" w:color="auto"/>
        <w:left w:val="none" w:sz="0" w:space="0" w:color="auto"/>
        <w:bottom w:val="none" w:sz="0" w:space="0" w:color="auto"/>
        <w:right w:val="none" w:sz="0" w:space="0" w:color="auto"/>
      </w:divBdr>
    </w:div>
    <w:div w:id="1225526598">
      <w:marLeft w:val="0"/>
      <w:marRight w:val="0"/>
      <w:marTop w:val="0"/>
      <w:marBottom w:val="0"/>
      <w:divBdr>
        <w:top w:val="none" w:sz="0" w:space="0" w:color="auto"/>
        <w:left w:val="none" w:sz="0" w:space="0" w:color="auto"/>
        <w:bottom w:val="none" w:sz="0" w:space="0" w:color="auto"/>
        <w:right w:val="none" w:sz="0" w:space="0" w:color="auto"/>
      </w:divBdr>
      <w:divsChild>
        <w:div w:id="301034479">
          <w:marLeft w:val="0"/>
          <w:marRight w:val="0"/>
          <w:marTop w:val="0"/>
          <w:marBottom w:val="0"/>
          <w:divBdr>
            <w:top w:val="none" w:sz="0" w:space="0" w:color="auto"/>
            <w:left w:val="none" w:sz="0" w:space="0" w:color="auto"/>
            <w:bottom w:val="none" w:sz="0" w:space="0" w:color="auto"/>
            <w:right w:val="none" w:sz="0" w:space="0" w:color="auto"/>
          </w:divBdr>
        </w:div>
      </w:divsChild>
    </w:div>
    <w:div w:id="1226843673">
      <w:marLeft w:val="0"/>
      <w:marRight w:val="0"/>
      <w:marTop w:val="0"/>
      <w:marBottom w:val="0"/>
      <w:divBdr>
        <w:top w:val="none" w:sz="0" w:space="0" w:color="auto"/>
        <w:left w:val="none" w:sz="0" w:space="0" w:color="auto"/>
        <w:bottom w:val="none" w:sz="0" w:space="0" w:color="auto"/>
        <w:right w:val="none" w:sz="0" w:space="0" w:color="auto"/>
      </w:divBdr>
    </w:div>
    <w:div w:id="1232807203">
      <w:marLeft w:val="0"/>
      <w:marRight w:val="0"/>
      <w:marTop w:val="240"/>
      <w:marBottom w:val="0"/>
      <w:divBdr>
        <w:top w:val="none" w:sz="0" w:space="0" w:color="auto"/>
        <w:left w:val="none" w:sz="0" w:space="0" w:color="auto"/>
        <w:bottom w:val="none" w:sz="0" w:space="0" w:color="auto"/>
        <w:right w:val="none" w:sz="0" w:space="0" w:color="auto"/>
      </w:divBdr>
    </w:div>
    <w:div w:id="1234045774">
      <w:marLeft w:val="0"/>
      <w:marRight w:val="0"/>
      <w:marTop w:val="240"/>
      <w:marBottom w:val="0"/>
      <w:divBdr>
        <w:top w:val="none" w:sz="0" w:space="0" w:color="auto"/>
        <w:left w:val="none" w:sz="0" w:space="0" w:color="auto"/>
        <w:bottom w:val="none" w:sz="0" w:space="0" w:color="auto"/>
        <w:right w:val="none" w:sz="0" w:space="0" w:color="auto"/>
      </w:divBdr>
    </w:div>
    <w:div w:id="1234200787">
      <w:marLeft w:val="0"/>
      <w:marRight w:val="0"/>
      <w:marTop w:val="240"/>
      <w:marBottom w:val="0"/>
      <w:divBdr>
        <w:top w:val="none" w:sz="0" w:space="0" w:color="auto"/>
        <w:left w:val="none" w:sz="0" w:space="0" w:color="auto"/>
        <w:bottom w:val="none" w:sz="0" w:space="0" w:color="auto"/>
        <w:right w:val="none" w:sz="0" w:space="0" w:color="auto"/>
      </w:divBdr>
    </w:div>
    <w:div w:id="1238858057">
      <w:marLeft w:val="0"/>
      <w:marRight w:val="0"/>
      <w:marTop w:val="240"/>
      <w:marBottom w:val="0"/>
      <w:divBdr>
        <w:top w:val="none" w:sz="0" w:space="0" w:color="auto"/>
        <w:left w:val="none" w:sz="0" w:space="0" w:color="auto"/>
        <w:bottom w:val="none" w:sz="0" w:space="0" w:color="auto"/>
        <w:right w:val="none" w:sz="0" w:space="0" w:color="auto"/>
      </w:divBdr>
    </w:div>
    <w:div w:id="1241141406">
      <w:marLeft w:val="0"/>
      <w:marRight w:val="0"/>
      <w:marTop w:val="240"/>
      <w:marBottom w:val="0"/>
      <w:divBdr>
        <w:top w:val="none" w:sz="0" w:space="0" w:color="auto"/>
        <w:left w:val="none" w:sz="0" w:space="0" w:color="auto"/>
        <w:bottom w:val="none" w:sz="0" w:space="0" w:color="auto"/>
        <w:right w:val="none" w:sz="0" w:space="0" w:color="auto"/>
      </w:divBdr>
    </w:div>
    <w:div w:id="1244342435">
      <w:marLeft w:val="0"/>
      <w:marRight w:val="0"/>
      <w:marTop w:val="120"/>
      <w:marBottom w:val="0"/>
      <w:divBdr>
        <w:top w:val="none" w:sz="0" w:space="0" w:color="auto"/>
        <w:left w:val="none" w:sz="0" w:space="0" w:color="auto"/>
        <w:bottom w:val="none" w:sz="0" w:space="0" w:color="auto"/>
        <w:right w:val="none" w:sz="0" w:space="0" w:color="auto"/>
      </w:divBdr>
    </w:div>
    <w:div w:id="1246913190">
      <w:marLeft w:val="0"/>
      <w:marRight w:val="0"/>
      <w:marTop w:val="240"/>
      <w:marBottom w:val="0"/>
      <w:divBdr>
        <w:top w:val="none" w:sz="0" w:space="0" w:color="auto"/>
        <w:left w:val="none" w:sz="0" w:space="0" w:color="auto"/>
        <w:bottom w:val="none" w:sz="0" w:space="0" w:color="auto"/>
        <w:right w:val="none" w:sz="0" w:space="0" w:color="auto"/>
      </w:divBdr>
    </w:div>
    <w:div w:id="1251818789">
      <w:marLeft w:val="0"/>
      <w:marRight w:val="0"/>
      <w:marTop w:val="240"/>
      <w:marBottom w:val="0"/>
      <w:divBdr>
        <w:top w:val="none" w:sz="0" w:space="0" w:color="auto"/>
        <w:left w:val="none" w:sz="0" w:space="0" w:color="auto"/>
        <w:bottom w:val="none" w:sz="0" w:space="0" w:color="auto"/>
        <w:right w:val="none" w:sz="0" w:space="0" w:color="auto"/>
      </w:divBdr>
    </w:div>
    <w:div w:id="1267932303">
      <w:marLeft w:val="0"/>
      <w:marRight w:val="0"/>
      <w:marTop w:val="120"/>
      <w:marBottom w:val="0"/>
      <w:divBdr>
        <w:top w:val="none" w:sz="0" w:space="0" w:color="auto"/>
        <w:left w:val="none" w:sz="0" w:space="0" w:color="auto"/>
        <w:bottom w:val="none" w:sz="0" w:space="0" w:color="auto"/>
        <w:right w:val="none" w:sz="0" w:space="0" w:color="auto"/>
      </w:divBdr>
    </w:div>
    <w:div w:id="1270308987">
      <w:marLeft w:val="0"/>
      <w:marRight w:val="0"/>
      <w:marTop w:val="120"/>
      <w:marBottom w:val="0"/>
      <w:divBdr>
        <w:top w:val="none" w:sz="0" w:space="0" w:color="auto"/>
        <w:left w:val="none" w:sz="0" w:space="0" w:color="auto"/>
        <w:bottom w:val="none" w:sz="0" w:space="0" w:color="auto"/>
        <w:right w:val="none" w:sz="0" w:space="0" w:color="auto"/>
      </w:divBdr>
    </w:div>
    <w:div w:id="1270510951">
      <w:marLeft w:val="0"/>
      <w:marRight w:val="0"/>
      <w:marTop w:val="240"/>
      <w:marBottom w:val="0"/>
      <w:divBdr>
        <w:top w:val="none" w:sz="0" w:space="0" w:color="auto"/>
        <w:left w:val="none" w:sz="0" w:space="0" w:color="auto"/>
        <w:bottom w:val="none" w:sz="0" w:space="0" w:color="auto"/>
        <w:right w:val="none" w:sz="0" w:space="0" w:color="auto"/>
      </w:divBdr>
    </w:div>
    <w:div w:id="1270818229">
      <w:marLeft w:val="0"/>
      <w:marRight w:val="0"/>
      <w:marTop w:val="240"/>
      <w:marBottom w:val="0"/>
      <w:divBdr>
        <w:top w:val="none" w:sz="0" w:space="0" w:color="auto"/>
        <w:left w:val="none" w:sz="0" w:space="0" w:color="auto"/>
        <w:bottom w:val="none" w:sz="0" w:space="0" w:color="auto"/>
        <w:right w:val="none" w:sz="0" w:space="0" w:color="auto"/>
      </w:divBdr>
    </w:div>
    <w:div w:id="1272476622">
      <w:marLeft w:val="0"/>
      <w:marRight w:val="0"/>
      <w:marTop w:val="240"/>
      <w:marBottom w:val="0"/>
      <w:divBdr>
        <w:top w:val="none" w:sz="0" w:space="0" w:color="auto"/>
        <w:left w:val="none" w:sz="0" w:space="0" w:color="auto"/>
        <w:bottom w:val="none" w:sz="0" w:space="0" w:color="auto"/>
        <w:right w:val="none" w:sz="0" w:space="0" w:color="auto"/>
      </w:divBdr>
      <w:divsChild>
        <w:div w:id="72896700">
          <w:marLeft w:val="0"/>
          <w:marRight w:val="0"/>
          <w:marTop w:val="0"/>
          <w:marBottom w:val="0"/>
          <w:divBdr>
            <w:top w:val="none" w:sz="0" w:space="0" w:color="auto"/>
            <w:left w:val="none" w:sz="0" w:space="0" w:color="auto"/>
            <w:bottom w:val="none" w:sz="0" w:space="0" w:color="auto"/>
            <w:right w:val="none" w:sz="0" w:space="0" w:color="auto"/>
          </w:divBdr>
        </w:div>
        <w:div w:id="1315067261">
          <w:marLeft w:val="0"/>
          <w:marRight w:val="0"/>
          <w:marTop w:val="0"/>
          <w:marBottom w:val="0"/>
          <w:divBdr>
            <w:top w:val="none" w:sz="0" w:space="0" w:color="auto"/>
            <w:left w:val="none" w:sz="0" w:space="0" w:color="auto"/>
            <w:bottom w:val="none" w:sz="0" w:space="0" w:color="auto"/>
            <w:right w:val="none" w:sz="0" w:space="0" w:color="auto"/>
          </w:divBdr>
        </w:div>
        <w:div w:id="782457090">
          <w:marLeft w:val="0"/>
          <w:marRight w:val="0"/>
          <w:marTop w:val="0"/>
          <w:marBottom w:val="0"/>
          <w:divBdr>
            <w:top w:val="none" w:sz="0" w:space="0" w:color="auto"/>
            <w:left w:val="none" w:sz="0" w:space="0" w:color="auto"/>
            <w:bottom w:val="none" w:sz="0" w:space="0" w:color="auto"/>
            <w:right w:val="none" w:sz="0" w:space="0" w:color="auto"/>
          </w:divBdr>
        </w:div>
        <w:div w:id="1378815066">
          <w:marLeft w:val="0"/>
          <w:marRight w:val="0"/>
          <w:marTop w:val="0"/>
          <w:marBottom w:val="0"/>
          <w:divBdr>
            <w:top w:val="none" w:sz="0" w:space="0" w:color="auto"/>
            <w:left w:val="none" w:sz="0" w:space="0" w:color="auto"/>
            <w:bottom w:val="none" w:sz="0" w:space="0" w:color="auto"/>
            <w:right w:val="none" w:sz="0" w:space="0" w:color="auto"/>
          </w:divBdr>
        </w:div>
        <w:div w:id="1789734769">
          <w:marLeft w:val="0"/>
          <w:marRight w:val="0"/>
          <w:marTop w:val="0"/>
          <w:marBottom w:val="0"/>
          <w:divBdr>
            <w:top w:val="none" w:sz="0" w:space="0" w:color="auto"/>
            <w:left w:val="none" w:sz="0" w:space="0" w:color="auto"/>
            <w:bottom w:val="none" w:sz="0" w:space="0" w:color="auto"/>
            <w:right w:val="none" w:sz="0" w:space="0" w:color="auto"/>
          </w:divBdr>
        </w:div>
        <w:div w:id="687609850">
          <w:marLeft w:val="0"/>
          <w:marRight w:val="0"/>
          <w:marTop w:val="0"/>
          <w:marBottom w:val="0"/>
          <w:divBdr>
            <w:top w:val="none" w:sz="0" w:space="0" w:color="auto"/>
            <w:left w:val="none" w:sz="0" w:space="0" w:color="auto"/>
            <w:bottom w:val="none" w:sz="0" w:space="0" w:color="auto"/>
            <w:right w:val="none" w:sz="0" w:space="0" w:color="auto"/>
          </w:divBdr>
        </w:div>
      </w:divsChild>
    </w:div>
    <w:div w:id="1283729882">
      <w:marLeft w:val="0"/>
      <w:marRight w:val="0"/>
      <w:marTop w:val="120"/>
      <w:marBottom w:val="0"/>
      <w:divBdr>
        <w:top w:val="none" w:sz="0" w:space="0" w:color="auto"/>
        <w:left w:val="none" w:sz="0" w:space="0" w:color="auto"/>
        <w:bottom w:val="none" w:sz="0" w:space="0" w:color="auto"/>
        <w:right w:val="none" w:sz="0" w:space="0" w:color="auto"/>
      </w:divBdr>
    </w:div>
    <w:div w:id="1287005427">
      <w:marLeft w:val="0"/>
      <w:marRight w:val="0"/>
      <w:marTop w:val="240"/>
      <w:marBottom w:val="0"/>
      <w:divBdr>
        <w:top w:val="none" w:sz="0" w:space="0" w:color="auto"/>
        <w:left w:val="none" w:sz="0" w:space="0" w:color="auto"/>
        <w:bottom w:val="none" w:sz="0" w:space="0" w:color="auto"/>
        <w:right w:val="none" w:sz="0" w:space="0" w:color="auto"/>
      </w:divBdr>
    </w:div>
    <w:div w:id="1291664074">
      <w:marLeft w:val="0"/>
      <w:marRight w:val="0"/>
      <w:marTop w:val="240"/>
      <w:marBottom w:val="0"/>
      <w:divBdr>
        <w:top w:val="none" w:sz="0" w:space="0" w:color="auto"/>
        <w:left w:val="none" w:sz="0" w:space="0" w:color="auto"/>
        <w:bottom w:val="none" w:sz="0" w:space="0" w:color="auto"/>
        <w:right w:val="none" w:sz="0" w:space="0" w:color="auto"/>
      </w:divBdr>
    </w:div>
    <w:div w:id="1293824158">
      <w:marLeft w:val="0"/>
      <w:marRight w:val="0"/>
      <w:marTop w:val="240"/>
      <w:marBottom w:val="0"/>
      <w:divBdr>
        <w:top w:val="none" w:sz="0" w:space="0" w:color="auto"/>
        <w:left w:val="none" w:sz="0" w:space="0" w:color="auto"/>
        <w:bottom w:val="none" w:sz="0" w:space="0" w:color="auto"/>
        <w:right w:val="none" w:sz="0" w:space="0" w:color="auto"/>
      </w:divBdr>
    </w:div>
    <w:div w:id="1294099424">
      <w:marLeft w:val="0"/>
      <w:marRight w:val="0"/>
      <w:marTop w:val="120"/>
      <w:marBottom w:val="0"/>
      <w:divBdr>
        <w:top w:val="none" w:sz="0" w:space="0" w:color="auto"/>
        <w:left w:val="none" w:sz="0" w:space="0" w:color="auto"/>
        <w:bottom w:val="none" w:sz="0" w:space="0" w:color="auto"/>
        <w:right w:val="none" w:sz="0" w:space="0" w:color="auto"/>
      </w:divBdr>
    </w:div>
    <w:div w:id="1295134046">
      <w:marLeft w:val="0"/>
      <w:marRight w:val="0"/>
      <w:marTop w:val="240"/>
      <w:marBottom w:val="0"/>
      <w:divBdr>
        <w:top w:val="none" w:sz="0" w:space="0" w:color="auto"/>
        <w:left w:val="none" w:sz="0" w:space="0" w:color="auto"/>
        <w:bottom w:val="none" w:sz="0" w:space="0" w:color="auto"/>
        <w:right w:val="none" w:sz="0" w:space="0" w:color="auto"/>
      </w:divBdr>
    </w:div>
    <w:div w:id="1308585495">
      <w:marLeft w:val="0"/>
      <w:marRight w:val="0"/>
      <w:marTop w:val="240"/>
      <w:marBottom w:val="0"/>
      <w:divBdr>
        <w:top w:val="none" w:sz="0" w:space="0" w:color="auto"/>
        <w:left w:val="none" w:sz="0" w:space="0" w:color="auto"/>
        <w:bottom w:val="none" w:sz="0" w:space="0" w:color="auto"/>
        <w:right w:val="none" w:sz="0" w:space="0" w:color="auto"/>
      </w:divBdr>
    </w:div>
    <w:div w:id="1328825370">
      <w:marLeft w:val="0"/>
      <w:marRight w:val="0"/>
      <w:marTop w:val="240"/>
      <w:marBottom w:val="0"/>
      <w:divBdr>
        <w:top w:val="none" w:sz="0" w:space="0" w:color="auto"/>
        <w:left w:val="none" w:sz="0" w:space="0" w:color="auto"/>
        <w:bottom w:val="none" w:sz="0" w:space="0" w:color="auto"/>
        <w:right w:val="none" w:sz="0" w:space="0" w:color="auto"/>
      </w:divBdr>
    </w:div>
    <w:div w:id="1335645066">
      <w:marLeft w:val="0"/>
      <w:marRight w:val="0"/>
      <w:marTop w:val="0"/>
      <w:marBottom w:val="0"/>
      <w:divBdr>
        <w:top w:val="none" w:sz="0" w:space="0" w:color="auto"/>
        <w:left w:val="none" w:sz="0" w:space="0" w:color="auto"/>
        <w:bottom w:val="none" w:sz="0" w:space="0" w:color="auto"/>
        <w:right w:val="none" w:sz="0" w:space="0" w:color="auto"/>
      </w:divBdr>
    </w:div>
    <w:div w:id="1338845442">
      <w:marLeft w:val="0"/>
      <w:marRight w:val="0"/>
      <w:marTop w:val="0"/>
      <w:marBottom w:val="0"/>
      <w:divBdr>
        <w:top w:val="none" w:sz="0" w:space="0" w:color="auto"/>
        <w:left w:val="none" w:sz="0" w:space="0" w:color="auto"/>
        <w:bottom w:val="none" w:sz="0" w:space="0" w:color="auto"/>
        <w:right w:val="none" w:sz="0" w:space="0" w:color="auto"/>
      </w:divBdr>
      <w:divsChild>
        <w:div w:id="319117310">
          <w:marLeft w:val="0"/>
          <w:marRight w:val="0"/>
          <w:marTop w:val="0"/>
          <w:marBottom w:val="0"/>
          <w:divBdr>
            <w:top w:val="none" w:sz="0" w:space="0" w:color="auto"/>
            <w:left w:val="none" w:sz="0" w:space="0" w:color="auto"/>
            <w:bottom w:val="none" w:sz="0" w:space="0" w:color="auto"/>
            <w:right w:val="none" w:sz="0" w:space="0" w:color="auto"/>
          </w:divBdr>
        </w:div>
      </w:divsChild>
    </w:div>
    <w:div w:id="1351495605">
      <w:marLeft w:val="0"/>
      <w:marRight w:val="0"/>
      <w:marTop w:val="240"/>
      <w:marBottom w:val="0"/>
      <w:divBdr>
        <w:top w:val="none" w:sz="0" w:space="0" w:color="auto"/>
        <w:left w:val="none" w:sz="0" w:space="0" w:color="auto"/>
        <w:bottom w:val="none" w:sz="0" w:space="0" w:color="auto"/>
        <w:right w:val="none" w:sz="0" w:space="0" w:color="auto"/>
      </w:divBdr>
    </w:div>
    <w:div w:id="1351880376">
      <w:marLeft w:val="0"/>
      <w:marRight w:val="0"/>
      <w:marTop w:val="120"/>
      <w:marBottom w:val="0"/>
      <w:divBdr>
        <w:top w:val="none" w:sz="0" w:space="0" w:color="auto"/>
        <w:left w:val="none" w:sz="0" w:space="0" w:color="auto"/>
        <w:bottom w:val="none" w:sz="0" w:space="0" w:color="auto"/>
        <w:right w:val="none" w:sz="0" w:space="0" w:color="auto"/>
      </w:divBdr>
    </w:div>
    <w:div w:id="1358386597">
      <w:marLeft w:val="0"/>
      <w:marRight w:val="0"/>
      <w:marTop w:val="240"/>
      <w:marBottom w:val="0"/>
      <w:divBdr>
        <w:top w:val="none" w:sz="0" w:space="0" w:color="auto"/>
        <w:left w:val="none" w:sz="0" w:space="0" w:color="auto"/>
        <w:bottom w:val="none" w:sz="0" w:space="0" w:color="auto"/>
        <w:right w:val="none" w:sz="0" w:space="0" w:color="auto"/>
      </w:divBdr>
    </w:div>
    <w:div w:id="1367486264">
      <w:marLeft w:val="0"/>
      <w:marRight w:val="0"/>
      <w:marTop w:val="0"/>
      <w:marBottom w:val="0"/>
      <w:divBdr>
        <w:top w:val="none" w:sz="0" w:space="0" w:color="auto"/>
        <w:left w:val="none" w:sz="0" w:space="0" w:color="auto"/>
        <w:bottom w:val="none" w:sz="0" w:space="0" w:color="auto"/>
        <w:right w:val="none" w:sz="0" w:space="0" w:color="auto"/>
      </w:divBdr>
      <w:divsChild>
        <w:div w:id="1218129825">
          <w:marLeft w:val="0"/>
          <w:marRight w:val="0"/>
          <w:marTop w:val="0"/>
          <w:marBottom w:val="0"/>
          <w:divBdr>
            <w:top w:val="none" w:sz="0" w:space="0" w:color="auto"/>
            <w:left w:val="none" w:sz="0" w:space="0" w:color="auto"/>
            <w:bottom w:val="none" w:sz="0" w:space="0" w:color="auto"/>
            <w:right w:val="none" w:sz="0" w:space="0" w:color="auto"/>
          </w:divBdr>
        </w:div>
      </w:divsChild>
    </w:div>
    <w:div w:id="1372344402">
      <w:marLeft w:val="0"/>
      <w:marRight w:val="0"/>
      <w:marTop w:val="240"/>
      <w:marBottom w:val="0"/>
      <w:divBdr>
        <w:top w:val="none" w:sz="0" w:space="0" w:color="auto"/>
        <w:left w:val="none" w:sz="0" w:space="0" w:color="auto"/>
        <w:bottom w:val="none" w:sz="0" w:space="0" w:color="auto"/>
        <w:right w:val="none" w:sz="0" w:space="0" w:color="auto"/>
      </w:divBdr>
    </w:div>
    <w:div w:id="1380859358">
      <w:marLeft w:val="0"/>
      <w:marRight w:val="0"/>
      <w:marTop w:val="240"/>
      <w:marBottom w:val="0"/>
      <w:divBdr>
        <w:top w:val="none" w:sz="0" w:space="0" w:color="auto"/>
        <w:left w:val="none" w:sz="0" w:space="0" w:color="auto"/>
        <w:bottom w:val="none" w:sz="0" w:space="0" w:color="auto"/>
        <w:right w:val="none" w:sz="0" w:space="0" w:color="auto"/>
      </w:divBdr>
    </w:div>
    <w:div w:id="1385107358">
      <w:marLeft w:val="0"/>
      <w:marRight w:val="0"/>
      <w:marTop w:val="0"/>
      <w:marBottom w:val="0"/>
      <w:divBdr>
        <w:top w:val="none" w:sz="0" w:space="0" w:color="auto"/>
        <w:left w:val="none" w:sz="0" w:space="0" w:color="auto"/>
        <w:bottom w:val="none" w:sz="0" w:space="0" w:color="auto"/>
        <w:right w:val="none" w:sz="0" w:space="0" w:color="auto"/>
      </w:divBdr>
    </w:div>
    <w:div w:id="1386369456">
      <w:marLeft w:val="0"/>
      <w:marRight w:val="0"/>
      <w:marTop w:val="0"/>
      <w:marBottom w:val="0"/>
      <w:divBdr>
        <w:top w:val="none" w:sz="0" w:space="0" w:color="auto"/>
        <w:left w:val="none" w:sz="0" w:space="0" w:color="auto"/>
        <w:bottom w:val="none" w:sz="0" w:space="0" w:color="auto"/>
        <w:right w:val="none" w:sz="0" w:space="0" w:color="auto"/>
      </w:divBdr>
      <w:divsChild>
        <w:div w:id="657614100">
          <w:marLeft w:val="0"/>
          <w:marRight w:val="0"/>
          <w:marTop w:val="240"/>
          <w:marBottom w:val="0"/>
          <w:divBdr>
            <w:top w:val="none" w:sz="0" w:space="0" w:color="auto"/>
            <w:left w:val="none" w:sz="0" w:space="0" w:color="auto"/>
            <w:bottom w:val="none" w:sz="0" w:space="0" w:color="auto"/>
            <w:right w:val="none" w:sz="0" w:space="0" w:color="auto"/>
          </w:divBdr>
        </w:div>
      </w:divsChild>
    </w:div>
    <w:div w:id="1388921159">
      <w:marLeft w:val="0"/>
      <w:marRight w:val="0"/>
      <w:marTop w:val="240"/>
      <w:marBottom w:val="0"/>
      <w:divBdr>
        <w:top w:val="none" w:sz="0" w:space="0" w:color="auto"/>
        <w:left w:val="none" w:sz="0" w:space="0" w:color="auto"/>
        <w:bottom w:val="none" w:sz="0" w:space="0" w:color="auto"/>
        <w:right w:val="none" w:sz="0" w:space="0" w:color="auto"/>
      </w:divBdr>
    </w:div>
    <w:div w:id="1397164907">
      <w:marLeft w:val="0"/>
      <w:marRight w:val="0"/>
      <w:marTop w:val="240"/>
      <w:marBottom w:val="0"/>
      <w:divBdr>
        <w:top w:val="none" w:sz="0" w:space="0" w:color="auto"/>
        <w:left w:val="none" w:sz="0" w:space="0" w:color="auto"/>
        <w:bottom w:val="none" w:sz="0" w:space="0" w:color="auto"/>
        <w:right w:val="none" w:sz="0" w:space="0" w:color="auto"/>
      </w:divBdr>
    </w:div>
    <w:div w:id="1401902167">
      <w:marLeft w:val="0"/>
      <w:marRight w:val="0"/>
      <w:marTop w:val="240"/>
      <w:marBottom w:val="0"/>
      <w:divBdr>
        <w:top w:val="none" w:sz="0" w:space="0" w:color="auto"/>
        <w:left w:val="none" w:sz="0" w:space="0" w:color="auto"/>
        <w:bottom w:val="none" w:sz="0" w:space="0" w:color="auto"/>
        <w:right w:val="none" w:sz="0" w:space="0" w:color="auto"/>
      </w:divBdr>
    </w:div>
    <w:div w:id="1407798416">
      <w:marLeft w:val="0"/>
      <w:marRight w:val="0"/>
      <w:marTop w:val="120"/>
      <w:marBottom w:val="0"/>
      <w:divBdr>
        <w:top w:val="none" w:sz="0" w:space="0" w:color="auto"/>
        <w:left w:val="none" w:sz="0" w:space="0" w:color="auto"/>
        <w:bottom w:val="none" w:sz="0" w:space="0" w:color="auto"/>
        <w:right w:val="none" w:sz="0" w:space="0" w:color="auto"/>
      </w:divBdr>
    </w:div>
    <w:div w:id="1410232862">
      <w:marLeft w:val="0"/>
      <w:marRight w:val="0"/>
      <w:marTop w:val="240"/>
      <w:marBottom w:val="0"/>
      <w:divBdr>
        <w:top w:val="none" w:sz="0" w:space="0" w:color="auto"/>
        <w:left w:val="none" w:sz="0" w:space="0" w:color="auto"/>
        <w:bottom w:val="none" w:sz="0" w:space="0" w:color="auto"/>
        <w:right w:val="none" w:sz="0" w:space="0" w:color="auto"/>
      </w:divBdr>
    </w:div>
    <w:div w:id="1414815839">
      <w:marLeft w:val="0"/>
      <w:marRight w:val="0"/>
      <w:marTop w:val="240"/>
      <w:marBottom w:val="0"/>
      <w:divBdr>
        <w:top w:val="none" w:sz="0" w:space="0" w:color="auto"/>
        <w:left w:val="none" w:sz="0" w:space="0" w:color="auto"/>
        <w:bottom w:val="none" w:sz="0" w:space="0" w:color="auto"/>
        <w:right w:val="none" w:sz="0" w:space="0" w:color="auto"/>
      </w:divBdr>
    </w:div>
    <w:div w:id="1419138722">
      <w:marLeft w:val="0"/>
      <w:marRight w:val="0"/>
      <w:marTop w:val="0"/>
      <w:marBottom w:val="0"/>
      <w:divBdr>
        <w:top w:val="none" w:sz="0" w:space="0" w:color="auto"/>
        <w:left w:val="none" w:sz="0" w:space="0" w:color="auto"/>
        <w:bottom w:val="none" w:sz="0" w:space="0" w:color="auto"/>
        <w:right w:val="none" w:sz="0" w:space="0" w:color="auto"/>
      </w:divBdr>
    </w:div>
    <w:div w:id="1423524610">
      <w:marLeft w:val="0"/>
      <w:marRight w:val="0"/>
      <w:marTop w:val="240"/>
      <w:marBottom w:val="0"/>
      <w:divBdr>
        <w:top w:val="none" w:sz="0" w:space="0" w:color="auto"/>
        <w:left w:val="none" w:sz="0" w:space="0" w:color="auto"/>
        <w:bottom w:val="none" w:sz="0" w:space="0" w:color="auto"/>
        <w:right w:val="none" w:sz="0" w:space="0" w:color="auto"/>
      </w:divBdr>
    </w:div>
    <w:div w:id="1424375961">
      <w:marLeft w:val="0"/>
      <w:marRight w:val="0"/>
      <w:marTop w:val="240"/>
      <w:marBottom w:val="0"/>
      <w:divBdr>
        <w:top w:val="none" w:sz="0" w:space="0" w:color="auto"/>
        <w:left w:val="none" w:sz="0" w:space="0" w:color="auto"/>
        <w:bottom w:val="none" w:sz="0" w:space="0" w:color="auto"/>
        <w:right w:val="none" w:sz="0" w:space="0" w:color="auto"/>
      </w:divBdr>
    </w:div>
    <w:div w:id="1429156236">
      <w:marLeft w:val="0"/>
      <w:marRight w:val="0"/>
      <w:marTop w:val="240"/>
      <w:marBottom w:val="0"/>
      <w:divBdr>
        <w:top w:val="none" w:sz="0" w:space="0" w:color="auto"/>
        <w:left w:val="none" w:sz="0" w:space="0" w:color="auto"/>
        <w:bottom w:val="none" w:sz="0" w:space="0" w:color="auto"/>
        <w:right w:val="none" w:sz="0" w:space="0" w:color="auto"/>
      </w:divBdr>
    </w:div>
    <w:div w:id="1431970674">
      <w:marLeft w:val="0"/>
      <w:marRight w:val="0"/>
      <w:marTop w:val="0"/>
      <w:marBottom w:val="0"/>
      <w:divBdr>
        <w:top w:val="none" w:sz="0" w:space="0" w:color="auto"/>
        <w:left w:val="none" w:sz="0" w:space="0" w:color="auto"/>
        <w:bottom w:val="none" w:sz="0" w:space="0" w:color="auto"/>
        <w:right w:val="none" w:sz="0" w:space="0" w:color="auto"/>
      </w:divBdr>
      <w:divsChild>
        <w:div w:id="1595555770">
          <w:marLeft w:val="0"/>
          <w:marRight w:val="0"/>
          <w:marTop w:val="240"/>
          <w:marBottom w:val="0"/>
          <w:divBdr>
            <w:top w:val="none" w:sz="0" w:space="0" w:color="auto"/>
            <w:left w:val="none" w:sz="0" w:space="0" w:color="auto"/>
            <w:bottom w:val="none" w:sz="0" w:space="0" w:color="auto"/>
            <w:right w:val="none" w:sz="0" w:space="0" w:color="auto"/>
          </w:divBdr>
        </w:div>
      </w:divsChild>
    </w:div>
    <w:div w:id="1434856526">
      <w:marLeft w:val="0"/>
      <w:marRight w:val="0"/>
      <w:marTop w:val="240"/>
      <w:marBottom w:val="0"/>
      <w:divBdr>
        <w:top w:val="none" w:sz="0" w:space="0" w:color="auto"/>
        <w:left w:val="none" w:sz="0" w:space="0" w:color="auto"/>
        <w:bottom w:val="none" w:sz="0" w:space="0" w:color="auto"/>
        <w:right w:val="none" w:sz="0" w:space="0" w:color="auto"/>
      </w:divBdr>
    </w:div>
    <w:div w:id="1447574866">
      <w:marLeft w:val="0"/>
      <w:marRight w:val="0"/>
      <w:marTop w:val="240"/>
      <w:marBottom w:val="0"/>
      <w:divBdr>
        <w:top w:val="none" w:sz="0" w:space="0" w:color="auto"/>
        <w:left w:val="none" w:sz="0" w:space="0" w:color="auto"/>
        <w:bottom w:val="none" w:sz="0" w:space="0" w:color="auto"/>
        <w:right w:val="none" w:sz="0" w:space="0" w:color="auto"/>
      </w:divBdr>
    </w:div>
    <w:div w:id="1448433039">
      <w:marLeft w:val="0"/>
      <w:marRight w:val="0"/>
      <w:marTop w:val="240"/>
      <w:marBottom w:val="0"/>
      <w:divBdr>
        <w:top w:val="none" w:sz="0" w:space="0" w:color="auto"/>
        <w:left w:val="none" w:sz="0" w:space="0" w:color="auto"/>
        <w:bottom w:val="none" w:sz="0" w:space="0" w:color="auto"/>
        <w:right w:val="none" w:sz="0" w:space="0" w:color="auto"/>
      </w:divBdr>
    </w:div>
    <w:div w:id="1450586526">
      <w:marLeft w:val="0"/>
      <w:marRight w:val="0"/>
      <w:marTop w:val="0"/>
      <w:marBottom w:val="0"/>
      <w:divBdr>
        <w:top w:val="none" w:sz="0" w:space="0" w:color="auto"/>
        <w:left w:val="none" w:sz="0" w:space="0" w:color="auto"/>
        <w:bottom w:val="none" w:sz="0" w:space="0" w:color="auto"/>
        <w:right w:val="none" w:sz="0" w:space="0" w:color="auto"/>
      </w:divBdr>
      <w:divsChild>
        <w:div w:id="1831290510">
          <w:marLeft w:val="0"/>
          <w:marRight w:val="0"/>
          <w:marTop w:val="0"/>
          <w:marBottom w:val="0"/>
          <w:divBdr>
            <w:top w:val="none" w:sz="0" w:space="0" w:color="auto"/>
            <w:left w:val="none" w:sz="0" w:space="0" w:color="auto"/>
            <w:bottom w:val="none" w:sz="0" w:space="0" w:color="auto"/>
            <w:right w:val="none" w:sz="0" w:space="0" w:color="auto"/>
          </w:divBdr>
        </w:div>
      </w:divsChild>
    </w:div>
    <w:div w:id="1453356449">
      <w:marLeft w:val="0"/>
      <w:marRight w:val="0"/>
      <w:marTop w:val="120"/>
      <w:marBottom w:val="0"/>
      <w:divBdr>
        <w:top w:val="none" w:sz="0" w:space="0" w:color="auto"/>
        <w:left w:val="none" w:sz="0" w:space="0" w:color="auto"/>
        <w:bottom w:val="none" w:sz="0" w:space="0" w:color="auto"/>
        <w:right w:val="none" w:sz="0" w:space="0" w:color="auto"/>
      </w:divBdr>
    </w:div>
    <w:div w:id="1456480532">
      <w:marLeft w:val="0"/>
      <w:marRight w:val="0"/>
      <w:marTop w:val="240"/>
      <w:marBottom w:val="0"/>
      <w:divBdr>
        <w:top w:val="none" w:sz="0" w:space="0" w:color="auto"/>
        <w:left w:val="none" w:sz="0" w:space="0" w:color="auto"/>
        <w:bottom w:val="none" w:sz="0" w:space="0" w:color="auto"/>
        <w:right w:val="none" w:sz="0" w:space="0" w:color="auto"/>
      </w:divBdr>
    </w:div>
    <w:div w:id="1458913702">
      <w:marLeft w:val="0"/>
      <w:marRight w:val="0"/>
      <w:marTop w:val="0"/>
      <w:marBottom w:val="0"/>
      <w:divBdr>
        <w:top w:val="none" w:sz="0" w:space="0" w:color="auto"/>
        <w:left w:val="none" w:sz="0" w:space="0" w:color="auto"/>
        <w:bottom w:val="none" w:sz="0" w:space="0" w:color="auto"/>
        <w:right w:val="none" w:sz="0" w:space="0" w:color="auto"/>
      </w:divBdr>
    </w:div>
    <w:div w:id="1461067335">
      <w:marLeft w:val="0"/>
      <w:marRight w:val="0"/>
      <w:marTop w:val="240"/>
      <w:marBottom w:val="0"/>
      <w:divBdr>
        <w:top w:val="none" w:sz="0" w:space="0" w:color="auto"/>
        <w:left w:val="none" w:sz="0" w:space="0" w:color="auto"/>
        <w:bottom w:val="none" w:sz="0" w:space="0" w:color="auto"/>
        <w:right w:val="none" w:sz="0" w:space="0" w:color="auto"/>
      </w:divBdr>
    </w:div>
    <w:div w:id="1468552506">
      <w:marLeft w:val="0"/>
      <w:marRight w:val="0"/>
      <w:marTop w:val="120"/>
      <w:marBottom w:val="0"/>
      <w:divBdr>
        <w:top w:val="none" w:sz="0" w:space="0" w:color="auto"/>
        <w:left w:val="none" w:sz="0" w:space="0" w:color="auto"/>
        <w:bottom w:val="none" w:sz="0" w:space="0" w:color="auto"/>
        <w:right w:val="none" w:sz="0" w:space="0" w:color="auto"/>
      </w:divBdr>
    </w:div>
    <w:div w:id="1484195312">
      <w:marLeft w:val="0"/>
      <w:marRight w:val="0"/>
      <w:marTop w:val="0"/>
      <w:marBottom w:val="0"/>
      <w:divBdr>
        <w:top w:val="none" w:sz="0" w:space="0" w:color="auto"/>
        <w:left w:val="none" w:sz="0" w:space="0" w:color="auto"/>
        <w:bottom w:val="none" w:sz="0" w:space="0" w:color="auto"/>
        <w:right w:val="none" w:sz="0" w:space="0" w:color="auto"/>
      </w:divBdr>
      <w:divsChild>
        <w:div w:id="1838884922">
          <w:marLeft w:val="0"/>
          <w:marRight w:val="0"/>
          <w:marTop w:val="0"/>
          <w:marBottom w:val="0"/>
          <w:divBdr>
            <w:top w:val="none" w:sz="0" w:space="0" w:color="auto"/>
            <w:left w:val="none" w:sz="0" w:space="0" w:color="auto"/>
            <w:bottom w:val="none" w:sz="0" w:space="0" w:color="auto"/>
            <w:right w:val="none" w:sz="0" w:space="0" w:color="auto"/>
          </w:divBdr>
        </w:div>
      </w:divsChild>
    </w:div>
    <w:div w:id="1495604541">
      <w:marLeft w:val="0"/>
      <w:marRight w:val="0"/>
      <w:marTop w:val="120"/>
      <w:marBottom w:val="0"/>
      <w:divBdr>
        <w:top w:val="none" w:sz="0" w:space="0" w:color="auto"/>
        <w:left w:val="none" w:sz="0" w:space="0" w:color="auto"/>
        <w:bottom w:val="none" w:sz="0" w:space="0" w:color="auto"/>
        <w:right w:val="none" w:sz="0" w:space="0" w:color="auto"/>
      </w:divBdr>
    </w:div>
    <w:div w:id="1497039676">
      <w:marLeft w:val="0"/>
      <w:marRight w:val="0"/>
      <w:marTop w:val="240"/>
      <w:marBottom w:val="0"/>
      <w:divBdr>
        <w:top w:val="none" w:sz="0" w:space="0" w:color="auto"/>
        <w:left w:val="none" w:sz="0" w:space="0" w:color="auto"/>
        <w:bottom w:val="none" w:sz="0" w:space="0" w:color="auto"/>
        <w:right w:val="none" w:sz="0" w:space="0" w:color="auto"/>
      </w:divBdr>
    </w:div>
    <w:div w:id="1501965560">
      <w:marLeft w:val="0"/>
      <w:marRight w:val="0"/>
      <w:marTop w:val="240"/>
      <w:marBottom w:val="0"/>
      <w:divBdr>
        <w:top w:val="none" w:sz="0" w:space="0" w:color="auto"/>
        <w:left w:val="none" w:sz="0" w:space="0" w:color="auto"/>
        <w:bottom w:val="none" w:sz="0" w:space="0" w:color="auto"/>
        <w:right w:val="none" w:sz="0" w:space="0" w:color="auto"/>
      </w:divBdr>
    </w:div>
    <w:div w:id="1512571130">
      <w:marLeft w:val="0"/>
      <w:marRight w:val="0"/>
      <w:marTop w:val="120"/>
      <w:marBottom w:val="0"/>
      <w:divBdr>
        <w:top w:val="none" w:sz="0" w:space="0" w:color="auto"/>
        <w:left w:val="none" w:sz="0" w:space="0" w:color="auto"/>
        <w:bottom w:val="none" w:sz="0" w:space="0" w:color="auto"/>
        <w:right w:val="none" w:sz="0" w:space="0" w:color="auto"/>
      </w:divBdr>
    </w:div>
    <w:div w:id="1513379527">
      <w:marLeft w:val="0"/>
      <w:marRight w:val="0"/>
      <w:marTop w:val="240"/>
      <w:marBottom w:val="0"/>
      <w:divBdr>
        <w:top w:val="none" w:sz="0" w:space="0" w:color="auto"/>
        <w:left w:val="none" w:sz="0" w:space="0" w:color="auto"/>
        <w:bottom w:val="none" w:sz="0" w:space="0" w:color="auto"/>
        <w:right w:val="none" w:sz="0" w:space="0" w:color="auto"/>
      </w:divBdr>
    </w:div>
    <w:div w:id="1514761284">
      <w:marLeft w:val="0"/>
      <w:marRight w:val="0"/>
      <w:marTop w:val="240"/>
      <w:marBottom w:val="0"/>
      <w:divBdr>
        <w:top w:val="none" w:sz="0" w:space="0" w:color="auto"/>
        <w:left w:val="none" w:sz="0" w:space="0" w:color="auto"/>
        <w:bottom w:val="none" w:sz="0" w:space="0" w:color="auto"/>
        <w:right w:val="none" w:sz="0" w:space="0" w:color="auto"/>
      </w:divBdr>
    </w:div>
    <w:div w:id="1517815797">
      <w:marLeft w:val="0"/>
      <w:marRight w:val="0"/>
      <w:marTop w:val="240"/>
      <w:marBottom w:val="0"/>
      <w:divBdr>
        <w:top w:val="none" w:sz="0" w:space="0" w:color="auto"/>
        <w:left w:val="none" w:sz="0" w:space="0" w:color="auto"/>
        <w:bottom w:val="none" w:sz="0" w:space="0" w:color="auto"/>
        <w:right w:val="none" w:sz="0" w:space="0" w:color="auto"/>
      </w:divBdr>
    </w:div>
    <w:div w:id="1523858664">
      <w:marLeft w:val="0"/>
      <w:marRight w:val="0"/>
      <w:marTop w:val="240"/>
      <w:marBottom w:val="0"/>
      <w:divBdr>
        <w:top w:val="none" w:sz="0" w:space="0" w:color="auto"/>
        <w:left w:val="none" w:sz="0" w:space="0" w:color="auto"/>
        <w:bottom w:val="none" w:sz="0" w:space="0" w:color="auto"/>
        <w:right w:val="none" w:sz="0" w:space="0" w:color="auto"/>
      </w:divBdr>
    </w:div>
    <w:div w:id="1532575727">
      <w:marLeft w:val="0"/>
      <w:marRight w:val="0"/>
      <w:marTop w:val="120"/>
      <w:marBottom w:val="0"/>
      <w:divBdr>
        <w:top w:val="none" w:sz="0" w:space="0" w:color="auto"/>
        <w:left w:val="none" w:sz="0" w:space="0" w:color="auto"/>
        <w:bottom w:val="none" w:sz="0" w:space="0" w:color="auto"/>
        <w:right w:val="none" w:sz="0" w:space="0" w:color="auto"/>
      </w:divBdr>
    </w:div>
    <w:div w:id="1534612368">
      <w:marLeft w:val="0"/>
      <w:marRight w:val="0"/>
      <w:marTop w:val="120"/>
      <w:marBottom w:val="0"/>
      <w:divBdr>
        <w:top w:val="none" w:sz="0" w:space="0" w:color="auto"/>
        <w:left w:val="none" w:sz="0" w:space="0" w:color="auto"/>
        <w:bottom w:val="none" w:sz="0" w:space="0" w:color="auto"/>
        <w:right w:val="none" w:sz="0" w:space="0" w:color="auto"/>
      </w:divBdr>
    </w:div>
    <w:div w:id="1534994725">
      <w:marLeft w:val="0"/>
      <w:marRight w:val="0"/>
      <w:marTop w:val="240"/>
      <w:marBottom w:val="0"/>
      <w:divBdr>
        <w:top w:val="none" w:sz="0" w:space="0" w:color="auto"/>
        <w:left w:val="none" w:sz="0" w:space="0" w:color="auto"/>
        <w:bottom w:val="none" w:sz="0" w:space="0" w:color="auto"/>
        <w:right w:val="none" w:sz="0" w:space="0" w:color="auto"/>
      </w:divBdr>
    </w:div>
    <w:div w:id="1538084252">
      <w:marLeft w:val="0"/>
      <w:marRight w:val="0"/>
      <w:marTop w:val="240"/>
      <w:marBottom w:val="0"/>
      <w:divBdr>
        <w:top w:val="none" w:sz="0" w:space="0" w:color="auto"/>
        <w:left w:val="none" w:sz="0" w:space="0" w:color="auto"/>
        <w:bottom w:val="none" w:sz="0" w:space="0" w:color="auto"/>
        <w:right w:val="none" w:sz="0" w:space="0" w:color="auto"/>
      </w:divBdr>
      <w:divsChild>
        <w:div w:id="1681009494">
          <w:marLeft w:val="0"/>
          <w:marRight w:val="0"/>
          <w:marTop w:val="0"/>
          <w:marBottom w:val="0"/>
          <w:divBdr>
            <w:top w:val="none" w:sz="0" w:space="0" w:color="auto"/>
            <w:left w:val="none" w:sz="0" w:space="0" w:color="auto"/>
            <w:bottom w:val="none" w:sz="0" w:space="0" w:color="auto"/>
            <w:right w:val="none" w:sz="0" w:space="0" w:color="auto"/>
          </w:divBdr>
        </w:div>
        <w:div w:id="293489657">
          <w:marLeft w:val="0"/>
          <w:marRight w:val="0"/>
          <w:marTop w:val="0"/>
          <w:marBottom w:val="0"/>
          <w:divBdr>
            <w:top w:val="none" w:sz="0" w:space="0" w:color="auto"/>
            <w:left w:val="none" w:sz="0" w:space="0" w:color="auto"/>
            <w:bottom w:val="none" w:sz="0" w:space="0" w:color="auto"/>
            <w:right w:val="none" w:sz="0" w:space="0" w:color="auto"/>
          </w:divBdr>
        </w:div>
        <w:div w:id="831139569">
          <w:marLeft w:val="0"/>
          <w:marRight w:val="0"/>
          <w:marTop w:val="0"/>
          <w:marBottom w:val="0"/>
          <w:divBdr>
            <w:top w:val="none" w:sz="0" w:space="0" w:color="auto"/>
            <w:left w:val="none" w:sz="0" w:space="0" w:color="auto"/>
            <w:bottom w:val="none" w:sz="0" w:space="0" w:color="auto"/>
            <w:right w:val="none" w:sz="0" w:space="0" w:color="auto"/>
          </w:divBdr>
        </w:div>
      </w:divsChild>
    </w:div>
    <w:div w:id="1539125023">
      <w:marLeft w:val="0"/>
      <w:marRight w:val="0"/>
      <w:marTop w:val="120"/>
      <w:marBottom w:val="0"/>
      <w:divBdr>
        <w:top w:val="none" w:sz="0" w:space="0" w:color="auto"/>
        <w:left w:val="none" w:sz="0" w:space="0" w:color="auto"/>
        <w:bottom w:val="none" w:sz="0" w:space="0" w:color="auto"/>
        <w:right w:val="none" w:sz="0" w:space="0" w:color="auto"/>
      </w:divBdr>
    </w:div>
    <w:div w:id="1541017353">
      <w:marLeft w:val="0"/>
      <w:marRight w:val="0"/>
      <w:marTop w:val="0"/>
      <w:marBottom w:val="0"/>
      <w:divBdr>
        <w:top w:val="none" w:sz="0" w:space="0" w:color="auto"/>
        <w:left w:val="none" w:sz="0" w:space="0" w:color="auto"/>
        <w:bottom w:val="none" w:sz="0" w:space="0" w:color="auto"/>
        <w:right w:val="none" w:sz="0" w:space="0" w:color="auto"/>
      </w:divBdr>
      <w:divsChild>
        <w:div w:id="1123497556">
          <w:marLeft w:val="0"/>
          <w:marRight w:val="0"/>
          <w:marTop w:val="0"/>
          <w:marBottom w:val="0"/>
          <w:divBdr>
            <w:top w:val="none" w:sz="0" w:space="0" w:color="auto"/>
            <w:left w:val="none" w:sz="0" w:space="0" w:color="auto"/>
            <w:bottom w:val="none" w:sz="0" w:space="0" w:color="auto"/>
            <w:right w:val="none" w:sz="0" w:space="0" w:color="auto"/>
          </w:divBdr>
        </w:div>
      </w:divsChild>
    </w:div>
    <w:div w:id="1542134575">
      <w:marLeft w:val="0"/>
      <w:marRight w:val="0"/>
      <w:marTop w:val="120"/>
      <w:marBottom w:val="0"/>
      <w:divBdr>
        <w:top w:val="none" w:sz="0" w:space="0" w:color="auto"/>
        <w:left w:val="none" w:sz="0" w:space="0" w:color="auto"/>
        <w:bottom w:val="none" w:sz="0" w:space="0" w:color="auto"/>
        <w:right w:val="none" w:sz="0" w:space="0" w:color="auto"/>
      </w:divBdr>
    </w:div>
    <w:div w:id="1545630610">
      <w:marLeft w:val="0"/>
      <w:marRight w:val="0"/>
      <w:marTop w:val="0"/>
      <w:marBottom w:val="0"/>
      <w:divBdr>
        <w:top w:val="none" w:sz="0" w:space="0" w:color="auto"/>
        <w:left w:val="none" w:sz="0" w:space="0" w:color="auto"/>
        <w:bottom w:val="none" w:sz="0" w:space="0" w:color="auto"/>
        <w:right w:val="none" w:sz="0" w:space="0" w:color="auto"/>
      </w:divBdr>
    </w:div>
    <w:div w:id="1554268349">
      <w:marLeft w:val="0"/>
      <w:marRight w:val="0"/>
      <w:marTop w:val="240"/>
      <w:marBottom w:val="0"/>
      <w:divBdr>
        <w:top w:val="none" w:sz="0" w:space="0" w:color="auto"/>
        <w:left w:val="none" w:sz="0" w:space="0" w:color="auto"/>
        <w:bottom w:val="none" w:sz="0" w:space="0" w:color="auto"/>
        <w:right w:val="none" w:sz="0" w:space="0" w:color="auto"/>
      </w:divBdr>
    </w:div>
    <w:div w:id="1555660337">
      <w:marLeft w:val="0"/>
      <w:marRight w:val="0"/>
      <w:marTop w:val="240"/>
      <w:marBottom w:val="0"/>
      <w:divBdr>
        <w:top w:val="none" w:sz="0" w:space="0" w:color="auto"/>
        <w:left w:val="none" w:sz="0" w:space="0" w:color="auto"/>
        <w:bottom w:val="none" w:sz="0" w:space="0" w:color="auto"/>
        <w:right w:val="none" w:sz="0" w:space="0" w:color="auto"/>
      </w:divBdr>
    </w:div>
    <w:div w:id="1566334217">
      <w:marLeft w:val="0"/>
      <w:marRight w:val="0"/>
      <w:marTop w:val="240"/>
      <w:marBottom w:val="0"/>
      <w:divBdr>
        <w:top w:val="none" w:sz="0" w:space="0" w:color="auto"/>
        <w:left w:val="none" w:sz="0" w:space="0" w:color="auto"/>
        <w:bottom w:val="none" w:sz="0" w:space="0" w:color="auto"/>
        <w:right w:val="none" w:sz="0" w:space="0" w:color="auto"/>
      </w:divBdr>
    </w:div>
    <w:div w:id="1566530799">
      <w:marLeft w:val="0"/>
      <w:marRight w:val="0"/>
      <w:marTop w:val="120"/>
      <w:marBottom w:val="0"/>
      <w:divBdr>
        <w:top w:val="none" w:sz="0" w:space="0" w:color="auto"/>
        <w:left w:val="none" w:sz="0" w:space="0" w:color="auto"/>
        <w:bottom w:val="none" w:sz="0" w:space="0" w:color="auto"/>
        <w:right w:val="none" w:sz="0" w:space="0" w:color="auto"/>
      </w:divBdr>
    </w:div>
    <w:div w:id="1567908929">
      <w:marLeft w:val="0"/>
      <w:marRight w:val="0"/>
      <w:marTop w:val="240"/>
      <w:marBottom w:val="0"/>
      <w:divBdr>
        <w:top w:val="none" w:sz="0" w:space="0" w:color="auto"/>
        <w:left w:val="none" w:sz="0" w:space="0" w:color="auto"/>
        <w:bottom w:val="none" w:sz="0" w:space="0" w:color="auto"/>
        <w:right w:val="none" w:sz="0" w:space="0" w:color="auto"/>
      </w:divBdr>
    </w:div>
    <w:div w:id="1571307793">
      <w:marLeft w:val="0"/>
      <w:marRight w:val="0"/>
      <w:marTop w:val="120"/>
      <w:marBottom w:val="0"/>
      <w:divBdr>
        <w:top w:val="none" w:sz="0" w:space="0" w:color="auto"/>
        <w:left w:val="none" w:sz="0" w:space="0" w:color="auto"/>
        <w:bottom w:val="none" w:sz="0" w:space="0" w:color="auto"/>
        <w:right w:val="none" w:sz="0" w:space="0" w:color="auto"/>
      </w:divBdr>
    </w:div>
    <w:div w:id="1585608884">
      <w:marLeft w:val="0"/>
      <w:marRight w:val="0"/>
      <w:marTop w:val="120"/>
      <w:marBottom w:val="0"/>
      <w:divBdr>
        <w:top w:val="none" w:sz="0" w:space="0" w:color="auto"/>
        <w:left w:val="none" w:sz="0" w:space="0" w:color="auto"/>
        <w:bottom w:val="none" w:sz="0" w:space="0" w:color="auto"/>
        <w:right w:val="none" w:sz="0" w:space="0" w:color="auto"/>
      </w:divBdr>
    </w:div>
    <w:div w:id="1588658521">
      <w:marLeft w:val="0"/>
      <w:marRight w:val="0"/>
      <w:marTop w:val="120"/>
      <w:marBottom w:val="0"/>
      <w:divBdr>
        <w:top w:val="none" w:sz="0" w:space="0" w:color="auto"/>
        <w:left w:val="none" w:sz="0" w:space="0" w:color="auto"/>
        <w:bottom w:val="none" w:sz="0" w:space="0" w:color="auto"/>
        <w:right w:val="none" w:sz="0" w:space="0" w:color="auto"/>
      </w:divBdr>
    </w:div>
    <w:div w:id="1598520810">
      <w:marLeft w:val="0"/>
      <w:marRight w:val="0"/>
      <w:marTop w:val="240"/>
      <w:marBottom w:val="0"/>
      <w:divBdr>
        <w:top w:val="none" w:sz="0" w:space="0" w:color="auto"/>
        <w:left w:val="none" w:sz="0" w:space="0" w:color="auto"/>
        <w:bottom w:val="none" w:sz="0" w:space="0" w:color="auto"/>
        <w:right w:val="none" w:sz="0" w:space="0" w:color="auto"/>
      </w:divBdr>
    </w:div>
    <w:div w:id="1616138884">
      <w:marLeft w:val="0"/>
      <w:marRight w:val="0"/>
      <w:marTop w:val="120"/>
      <w:marBottom w:val="0"/>
      <w:divBdr>
        <w:top w:val="none" w:sz="0" w:space="0" w:color="auto"/>
        <w:left w:val="none" w:sz="0" w:space="0" w:color="auto"/>
        <w:bottom w:val="none" w:sz="0" w:space="0" w:color="auto"/>
        <w:right w:val="none" w:sz="0" w:space="0" w:color="auto"/>
      </w:divBdr>
    </w:div>
    <w:div w:id="1633711929">
      <w:marLeft w:val="0"/>
      <w:marRight w:val="0"/>
      <w:marTop w:val="0"/>
      <w:marBottom w:val="0"/>
      <w:divBdr>
        <w:top w:val="none" w:sz="0" w:space="0" w:color="auto"/>
        <w:left w:val="none" w:sz="0" w:space="0" w:color="auto"/>
        <w:bottom w:val="none" w:sz="0" w:space="0" w:color="auto"/>
        <w:right w:val="none" w:sz="0" w:space="0" w:color="auto"/>
      </w:divBdr>
      <w:divsChild>
        <w:div w:id="440993611">
          <w:marLeft w:val="0"/>
          <w:marRight w:val="0"/>
          <w:marTop w:val="240"/>
          <w:marBottom w:val="0"/>
          <w:divBdr>
            <w:top w:val="none" w:sz="0" w:space="0" w:color="auto"/>
            <w:left w:val="none" w:sz="0" w:space="0" w:color="auto"/>
            <w:bottom w:val="none" w:sz="0" w:space="0" w:color="auto"/>
            <w:right w:val="none" w:sz="0" w:space="0" w:color="auto"/>
          </w:divBdr>
        </w:div>
      </w:divsChild>
    </w:div>
    <w:div w:id="1634824196">
      <w:marLeft w:val="0"/>
      <w:marRight w:val="0"/>
      <w:marTop w:val="240"/>
      <w:marBottom w:val="0"/>
      <w:divBdr>
        <w:top w:val="none" w:sz="0" w:space="0" w:color="auto"/>
        <w:left w:val="none" w:sz="0" w:space="0" w:color="auto"/>
        <w:bottom w:val="none" w:sz="0" w:space="0" w:color="auto"/>
        <w:right w:val="none" w:sz="0" w:space="0" w:color="auto"/>
      </w:divBdr>
    </w:div>
    <w:div w:id="1635063377">
      <w:marLeft w:val="0"/>
      <w:marRight w:val="0"/>
      <w:marTop w:val="200"/>
      <w:marBottom w:val="0"/>
      <w:divBdr>
        <w:top w:val="none" w:sz="0" w:space="0" w:color="auto"/>
        <w:left w:val="none" w:sz="0" w:space="0" w:color="auto"/>
        <w:bottom w:val="none" w:sz="0" w:space="0" w:color="auto"/>
        <w:right w:val="none" w:sz="0" w:space="0" w:color="auto"/>
      </w:divBdr>
    </w:div>
    <w:div w:id="1642081290">
      <w:marLeft w:val="0"/>
      <w:marRight w:val="0"/>
      <w:marTop w:val="240"/>
      <w:marBottom w:val="0"/>
      <w:divBdr>
        <w:top w:val="none" w:sz="0" w:space="0" w:color="auto"/>
        <w:left w:val="none" w:sz="0" w:space="0" w:color="auto"/>
        <w:bottom w:val="none" w:sz="0" w:space="0" w:color="auto"/>
        <w:right w:val="none" w:sz="0" w:space="0" w:color="auto"/>
      </w:divBdr>
    </w:div>
    <w:div w:id="1642929332">
      <w:marLeft w:val="0"/>
      <w:marRight w:val="0"/>
      <w:marTop w:val="60"/>
      <w:marBottom w:val="0"/>
      <w:divBdr>
        <w:top w:val="none" w:sz="0" w:space="0" w:color="auto"/>
        <w:left w:val="none" w:sz="0" w:space="0" w:color="auto"/>
        <w:bottom w:val="none" w:sz="0" w:space="0" w:color="auto"/>
        <w:right w:val="none" w:sz="0" w:space="0" w:color="auto"/>
      </w:divBdr>
    </w:div>
    <w:div w:id="1645348347">
      <w:marLeft w:val="0"/>
      <w:marRight w:val="0"/>
      <w:marTop w:val="120"/>
      <w:marBottom w:val="0"/>
      <w:divBdr>
        <w:top w:val="none" w:sz="0" w:space="0" w:color="auto"/>
        <w:left w:val="none" w:sz="0" w:space="0" w:color="auto"/>
        <w:bottom w:val="none" w:sz="0" w:space="0" w:color="auto"/>
        <w:right w:val="none" w:sz="0" w:space="0" w:color="auto"/>
      </w:divBdr>
    </w:div>
    <w:div w:id="1647271311">
      <w:marLeft w:val="0"/>
      <w:marRight w:val="0"/>
      <w:marTop w:val="240"/>
      <w:marBottom w:val="0"/>
      <w:divBdr>
        <w:top w:val="none" w:sz="0" w:space="0" w:color="auto"/>
        <w:left w:val="none" w:sz="0" w:space="0" w:color="auto"/>
        <w:bottom w:val="none" w:sz="0" w:space="0" w:color="auto"/>
        <w:right w:val="none" w:sz="0" w:space="0" w:color="auto"/>
      </w:divBdr>
    </w:div>
    <w:div w:id="1647976368">
      <w:marLeft w:val="0"/>
      <w:marRight w:val="0"/>
      <w:marTop w:val="0"/>
      <w:marBottom w:val="0"/>
      <w:divBdr>
        <w:top w:val="none" w:sz="0" w:space="0" w:color="auto"/>
        <w:left w:val="none" w:sz="0" w:space="0" w:color="auto"/>
        <w:bottom w:val="none" w:sz="0" w:space="0" w:color="auto"/>
        <w:right w:val="none" w:sz="0" w:space="0" w:color="auto"/>
      </w:divBdr>
      <w:divsChild>
        <w:div w:id="904608981">
          <w:marLeft w:val="0"/>
          <w:marRight w:val="0"/>
          <w:marTop w:val="240"/>
          <w:marBottom w:val="0"/>
          <w:divBdr>
            <w:top w:val="none" w:sz="0" w:space="0" w:color="auto"/>
            <w:left w:val="none" w:sz="0" w:space="0" w:color="auto"/>
            <w:bottom w:val="none" w:sz="0" w:space="0" w:color="auto"/>
            <w:right w:val="none" w:sz="0" w:space="0" w:color="auto"/>
          </w:divBdr>
        </w:div>
      </w:divsChild>
    </w:div>
    <w:div w:id="1648392148">
      <w:marLeft w:val="0"/>
      <w:marRight w:val="0"/>
      <w:marTop w:val="0"/>
      <w:marBottom w:val="0"/>
      <w:divBdr>
        <w:top w:val="none" w:sz="0" w:space="0" w:color="auto"/>
        <w:left w:val="none" w:sz="0" w:space="0" w:color="auto"/>
        <w:bottom w:val="none" w:sz="0" w:space="0" w:color="auto"/>
        <w:right w:val="none" w:sz="0" w:space="0" w:color="auto"/>
      </w:divBdr>
      <w:divsChild>
        <w:div w:id="22099737">
          <w:marLeft w:val="0"/>
          <w:marRight w:val="0"/>
          <w:marTop w:val="0"/>
          <w:marBottom w:val="0"/>
          <w:divBdr>
            <w:top w:val="none" w:sz="0" w:space="0" w:color="auto"/>
            <w:left w:val="none" w:sz="0" w:space="0" w:color="auto"/>
            <w:bottom w:val="none" w:sz="0" w:space="0" w:color="auto"/>
            <w:right w:val="none" w:sz="0" w:space="0" w:color="auto"/>
          </w:divBdr>
        </w:div>
      </w:divsChild>
    </w:div>
    <w:div w:id="1649824675">
      <w:marLeft w:val="0"/>
      <w:marRight w:val="0"/>
      <w:marTop w:val="240"/>
      <w:marBottom w:val="0"/>
      <w:divBdr>
        <w:top w:val="none" w:sz="0" w:space="0" w:color="auto"/>
        <w:left w:val="none" w:sz="0" w:space="0" w:color="auto"/>
        <w:bottom w:val="none" w:sz="0" w:space="0" w:color="auto"/>
        <w:right w:val="none" w:sz="0" w:space="0" w:color="auto"/>
      </w:divBdr>
    </w:div>
    <w:div w:id="1651903539">
      <w:marLeft w:val="0"/>
      <w:marRight w:val="0"/>
      <w:marTop w:val="240"/>
      <w:marBottom w:val="0"/>
      <w:divBdr>
        <w:top w:val="none" w:sz="0" w:space="0" w:color="auto"/>
        <w:left w:val="none" w:sz="0" w:space="0" w:color="auto"/>
        <w:bottom w:val="none" w:sz="0" w:space="0" w:color="auto"/>
        <w:right w:val="none" w:sz="0" w:space="0" w:color="auto"/>
      </w:divBdr>
      <w:divsChild>
        <w:div w:id="1595433414">
          <w:marLeft w:val="0"/>
          <w:marRight w:val="0"/>
          <w:marTop w:val="0"/>
          <w:marBottom w:val="0"/>
          <w:divBdr>
            <w:top w:val="none" w:sz="0" w:space="0" w:color="auto"/>
            <w:left w:val="none" w:sz="0" w:space="0" w:color="auto"/>
            <w:bottom w:val="none" w:sz="0" w:space="0" w:color="auto"/>
            <w:right w:val="none" w:sz="0" w:space="0" w:color="auto"/>
          </w:divBdr>
        </w:div>
        <w:div w:id="163126769">
          <w:marLeft w:val="0"/>
          <w:marRight w:val="0"/>
          <w:marTop w:val="0"/>
          <w:marBottom w:val="0"/>
          <w:divBdr>
            <w:top w:val="none" w:sz="0" w:space="0" w:color="auto"/>
            <w:left w:val="none" w:sz="0" w:space="0" w:color="auto"/>
            <w:bottom w:val="none" w:sz="0" w:space="0" w:color="auto"/>
            <w:right w:val="none" w:sz="0" w:space="0" w:color="auto"/>
          </w:divBdr>
        </w:div>
      </w:divsChild>
    </w:div>
    <w:div w:id="1670058354">
      <w:marLeft w:val="0"/>
      <w:marRight w:val="0"/>
      <w:marTop w:val="120"/>
      <w:marBottom w:val="0"/>
      <w:divBdr>
        <w:top w:val="none" w:sz="0" w:space="0" w:color="auto"/>
        <w:left w:val="none" w:sz="0" w:space="0" w:color="auto"/>
        <w:bottom w:val="none" w:sz="0" w:space="0" w:color="auto"/>
        <w:right w:val="none" w:sz="0" w:space="0" w:color="auto"/>
      </w:divBdr>
    </w:div>
    <w:div w:id="1672559727">
      <w:marLeft w:val="0"/>
      <w:marRight w:val="0"/>
      <w:marTop w:val="120"/>
      <w:marBottom w:val="0"/>
      <w:divBdr>
        <w:top w:val="none" w:sz="0" w:space="0" w:color="auto"/>
        <w:left w:val="none" w:sz="0" w:space="0" w:color="auto"/>
        <w:bottom w:val="none" w:sz="0" w:space="0" w:color="auto"/>
        <w:right w:val="none" w:sz="0" w:space="0" w:color="auto"/>
      </w:divBdr>
    </w:div>
    <w:div w:id="1672685357">
      <w:marLeft w:val="0"/>
      <w:marRight w:val="0"/>
      <w:marTop w:val="0"/>
      <w:marBottom w:val="0"/>
      <w:divBdr>
        <w:top w:val="none" w:sz="0" w:space="0" w:color="auto"/>
        <w:left w:val="none" w:sz="0" w:space="0" w:color="auto"/>
        <w:bottom w:val="none" w:sz="0" w:space="0" w:color="auto"/>
        <w:right w:val="none" w:sz="0" w:space="0" w:color="auto"/>
      </w:divBdr>
      <w:divsChild>
        <w:div w:id="5255951">
          <w:marLeft w:val="0"/>
          <w:marRight w:val="0"/>
          <w:marTop w:val="240"/>
          <w:marBottom w:val="0"/>
          <w:divBdr>
            <w:top w:val="none" w:sz="0" w:space="0" w:color="auto"/>
            <w:left w:val="none" w:sz="0" w:space="0" w:color="auto"/>
            <w:bottom w:val="none" w:sz="0" w:space="0" w:color="auto"/>
            <w:right w:val="none" w:sz="0" w:space="0" w:color="auto"/>
          </w:divBdr>
        </w:div>
      </w:divsChild>
    </w:div>
    <w:div w:id="1674455314">
      <w:marLeft w:val="0"/>
      <w:marRight w:val="0"/>
      <w:marTop w:val="120"/>
      <w:marBottom w:val="0"/>
      <w:divBdr>
        <w:top w:val="none" w:sz="0" w:space="0" w:color="auto"/>
        <w:left w:val="none" w:sz="0" w:space="0" w:color="auto"/>
        <w:bottom w:val="none" w:sz="0" w:space="0" w:color="auto"/>
        <w:right w:val="none" w:sz="0" w:space="0" w:color="auto"/>
      </w:divBdr>
    </w:div>
    <w:div w:id="1676421001">
      <w:marLeft w:val="0"/>
      <w:marRight w:val="0"/>
      <w:marTop w:val="240"/>
      <w:marBottom w:val="0"/>
      <w:divBdr>
        <w:top w:val="none" w:sz="0" w:space="0" w:color="auto"/>
        <w:left w:val="none" w:sz="0" w:space="0" w:color="auto"/>
        <w:bottom w:val="none" w:sz="0" w:space="0" w:color="auto"/>
        <w:right w:val="none" w:sz="0" w:space="0" w:color="auto"/>
      </w:divBdr>
    </w:div>
    <w:div w:id="1678383961">
      <w:marLeft w:val="0"/>
      <w:marRight w:val="0"/>
      <w:marTop w:val="240"/>
      <w:marBottom w:val="0"/>
      <w:divBdr>
        <w:top w:val="none" w:sz="0" w:space="0" w:color="auto"/>
        <w:left w:val="none" w:sz="0" w:space="0" w:color="auto"/>
        <w:bottom w:val="none" w:sz="0" w:space="0" w:color="auto"/>
        <w:right w:val="none" w:sz="0" w:space="0" w:color="auto"/>
      </w:divBdr>
    </w:div>
    <w:div w:id="1678537877">
      <w:marLeft w:val="0"/>
      <w:marRight w:val="0"/>
      <w:marTop w:val="120"/>
      <w:marBottom w:val="0"/>
      <w:divBdr>
        <w:top w:val="none" w:sz="0" w:space="0" w:color="auto"/>
        <w:left w:val="none" w:sz="0" w:space="0" w:color="auto"/>
        <w:bottom w:val="none" w:sz="0" w:space="0" w:color="auto"/>
        <w:right w:val="none" w:sz="0" w:space="0" w:color="auto"/>
      </w:divBdr>
    </w:div>
    <w:div w:id="1699818232">
      <w:marLeft w:val="0"/>
      <w:marRight w:val="0"/>
      <w:marTop w:val="0"/>
      <w:marBottom w:val="0"/>
      <w:divBdr>
        <w:top w:val="none" w:sz="0" w:space="0" w:color="auto"/>
        <w:left w:val="none" w:sz="0" w:space="0" w:color="auto"/>
        <w:bottom w:val="none" w:sz="0" w:space="0" w:color="auto"/>
        <w:right w:val="none" w:sz="0" w:space="0" w:color="auto"/>
      </w:divBdr>
    </w:div>
    <w:div w:id="1700086753">
      <w:marLeft w:val="0"/>
      <w:marRight w:val="0"/>
      <w:marTop w:val="240"/>
      <w:marBottom w:val="0"/>
      <w:divBdr>
        <w:top w:val="none" w:sz="0" w:space="0" w:color="auto"/>
        <w:left w:val="none" w:sz="0" w:space="0" w:color="auto"/>
        <w:bottom w:val="none" w:sz="0" w:space="0" w:color="auto"/>
        <w:right w:val="none" w:sz="0" w:space="0" w:color="auto"/>
      </w:divBdr>
    </w:div>
    <w:div w:id="1705516118">
      <w:marLeft w:val="0"/>
      <w:marRight w:val="0"/>
      <w:marTop w:val="240"/>
      <w:marBottom w:val="0"/>
      <w:divBdr>
        <w:top w:val="none" w:sz="0" w:space="0" w:color="auto"/>
        <w:left w:val="none" w:sz="0" w:space="0" w:color="auto"/>
        <w:bottom w:val="none" w:sz="0" w:space="0" w:color="auto"/>
        <w:right w:val="none" w:sz="0" w:space="0" w:color="auto"/>
      </w:divBdr>
    </w:div>
    <w:div w:id="1708751717">
      <w:marLeft w:val="0"/>
      <w:marRight w:val="0"/>
      <w:marTop w:val="240"/>
      <w:marBottom w:val="0"/>
      <w:divBdr>
        <w:top w:val="none" w:sz="0" w:space="0" w:color="auto"/>
        <w:left w:val="none" w:sz="0" w:space="0" w:color="auto"/>
        <w:bottom w:val="none" w:sz="0" w:space="0" w:color="auto"/>
        <w:right w:val="none" w:sz="0" w:space="0" w:color="auto"/>
      </w:divBdr>
    </w:div>
    <w:div w:id="1711220732">
      <w:marLeft w:val="0"/>
      <w:marRight w:val="0"/>
      <w:marTop w:val="240"/>
      <w:marBottom w:val="0"/>
      <w:divBdr>
        <w:top w:val="none" w:sz="0" w:space="0" w:color="auto"/>
        <w:left w:val="none" w:sz="0" w:space="0" w:color="auto"/>
        <w:bottom w:val="none" w:sz="0" w:space="0" w:color="auto"/>
        <w:right w:val="none" w:sz="0" w:space="0" w:color="auto"/>
      </w:divBdr>
    </w:div>
    <w:div w:id="1713266983">
      <w:marLeft w:val="0"/>
      <w:marRight w:val="0"/>
      <w:marTop w:val="240"/>
      <w:marBottom w:val="0"/>
      <w:divBdr>
        <w:top w:val="none" w:sz="0" w:space="0" w:color="auto"/>
        <w:left w:val="none" w:sz="0" w:space="0" w:color="auto"/>
        <w:bottom w:val="none" w:sz="0" w:space="0" w:color="auto"/>
        <w:right w:val="none" w:sz="0" w:space="0" w:color="auto"/>
      </w:divBdr>
    </w:div>
    <w:div w:id="1714816236">
      <w:marLeft w:val="0"/>
      <w:marRight w:val="0"/>
      <w:marTop w:val="120"/>
      <w:marBottom w:val="0"/>
      <w:divBdr>
        <w:top w:val="none" w:sz="0" w:space="0" w:color="auto"/>
        <w:left w:val="none" w:sz="0" w:space="0" w:color="auto"/>
        <w:bottom w:val="none" w:sz="0" w:space="0" w:color="auto"/>
        <w:right w:val="none" w:sz="0" w:space="0" w:color="auto"/>
      </w:divBdr>
    </w:div>
    <w:div w:id="1722974022">
      <w:marLeft w:val="0"/>
      <w:marRight w:val="0"/>
      <w:marTop w:val="0"/>
      <w:marBottom w:val="0"/>
      <w:divBdr>
        <w:top w:val="none" w:sz="0" w:space="0" w:color="auto"/>
        <w:left w:val="none" w:sz="0" w:space="0" w:color="auto"/>
        <w:bottom w:val="none" w:sz="0" w:space="0" w:color="auto"/>
        <w:right w:val="none" w:sz="0" w:space="0" w:color="auto"/>
      </w:divBdr>
      <w:divsChild>
        <w:div w:id="65079786">
          <w:marLeft w:val="0"/>
          <w:marRight w:val="0"/>
          <w:marTop w:val="240"/>
          <w:marBottom w:val="0"/>
          <w:divBdr>
            <w:top w:val="none" w:sz="0" w:space="0" w:color="auto"/>
            <w:left w:val="none" w:sz="0" w:space="0" w:color="auto"/>
            <w:bottom w:val="none" w:sz="0" w:space="0" w:color="auto"/>
            <w:right w:val="none" w:sz="0" w:space="0" w:color="auto"/>
          </w:divBdr>
        </w:div>
      </w:divsChild>
    </w:div>
    <w:div w:id="1724715851">
      <w:marLeft w:val="0"/>
      <w:marRight w:val="0"/>
      <w:marTop w:val="240"/>
      <w:marBottom w:val="0"/>
      <w:divBdr>
        <w:top w:val="none" w:sz="0" w:space="0" w:color="auto"/>
        <w:left w:val="none" w:sz="0" w:space="0" w:color="auto"/>
        <w:bottom w:val="none" w:sz="0" w:space="0" w:color="auto"/>
        <w:right w:val="none" w:sz="0" w:space="0" w:color="auto"/>
      </w:divBdr>
    </w:div>
    <w:div w:id="1734936156">
      <w:marLeft w:val="0"/>
      <w:marRight w:val="0"/>
      <w:marTop w:val="240"/>
      <w:marBottom w:val="0"/>
      <w:divBdr>
        <w:top w:val="none" w:sz="0" w:space="0" w:color="auto"/>
        <w:left w:val="none" w:sz="0" w:space="0" w:color="auto"/>
        <w:bottom w:val="none" w:sz="0" w:space="0" w:color="auto"/>
        <w:right w:val="none" w:sz="0" w:space="0" w:color="auto"/>
      </w:divBdr>
    </w:div>
    <w:div w:id="1739549279">
      <w:marLeft w:val="0"/>
      <w:marRight w:val="0"/>
      <w:marTop w:val="240"/>
      <w:marBottom w:val="0"/>
      <w:divBdr>
        <w:top w:val="none" w:sz="0" w:space="0" w:color="auto"/>
        <w:left w:val="none" w:sz="0" w:space="0" w:color="auto"/>
        <w:bottom w:val="none" w:sz="0" w:space="0" w:color="auto"/>
        <w:right w:val="none" w:sz="0" w:space="0" w:color="auto"/>
      </w:divBdr>
    </w:div>
    <w:div w:id="1739785684">
      <w:marLeft w:val="0"/>
      <w:marRight w:val="0"/>
      <w:marTop w:val="0"/>
      <w:marBottom w:val="0"/>
      <w:divBdr>
        <w:top w:val="none" w:sz="0" w:space="0" w:color="auto"/>
        <w:left w:val="none" w:sz="0" w:space="0" w:color="auto"/>
        <w:bottom w:val="none" w:sz="0" w:space="0" w:color="auto"/>
        <w:right w:val="none" w:sz="0" w:space="0" w:color="auto"/>
      </w:divBdr>
      <w:divsChild>
        <w:div w:id="1873763691">
          <w:marLeft w:val="0"/>
          <w:marRight w:val="0"/>
          <w:marTop w:val="240"/>
          <w:marBottom w:val="0"/>
          <w:divBdr>
            <w:top w:val="none" w:sz="0" w:space="0" w:color="auto"/>
            <w:left w:val="none" w:sz="0" w:space="0" w:color="auto"/>
            <w:bottom w:val="none" w:sz="0" w:space="0" w:color="auto"/>
            <w:right w:val="none" w:sz="0" w:space="0" w:color="auto"/>
          </w:divBdr>
        </w:div>
      </w:divsChild>
    </w:div>
    <w:div w:id="1749840809">
      <w:marLeft w:val="0"/>
      <w:marRight w:val="0"/>
      <w:marTop w:val="120"/>
      <w:marBottom w:val="0"/>
      <w:divBdr>
        <w:top w:val="none" w:sz="0" w:space="0" w:color="auto"/>
        <w:left w:val="none" w:sz="0" w:space="0" w:color="auto"/>
        <w:bottom w:val="none" w:sz="0" w:space="0" w:color="auto"/>
        <w:right w:val="none" w:sz="0" w:space="0" w:color="auto"/>
      </w:divBdr>
    </w:div>
    <w:div w:id="1755778344">
      <w:marLeft w:val="0"/>
      <w:marRight w:val="0"/>
      <w:marTop w:val="240"/>
      <w:marBottom w:val="0"/>
      <w:divBdr>
        <w:top w:val="none" w:sz="0" w:space="0" w:color="auto"/>
        <w:left w:val="none" w:sz="0" w:space="0" w:color="auto"/>
        <w:bottom w:val="none" w:sz="0" w:space="0" w:color="auto"/>
        <w:right w:val="none" w:sz="0" w:space="0" w:color="auto"/>
      </w:divBdr>
    </w:div>
    <w:div w:id="1769544704">
      <w:marLeft w:val="0"/>
      <w:marRight w:val="0"/>
      <w:marTop w:val="0"/>
      <w:marBottom w:val="0"/>
      <w:divBdr>
        <w:top w:val="none" w:sz="0" w:space="0" w:color="auto"/>
        <w:left w:val="none" w:sz="0" w:space="0" w:color="auto"/>
        <w:bottom w:val="none" w:sz="0" w:space="0" w:color="auto"/>
        <w:right w:val="none" w:sz="0" w:space="0" w:color="auto"/>
      </w:divBdr>
      <w:divsChild>
        <w:div w:id="270477407">
          <w:marLeft w:val="0"/>
          <w:marRight w:val="0"/>
          <w:marTop w:val="240"/>
          <w:marBottom w:val="0"/>
          <w:divBdr>
            <w:top w:val="none" w:sz="0" w:space="0" w:color="auto"/>
            <w:left w:val="none" w:sz="0" w:space="0" w:color="auto"/>
            <w:bottom w:val="none" w:sz="0" w:space="0" w:color="auto"/>
            <w:right w:val="none" w:sz="0" w:space="0" w:color="auto"/>
          </w:divBdr>
        </w:div>
      </w:divsChild>
    </w:div>
    <w:div w:id="1770392578">
      <w:marLeft w:val="0"/>
      <w:marRight w:val="0"/>
      <w:marTop w:val="240"/>
      <w:marBottom w:val="0"/>
      <w:divBdr>
        <w:top w:val="none" w:sz="0" w:space="0" w:color="auto"/>
        <w:left w:val="none" w:sz="0" w:space="0" w:color="auto"/>
        <w:bottom w:val="none" w:sz="0" w:space="0" w:color="auto"/>
        <w:right w:val="none" w:sz="0" w:space="0" w:color="auto"/>
      </w:divBdr>
      <w:divsChild>
        <w:div w:id="47924615">
          <w:marLeft w:val="0"/>
          <w:marRight w:val="0"/>
          <w:marTop w:val="0"/>
          <w:marBottom w:val="240"/>
          <w:divBdr>
            <w:top w:val="none" w:sz="0" w:space="0" w:color="auto"/>
            <w:left w:val="none" w:sz="0" w:space="0" w:color="auto"/>
            <w:bottom w:val="none" w:sz="0" w:space="0" w:color="auto"/>
            <w:right w:val="none" w:sz="0" w:space="0" w:color="auto"/>
          </w:divBdr>
        </w:div>
        <w:div w:id="1669409501">
          <w:marLeft w:val="0"/>
          <w:marRight w:val="0"/>
          <w:marTop w:val="0"/>
          <w:marBottom w:val="240"/>
          <w:divBdr>
            <w:top w:val="none" w:sz="0" w:space="0" w:color="auto"/>
            <w:left w:val="none" w:sz="0" w:space="0" w:color="auto"/>
            <w:bottom w:val="none" w:sz="0" w:space="0" w:color="auto"/>
            <w:right w:val="none" w:sz="0" w:space="0" w:color="auto"/>
          </w:divBdr>
        </w:div>
        <w:div w:id="1882816002">
          <w:marLeft w:val="0"/>
          <w:marRight w:val="0"/>
          <w:marTop w:val="0"/>
          <w:marBottom w:val="240"/>
          <w:divBdr>
            <w:top w:val="none" w:sz="0" w:space="0" w:color="auto"/>
            <w:left w:val="none" w:sz="0" w:space="0" w:color="auto"/>
            <w:bottom w:val="none" w:sz="0" w:space="0" w:color="auto"/>
            <w:right w:val="none" w:sz="0" w:space="0" w:color="auto"/>
          </w:divBdr>
        </w:div>
        <w:div w:id="773525348">
          <w:marLeft w:val="0"/>
          <w:marRight w:val="0"/>
          <w:marTop w:val="0"/>
          <w:marBottom w:val="240"/>
          <w:divBdr>
            <w:top w:val="none" w:sz="0" w:space="0" w:color="auto"/>
            <w:left w:val="none" w:sz="0" w:space="0" w:color="auto"/>
            <w:bottom w:val="none" w:sz="0" w:space="0" w:color="auto"/>
            <w:right w:val="none" w:sz="0" w:space="0" w:color="auto"/>
          </w:divBdr>
        </w:div>
        <w:div w:id="81532358">
          <w:marLeft w:val="0"/>
          <w:marRight w:val="0"/>
          <w:marTop w:val="0"/>
          <w:marBottom w:val="120"/>
          <w:divBdr>
            <w:top w:val="none" w:sz="0" w:space="0" w:color="auto"/>
            <w:left w:val="none" w:sz="0" w:space="0" w:color="auto"/>
            <w:bottom w:val="none" w:sz="0" w:space="0" w:color="auto"/>
            <w:right w:val="none" w:sz="0" w:space="0" w:color="auto"/>
          </w:divBdr>
        </w:div>
        <w:div w:id="1360476069">
          <w:marLeft w:val="0"/>
          <w:marRight w:val="0"/>
          <w:marTop w:val="0"/>
          <w:marBottom w:val="180"/>
          <w:divBdr>
            <w:top w:val="none" w:sz="0" w:space="0" w:color="auto"/>
            <w:left w:val="none" w:sz="0" w:space="0" w:color="auto"/>
            <w:bottom w:val="none" w:sz="0" w:space="0" w:color="auto"/>
            <w:right w:val="none" w:sz="0" w:space="0" w:color="auto"/>
          </w:divBdr>
        </w:div>
        <w:div w:id="1062220325">
          <w:marLeft w:val="0"/>
          <w:marRight w:val="0"/>
          <w:marTop w:val="0"/>
          <w:marBottom w:val="180"/>
          <w:divBdr>
            <w:top w:val="none" w:sz="0" w:space="0" w:color="auto"/>
            <w:left w:val="none" w:sz="0" w:space="0" w:color="auto"/>
            <w:bottom w:val="none" w:sz="0" w:space="0" w:color="auto"/>
            <w:right w:val="none" w:sz="0" w:space="0" w:color="auto"/>
          </w:divBdr>
        </w:div>
        <w:div w:id="1518932422">
          <w:marLeft w:val="0"/>
          <w:marRight w:val="0"/>
          <w:marTop w:val="0"/>
          <w:marBottom w:val="180"/>
          <w:divBdr>
            <w:top w:val="none" w:sz="0" w:space="0" w:color="auto"/>
            <w:left w:val="none" w:sz="0" w:space="0" w:color="auto"/>
            <w:bottom w:val="none" w:sz="0" w:space="0" w:color="auto"/>
            <w:right w:val="none" w:sz="0" w:space="0" w:color="auto"/>
          </w:divBdr>
        </w:div>
        <w:div w:id="1438409606">
          <w:marLeft w:val="0"/>
          <w:marRight w:val="0"/>
          <w:marTop w:val="0"/>
          <w:marBottom w:val="180"/>
          <w:divBdr>
            <w:top w:val="none" w:sz="0" w:space="0" w:color="auto"/>
            <w:left w:val="none" w:sz="0" w:space="0" w:color="auto"/>
            <w:bottom w:val="none" w:sz="0" w:space="0" w:color="auto"/>
            <w:right w:val="none" w:sz="0" w:space="0" w:color="auto"/>
          </w:divBdr>
        </w:div>
        <w:div w:id="622267189">
          <w:marLeft w:val="0"/>
          <w:marRight w:val="0"/>
          <w:marTop w:val="0"/>
          <w:marBottom w:val="180"/>
          <w:divBdr>
            <w:top w:val="none" w:sz="0" w:space="0" w:color="auto"/>
            <w:left w:val="none" w:sz="0" w:space="0" w:color="auto"/>
            <w:bottom w:val="none" w:sz="0" w:space="0" w:color="auto"/>
            <w:right w:val="none" w:sz="0" w:space="0" w:color="auto"/>
          </w:divBdr>
        </w:div>
        <w:div w:id="1905944923">
          <w:marLeft w:val="0"/>
          <w:marRight w:val="0"/>
          <w:marTop w:val="0"/>
          <w:marBottom w:val="180"/>
          <w:divBdr>
            <w:top w:val="none" w:sz="0" w:space="0" w:color="auto"/>
            <w:left w:val="none" w:sz="0" w:space="0" w:color="auto"/>
            <w:bottom w:val="none" w:sz="0" w:space="0" w:color="auto"/>
            <w:right w:val="none" w:sz="0" w:space="0" w:color="auto"/>
          </w:divBdr>
        </w:div>
      </w:divsChild>
    </w:div>
    <w:div w:id="1781759540">
      <w:marLeft w:val="0"/>
      <w:marRight w:val="0"/>
      <w:marTop w:val="0"/>
      <w:marBottom w:val="240"/>
      <w:divBdr>
        <w:top w:val="none" w:sz="0" w:space="0" w:color="auto"/>
        <w:left w:val="none" w:sz="0" w:space="0" w:color="auto"/>
        <w:bottom w:val="none" w:sz="0" w:space="0" w:color="auto"/>
        <w:right w:val="none" w:sz="0" w:space="0" w:color="auto"/>
      </w:divBdr>
    </w:div>
    <w:div w:id="1782141764">
      <w:marLeft w:val="0"/>
      <w:marRight w:val="0"/>
      <w:marTop w:val="120"/>
      <w:marBottom w:val="0"/>
      <w:divBdr>
        <w:top w:val="none" w:sz="0" w:space="0" w:color="auto"/>
        <w:left w:val="none" w:sz="0" w:space="0" w:color="auto"/>
        <w:bottom w:val="none" w:sz="0" w:space="0" w:color="auto"/>
        <w:right w:val="none" w:sz="0" w:space="0" w:color="auto"/>
      </w:divBdr>
    </w:div>
    <w:div w:id="1787389365">
      <w:marLeft w:val="0"/>
      <w:marRight w:val="0"/>
      <w:marTop w:val="240"/>
      <w:marBottom w:val="0"/>
      <w:divBdr>
        <w:top w:val="none" w:sz="0" w:space="0" w:color="auto"/>
        <w:left w:val="none" w:sz="0" w:space="0" w:color="auto"/>
        <w:bottom w:val="none" w:sz="0" w:space="0" w:color="auto"/>
        <w:right w:val="none" w:sz="0" w:space="0" w:color="auto"/>
      </w:divBdr>
    </w:div>
    <w:div w:id="1796824658">
      <w:marLeft w:val="0"/>
      <w:marRight w:val="0"/>
      <w:marTop w:val="240"/>
      <w:marBottom w:val="0"/>
      <w:divBdr>
        <w:top w:val="none" w:sz="0" w:space="0" w:color="auto"/>
        <w:left w:val="none" w:sz="0" w:space="0" w:color="auto"/>
        <w:bottom w:val="none" w:sz="0" w:space="0" w:color="auto"/>
        <w:right w:val="none" w:sz="0" w:space="0" w:color="auto"/>
      </w:divBdr>
    </w:div>
    <w:div w:id="1800758612">
      <w:marLeft w:val="0"/>
      <w:marRight w:val="0"/>
      <w:marTop w:val="240"/>
      <w:marBottom w:val="0"/>
      <w:divBdr>
        <w:top w:val="none" w:sz="0" w:space="0" w:color="auto"/>
        <w:left w:val="none" w:sz="0" w:space="0" w:color="auto"/>
        <w:bottom w:val="none" w:sz="0" w:space="0" w:color="auto"/>
        <w:right w:val="none" w:sz="0" w:space="0" w:color="auto"/>
      </w:divBdr>
    </w:div>
    <w:div w:id="1803883034">
      <w:marLeft w:val="0"/>
      <w:marRight w:val="0"/>
      <w:marTop w:val="240"/>
      <w:marBottom w:val="0"/>
      <w:divBdr>
        <w:top w:val="none" w:sz="0" w:space="0" w:color="auto"/>
        <w:left w:val="none" w:sz="0" w:space="0" w:color="auto"/>
        <w:bottom w:val="none" w:sz="0" w:space="0" w:color="auto"/>
        <w:right w:val="none" w:sz="0" w:space="0" w:color="auto"/>
      </w:divBdr>
    </w:div>
    <w:div w:id="1811940879">
      <w:marLeft w:val="0"/>
      <w:marRight w:val="0"/>
      <w:marTop w:val="240"/>
      <w:marBottom w:val="0"/>
      <w:divBdr>
        <w:top w:val="none" w:sz="0" w:space="0" w:color="auto"/>
        <w:left w:val="none" w:sz="0" w:space="0" w:color="auto"/>
        <w:bottom w:val="none" w:sz="0" w:space="0" w:color="auto"/>
        <w:right w:val="none" w:sz="0" w:space="0" w:color="auto"/>
      </w:divBdr>
    </w:div>
    <w:div w:id="1818842532">
      <w:marLeft w:val="0"/>
      <w:marRight w:val="0"/>
      <w:marTop w:val="240"/>
      <w:marBottom w:val="0"/>
      <w:divBdr>
        <w:top w:val="none" w:sz="0" w:space="0" w:color="auto"/>
        <w:left w:val="none" w:sz="0" w:space="0" w:color="auto"/>
        <w:bottom w:val="none" w:sz="0" w:space="0" w:color="auto"/>
        <w:right w:val="none" w:sz="0" w:space="0" w:color="auto"/>
      </w:divBdr>
    </w:div>
    <w:div w:id="1819422593">
      <w:marLeft w:val="0"/>
      <w:marRight w:val="0"/>
      <w:marTop w:val="240"/>
      <w:marBottom w:val="0"/>
      <w:divBdr>
        <w:top w:val="none" w:sz="0" w:space="0" w:color="auto"/>
        <w:left w:val="none" w:sz="0" w:space="0" w:color="auto"/>
        <w:bottom w:val="none" w:sz="0" w:space="0" w:color="auto"/>
        <w:right w:val="none" w:sz="0" w:space="0" w:color="auto"/>
      </w:divBdr>
    </w:div>
    <w:div w:id="1833718429">
      <w:marLeft w:val="0"/>
      <w:marRight w:val="0"/>
      <w:marTop w:val="240"/>
      <w:marBottom w:val="0"/>
      <w:divBdr>
        <w:top w:val="none" w:sz="0" w:space="0" w:color="auto"/>
        <w:left w:val="none" w:sz="0" w:space="0" w:color="auto"/>
        <w:bottom w:val="none" w:sz="0" w:space="0" w:color="auto"/>
        <w:right w:val="none" w:sz="0" w:space="0" w:color="auto"/>
      </w:divBdr>
    </w:div>
    <w:div w:id="1837452349">
      <w:marLeft w:val="0"/>
      <w:marRight w:val="0"/>
      <w:marTop w:val="0"/>
      <w:marBottom w:val="0"/>
      <w:divBdr>
        <w:top w:val="none" w:sz="0" w:space="0" w:color="auto"/>
        <w:left w:val="none" w:sz="0" w:space="0" w:color="auto"/>
        <w:bottom w:val="none" w:sz="0" w:space="0" w:color="auto"/>
        <w:right w:val="none" w:sz="0" w:space="0" w:color="auto"/>
      </w:divBdr>
    </w:div>
    <w:div w:id="1841266096">
      <w:marLeft w:val="0"/>
      <w:marRight w:val="0"/>
      <w:marTop w:val="240"/>
      <w:marBottom w:val="0"/>
      <w:divBdr>
        <w:top w:val="none" w:sz="0" w:space="0" w:color="auto"/>
        <w:left w:val="none" w:sz="0" w:space="0" w:color="auto"/>
        <w:bottom w:val="none" w:sz="0" w:space="0" w:color="auto"/>
        <w:right w:val="none" w:sz="0" w:space="0" w:color="auto"/>
      </w:divBdr>
    </w:div>
    <w:div w:id="1847356422">
      <w:marLeft w:val="0"/>
      <w:marRight w:val="0"/>
      <w:marTop w:val="0"/>
      <w:marBottom w:val="0"/>
      <w:divBdr>
        <w:top w:val="none" w:sz="0" w:space="0" w:color="auto"/>
        <w:left w:val="none" w:sz="0" w:space="0" w:color="auto"/>
        <w:bottom w:val="none" w:sz="0" w:space="0" w:color="auto"/>
        <w:right w:val="none" w:sz="0" w:space="0" w:color="auto"/>
      </w:divBdr>
      <w:divsChild>
        <w:div w:id="1130124183">
          <w:marLeft w:val="0"/>
          <w:marRight w:val="0"/>
          <w:marTop w:val="0"/>
          <w:marBottom w:val="0"/>
          <w:divBdr>
            <w:top w:val="none" w:sz="0" w:space="0" w:color="auto"/>
            <w:left w:val="none" w:sz="0" w:space="0" w:color="auto"/>
            <w:bottom w:val="none" w:sz="0" w:space="0" w:color="auto"/>
            <w:right w:val="none" w:sz="0" w:space="0" w:color="auto"/>
          </w:divBdr>
        </w:div>
      </w:divsChild>
    </w:div>
    <w:div w:id="1848060296">
      <w:marLeft w:val="0"/>
      <w:marRight w:val="0"/>
      <w:marTop w:val="240"/>
      <w:marBottom w:val="0"/>
      <w:divBdr>
        <w:top w:val="none" w:sz="0" w:space="0" w:color="auto"/>
        <w:left w:val="none" w:sz="0" w:space="0" w:color="auto"/>
        <w:bottom w:val="none" w:sz="0" w:space="0" w:color="auto"/>
        <w:right w:val="none" w:sz="0" w:space="0" w:color="auto"/>
      </w:divBdr>
    </w:div>
    <w:div w:id="1862358911">
      <w:marLeft w:val="0"/>
      <w:marRight w:val="0"/>
      <w:marTop w:val="0"/>
      <w:marBottom w:val="240"/>
      <w:divBdr>
        <w:top w:val="none" w:sz="0" w:space="0" w:color="auto"/>
        <w:left w:val="none" w:sz="0" w:space="0" w:color="auto"/>
        <w:bottom w:val="none" w:sz="0" w:space="0" w:color="auto"/>
        <w:right w:val="none" w:sz="0" w:space="0" w:color="auto"/>
      </w:divBdr>
    </w:div>
    <w:div w:id="1865820780">
      <w:marLeft w:val="0"/>
      <w:marRight w:val="0"/>
      <w:marTop w:val="240"/>
      <w:marBottom w:val="0"/>
      <w:divBdr>
        <w:top w:val="none" w:sz="0" w:space="0" w:color="auto"/>
        <w:left w:val="none" w:sz="0" w:space="0" w:color="auto"/>
        <w:bottom w:val="none" w:sz="0" w:space="0" w:color="auto"/>
        <w:right w:val="none" w:sz="0" w:space="0" w:color="auto"/>
      </w:divBdr>
    </w:div>
    <w:div w:id="1878160831">
      <w:marLeft w:val="0"/>
      <w:marRight w:val="0"/>
      <w:marTop w:val="240"/>
      <w:marBottom w:val="0"/>
      <w:divBdr>
        <w:top w:val="none" w:sz="0" w:space="0" w:color="auto"/>
        <w:left w:val="none" w:sz="0" w:space="0" w:color="auto"/>
        <w:bottom w:val="none" w:sz="0" w:space="0" w:color="auto"/>
        <w:right w:val="none" w:sz="0" w:space="0" w:color="auto"/>
      </w:divBdr>
    </w:div>
    <w:div w:id="1895659378">
      <w:marLeft w:val="0"/>
      <w:marRight w:val="0"/>
      <w:marTop w:val="120"/>
      <w:marBottom w:val="0"/>
      <w:divBdr>
        <w:top w:val="none" w:sz="0" w:space="0" w:color="auto"/>
        <w:left w:val="none" w:sz="0" w:space="0" w:color="auto"/>
        <w:bottom w:val="none" w:sz="0" w:space="0" w:color="auto"/>
        <w:right w:val="none" w:sz="0" w:space="0" w:color="auto"/>
      </w:divBdr>
    </w:div>
    <w:div w:id="1896626583">
      <w:marLeft w:val="0"/>
      <w:marRight w:val="0"/>
      <w:marTop w:val="240"/>
      <w:marBottom w:val="0"/>
      <w:divBdr>
        <w:top w:val="none" w:sz="0" w:space="0" w:color="auto"/>
        <w:left w:val="none" w:sz="0" w:space="0" w:color="auto"/>
        <w:bottom w:val="none" w:sz="0" w:space="0" w:color="auto"/>
        <w:right w:val="none" w:sz="0" w:space="0" w:color="auto"/>
      </w:divBdr>
    </w:div>
    <w:div w:id="1904565896">
      <w:marLeft w:val="0"/>
      <w:marRight w:val="0"/>
      <w:marTop w:val="240"/>
      <w:marBottom w:val="0"/>
      <w:divBdr>
        <w:top w:val="none" w:sz="0" w:space="0" w:color="auto"/>
        <w:left w:val="none" w:sz="0" w:space="0" w:color="auto"/>
        <w:bottom w:val="none" w:sz="0" w:space="0" w:color="auto"/>
        <w:right w:val="none" w:sz="0" w:space="0" w:color="auto"/>
      </w:divBdr>
    </w:div>
    <w:div w:id="1904635590">
      <w:marLeft w:val="0"/>
      <w:marRight w:val="0"/>
      <w:marTop w:val="240"/>
      <w:marBottom w:val="0"/>
      <w:divBdr>
        <w:top w:val="none" w:sz="0" w:space="0" w:color="auto"/>
        <w:left w:val="none" w:sz="0" w:space="0" w:color="auto"/>
        <w:bottom w:val="none" w:sz="0" w:space="0" w:color="auto"/>
        <w:right w:val="none" w:sz="0" w:space="0" w:color="auto"/>
      </w:divBdr>
    </w:div>
    <w:div w:id="1904679856">
      <w:marLeft w:val="0"/>
      <w:marRight w:val="0"/>
      <w:marTop w:val="240"/>
      <w:marBottom w:val="0"/>
      <w:divBdr>
        <w:top w:val="none" w:sz="0" w:space="0" w:color="auto"/>
        <w:left w:val="none" w:sz="0" w:space="0" w:color="auto"/>
        <w:bottom w:val="none" w:sz="0" w:space="0" w:color="auto"/>
        <w:right w:val="none" w:sz="0" w:space="0" w:color="auto"/>
      </w:divBdr>
    </w:div>
    <w:div w:id="1927375131">
      <w:marLeft w:val="0"/>
      <w:marRight w:val="0"/>
      <w:marTop w:val="0"/>
      <w:marBottom w:val="0"/>
      <w:divBdr>
        <w:top w:val="none" w:sz="0" w:space="0" w:color="auto"/>
        <w:left w:val="none" w:sz="0" w:space="0" w:color="auto"/>
        <w:bottom w:val="none" w:sz="0" w:space="0" w:color="auto"/>
        <w:right w:val="none" w:sz="0" w:space="0" w:color="auto"/>
      </w:divBdr>
    </w:div>
    <w:div w:id="1929071871">
      <w:marLeft w:val="0"/>
      <w:marRight w:val="0"/>
      <w:marTop w:val="0"/>
      <w:marBottom w:val="0"/>
      <w:divBdr>
        <w:top w:val="none" w:sz="0" w:space="0" w:color="auto"/>
        <w:left w:val="none" w:sz="0" w:space="0" w:color="auto"/>
        <w:bottom w:val="none" w:sz="0" w:space="0" w:color="auto"/>
        <w:right w:val="none" w:sz="0" w:space="0" w:color="auto"/>
      </w:divBdr>
      <w:divsChild>
        <w:div w:id="311452892">
          <w:marLeft w:val="0"/>
          <w:marRight w:val="0"/>
          <w:marTop w:val="240"/>
          <w:marBottom w:val="0"/>
          <w:divBdr>
            <w:top w:val="none" w:sz="0" w:space="0" w:color="auto"/>
            <w:left w:val="none" w:sz="0" w:space="0" w:color="auto"/>
            <w:bottom w:val="none" w:sz="0" w:space="0" w:color="auto"/>
            <w:right w:val="none" w:sz="0" w:space="0" w:color="auto"/>
          </w:divBdr>
        </w:div>
      </w:divsChild>
    </w:div>
    <w:div w:id="1929924401">
      <w:marLeft w:val="0"/>
      <w:marRight w:val="0"/>
      <w:marTop w:val="240"/>
      <w:marBottom w:val="0"/>
      <w:divBdr>
        <w:top w:val="none" w:sz="0" w:space="0" w:color="auto"/>
        <w:left w:val="none" w:sz="0" w:space="0" w:color="auto"/>
        <w:bottom w:val="none" w:sz="0" w:space="0" w:color="auto"/>
        <w:right w:val="none" w:sz="0" w:space="0" w:color="auto"/>
      </w:divBdr>
    </w:div>
    <w:div w:id="1930961345">
      <w:marLeft w:val="0"/>
      <w:marRight w:val="0"/>
      <w:marTop w:val="240"/>
      <w:marBottom w:val="0"/>
      <w:divBdr>
        <w:top w:val="none" w:sz="0" w:space="0" w:color="auto"/>
        <w:left w:val="none" w:sz="0" w:space="0" w:color="auto"/>
        <w:bottom w:val="none" w:sz="0" w:space="0" w:color="auto"/>
        <w:right w:val="none" w:sz="0" w:space="0" w:color="auto"/>
      </w:divBdr>
    </w:div>
    <w:div w:id="1932424222">
      <w:marLeft w:val="0"/>
      <w:marRight w:val="0"/>
      <w:marTop w:val="240"/>
      <w:marBottom w:val="0"/>
      <w:divBdr>
        <w:top w:val="none" w:sz="0" w:space="0" w:color="auto"/>
        <w:left w:val="none" w:sz="0" w:space="0" w:color="auto"/>
        <w:bottom w:val="none" w:sz="0" w:space="0" w:color="auto"/>
        <w:right w:val="none" w:sz="0" w:space="0" w:color="auto"/>
      </w:divBdr>
    </w:div>
    <w:div w:id="1940333362">
      <w:marLeft w:val="0"/>
      <w:marRight w:val="0"/>
      <w:marTop w:val="240"/>
      <w:marBottom w:val="0"/>
      <w:divBdr>
        <w:top w:val="none" w:sz="0" w:space="0" w:color="auto"/>
        <w:left w:val="none" w:sz="0" w:space="0" w:color="auto"/>
        <w:bottom w:val="none" w:sz="0" w:space="0" w:color="auto"/>
        <w:right w:val="none" w:sz="0" w:space="0" w:color="auto"/>
      </w:divBdr>
    </w:div>
    <w:div w:id="1943147296">
      <w:marLeft w:val="0"/>
      <w:marRight w:val="0"/>
      <w:marTop w:val="240"/>
      <w:marBottom w:val="0"/>
      <w:divBdr>
        <w:top w:val="none" w:sz="0" w:space="0" w:color="auto"/>
        <w:left w:val="none" w:sz="0" w:space="0" w:color="auto"/>
        <w:bottom w:val="none" w:sz="0" w:space="0" w:color="auto"/>
        <w:right w:val="none" w:sz="0" w:space="0" w:color="auto"/>
      </w:divBdr>
    </w:div>
    <w:div w:id="1952467487">
      <w:marLeft w:val="0"/>
      <w:marRight w:val="0"/>
      <w:marTop w:val="240"/>
      <w:marBottom w:val="0"/>
      <w:divBdr>
        <w:top w:val="none" w:sz="0" w:space="0" w:color="auto"/>
        <w:left w:val="none" w:sz="0" w:space="0" w:color="auto"/>
        <w:bottom w:val="none" w:sz="0" w:space="0" w:color="auto"/>
        <w:right w:val="none" w:sz="0" w:space="0" w:color="auto"/>
      </w:divBdr>
    </w:div>
    <w:div w:id="1955942386">
      <w:marLeft w:val="0"/>
      <w:marRight w:val="0"/>
      <w:marTop w:val="120"/>
      <w:marBottom w:val="0"/>
      <w:divBdr>
        <w:top w:val="none" w:sz="0" w:space="0" w:color="auto"/>
        <w:left w:val="none" w:sz="0" w:space="0" w:color="auto"/>
        <w:bottom w:val="none" w:sz="0" w:space="0" w:color="auto"/>
        <w:right w:val="none" w:sz="0" w:space="0" w:color="auto"/>
      </w:divBdr>
    </w:div>
    <w:div w:id="1959018921">
      <w:marLeft w:val="0"/>
      <w:marRight w:val="0"/>
      <w:marTop w:val="200"/>
      <w:marBottom w:val="0"/>
      <w:divBdr>
        <w:top w:val="none" w:sz="0" w:space="0" w:color="auto"/>
        <w:left w:val="none" w:sz="0" w:space="0" w:color="auto"/>
        <w:bottom w:val="none" w:sz="0" w:space="0" w:color="auto"/>
        <w:right w:val="none" w:sz="0" w:space="0" w:color="auto"/>
      </w:divBdr>
      <w:divsChild>
        <w:div w:id="1745252045">
          <w:marLeft w:val="0"/>
          <w:marRight w:val="0"/>
          <w:marTop w:val="0"/>
          <w:marBottom w:val="0"/>
          <w:divBdr>
            <w:top w:val="none" w:sz="0" w:space="0" w:color="auto"/>
            <w:left w:val="none" w:sz="0" w:space="0" w:color="auto"/>
            <w:bottom w:val="none" w:sz="0" w:space="0" w:color="auto"/>
            <w:right w:val="none" w:sz="0" w:space="0" w:color="auto"/>
          </w:divBdr>
        </w:div>
      </w:divsChild>
    </w:div>
    <w:div w:id="1963077195">
      <w:marLeft w:val="0"/>
      <w:marRight w:val="0"/>
      <w:marTop w:val="240"/>
      <w:marBottom w:val="0"/>
      <w:divBdr>
        <w:top w:val="none" w:sz="0" w:space="0" w:color="auto"/>
        <w:left w:val="none" w:sz="0" w:space="0" w:color="auto"/>
        <w:bottom w:val="none" w:sz="0" w:space="0" w:color="auto"/>
        <w:right w:val="none" w:sz="0" w:space="0" w:color="auto"/>
      </w:divBdr>
    </w:div>
    <w:div w:id="1965883800">
      <w:marLeft w:val="0"/>
      <w:marRight w:val="0"/>
      <w:marTop w:val="240"/>
      <w:marBottom w:val="0"/>
      <w:divBdr>
        <w:top w:val="none" w:sz="0" w:space="0" w:color="auto"/>
        <w:left w:val="none" w:sz="0" w:space="0" w:color="auto"/>
        <w:bottom w:val="none" w:sz="0" w:space="0" w:color="auto"/>
        <w:right w:val="none" w:sz="0" w:space="0" w:color="auto"/>
      </w:divBdr>
    </w:div>
    <w:div w:id="1967659822">
      <w:marLeft w:val="0"/>
      <w:marRight w:val="0"/>
      <w:marTop w:val="240"/>
      <w:marBottom w:val="0"/>
      <w:divBdr>
        <w:top w:val="none" w:sz="0" w:space="0" w:color="auto"/>
        <w:left w:val="none" w:sz="0" w:space="0" w:color="auto"/>
        <w:bottom w:val="none" w:sz="0" w:space="0" w:color="auto"/>
        <w:right w:val="none" w:sz="0" w:space="0" w:color="auto"/>
      </w:divBdr>
    </w:div>
    <w:div w:id="1972906864">
      <w:marLeft w:val="0"/>
      <w:marRight w:val="0"/>
      <w:marTop w:val="240"/>
      <w:marBottom w:val="0"/>
      <w:divBdr>
        <w:top w:val="none" w:sz="0" w:space="0" w:color="auto"/>
        <w:left w:val="none" w:sz="0" w:space="0" w:color="auto"/>
        <w:bottom w:val="none" w:sz="0" w:space="0" w:color="auto"/>
        <w:right w:val="none" w:sz="0" w:space="0" w:color="auto"/>
      </w:divBdr>
    </w:div>
    <w:div w:id="1973443772">
      <w:marLeft w:val="0"/>
      <w:marRight w:val="0"/>
      <w:marTop w:val="240"/>
      <w:marBottom w:val="0"/>
      <w:divBdr>
        <w:top w:val="none" w:sz="0" w:space="0" w:color="auto"/>
        <w:left w:val="none" w:sz="0" w:space="0" w:color="auto"/>
        <w:bottom w:val="none" w:sz="0" w:space="0" w:color="auto"/>
        <w:right w:val="none" w:sz="0" w:space="0" w:color="auto"/>
      </w:divBdr>
    </w:div>
    <w:div w:id="1975402717">
      <w:marLeft w:val="0"/>
      <w:marRight w:val="0"/>
      <w:marTop w:val="240"/>
      <w:marBottom w:val="0"/>
      <w:divBdr>
        <w:top w:val="none" w:sz="0" w:space="0" w:color="auto"/>
        <w:left w:val="none" w:sz="0" w:space="0" w:color="auto"/>
        <w:bottom w:val="none" w:sz="0" w:space="0" w:color="auto"/>
        <w:right w:val="none" w:sz="0" w:space="0" w:color="auto"/>
      </w:divBdr>
    </w:div>
    <w:div w:id="1978875839">
      <w:marLeft w:val="0"/>
      <w:marRight w:val="0"/>
      <w:marTop w:val="0"/>
      <w:marBottom w:val="0"/>
      <w:divBdr>
        <w:top w:val="none" w:sz="0" w:space="0" w:color="auto"/>
        <w:left w:val="none" w:sz="0" w:space="0" w:color="auto"/>
        <w:bottom w:val="none" w:sz="0" w:space="0" w:color="auto"/>
        <w:right w:val="none" w:sz="0" w:space="0" w:color="auto"/>
      </w:divBdr>
    </w:div>
    <w:div w:id="1983537992">
      <w:marLeft w:val="0"/>
      <w:marRight w:val="0"/>
      <w:marTop w:val="200"/>
      <w:marBottom w:val="0"/>
      <w:divBdr>
        <w:top w:val="none" w:sz="0" w:space="0" w:color="auto"/>
        <w:left w:val="none" w:sz="0" w:space="0" w:color="auto"/>
        <w:bottom w:val="none" w:sz="0" w:space="0" w:color="auto"/>
        <w:right w:val="none" w:sz="0" w:space="0" w:color="auto"/>
      </w:divBdr>
    </w:div>
    <w:div w:id="1989434172">
      <w:marLeft w:val="0"/>
      <w:marRight w:val="0"/>
      <w:marTop w:val="0"/>
      <w:marBottom w:val="0"/>
      <w:divBdr>
        <w:top w:val="none" w:sz="0" w:space="0" w:color="auto"/>
        <w:left w:val="none" w:sz="0" w:space="0" w:color="auto"/>
        <w:bottom w:val="none" w:sz="0" w:space="0" w:color="auto"/>
        <w:right w:val="none" w:sz="0" w:space="0" w:color="auto"/>
      </w:divBdr>
      <w:divsChild>
        <w:div w:id="953251891">
          <w:marLeft w:val="0"/>
          <w:marRight w:val="0"/>
          <w:marTop w:val="240"/>
          <w:marBottom w:val="0"/>
          <w:divBdr>
            <w:top w:val="none" w:sz="0" w:space="0" w:color="auto"/>
            <w:left w:val="none" w:sz="0" w:space="0" w:color="auto"/>
            <w:bottom w:val="none" w:sz="0" w:space="0" w:color="auto"/>
            <w:right w:val="none" w:sz="0" w:space="0" w:color="auto"/>
          </w:divBdr>
        </w:div>
      </w:divsChild>
    </w:div>
    <w:div w:id="1995717970">
      <w:marLeft w:val="0"/>
      <w:marRight w:val="0"/>
      <w:marTop w:val="240"/>
      <w:marBottom w:val="0"/>
      <w:divBdr>
        <w:top w:val="none" w:sz="0" w:space="0" w:color="auto"/>
        <w:left w:val="none" w:sz="0" w:space="0" w:color="auto"/>
        <w:bottom w:val="none" w:sz="0" w:space="0" w:color="auto"/>
        <w:right w:val="none" w:sz="0" w:space="0" w:color="auto"/>
      </w:divBdr>
    </w:div>
    <w:div w:id="2000110421">
      <w:marLeft w:val="0"/>
      <w:marRight w:val="0"/>
      <w:marTop w:val="240"/>
      <w:marBottom w:val="0"/>
      <w:divBdr>
        <w:top w:val="none" w:sz="0" w:space="0" w:color="auto"/>
        <w:left w:val="none" w:sz="0" w:space="0" w:color="auto"/>
        <w:bottom w:val="none" w:sz="0" w:space="0" w:color="auto"/>
        <w:right w:val="none" w:sz="0" w:space="0" w:color="auto"/>
      </w:divBdr>
    </w:div>
    <w:div w:id="2001805939">
      <w:marLeft w:val="0"/>
      <w:marRight w:val="0"/>
      <w:marTop w:val="240"/>
      <w:marBottom w:val="0"/>
      <w:divBdr>
        <w:top w:val="none" w:sz="0" w:space="0" w:color="auto"/>
        <w:left w:val="none" w:sz="0" w:space="0" w:color="auto"/>
        <w:bottom w:val="none" w:sz="0" w:space="0" w:color="auto"/>
        <w:right w:val="none" w:sz="0" w:space="0" w:color="auto"/>
      </w:divBdr>
    </w:div>
    <w:div w:id="2001885202">
      <w:marLeft w:val="0"/>
      <w:marRight w:val="0"/>
      <w:marTop w:val="0"/>
      <w:marBottom w:val="0"/>
      <w:divBdr>
        <w:top w:val="none" w:sz="0" w:space="0" w:color="auto"/>
        <w:left w:val="none" w:sz="0" w:space="0" w:color="auto"/>
        <w:bottom w:val="none" w:sz="0" w:space="0" w:color="auto"/>
        <w:right w:val="none" w:sz="0" w:space="0" w:color="auto"/>
      </w:divBdr>
    </w:div>
    <w:div w:id="2002541849">
      <w:marLeft w:val="0"/>
      <w:marRight w:val="0"/>
      <w:marTop w:val="0"/>
      <w:marBottom w:val="0"/>
      <w:divBdr>
        <w:top w:val="none" w:sz="0" w:space="0" w:color="auto"/>
        <w:left w:val="none" w:sz="0" w:space="0" w:color="auto"/>
        <w:bottom w:val="none" w:sz="0" w:space="0" w:color="auto"/>
        <w:right w:val="none" w:sz="0" w:space="0" w:color="auto"/>
      </w:divBdr>
    </w:div>
    <w:div w:id="2002655746">
      <w:marLeft w:val="0"/>
      <w:marRight w:val="0"/>
      <w:marTop w:val="240"/>
      <w:marBottom w:val="0"/>
      <w:divBdr>
        <w:top w:val="none" w:sz="0" w:space="0" w:color="auto"/>
        <w:left w:val="none" w:sz="0" w:space="0" w:color="auto"/>
        <w:bottom w:val="none" w:sz="0" w:space="0" w:color="auto"/>
        <w:right w:val="none" w:sz="0" w:space="0" w:color="auto"/>
      </w:divBdr>
    </w:div>
    <w:div w:id="2004311433">
      <w:marLeft w:val="0"/>
      <w:marRight w:val="0"/>
      <w:marTop w:val="240"/>
      <w:marBottom w:val="0"/>
      <w:divBdr>
        <w:top w:val="none" w:sz="0" w:space="0" w:color="auto"/>
        <w:left w:val="none" w:sz="0" w:space="0" w:color="auto"/>
        <w:bottom w:val="none" w:sz="0" w:space="0" w:color="auto"/>
        <w:right w:val="none" w:sz="0" w:space="0" w:color="auto"/>
      </w:divBdr>
    </w:div>
    <w:div w:id="2013796593">
      <w:marLeft w:val="0"/>
      <w:marRight w:val="0"/>
      <w:marTop w:val="240"/>
      <w:marBottom w:val="0"/>
      <w:divBdr>
        <w:top w:val="none" w:sz="0" w:space="0" w:color="auto"/>
        <w:left w:val="none" w:sz="0" w:space="0" w:color="auto"/>
        <w:bottom w:val="none" w:sz="0" w:space="0" w:color="auto"/>
        <w:right w:val="none" w:sz="0" w:space="0" w:color="auto"/>
      </w:divBdr>
    </w:div>
    <w:div w:id="2020424462">
      <w:marLeft w:val="0"/>
      <w:marRight w:val="0"/>
      <w:marTop w:val="0"/>
      <w:marBottom w:val="0"/>
      <w:divBdr>
        <w:top w:val="none" w:sz="0" w:space="0" w:color="auto"/>
        <w:left w:val="none" w:sz="0" w:space="0" w:color="auto"/>
        <w:bottom w:val="none" w:sz="0" w:space="0" w:color="auto"/>
        <w:right w:val="none" w:sz="0" w:space="0" w:color="auto"/>
      </w:divBdr>
    </w:div>
    <w:div w:id="2025856581">
      <w:marLeft w:val="0"/>
      <w:marRight w:val="0"/>
      <w:marTop w:val="0"/>
      <w:marBottom w:val="0"/>
      <w:divBdr>
        <w:top w:val="none" w:sz="0" w:space="0" w:color="auto"/>
        <w:left w:val="none" w:sz="0" w:space="0" w:color="auto"/>
        <w:bottom w:val="none" w:sz="0" w:space="0" w:color="auto"/>
        <w:right w:val="none" w:sz="0" w:space="0" w:color="auto"/>
      </w:divBdr>
    </w:div>
    <w:div w:id="2029285903">
      <w:marLeft w:val="0"/>
      <w:marRight w:val="0"/>
      <w:marTop w:val="240"/>
      <w:marBottom w:val="0"/>
      <w:divBdr>
        <w:top w:val="none" w:sz="0" w:space="0" w:color="auto"/>
        <w:left w:val="none" w:sz="0" w:space="0" w:color="auto"/>
        <w:bottom w:val="none" w:sz="0" w:space="0" w:color="auto"/>
        <w:right w:val="none" w:sz="0" w:space="0" w:color="auto"/>
      </w:divBdr>
    </w:div>
    <w:div w:id="2029524837">
      <w:marLeft w:val="0"/>
      <w:marRight w:val="0"/>
      <w:marTop w:val="120"/>
      <w:marBottom w:val="0"/>
      <w:divBdr>
        <w:top w:val="none" w:sz="0" w:space="0" w:color="auto"/>
        <w:left w:val="none" w:sz="0" w:space="0" w:color="auto"/>
        <w:bottom w:val="none" w:sz="0" w:space="0" w:color="auto"/>
        <w:right w:val="none" w:sz="0" w:space="0" w:color="auto"/>
      </w:divBdr>
    </w:div>
    <w:div w:id="2034722586">
      <w:marLeft w:val="0"/>
      <w:marRight w:val="0"/>
      <w:marTop w:val="240"/>
      <w:marBottom w:val="0"/>
      <w:divBdr>
        <w:top w:val="none" w:sz="0" w:space="0" w:color="auto"/>
        <w:left w:val="none" w:sz="0" w:space="0" w:color="auto"/>
        <w:bottom w:val="none" w:sz="0" w:space="0" w:color="auto"/>
        <w:right w:val="none" w:sz="0" w:space="0" w:color="auto"/>
      </w:divBdr>
    </w:div>
    <w:div w:id="2040232616">
      <w:marLeft w:val="0"/>
      <w:marRight w:val="0"/>
      <w:marTop w:val="240"/>
      <w:marBottom w:val="0"/>
      <w:divBdr>
        <w:top w:val="none" w:sz="0" w:space="0" w:color="auto"/>
        <w:left w:val="none" w:sz="0" w:space="0" w:color="auto"/>
        <w:bottom w:val="none" w:sz="0" w:space="0" w:color="auto"/>
        <w:right w:val="none" w:sz="0" w:space="0" w:color="auto"/>
      </w:divBdr>
    </w:div>
    <w:div w:id="2047833236">
      <w:marLeft w:val="0"/>
      <w:marRight w:val="0"/>
      <w:marTop w:val="240"/>
      <w:marBottom w:val="0"/>
      <w:divBdr>
        <w:top w:val="none" w:sz="0" w:space="0" w:color="auto"/>
        <w:left w:val="none" w:sz="0" w:space="0" w:color="auto"/>
        <w:bottom w:val="none" w:sz="0" w:space="0" w:color="auto"/>
        <w:right w:val="none" w:sz="0" w:space="0" w:color="auto"/>
      </w:divBdr>
    </w:div>
    <w:div w:id="2048481993">
      <w:marLeft w:val="0"/>
      <w:marRight w:val="0"/>
      <w:marTop w:val="240"/>
      <w:marBottom w:val="0"/>
      <w:divBdr>
        <w:top w:val="none" w:sz="0" w:space="0" w:color="auto"/>
        <w:left w:val="none" w:sz="0" w:space="0" w:color="auto"/>
        <w:bottom w:val="none" w:sz="0" w:space="0" w:color="auto"/>
        <w:right w:val="none" w:sz="0" w:space="0" w:color="auto"/>
      </w:divBdr>
    </w:div>
    <w:div w:id="2050718649">
      <w:marLeft w:val="0"/>
      <w:marRight w:val="0"/>
      <w:marTop w:val="0"/>
      <w:marBottom w:val="0"/>
      <w:divBdr>
        <w:top w:val="none" w:sz="0" w:space="0" w:color="auto"/>
        <w:left w:val="none" w:sz="0" w:space="0" w:color="auto"/>
        <w:bottom w:val="none" w:sz="0" w:space="0" w:color="auto"/>
        <w:right w:val="none" w:sz="0" w:space="0" w:color="auto"/>
      </w:divBdr>
      <w:divsChild>
        <w:div w:id="1430004341">
          <w:marLeft w:val="0"/>
          <w:marRight w:val="0"/>
          <w:marTop w:val="0"/>
          <w:marBottom w:val="0"/>
          <w:divBdr>
            <w:top w:val="none" w:sz="0" w:space="0" w:color="auto"/>
            <w:left w:val="none" w:sz="0" w:space="0" w:color="auto"/>
            <w:bottom w:val="none" w:sz="0" w:space="0" w:color="auto"/>
            <w:right w:val="none" w:sz="0" w:space="0" w:color="auto"/>
          </w:divBdr>
        </w:div>
      </w:divsChild>
    </w:div>
    <w:div w:id="2060009857">
      <w:marLeft w:val="0"/>
      <w:marRight w:val="0"/>
      <w:marTop w:val="240"/>
      <w:marBottom w:val="0"/>
      <w:divBdr>
        <w:top w:val="none" w:sz="0" w:space="0" w:color="auto"/>
        <w:left w:val="none" w:sz="0" w:space="0" w:color="auto"/>
        <w:bottom w:val="none" w:sz="0" w:space="0" w:color="auto"/>
        <w:right w:val="none" w:sz="0" w:space="0" w:color="auto"/>
      </w:divBdr>
    </w:div>
    <w:div w:id="2066678848">
      <w:marLeft w:val="0"/>
      <w:marRight w:val="0"/>
      <w:marTop w:val="240"/>
      <w:marBottom w:val="0"/>
      <w:divBdr>
        <w:top w:val="none" w:sz="0" w:space="0" w:color="auto"/>
        <w:left w:val="none" w:sz="0" w:space="0" w:color="auto"/>
        <w:bottom w:val="none" w:sz="0" w:space="0" w:color="auto"/>
        <w:right w:val="none" w:sz="0" w:space="0" w:color="auto"/>
      </w:divBdr>
    </w:div>
    <w:div w:id="2073851375">
      <w:marLeft w:val="0"/>
      <w:marRight w:val="0"/>
      <w:marTop w:val="120"/>
      <w:marBottom w:val="0"/>
      <w:divBdr>
        <w:top w:val="none" w:sz="0" w:space="0" w:color="auto"/>
        <w:left w:val="none" w:sz="0" w:space="0" w:color="auto"/>
        <w:bottom w:val="none" w:sz="0" w:space="0" w:color="auto"/>
        <w:right w:val="none" w:sz="0" w:space="0" w:color="auto"/>
      </w:divBdr>
    </w:div>
    <w:div w:id="2077434191">
      <w:marLeft w:val="0"/>
      <w:marRight w:val="0"/>
      <w:marTop w:val="240"/>
      <w:marBottom w:val="0"/>
      <w:divBdr>
        <w:top w:val="none" w:sz="0" w:space="0" w:color="auto"/>
        <w:left w:val="none" w:sz="0" w:space="0" w:color="auto"/>
        <w:bottom w:val="none" w:sz="0" w:space="0" w:color="auto"/>
        <w:right w:val="none" w:sz="0" w:space="0" w:color="auto"/>
      </w:divBdr>
    </w:div>
    <w:div w:id="2078280208">
      <w:marLeft w:val="0"/>
      <w:marRight w:val="0"/>
      <w:marTop w:val="0"/>
      <w:marBottom w:val="0"/>
      <w:divBdr>
        <w:top w:val="none" w:sz="0" w:space="0" w:color="auto"/>
        <w:left w:val="none" w:sz="0" w:space="0" w:color="auto"/>
        <w:bottom w:val="none" w:sz="0" w:space="0" w:color="auto"/>
        <w:right w:val="none" w:sz="0" w:space="0" w:color="auto"/>
      </w:divBdr>
    </w:div>
    <w:div w:id="2082946907">
      <w:marLeft w:val="0"/>
      <w:marRight w:val="0"/>
      <w:marTop w:val="120"/>
      <w:marBottom w:val="0"/>
      <w:divBdr>
        <w:top w:val="none" w:sz="0" w:space="0" w:color="auto"/>
        <w:left w:val="none" w:sz="0" w:space="0" w:color="auto"/>
        <w:bottom w:val="none" w:sz="0" w:space="0" w:color="auto"/>
        <w:right w:val="none" w:sz="0" w:space="0" w:color="auto"/>
      </w:divBdr>
    </w:div>
    <w:div w:id="2087074469">
      <w:marLeft w:val="0"/>
      <w:marRight w:val="0"/>
      <w:marTop w:val="0"/>
      <w:marBottom w:val="0"/>
      <w:divBdr>
        <w:top w:val="none" w:sz="0" w:space="0" w:color="auto"/>
        <w:left w:val="none" w:sz="0" w:space="0" w:color="auto"/>
        <w:bottom w:val="none" w:sz="0" w:space="0" w:color="auto"/>
        <w:right w:val="none" w:sz="0" w:space="0" w:color="auto"/>
      </w:divBdr>
      <w:divsChild>
        <w:div w:id="917792875">
          <w:marLeft w:val="0"/>
          <w:marRight w:val="0"/>
          <w:marTop w:val="240"/>
          <w:marBottom w:val="0"/>
          <w:divBdr>
            <w:top w:val="none" w:sz="0" w:space="0" w:color="auto"/>
            <w:left w:val="none" w:sz="0" w:space="0" w:color="auto"/>
            <w:bottom w:val="none" w:sz="0" w:space="0" w:color="auto"/>
            <w:right w:val="none" w:sz="0" w:space="0" w:color="auto"/>
          </w:divBdr>
        </w:div>
      </w:divsChild>
    </w:div>
    <w:div w:id="2087534987">
      <w:marLeft w:val="0"/>
      <w:marRight w:val="0"/>
      <w:marTop w:val="240"/>
      <w:marBottom w:val="0"/>
      <w:divBdr>
        <w:top w:val="none" w:sz="0" w:space="0" w:color="auto"/>
        <w:left w:val="none" w:sz="0" w:space="0" w:color="auto"/>
        <w:bottom w:val="none" w:sz="0" w:space="0" w:color="auto"/>
        <w:right w:val="none" w:sz="0" w:space="0" w:color="auto"/>
      </w:divBdr>
    </w:div>
    <w:div w:id="2094012117">
      <w:marLeft w:val="0"/>
      <w:marRight w:val="0"/>
      <w:marTop w:val="240"/>
      <w:marBottom w:val="0"/>
      <w:divBdr>
        <w:top w:val="none" w:sz="0" w:space="0" w:color="auto"/>
        <w:left w:val="none" w:sz="0" w:space="0" w:color="auto"/>
        <w:bottom w:val="none" w:sz="0" w:space="0" w:color="auto"/>
        <w:right w:val="none" w:sz="0" w:space="0" w:color="auto"/>
      </w:divBdr>
    </w:div>
    <w:div w:id="2106264858">
      <w:marLeft w:val="0"/>
      <w:marRight w:val="0"/>
      <w:marTop w:val="120"/>
      <w:marBottom w:val="0"/>
      <w:divBdr>
        <w:top w:val="none" w:sz="0" w:space="0" w:color="auto"/>
        <w:left w:val="none" w:sz="0" w:space="0" w:color="auto"/>
        <w:bottom w:val="none" w:sz="0" w:space="0" w:color="auto"/>
        <w:right w:val="none" w:sz="0" w:space="0" w:color="auto"/>
      </w:divBdr>
    </w:div>
    <w:div w:id="2113696244">
      <w:marLeft w:val="0"/>
      <w:marRight w:val="0"/>
      <w:marTop w:val="240"/>
      <w:marBottom w:val="0"/>
      <w:divBdr>
        <w:top w:val="none" w:sz="0" w:space="0" w:color="auto"/>
        <w:left w:val="none" w:sz="0" w:space="0" w:color="auto"/>
        <w:bottom w:val="none" w:sz="0" w:space="0" w:color="auto"/>
        <w:right w:val="none" w:sz="0" w:space="0" w:color="auto"/>
      </w:divBdr>
    </w:div>
    <w:div w:id="2115704096">
      <w:marLeft w:val="0"/>
      <w:marRight w:val="0"/>
      <w:marTop w:val="240"/>
      <w:marBottom w:val="0"/>
      <w:divBdr>
        <w:top w:val="none" w:sz="0" w:space="0" w:color="auto"/>
        <w:left w:val="none" w:sz="0" w:space="0" w:color="auto"/>
        <w:bottom w:val="none" w:sz="0" w:space="0" w:color="auto"/>
        <w:right w:val="none" w:sz="0" w:space="0" w:color="auto"/>
      </w:divBdr>
    </w:div>
    <w:div w:id="2122607282">
      <w:marLeft w:val="0"/>
      <w:marRight w:val="0"/>
      <w:marTop w:val="120"/>
      <w:marBottom w:val="0"/>
      <w:divBdr>
        <w:top w:val="none" w:sz="0" w:space="0" w:color="auto"/>
        <w:left w:val="none" w:sz="0" w:space="0" w:color="auto"/>
        <w:bottom w:val="none" w:sz="0" w:space="0" w:color="auto"/>
        <w:right w:val="none" w:sz="0" w:space="0" w:color="auto"/>
      </w:divBdr>
    </w:div>
    <w:div w:id="2138328982">
      <w:marLeft w:val="0"/>
      <w:marRight w:val="0"/>
      <w:marTop w:val="240"/>
      <w:marBottom w:val="0"/>
      <w:divBdr>
        <w:top w:val="none" w:sz="0" w:space="0" w:color="auto"/>
        <w:left w:val="none" w:sz="0" w:space="0" w:color="auto"/>
        <w:bottom w:val="none" w:sz="0" w:space="0" w:color="auto"/>
        <w:right w:val="none" w:sz="0" w:space="0" w:color="auto"/>
      </w:divBdr>
    </w:div>
    <w:div w:id="2141536287">
      <w:marLeft w:val="0"/>
      <w:marRight w:val="0"/>
      <w:marTop w:val="24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Archives/edgar/data/893847/000095013705005612/c94951exv10w2.txt" TargetMode="External"/><Relationship Id="rId13" Type="http://schemas.openxmlformats.org/officeDocument/2006/relationships/hyperlink" Target="http://www.sec.gov/Archives/edgar/data/893847/000155837019002015/hwbk-20181231ex143eb20d6.htm" TargetMode="External"/><Relationship Id="rId18" Type="http://schemas.openxmlformats.org/officeDocument/2006/relationships/hyperlink" Target="a2022q4ex321.htm"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sec.gov/Archives/edgar/data/893847/000141588917001027/ex4-06232017_100639.htm" TargetMode="External"/><Relationship Id="rId12" Type="http://schemas.openxmlformats.org/officeDocument/2006/relationships/hyperlink" Target="hwbk-20221231_d2.htm" TargetMode="External"/><Relationship Id="rId17" Type="http://schemas.openxmlformats.org/officeDocument/2006/relationships/hyperlink" Target="a2022q4ex312.htm" TargetMode="External"/><Relationship Id="rId2" Type="http://schemas.openxmlformats.org/officeDocument/2006/relationships/settings" Target="settings.xml"/><Relationship Id="rId16" Type="http://schemas.openxmlformats.org/officeDocument/2006/relationships/hyperlink" Target="a2022q4ex311.htm"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sec.gov/Archives/edgar/data/893847/000155837020002742/hwbk-20191231xex4.htm" TargetMode="External"/><Relationship Id="rId11" Type="http://schemas.openxmlformats.org/officeDocument/2006/relationships/hyperlink" Target="hwbk-20221231_d2.htm" TargetMode="External"/><Relationship Id="rId5" Type="http://schemas.openxmlformats.org/officeDocument/2006/relationships/hyperlink" Target="https://www.sec.gov/Archives/edgar/data/893847/000155837021000457/hwbk-20210127xex3d1.htm" TargetMode="External"/><Relationship Id="rId15" Type="http://schemas.openxmlformats.org/officeDocument/2006/relationships/hyperlink" Target="a2022q4ex23.htm" TargetMode="External"/><Relationship Id="rId10" Type="http://schemas.openxmlformats.org/officeDocument/2006/relationships/hyperlink" Target="hwbk-20221231_d2.htm" TargetMode="External"/><Relationship Id="rId19" Type="http://schemas.openxmlformats.org/officeDocument/2006/relationships/hyperlink" Target="a2022q4ex322.htm" TargetMode="External"/><Relationship Id="rId4" Type="http://schemas.openxmlformats.org/officeDocument/2006/relationships/hyperlink" Target="http://www.sec.gov/Archives/edgar/data/893847/000129993307004833/exhibit1.htm" TargetMode="External"/><Relationship Id="rId9" Type="http://schemas.openxmlformats.org/officeDocument/2006/relationships/hyperlink" Target="http://www.sec.gov/Archives/edgar/data/893847/000141588918001618/ex10-11132018_021118.htm" TargetMode="External"/><Relationship Id="rId14" Type="http://schemas.openxmlformats.org/officeDocument/2006/relationships/hyperlink" Target="http://www.sec.gov/Archives/edgar/data/893847/000155837019002015/hwbk-20181231ex21280d347.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30039</Words>
  <Characters>171224</Characters>
  <Application>Microsoft Office Word</Application>
  <DocSecurity>0</DocSecurity>
  <Lines>1426</Lines>
  <Paragraphs>401</Paragraphs>
  <ScaleCrop>false</ScaleCrop>
  <Company/>
  <LinksUpToDate>false</LinksUpToDate>
  <CharactersWithSpaces>200862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hwbk-20221231</dc:title>
  <dc:subject/>
  <dc:creator>Chongjian.Yue</dc:creator>
  <cp:keywords/>
  <dc:description/>
  <cp:lastModifiedBy>Yue Chongjian</cp:lastModifiedBy>
  <cp:revision>1</cp:revision>
  <dcterms:created xsi:type="dcterms:W3CDTF">2024-01-04T15:46:00Z</dcterms:created>
  <dcterms:modified xsi:type="dcterms:W3CDTF">2024-01-04T15:46:00Z</dcterms:modified>
</cp:coreProperties>
</file>