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20BDB">
      <w:pPr>
        <w:pStyle w:val="a3"/>
        <w:spacing w:before="0" w:beforeAutospacing="0" w:after="0" w:afterAutospacing="0"/>
        <w:rPr>
          <w:sz w:val="20"/>
          <w:szCs w:val="20"/>
        </w:rPr>
      </w:pPr>
      <w:r>
        <w:rPr>
          <w:sz w:val="20"/>
          <w:szCs w:val="20"/>
        </w:rPr>
        <w:t> </w:t>
      </w:r>
    </w:p>
    <w:p w:rsidR="00000000" w:rsidRDefault="00F20BDB">
      <w:pPr>
        <w:pStyle w:val="a3"/>
        <w:pBdr>
          <w:bottom w:val="double" w:sz="6" w:space="1" w:color="auto"/>
        </w:pBdr>
        <w:spacing w:before="0" w:beforeAutospacing="0" w:after="0" w:afterAutospacing="0"/>
        <w:rPr>
          <w:sz w:val="2"/>
          <w:szCs w:val="2"/>
        </w:rPr>
      </w:pPr>
      <w:r>
        <w:rPr>
          <w:sz w:val="2"/>
          <w:szCs w:val="2"/>
        </w:rPr>
        <w:t> </w:t>
      </w:r>
    </w:p>
    <w:p w:rsidR="00000000" w:rsidRDefault="00F20BDB">
      <w:pPr>
        <w:pStyle w:val="a3"/>
        <w:spacing w:before="60" w:beforeAutospacing="0" w:after="0" w:afterAutospacing="0"/>
        <w:jc w:val="center"/>
        <w:rPr>
          <w:b/>
          <w:bCs/>
          <w:sz w:val="36"/>
          <w:szCs w:val="36"/>
        </w:rPr>
      </w:pPr>
      <w:r>
        <w:rPr>
          <w:b/>
          <w:bCs/>
          <w:sz w:val="36"/>
          <w:szCs w:val="36"/>
        </w:rPr>
        <w:t>UNITED STATES</w:t>
      </w:r>
    </w:p>
    <w:p w:rsidR="00000000" w:rsidRDefault="00F20BDB">
      <w:pPr>
        <w:pStyle w:val="a3"/>
        <w:spacing w:before="0" w:beforeAutospacing="0" w:after="0" w:afterAutospacing="0"/>
        <w:jc w:val="center"/>
        <w:rPr>
          <w:b/>
          <w:bCs/>
          <w:sz w:val="36"/>
          <w:szCs w:val="36"/>
        </w:rPr>
      </w:pPr>
      <w:r>
        <w:rPr>
          <w:b/>
          <w:bCs/>
          <w:sz w:val="36"/>
          <w:szCs w:val="36"/>
        </w:rPr>
        <w:t>SECURITIES AND EXCHANGE COMMISSION</w:t>
      </w:r>
    </w:p>
    <w:p w:rsidR="00000000" w:rsidRDefault="00F20BDB">
      <w:pPr>
        <w:pStyle w:val="a3"/>
        <w:spacing w:before="0" w:beforeAutospacing="0" w:after="0" w:afterAutospacing="0"/>
        <w:jc w:val="center"/>
        <w:rPr>
          <w:b/>
          <w:bCs/>
        </w:rPr>
      </w:pPr>
      <w:r>
        <w:rPr>
          <w:b/>
          <w:bCs/>
        </w:rPr>
        <w:t>Washington, D.C. 20549</w:t>
      </w:r>
    </w:p>
    <w:p w:rsidR="00000000" w:rsidRDefault="00F20BDB">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rsidR="00000000" w:rsidRDefault="00F20BDB">
      <w:pPr>
        <w:pStyle w:val="a3"/>
        <w:spacing w:beforeAutospacing="0" w:after="0" w:afterAutospacing="0"/>
        <w:jc w:val="center"/>
        <w:rPr>
          <w:b/>
          <w:bCs/>
          <w:sz w:val="36"/>
          <w:szCs w:val="36"/>
        </w:rPr>
      </w:pPr>
      <w:r>
        <w:rPr>
          <w:b/>
          <w:bCs/>
          <w:sz w:val="36"/>
          <w:szCs w:val="36"/>
        </w:rPr>
        <w:t>FORM 10-Q</w:t>
      </w:r>
    </w:p>
    <w:p w:rsidR="00000000" w:rsidRDefault="00F20BDB">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rsidR="00000000" w:rsidRDefault="00F20BDB">
      <w:pPr>
        <w:pStyle w:val="a3"/>
        <w:spacing w:beforeAutospacing="0" w:after="0" w:afterAutospacing="0"/>
        <w:rPr>
          <w:b/>
          <w:bCs/>
          <w:sz w:val="20"/>
          <w:szCs w:val="20"/>
        </w:rPr>
      </w:pPr>
      <w:r>
        <w:rPr>
          <w:b/>
          <w:bCs/>
          <w:sz w:val="20"/>
          <w:szCs w:val="20"/>
        </w:rPr>
        <w:t>(MARK ONE)</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F20BDB">
            <w:pPr>
              <w:pStyle w:val="a3"/>
              <w:spacing w:before="0" w:beforeAutospacing="0" w:after="0" w:afterAutospacing="0"/>
              <w:rPr>
                <w:b/>
                <w:bCs/>
              </w:rPr>
            </w:pPr>
            <w:r>
              <w:rPr>
                <w:rFonts w:ascii="Segoe UI Symbol" w:hAnsi="Segoe UI Symbol" w:cs="Segoe UI Symbol"/>
                <w:b/>
                <w:bCs/>
              </w:rPr>
              <w:t>☒</w:t>
            </w:r>
          </w:p>
        </w:tc>
        <w:tc>
          <w:tcPr>
            <w:tcW w:w="0" w:type="auto"/>
            <w:hideMark/>
          </w:tcPr>
          <w:p w:rsidR="00000000" w:rsidRDefault="00F20BDB">
            <w:pPr>
              <w:pStyle w:val="a3"/>
              <w:spacing w:before="0" w:beforeAutospacing="0" w:after="0" w:afterAutospacing="0"/>
              <w:rPr>
                <w:b/>
                <w:bCs/>
              </w:rPr>
            </w:pPr>
            <w:r>
              <w:rPr>
                <w:b/>
                <w:bCs/>
              </w:rPr>
              <w:t>QUARTERLY REPORT PURSUANT TO SECTION 13 OR 15(d) OF THE SECURITIES EXCHANGE ACT OF 1934</w:t>
            </w:r>
          </w:p>
        </w:tc>
      </w:tr>
    </w:tbl>
    <w:p w:rsidR="00000000" w:rsidRDefault="00F20BDB">
      <w:pPr>
        <w:pStyle w:val="a3"/>
        <w:spacing w:beforeAutospacing="0" w:after="0" w:afterAutospacing="0"/>
        <w:jc w:val="center"/>
        <w:rPr>
          <w:b/>
          <w:bCs/>
          <w:sz w:val="20"/>
          <w:szCs w:val="20"/>
        </w:rPr>
      </w:pPr>
      <w:r>
        <w:rPr>
          <w:b/>
          <w:bCs/>
          <w:sz w:val="20"/>
          <w:szCs w:val="20"/>
        </w:rPr>
        <w:t>FOR THE QUARTERLY PERIOD ENDED March 31, 2019</w:t>
      </w:r>
    </w:p>
    <w:p w:rsidR="00000000" w:rsidRDefault="00F20BDB">
      <w:pPr>
        <w:pStyle w:val="a3"/>
        <w:spacing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F20BDB">
            <w:pPr>
              <w:pStyle w:val="a3"/>
              <w:spacing w:beforeAutospacing="0" w:after="0" w:afterAutospacing="0"/>
              <w:rPr>
                <w:b/>
                <w:bCs/>
              </w:rPr>
            </w:pPr>
            <w:r>
              <w:rPr>
                <w:rFonts w:ascii="Segoe UI Symbol" w:hAnsi="Segoe UI Symbol" w:cs="Segoe UI Symbol"/>
                <w:b/>
                <w:bCs/>
              </w:rPr>
              <w:t>☐</w:t>
            </w:r>
          </w:p>
        </w:tc>
        <w:tc>
          <w:tcPr>
            <w:tcW w:w="0" w:type="auto"/>
            <w:hideMark/>
          </w:tcPr>
          <w:p w:rsidR="00000000" w:rsidRDefault="00F20BDB">
            <w:pPr>
              <w:pStyle w:val="a3"/>
              <w:spacing w:beforeAutospacing="0" w:after="0" w:afterAutospacing="0"/>
              <w:rPr>
                <w:b/>
                <w:bCs/>
              </w:rPr>
            </w:pPr>
            <w:r>
              <w:rPr>
                <w:b/>
                <w:bCs/>
              </w:rPr>
              <w:t>TRANSITION REPORT PURSUANT TO SECTION 13 OR 15(d) OF THE SECURITIES EXCHANGE ACT OF 1934</w:t>
            </w:r>
          </w:p>
        </w:tc>
      </w:tr>
    </w:tbl>
    <w:p w:rsidR="00000000" w:rsidRDefault="00F20BDB">
      <w:pPr>
        <w:pStyle w:val="a3"/>
        <w:spacing w:beforeAutospacing="0" w:after="0" w:afterAutospacing="0"/>
        <w:jc w:val="center"/>
        <w:rPr>
          <w:b/>
          <w:bCs/>
          <w:sz w:val="20"/>
          <w:szCs w:val="20"/>
        </w:rPr>
      </w:pPr>
      <w:r>
        <w:rPr>
          <w:b/>
          <w:bCs/>
          <w:sz w:val="20"/>
          <w:szCs w:val="20"/>
        </w:rPr>
        <w:t xml:space="preserve">FOR THE TRANSITION PERIOD FROM  </w:t>
      </w:r>
      <w:r>
        <w:rPr>
          <w:b/>
          <w:bCs/>
          <w:sz w:val="20"/>
          <w:szCs w:val="20"/>
          <w:u w:val="single"/>
        </w:rPr>
        <w:t>                    </w:t>
      </w:r>
      <w:r>
        <w:rPr>
          <w:b/>
          <w:bCs/>
          <w:sz w:val="20"/>
          <w:szCs w:val="20"/>
        </w:rPr>
        <w:t xml:space="preserve"> TO </w:t>
      </w:r>
      <w:r>
        <w:rPr>
          <w:b/>
          <w:bCs/>
          <w:sz w:val="20"/>
          <w:szCs w:val="20"/>
          <w:u w:val="single"/>
        </w:rPr>
        <w:t>                    </w:t>
      </w:r>
    </w:p>
    <w:p w:rsidR="00000000" w:rsidRDefault="00F20BDB">
      <w:pPr>
        <w:pStyle w:val="a3"/>
        <w:spacing w:beforeAutospacing="0" w:after="0" w:afterAutospacing="0"/>
        <w:jc w:val="center"/>
        <w:rPr>
          <w:b/>
          <w:bCs/>
          <w:sz w:val="20"/>
          <w:szCs w:val="20"/>
        </w:rPr>
      </w:pPr>
      <w:r>
        <w:rPr>
          <w:b/>
          <w:bCs/>
          <w:sz w:val="20"/>
          <w:szCs w:val="20"/>
        </w:rPr>
        <w:t>COMMISSION FILE NUMBER 001-36680</w:t>
      </w:r>
    </w:p>
    <w:p w:rsidR="00000000" w:rsidRDefault="00F20BDB">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rsidR="00000000" w:rsidRDefault="00F20BDB">
      <w:pPr>
        <w:pStyle w:val="a3"/>
        <w:spacing w:beforeAutospacing="0" w:after="0" w:afterAutospacing="0"/>
        <w:jc w:val="center"/>
        <w:rPr>
          <w:b/>
          <w:bCs/>
          <w:sz w:val="48"/>
          <w:szCs w:val="48"/>
        </w:rPr>
      </w:pPr>
      <w:r>
        <w:rPr>
          <w:b/>
          <w:bCs/>
          <w:sz w:val="48"/>
          <w:szCs w:val="48"/>
        </w:rPr>
        <w:t>HubSpot, Inc.</w:t>
      </w:r>
    </w:p>
    <w:p w:rsidR="00000000" w:rsidRDefault="00F20BDB">
      <w:pPr>
        <w:pStyle w:val="a3"/>
        <w:spacing w:before="0" w:beforeAutospacing="0" w:after="0" w:afterAutospacing="0"/>
        <w:jc w:val="center"/>
        <w:rPr>
          <w:b/>
          <w:bCs/>
          <w:sz w:val="20"/>
          <w:szCs w:val="20"/>
        </w:rPr>
      </w:pPr>
      <w:r>
        <w:rPr>
          <w:b/>
          <w:bCs/>
          <w:sz w:val="20"/>
          <w:szCs w:val="20"/>
        </w:rPr>
        <w:t>(Exact name of registrant as specified i</w:t>
      </w:r>
      <w:r>
        <w:rPr>
          <w:b/>
          <w:bCs/>
          <w:sz w:val="20"/>
          <w:szCs w:val="20"/>
        </w:rPr>
        <w:t>n its charter)</w:t>
      </w:r>
    </w:p>
    <w:p w:rsidR="00000000" w:rsidRDefault="00F20BDB">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rsidR="00000000" w:rsidRDefault="00F20BDB">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070"/>
        <w:gridCol w:w="166"/>
        <w:gridCol w:w="4070"/>
      </w:tblGrid>
      <w:tr w:rsidR="00000000">
        <w:trPr>
          <w:divId w:val="712735140"/>
          <w:jc w:val="center"/>
        </w:trPr>
        <w:tc>
          <w:tcPr>
            <w:tcW w:w="2450" w:type="pct"/>
            <w:hideMark/>
          </w:tcPr>
          <w:p w:rsidR="00000000" w:rsidRDefault="00F20BDB">
            <w:pPr>
              <w:pStyle w:val="a3"/>
              <w:spacing w:before="0" w:beforeAutospacing="0" w:after="0" w:afterAutospacing="0"/>
              <w:jc w:val="center"/>
              <w:rPr>
                <w:b/>
                <w:bCs/>
                <w:sz w:val="20"/>
                <w:szCs w:val="20"/>
              </w:rPr>
            </w:pPr>
            <w:r>
              <w:rPr>
                <w:b/>
                <w:bCs/>
                <w:sz w:val="20"/>
                <w:szCs w:val="20"/>
              </w:rPr>
              <w:t>Delaware</w:t>
            </w:r>
          </w:p>
        </w:tc>
        <w:tc>
          <w:tcPr>
            <w:tcW w:w="100" w:type="pct"/>
            <w:vAlign w:val="bottom"/>
            <w:hideMark/>
          </w:tcPr>
          <w:p w:rsidR="00000000" w:rsidRDefault="00F20BDB">
            <w:pPr>
              <w:pStyle w:val="a3"/>
              <w:spacing w:before="0" w:beforeAutospacing="0" w:after="0" w:afterAutospacing="0"/>
              <w:rPr>
                <w:sz w:val="20"/>
                <w:szCs w:val="20"/>
              </w:rPr>
            </w:pPr>
            <w:r>
              <w:rPr>
                <w:sz w:val="20"/>
                <w:szCs w:val="20"/>
              </w:rPr>
              <w:t> </w:t>
            </w:r>
          </w:p>
        </w:tc>
        <w:tc>
          <w:tcPr>
            <w:tcW w:w="2450" w:type="pct"/>
            <w:hideMark/>
          </w:tcPr>
          <w:p w:rsidR="00000000" w:rsidRDefault="00F20BDB">
            <w:pPr>
              <w:pStyle w:val="a3"/>
              <w:spacing w:before="0" w:beforeAutospacing="0" w:after="0" w:afterAutospacing="0"/>
              <w:jc w:val="center"/>
              <w:rPr>
                <w:b/>
                <w:bCs/>
                <w:sz w:val="20"/>
                <w:szCs w:val="20"/>
              </w:rPr>
            </w:pPr>
            <w:r>
              <w:rPr>
                <w:b/>
                <w:bCs/>
                <w:sz w:val="20"/>
                <w:szCs w:val="20"/>
              </w:rPr>
              <w:t>20-2632791</w:t>
            </w:r>
          </w:p>
        </w:tc>
      </w:tr>
      <w:tr w:rsidR="00000000">
        <w:trPr>
          <w:divId w:val="712735140"/>
          <w:jc w:val="center"/>
        </w:trPr>
        <w:tc>
          <w:tcPr>
            <w:tcW w:w="2450" w:type="pct"/>
            <w:hideMark/>
          </w:tcPr>
          <w:p w:rsidR="00000000" w:rsidRDefault="00F20BDB">
            <w:pPr>
              <w:pStyle w:val="a3"/>
              <w:spacing w:before="0" w:beforeAutospacing="0" w:after="0" w:afterAutospacing="0"/>
              <w:jc w:val="center"/>
              <w:rPr>
                <w:b/>
                <w:bCs/>
                <w:sz w:val="16"/>
                <w:szCs w:val="16"/>
              </w:rPr>
            </w:pPr>
            <w:r>
              <w:rPr>
                <w:b/>
                <w:bCs/>
                <w:sz w:val="16"/>
                <w:szCs w:val="16"/>
              </w:rPr>
              <w:t>(State or other jurisdiction of</w:t>
            </w:r>
          </w:p>
          <w:p w:rsidR="00000000" w:rsidRDefault="00F20BDB">
            <w:pPr>
              <w:pStyle w:val="a3"/>
              <w:spacing w:before="0" w:beforeAutospacing="0" w:after="0" w:afterAutospacing="0"/>
              <w:jc w:val="center"/>
              <w:rPr>
                <w:b/>
                <w:bCs/>
                <w:sz w:val="16"/>
                <w:szCs w:val="16"/>
              </w:rPr>
            </w:pPr>
            <w:r>
              <w:rPr>
                <w:b/>
                <w:bCs/>
                <w:sz w:val="16"/>
                <w:szCs w:val="16"/>
              </w:rPr>
              <w:t>incorporation or organization)</w:t>
            </w:r>
          </w:p>
        </w:tc>
        <w:tc>
          <w:tcPr>
            <w:tcW w:w="100" w:type="pct"/>
            <w:vAlign w:val="bottom"/>
            <w:hideMark/>
          </w:tcPr>
          <w:p w:rsidR="00000000" w:rsidRDefault="00F20BDB">
            <w:pPr>
              <w:pStyle w:val="a3"/>
              <w:spacing w:before="0" w:beforeAutospacing="0" w:after="0" w:afterAutospacing="0"/>
              <w:rPr>
                <w:sz w:val="16"/>
                <w:szCs w:val="16"/>
              </w:rPr>
            </w:pPr>
            <w:r>
              <w:rPr>
                <w:sz w:val="16"/>
                <w:szCs w:val="16"/>
              </w:rPr>
              <w:t> </w:t>
            </w:r>
          </w:p>
        </w:tc>
        <w:tc>
          <w:tcPr>
            <w:tcW w:w="2450" w:type="pct"/>
            <w:hideMark/>
          </w:tcPr>
          <w:p w:rsidR="00000000" w:rsidRDefault="00F20BDB">
            <w:pPr>
              <w:pStyle w:val="a3"/>
              <w:spacing w:before="0" w:beforeAutospacing="0" w:after="0" w:afterAutospacing="0"/>
              <w:jc w:val="center"/>
              <w:rPr>
                <w:b/>
                <w:bCs/>
                <w:sz w:val="16"/>
                <w:szCs w:val="16"/>
              </w:rPr>
            </w:pPr>
            <w:r>
              <w:rPr>
                <w:b/>
                <w:bCs/>
                <w:sz w:val="16"/>
                <w:szCs w:val="16"/>
              </w:rPr>
              <w:t>(I.R.S. Employer</w:t>
            </w:r>
          </w:p>
          <w:p w:rsidR="00000000" w:rsidRDefault="00F20BDB">
            <w:pPr>
              <w:pStyle w:val="a3"/>
              <w:spacing w:before="0" w:beforeAutospacing="0" w:after="0" w:afterAutospacing="0"/>
              <w:jc w:val="center"/>
              <w:rPr>
                <w:b/>
                <w:bCs/>
                <w:sz w:val="16"/>
                <w:szCs w:val="16"/>
              </w:rPr>
            </w:pPr>
            <w:r>
              <w:rPr>
                <w:b/>
                <w:bCs/>
                <w:sz w:val="16"/>
                <w:szCs w:val="16"/>
              </w:rPr>
              <w:t>Identification No.)</w:t>
            </w:r>
          </w:p>
        </w:tc>
      </w:tr>
    </w:tbl>
    <w:p w:rsidR="00000000" w:rsidRDefault="00F20BDB">
      <w:pPr>
        <w:pStyle w:val="a3"/>
        <w:spacing w:beforeAutospacing="0" w:after="0" w:afterAutospacing="0"/>
        <w:jc w:val="center"/>
        <w:rPr>
          <w:b/>
          <w:bCs/>
          <w:sz w:val="20"/>
          <w:szCs w:val="20"/>
        </w:rPr>
      </w:pPr>
      <w:r>
        <w:rPr>
          <w:b/>
          <w:bCs/>
          <w:sz w:val="20"/>
          <w:szCs w:val="20"/>
        </w:rPr>
        <w:t>25 First Street</w:t>
      </w:r>
    </w:p>
    <w:p w:rsidR="00000000" w:rsidRDefault="00F20BDB">
      <w:pPr>
        <w:pStyle w:val="a3"/>
        <w:spacing w:before="0" w:beforeAutospacing="0" w:after="0" w:afterAutospacing="0"/>
        <w:jc w:val="center"/>
        <w:rPr>
          <w:b/>
          <w:bCs/>
          <w:sz w:val="20"/>
          <w:szCs w:val="20"/>
        </w:rPr>
      </w:pPr>
      <w:r>
        <w:rPr>
          <w:b/>
          <w:bCs/>
          <w:sz w:val="20"/>
          <w:szCs w:val="20"/>
        </w:rPr>
        <w:t>Cambridge, Massachusetts, 02141</w:t>
      </w:r>
    </w:p>
    <w:p w:rsidR="00000000" w:rsidRDefault="00F20BDB">
      <w:pPr>
        <w:pStyle w:val="a3"/>
        <w:spacing w:before="0" w:beforeAutospacing="0" w:after="0" w:afterAutospacing="0"/>
        <w:jc w:val="center"/>
        <w:rPr>
          <w:b/>
          <w:bCs/>
          <w:sz w:val="16"/>
          <w:szCs w:val="16"/>
        </w:rPr>
      </w:pPr>
      <w:r>
        <w:rPr>
          <w:b/>
          <w:bCs/>
          <w:sz w:val="16"/>
          <w:szCs w:val="16"/>
        </w:rPr>
        <w:t>(Address of principal executive offices)</w:t>
      </w:r>
    </w:p>
    <w:p w:rsidR="00000000" w:rsidRDefault="00F20BDB">
      <w:pPr>
        <w:pStyle w:val="a3"/>
        <w:spacing w:beforeAutospacing="0" w:after="0" w:afterAutospacing="0"/>
        <w:jc w:val="center"/>
        <w:rPr>
          <w:b/>
          <w:bCs/>
          <w:sz w:val="20"/>
          <w:szCs w:val="20"/>
        </w:rPr>
      </w:pPr>
      <w:r>
        <w:rPr>
          <w:b/>
          <w:bCs/>
          <w:sz w:val="20"/>
          <w:szCs w:val="20"/>
        </w:rPr>
        <w:t>(888) 482-7768</w:t>
      </w:r>
    </w:p>
    <w:p w:rsidR="00000000" w:rsidRDefault="00F20BDB">
      <w:pPr>
        <w:pStyle w:val="a3"/>
        <w:spacing w:before="0" w:beforeAutospacing="0" w:after="0" w:afterAutospacing="0"/>
        <w:jc w:val="center"/>
        <w:rPr>
          <w:b/>
          <w:bCs/>
          <w:sz w:val="16"/>
          <w:szCs w:val="16"/>
        </w:rPr>
      </w:pPr>
      <w:r>
        <w:rPr>
          <w:b/>
          <w:bCs/>
          <w:sz w:val="16"/>
          <w:szCs w:val="16"/>
        </w:rPr>
        <w:t>(Registrant’s telephone number, including area code)</w:t>
      </w:r>
    </w:p>
    <w:p w:rsidR="00000000" w:rsidRDefault="00F20BDB">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rsidR="00000000" w:rsidRDefault="00F20BDB">
      <w:pPr>
        <w:pStyle w:val="a3"/>
        <w:spacing w:beforeAutospacing="0" w:after="0" w:afterAutospacing="0"/>
        <w:ind w:firstLine="556"/>
        <w:rPr>
          <w:sz w:val="18"/>
          <w:szCs w:val="18"/>
        </w:rPr>
      </w:pPr>
      <w:r>
        <w:rPr>
          <w:sz w:val="18"/>
          <w:szCs w:val="18"/>
        </w:rPr>
        <w:t>Indicate by check mark whether the registrant (1) has filed all reports required to be filed by Section 13 or 15(d) of the Securities Exchange Ac</w:t>
      </w:r>
      <w:r>
        <w:rPr>
          <w:sz w:val="18"/>
          <w:szCs w:val="18"/>
        </w:rPr>
        <w:t>t of 1934 during the preceding 12 months (or for such shorter period that the registrant was required to file such reports), and (2) has been subject to such filing requirements for the past 90 days.    YES </w:t>
      </w:r>
      <w:r>
        <w:rPr>
          <w:sz w:val="20"/>
          <w:szCs w:val="20"/>
        </w:rPr>
        <w:t> </w:t>
      </w:r>
      <w:r>
        <w:rPr>
          <w:rFonts w:ascii="Segoe UI Symbol" w:hAnsi="Segoe UI Symbol" w:cs="Segoe UI Symbol"/>
          <w:sz w:val="20"/>
          <w:szCs w:val="20"/>
        </w:rPr>
        <w:t>☒</w:t>
      </w:r>
      <w:r>
        <w:rPr>
          <w:sz w:val="20"/>
          <w:szCs w:val="20"/>
        </w:rPr>
        <w:t>    </w:t>
      </w:r>
      <w:r>
        <w:rPr>
          <w:sz w:val="18"/>
          <w:szCs w:val="18"/>
        </w:rPr>
        <w:t>NO </w:t>
      </w:r>
      <w:r>
        <w:rPr>
          <w:sz w:val="20"/>
          <w:szCs w:val="20"/>
        </w:rPr>
        <w:t> </w:t>
      </w:r>
      <w:r>
        <w:rPr>
          <w:rFonts w:ascii="Segoe UI Symbol" w:hAnsi="Segoe UI Symbol" w:cs="Segoe UI Symbol"/>
          <w:sz w:val="20"/>
          <w:szCs w:val="20"/>
        </w:rPr>
        <w:t>☐</w:t>
      </w:r>
    </w:p>
    <w:p w:rsidR="00000000" w:rsidRDefault="00F20BDB">
      <w:pPr>
        <w:pStyle w:val="a3"/>
        <w:spacing w:before="0" w:beforeAutospacing="0" w:after="0" w:afterAutospacing="0"/>
        <w:rPr>
          <w:sz w:val="10"/>
          <w:szCs w:val="10"/>
        </w:rPr>
      </w:pPr>
      <w:r>
        <w:rPr>
          <w:sz w:val="10"/>
          <w:szCs w:val="10"/>
        </w:rPr>
        <w:t> </w:t>
      </w:r>
    </w:p>
    <w:p w:rsidR="00000000" w:rsidRDefault="00F20BDB">
      <w:pPr>
        <w:pStyle w:val="a3"/>
        <w:spacing w:before="0" w:beforeAutospacing="0" w:after="0" w:afterAutospacing="0"/>
        <w:ind w:firstLine="556"/>
        <w:rPr>
          <w:sz w:val="18"/>
          <w:szCs w:val="18"/>
        </w:rPr>
      </w:pPr>
      <w:r>
        <w:rPr>
          <w:sz w:val="18"/>
          <w:szCs w:val="18"/>
        </w:rPr>
        <w:t xml:space="preserve">Indicate by check mark whether the </w:t>
      </w:r>
      <w:r>
        <w:rPr>
          <w:sz w:val="18"/>
          <w:szCs w:val="18"/>
        </w:rPr>
        <w:t>registrant has submitted electronically every Interactive Data file required to be submitted pursuant to Rule 405 of Regulation S-T (§232.405 of this chapter) during the preceding 12 months (or for such shorter period that the registrant was required to su</w:t>
      </w:r>
      <w:r>
        <w:rPr>
          <w:sz w:val="18"/>
          <w:szCs w:val="18"/>
        </w:rPr>
        <w:t>bmit such files).    YES</w:t>
      </w:r>
      <w:r>
        <w:rPr>
          <w:sz w:val="20"/>
          <w:szCs w:val="20"/>
        </w:rPr>
        <w:t>  </w:t>
      </w:r>
      <w:r>
        <w:rPr>
          <w:rFonts w:ascii="Segoe UI Symbol" w:hAnsi="Segoe UI Symbol" w:cs="Segoe UI Symbol"/>
          <w:sz w:val="20"/>
          <w:szCs w:val="20"/>
        </w:rPr>
        <w:t>☒</w:t>
      </w:r>
      <w:r>
        <w:rPr>
          <w:sz w:val="20"/>
          <w:szCs w:val="20"/>
        </w:rPr>
        <w:t>    </w:t>
      </w:r>
      <w:r>
        <w:rPr>
          <w:sz w:val="18"/>
          <w:szCs w:val="18"/>
        </w:rPr>
        <w:t>NO</w:t>
      </w:r>
      <w:r>
        <w:rPr>
          <w:sz w:val="20"/>
          <w:szCs w:val="20"/>
        </w:rPr>
        <w:t>  </w:t>
      </w:r>
      <w:r>
        <w:rPr>
          <w:rFonts w:ascii="Segoe UI Symbol" w:hAnsi="Segoe UI Symbol" w:cs="Segoe UI Symbol"/>
          <w:sz w:val="20"/>
          <w:szCs w:val="20"/>
        </w:rPr>
        <w:t>☐</w:t>
      </w:r>
    </w:p>
    <w:p w:rsidR="00000000" w:rsidRDefault="00F20BDB">
      <w:pPr>
        <w:pStyle w:val="a3"/>
        <w:spacing w:before="0" w:beforeAutospacing="0" w:after="0" w:afterAutospacing="0"/>
        <w:rPr>
          <w:sz w:val="10"/>
          <w:szCs w:val="10"/>
        </w:rPr>
      </w:pPr>
      <w:r>
        <w:rPr>
          <w:sz w:val="10"/>
          <w:szCs w:val="10"/>
        </w:rPr>
        <w:t> </w:t>
      </w:r>
    </w:p>
    <w:p w:rsidR="00000000" w:rsidRDefault="00F20BDB">
      <w:pPr>
        <w:pStyle w:val="a3"/>
        <w:spacing w:before="0" w:beforeAutospacing="0" w:after="0" w:afterAutospacing="0"/>
        <w:ind w:firstLine="556"/>
        <w:rPr>
          <w:sz w:val="18"/>
          <w:szCs w:val="18"/>
        </w:rPr>
      </w:pPr>
      <w:bookmarkStart w:id="0" w:name="_Hlk480892991"/>
      <w:bookmarkStart w:id="1" w:name="_Hlk480892772"/>
      <w:bookmarkStart w:id="2" w:name="_Hlk480893028"/>
      <w:bookmarkEnd w:id="0"/>
      <w:bookmarkEnd w:id="1"/>
      <w:bookmarkEnd w:id="2"/>
      <w:r>
        <w:rPr>
          <w:sz w:val="18"/>
          <w:szCs w:val="18"/>
        </w:rPr>
        <w:t>Indicate by check mark whether the registrant is a large accelerated filer, an accelerated filer, a non-accelerated filer, smaller reporting company, or an emerging growth company. See the definitions of “large accele</w:t>
      </w:r>
      <w:r>
        <w:rPr>
          <w:sz w:val="18"/>
          <w:szCs w:val="18"/>
        </w:rPr>
        <w:t>rated filer,” “accelerated filer,” “smaller reporting company,” and “emerging growth company” in Rule 12b-2 of the Exchange Act.</w:t>
      </w:r>
      <w:r>
        <w:rPr>
          <w:sz w:val="16"/>
          <w:szCs w:val="16"/>
        </w:rPr>
        <w:t> </w:t>
      </w:r>
    </w:p>
    <w:p w:rsidR="00000000" w:rsidRDefault="00F20BDB">
      <w:pPr>
        <w:pStyle w:val="a3"/>
        <w:spacing w:before="0" w:beforeAutospacing="0" w:after="0" w:afterAutospacing="0"/>
        <w:rPr>
          <w:sz w:val="10"/>
          <w:szCs w:val="10"/>
        </w:rPr>
      </w:pPr>
      <w:r>
        <w:rPr>
          <w:sz w:val="10"/>
          <w:szCs w:val="10"/>
        </w:rPr>
        <w:t> </w:t>
      </w:r>
    </w:p>
    <w:tbl>
      <w:tblPr>
        <w:tblW w:w="5000" w:type="pct"/>
        <w:jc w:val="center"/>
        <w:tblCellMar>
          <w:left w:w="0" w:type="dxa"/>
          <w:right w:w="0" w:type="dxa"/>
        </w:tblCellMar>
        <w:tblLook w:val="04A0" w:firstRow="1" w:lastRow="0" w:firstColumn="1" w:lastColumn="0" w:noHBand="0" w:noVBand="1"/>
      </w:tblPr>
      <w:tblGrid>
        <w:gridCol w:w="2240"/>
        <w:gridCol w:w="80"/>
        <w:gridCol w:w="3402"/>
        <w:gridCol w:w="90"/>
        <w:gridCol w:w="2240"/>
        <w:gridCol w:w="81"/>
        <w:gridCol w:w="173"/>
      </w:tblGrid>
      <w:tr w:rsidR="00000000">
        <w:trPr>
          <w:divId w:val="877357428"/>
          <w:jc w:val="center"/>
        </w:trPr>
        <w:tc>
          <w:tcPr>
            <w:tcW w:w="1350" w:type="pct"/>
            <w:vAlign w:val="bottom"/>
            <w:hideMark/>
          </w:tcPr>
          <w:p w:rsidR="00000000" w:rsidRDefault="00F20BDB">
            <w:pPr>
              <w:pStyle w:val="a3"/>
              <w:spacing w:before="0" w:beforeAutospacing="0" w:after="0" w:afterAutospacing="0"/>
              <w:rPr>
                <w:sz w:val="18"/>
                <w:szCs w:val="18"/>
              </w:rPr>
            </w:pPr>
            <w:r>
              <w:rPr>
                <w:sz w:val="18"/>
                <w:szCs w:val="18"/>
              </w:rPr>
              <w:t>Large accelerated filer</w:t>
            </w:r>
          </w:p>
        </w:tc>
        <w:tc>
          <w:tcPr>
            <w:tcW w:w="50" w:type="pct"/>
            <w:vAlign w:val="bottom"/>
            <w:hideMark/>
          </w:tcPr>
          <w:p w:rsidR="00000000" w:rsidRDefault="00F20BDB">
            <w:pPr>
              <w:pStyle w:val="a3"/>
              <w:spacing w:before="0" w:beforeAutospacing="0" w:after="0" w:afterAutospacing="0"/>
              <w:rPr>
                <w:sz w:val="20"/>
                <w:szCs w:val="20"/>
              </w:rPr>
            </w:pPr>
            <w:r>
              <w:rPr>
                <w:sz w:val="20"/>
                <w:szCs w:val="20"/>
              </w:rPr>
              <w:t> </w:t>
            </w:r>
          </w:p>
        </w:tc>
        <w:tc>
          <w:tcPr>
            <w:tcW w:w="2050" w:type="pct"/>
            <w:vAlign w:val="bottom"/>
            <w:hideMark/>
          </w:tcPr>
          <w:p w:rsidR="00000000" w:rsidRDefault="00F20BDB">
            <w:pPr>
              <w:pStyle w:val="a3"/>
              <w:spacing w:before="0" w:beforeAutospacing="0" w:after="0" w:afterAutospacing="0"/>
              <w:rPr>
                <w:sz w:val="20"/>
                <w:szCs w:val="20"/>
              </w:rPr>
            </w:pPr>
            <w:r>
              <w:rPr>
                <w:rFonts w:ascii="Segoe UI Symbol" w:hAnsi="Segoe UI Symbol" w:cs="Segoe UI Symbol"/>
                <w:sz w:val="20"/>
                <w:szCs w:val="20"/>
              </w:rPr>
              <w:t>☒</w:t>
            </w:r>
          </w:p>
        </w:tc>
        <w:tc>
          <w:tcPr>
            <w:tcW w:w="50" w:type="pct"/>
            <w:vAlign w:val="bottom"/>
            <w:hideMark/>
          </w:tcPr>
          <w:p w:rsidR="00000000" w:rsidRDefault="00F20BDB">
            <w:pPr>
              <w:pStyle w:val="a3"/>
              <w:spacing w:before="0" w:beforeAutospacing="0" w:after="0" w:afterAutospacing="0"/>
              <w:rPr>
                <w:sz w:val="18"/>
                <w:szCs w:val="18"/>
              </w:rPr>
            </w:pPr>
            <w:r>
              <w:rPr>
                <w:sz w:val="18"/>
                <w:szCs w:val="18"/>
              </w:rPr>
              <w:t>  </w:t>
            </w:r>
          </w:p>
        </w:tc>
        <w:tc>
          <w:tcPr>
            <w:tcW w:w="1350" w:type="pct"/>
            <w:vAlign w:val="bottom"/>
            <w:hideMark/>
          </w:tcPr>
          <w:p w:rsidR="00000000" w:rsidRDefault="00F20BDB">
            <w:pPr>
              <w:pStyle w:val="a3"/>
              <w:spacing w:before="0" w:beforeAutospacing="0" w:after="0" w:afterAutospacing="0"/>
              <w:rPr>
                <w:sz w:val="18"/>
                <w:szCs w:val="18"/>
              </w:rPr>
            </w:pPr>
            <w:r>
              <w:rPr>
                <w:sz w:val="18"/>
                <w:szCs w:val="18"/>
              </w:rPr>
              <w:t>Accelerated filer</w:t>
            </w:r>
          </w:p>
        </w:tc>
        <w:tc>
          <w:tcPr>
            <w:tcW w:w="50" w:type="pct"/>
            <w:vAlign w:val="bottom"/>
            <w:hideMark/>
          </w:tcPr>
          <w:p w:rsidR="00000000" w:rsidRDefault="00F20BDB">
            <w:pPr>
              <w:pStyle w:val="a3"/>
              <w:spacing w:before="0" w:beforeAutospacing="0" w:after="0" w:afterAutospacing="0"/>
              <w:rPr>
                <w:sz w:val="20"/>
                <w:szCs w:val="20"/>
              </w:rPr>
            </w:pPr>
            <w:r>
              <w:rPr>
                <w:sz w:val="20"/>
                <w:szCs w:val="20"/>
              </w:rPr>
              <w:t> </w:t>
            </w:r>
          </w:p>
        </w:tc>
        <w:tc>
          <w:tcPr>
            <w:tcW w:w="100" w:type="pct"/>
            <w:vAlign w:val="bottom"/>
            <w:hideMark/>
          </w:tcPr>
          <w:p w:rsidR="00000000" w:rsidRDefault="00F20BDB">
            <w:pPr>
              <w:pStyle w:val="a3"/>
              <w:spacing w:before="0" w:beforeAutospacing="0" w:after="0" w:afterAutospacing="0"/>
              <w:rPr>
                <w:sz w:val="20"/>
                <w:szCs w:val="20"/>
              </w:rPr>
            </w:pPr>
            <w:r>
              <w:rPr>
                <w:rFonts w:ascii="Segoe UI Symbol" w:hAnsi="Segoe UI Symbol" w:cs="Segoe UI Symbol"/>
                <w:sz w:val="20"/>
                <w:szCs w:val="20"/>
              </w:rPr>
              <w:t>☐</w:t>
            </w:r>
          </w:p>
        </w:tc>
      </w:tr>
      <w:tr w:rsidR="00000000">
        <w:trPr>
          <w:divId w:val="877357428"/>
          <w:jc w:val="center"/>
        </w:trPr>
        <w:tc>
          <w:tcPr>
            <w:tcW w:w="1350" w:type="pct"/>
            <w:vAlign w:val="bottom"/>
            <w:hideMark/>
          </w:tcPr>
          <w:p w:rsidR="00000000" w:rsidRDefault="00F20BDB">
            <w:pPr>
              <w:pStyle w:val="a3"/>
              <w:spacing w:before="0" w:beforeAutospacing="0" w:after="0" w:afterAutospacing="0"/>
              <w:rPr>
                <w:sz w:val="18"/>
                <w:szCs w:val="18"/>
              </w:rPr>
            </w:pPr>
            <w:r>
              <w:rPr>
                <w:sz w:val="18"/>
                <w:szCs w:val="18"/>
              </w:rPr>
              <w:t>Non-accelerated filer</w:t>
            </w:r>
          </w:p>
        </w:tc>
        <w:tc>
          <w:tcPr>
            <w:tcW w:w="50" w:type="pct"/>
            <w:vAlign w:val="bottom"/>
            <w:hideMark/>
          </w:tcPr>
          <w:p w:rsidR="00000000" w:rsidRDefault="00F20BDB">
            <w:pPr>
              <w:pStyle w:val="a3"/>
              <w:spacing w:before="0" w:beforeAutospacing="0" w:after="0" w:afterAutospacing="0"/>
              <w:rPr>
                <w:sz w:val="20"/>
                <w:szCs w:val="20"/>
              </w:rPr>
            </w:pPr>
            <w:r>
              <w:rPr>
                <w:sz w:val="20"/>
                <w:szCs w:val="20"/>
              </w:rPr>
              <w:t> </w:t>
            </w:r>
          </w:p>
        </w:tc>
        <w:tc>
          <w:tcPr>
            <w:tcW w:w="2050" w:type="pct"/>
            <w:vAlign w:val="bottom"/>
            <w:hideMark/>
          </w:tcPr>
          <w:p w:rsidR="00000000" w:rsidRDefault="00F20BDB">
            <w:pPr>
              <w:pStyle w:val="a3"/>
              <w:spacing w:before="0" w:beforeAutospacing="0" w:after="0" w:afterAutospacing="0"/>
              <w:rPr>
                <w:sz w:val="20"/>
                <w:szCs w:val="20"/>
              </w:rPr>
            </w:pPr>
            <w:r>
              <w:rPr>
                <w:rFonts w:ascii="Segoe UI Symbol" w:hAnsi="Segoe UI Symbol" w:cs="Segoe UI Symbol"/>
                <w:sz w:val="20"/>
                <w:szCs w:val="20"/>
              </w:rPr>
              <w:t>☐</w:t>
            </w:r>
            <w:r>
              <w:rPr>
                <w:sz w:val="20"/>
                <w:szCs w:val="20"/>
              </w:rPr>
              <w:t> </w:t>
            </w:r>
          </w:p>
        </w:tc>
        <w:tc>
          <w:tcPr>
            <w:tcW w:w="50" w:type="pct"/>
            <w:vAlign w:val="bottom"/>
            <w:hideMark/>
          </w:tcPr>
          <w:p w:rsidR="00000000" w:rsidRDefault="00F20BDB">
            <w:pPr>
              <w:pStyle w:val="a3"/>
              <w:spacing w:before="0" w:beforeAutospacing="0" w:after="0" w:afterAutospacing="0"/>
              <w:rPr>
                <w:sz w:val="18"/>
                <w:szCs w:val="18"/>
              </w:rPr>
            </w:pPr>
            <w:r>
              <w:rPr>
                <w:sz w:val="18"/>
                <w:szCs w:val="18"/>
              </w:rPr>
              <w:t>  </w:t>
            </w:r>
          </w:p>
        </w:tc>
        <w:tc>
          <w:tcPr>
            <w:tcW w:w="1350" w:type="pct"/>
            <w:vAlign w:val="bottom"/>
            <w:hideMark/>
          </w:tcPr>
          <w:p w:rsidR="00000000" w:rsidRDefault="00F20BDB">
            <w:pPr>
              <w:pStyle w:val="a3"/>
              <w:spacing w:before="0" w:beforeAutospacing="0" w:after="0" w:afterAutospacing="0"/>
              <w:rPr>
                <w:sz w:val="18"/>
                <w:szCs w:val="18"/>
              </w:rPr>
            </w:pPr>
            <w:r>
              <w:rPr>
                <w:sz w:val="18"/>
                <w:szCs w:val="18"/>
              </w:rPr>
              <w:t>Smaller reporting company</w:t>
            </w:r>
          </w:p>
        </w:tc>
        <w:tc>
          <w:tcPr>
            <w:tcW w:w="50" w:type="pct"/>
            <w:vAlign w:val="bottom"/>
            <w:hideMark/>
          </w:tcPr>
          <w:p w:rsidR="00000000" w:rsidRDefault="00F20BDB">
            <w:pPr>
              <w:pStyle w:val="a3"/>
              <w:spacing w:before="0" w:beforeAutospacing="0" w:after="0" w:afterAutospacing="0"/>
              <w:rPr>
                <w:sz w:val="20"/>
                <w:szCs w:val="20"/>
              </w:rPr>
            </w:pPr>
            <w:r>
              <w:rPr>
                <w:sz w:val="20"/>
                <w:szCs w:val="20"/>
              </w:rPr>
              <w:t> </w:t>
            </w:r>
          </w:p>
        </w:tc>
        <w:tc>
          <w:tcPr>
            <w:tcW w:w="100" w:type="pct"/>
            <w:vAlign w:val="bottom"/>
            <w:hideMark/>
          </w:tcPr>
          <w:p w:rsidR="00000000" w:rsidRDefault="00F20BDB">
            <w:pPr>
              <w:pStyle w:val="a3"/>
              <w:spacing w:before="0" w:beforeAutospacing="0" w:after="0" w:afterAutospacing="0"/>
              <w:rPr>
                <w:sz w:val="20"/>
                <w:szCs w:val="20"/>
              </w:rPr>
            </w:pPr>
            <w:r>
              <w:rPr>
                <w:rFonts w:ascii="Segoe UI Symbol" w:hAnsi="Segoe UI Symbol" w:cs="Segoe UI Symbol"/>
                <w:sz w:val="20"/>
                <w:szCs w:val="20"/>
              </w:rPr>
              <w:t>☐</w:t>
            </w:r>
          </w:p>
        </w:tc>
      </w:tr>
      <w:tr w:rsidR="00000000">
        <w:trPr>
          <w:divId w:val="877357428"/>
          <w:jc w:val="center"/>
        </w:trPr>
        <w:tc>
          <w:tcPr>
            <w:tcW w:w="1350" w:type="pct"/>
            <w:vAlign w:val="bottom"/>
            <w:hideMark/>
          </w:tcPr>
          <w:p w:rsidR="00000000" w:rsidRDefault="00F20BDB">
            <w:pPr>
              <w:pStyle w:val="a3"/>
              <w:spacing w:before="0" w:beforeAutospacing="0" w:after="0" w:afterAutospacing="0"/>
              <w:rPr>
                <w:sz w:val="18"/>
                <w:szCs w:val="18"/>
              </w:rPr>
            </w:pPr>
            <w:r>
              <w:rPr>
                <w:sz w:val="18"/>
                <w:szCs w:val="18"/>
              </w:rPr>
              <w:t>Emerging growth company</w:t>
            </w:r>
          </w:p>
        </w:tc>
        <w:tc>
          <w:tcPr>
            <w:tcW w:w="50" w:type="pct"/>
            <w:vAlign w:val="bottom"/>
            <w:hideMark/>
          </w:tcPr>
          <w:p w:rsidR="00000000" w:rsidRDefault="00F20BDB">
            <w:pPr>
              <w:pStyle w:val="a3"/>
              <w:spacing w:before="0" w:beforeAutospacing="0" w:after="0" w:afterAutospacing="0"/>
              <w:rPr>
                <w:sz w:val="20"/>
                <w:szCs w:val="20"/>
              </w:rPr>
            </w:pPr>
            <w:r>
              <w:rPr>
                <w:sz w:val="20"/>
                <w:szCs w:val="20"/>
              </w:rPr>
              <w:t> </w:t>
            </w:r>
          </w:p>
        </w:tc>
        <w:tc>
          <w:tcPr>
            <w:tcW w:w="2050" w:type="pct"/>
            <w:vAlign w:val="bottom"/>
            <w:hideMark/>
          </w:tcPr>
          <w:p w:rsidR="00000000" w:rsidRDefault="00F20BDB">
            <w:pPr>
              <w:pStyle w:val="a3"/>
              <w:spacing w:before="0" w:beforeAutospacing="0" w:after="0" w:afterAutospacing="0"/>
              <w:rPr>
                <w:sz w:val="18"/>
                <w:szCs w:val="18"/>
              </w:rPr>
            </w:pPr>
            <w:r>
              <w:rPr>
                <w:rFonts w:ascii="Segoe UI Symbol" w:hAnsi="Segoe UI Symbol" w:cs="Segoe UI Symbol"/>
                <w:sz w:val="18"/>
                <w:szCs w:val="18"/>
              </w:rPr>
              <w:t>☐</w:t>
            </w:r>
          </w:p>
        </w:tc>
        <w:tc>
          <w:tcPr>
            <w:tcW w:w="50" w:type="pct"/>
            <w:vAlign w:val="bottom"/>
            <w:hideMark/>
          </w:tcPr>
          <w:p w:rsidR="00000000" w:rsidRDefault="00F20BDB">
            <w:pPr>
              <w:pStyle w:val="a3"/>
              <w:spacing w:before="0" w:beforeAutospacing="0" w:after="0" w:afterAutospacing="0"/>
              <w:rPr>
                <w:sz w:val="18"/>
                <w:szCs w:val="18"/>
              </w:rPr>
            </w:pPr>
            <w:r>
              <w:rPr>
                <w:sz w:val="18"/>
                <w:szCs w:val="18"/>
              </w:rPr>
              <w:t> </w:t>
            </w:r>
          </w:p>
        </w:tc>
        <w:tc>
          <w:tcPr>
            <w:tcW w:w="1350" w:type="pct"/>
            <w:vAlign w:val="bottom"/>
            <w:hideMark/>
          </w:tcPr>
          <w:p w:rsidR="00000000" w:rsidRDefault="00F20BDB">
            <w:pPr>
              <w:pStyle w:val="a3"/>
              <w:spacing w:before="0" w:beforeAutospacing="0" w:after="0" w:afterAutospacing="0"/>
              <w:rPr>
                <w:sz w:val="18"/>
                <w:szCs w:val="18"/>
              </w:rPr>
            </w:pPr>
            <w:r>
              <w:rPr>
                <w:sz w:val="18"/>
                <w:szCs w:val="18"/>
              </w:rPr>
              <w:t> </w:t>
            </w:r>
          </w:p>
        </w:tc>
        <w:tc>
          <w:tcPr>
            <w:tcW w:w="50" w:type="pct"/>
            <w:vAlign w:val="bottom"/>
            <w:hideMark/>
          </w:tcPr>
          <w:p w:rsidR="00000000" w:rsidRDefault="00F20BDB">
            <w:pPr>
              <w:pStyle w:val="a3"/>
              <w:spacing w:before="0" w:beforeAutospacing="0" w:after="0" w:afterAutospacing="0"/>
              <w:rPr>
                <w:sz w:val="20"/>
                <w:szCs w:val="20"/>
              </w:rPr>
            </w:pPr>
            <w:r>
              <w:rPr>
                <w:sz w:val="20"/>
                <w:szCs w:val="20"/>
              </w:rPr>
              <w:t> </w:t>
            </w:r>
          </w:p>
        </w:tc>
        <w:tc>
          <w:tcPr>
            <w:tcW w:w="100" w:type="pct"/>
            <w:vAlign w:val="bottom"/>
            <w:hideMark/>
          </w:tcPr>
          <w:p w:rsidR="00000000" w:rsidRDefault="00F20BDB">
            <w:pPr>
              <w:pStyle w:val="a3"/>
            </w:pPr>
            <w:r>
              <w:t> </w:t>
            </w:r>
          </w:p>
        </w:tc>
      </w:tr>
    </w:tbl>
    <w:p w:rsidR="00000000" w:rsidRDefault="00F20BDB">
      <w:pPr>
        <w:pStyle w:val="a3"/>
        <w:spacing w:before="0" w:beforeAutospacing="0" w:after="0" w:afterAutospacing="0"/>
        <w:rPr>
          <w:sz w:val="10"/>
          <w:szCs w:val="10"/>
        </w:rPr>
      </w:pPr>
      <w:r>
        <w:rPr>
          <w:sz w:val="10"/>
          <w:szCs w:val="10"/>
        </w:rPr>
        <w:t> </w:t>
      </w:r>
    </w:p>
    <w:p w:rsidR="00000000" w:rsidRDefault="00F20BDB">
      <w:pPr>
        <w:pStyle w:val="a3"/>
        <w:spacing w:before="0" w:beforeAutospacing="0" w:after="0" w:afterAutospacing="0"/>
        <w:ind w:firstLine="556"/>
        <w:rPr>
          <w:sz w:val="18"/>
          <w:szCs w:val="18"/>
        </w:rPr>
      </w:pPr>
      <w:r>
        <w:rPr>
          <w:sz w:val="18"/>
          <w:szCs w:val="18"/>
        </w:rPr>
        <w:t>If an emerging growth company, indicate by check mark if the registrant has elected not to use the extended transition period for complying with any new or revised financial accounting standards provided pursuant to Section 13(a) of the Exchange Act.    YE</w:t>
      </w:r>
      <w:r>
        <w:rPr>
          <w:sz w:val="18"/>
          <w:szCs w:val="18"/>
        </w:rPr>
        <w:t>S</w:t>
      </w:r>
      <w:r>
        <w:rPr>
          <w:sz w:val="20"/>
          <w:szCs w:val="20"/>
        </w:rPr>
        <w:t>  </w:t>
      </w:r>
      <w:r>
        <w:rPr>
          <w:rFonts w:ascii="Segoe UI Symbol" w:hAnsi="Segoe UI Symbol" w:cs="Segoe UI Symbol"/>
          <w:sz w:val="20"/>
          <w:szCs w:val="20"/>
        </w:rPr>
        <w:t>☐</w:t>
      </w:r>
      <w:r>
        <w:rPr>
          <w:sz w:val="20"/>
          <w:szCs w:val="20"/>
        </w:rPr>
        <w:t>    </w:t>
      </w:r>
      <w:r>
        <w:rPr>
          <w:sz w:val="18"/>
          <w:szCs w:val="18"/>
        </w:rPr>
        <w:t>NO</w:t>
      </w:r>
      <w:r>
        <w:rPr>
          <w:sz w:val="20"/>
          <w:szCs w:val="20"/>
        </w:rPr>
        <w:t>  </w:t>
      </w:r>
      <w:r>
        <w:rPr>
          <w:rFonts w:ascii="Segoe UI Symbol" w:hAnsi="Segoe UI Symbol" w:cs="Segoe UI Symbol"/>
          <w:sz w:val="20"/>
          <w:szCs w:val="20"/>
        </w:rPr>
        <w:t>☐</w:t>
      </w:r>
    </w:p>
    <w:p w:rsidR="00000000" w:rsidRDefault="00F20BDB">
      <w:pPr>
        <w:pStyle w:val="a3"/>
        <w:spacing w:beforeAutospacing="0" w:after="0" w:afterAutospacing="0"/>
        <w:ind w:firstLine="556"/>
        <w:rPr>
          <w:sz w:val="18"/>
          <w:szCs w:val="18"/>
        </w:rPr>
      </w:pPr>
      <w:r>
        <w:rPr>
          <w:sz w:val="18"/>
          <w:szCs w:val="18"/>
        </w:rPr>
        <w:t>Indicate by check mark whether the registrant is a shell company (as defined in Rule 12b-2 of the Exchange Act). </w:t>
      </w:r>
      <w:r>
        <w:rPr>
          <w:sz w:val="20"/>
          <w:szCs w:val="20"/>
        </w:rPr>
        <w:t>   </w:t>
      </w:r>
      <w:r>
        <w:rPr>
          <w:sz w:val="18"/>
          <w:szCs w:val="18"/>
        </w:rPr>
        <w:t>YES</w:t>
      </w:r>
      <w:r>
        <w:rPr>
          <w:sz w:val="20"/>
          <w:szCs w:val="20"/>
        </w:rPr>
        <w:t>  </w:t>
      </w:r>
      <w:r>
        <w:rPr>
          <w:rFonts w:ascii="Segoe UI Symbol" w:hAnsi="Segoe UI Symbol" w:cs="Segoe UI Symbol"/>
          <w:sz w:val="20"/>
          <w:szCs w:val="20"/>
        </w:rPr>
        <w:t>☐</w:t>
      </w:r>
      <w:r>
        <w:rPr>
          <w:sz w:val="20"/>
          <w:szCs w:val="20"/>
        </w:rPr>
        <w:t>    </w:t>
      </w:r>
      <w:r>
        <w:rPr>
          <w:sz w:val="18"/>
          <w:szCs w:val="18"/>
        </w:rPr>
        <w:t>NO</w:t>
      </w:r>
      <w:r>
        <w:rPr>
          <w:sz w:val="20"/>
          <w:szCs w:val="20"/>
        </w:rPr>
        <w:t>  </w:t>
      </w:r>
      <w:r>
        <w:rPr>
          <w:rFonts w:ascii="Segoe UI Symbol" w:hAnsi="Segoe UI Symbol" w:cs="Segoe UI Symbol"/>
          <w:sz w:val="20"/>
          <w:szCs w:val="20"/>
        </w:rPr>
        <w:t>☒</w:t>
      </w:r>
    </w:p>
    <w:p w:rsidR="00000000" w:rsidRDefault="00F20BDB">
      <w:pPr>
        <w:pStyle w:val="a3"/>
        <w:spacing w:beforeAutospacing="0" w:after="0" w:afterAutospacing="0"/>
        <w:ind w:firstLine="556"/>
        <w:rPr>
          <w:sz w:val="18"/>
          <w:szCs w:val="18"/>
        </w:rPr>
      </w:pPr>
      <w:r>
        <w:rPr>
          <w:sz w:val="18"/>
          <w:szCs w:val="18"/>
        </w:rPr>
        <w:t>There were 42,103,120 shares of the registrant’s Common Stock issued and outstanding as of May 1, 2019.</w:t>
      </w:r>
    </w:p>
    <w:p w:rsidR="00000000" w:rsidRDefault="00F20BDB">
      <w:pPr>
        <w:pStyle w:val="a3"/>
        <w:spacing w:beforeAutospacing="0" w:after="0" w:afterAutospacing="0"/>
        <w:ind w:firstLine="556"/>
        <w:rPr>
          <w:sz w:val="18"/>
          <w:szCs w:val="18"/>
        </w:rPr>
      </w:pPr>
      <w:r>
        <w:rPr>
          <w:sz w:val="18"/>
          <w:szCs w:val="18"/>
        </w:rPr>
        <w:lastRenderedPageBreak/>
        <w:t>Securi</w:t>
      </w:r>
      <w:r>
        <w:rPr>
          <w:sz w:val="18"/>
          <w:szCs w:val="18"/>
        </w:rPr>
        <w:t xml:space="preserve">ties registered pursuant to Section 12(b) of the Act: </w:t>
      </w:r>
    </w:p>
    <w:p w:rsidR="00000000" w:rsidRDefault="00F20BDB">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3156"/>
        <w:gridCol w:w="83"/>
        <w:gridCol w:w="1246"/>
        <w:gridCol w:w="83"/>
        <w:gridCol w:w="3738"/>
      </w:tblGrid>
      <w:tr w:rsidR="00000000">
        <w:tc>
          <w:tcPr>
            <w:tcW w:w="1900" w:type="pct"/>
            <w:tcBorders>
              <w:bottom w:val="single" w:sz="6" w:space="0" w:color="000000"/>
            </w:tcBorders>
            <w:vAlign w:val="bottom"/>
            <w:hideMark/>
          </w:tcPr>
          <w:p w:rsidR="00000000" w:rsidRDefault="00F20BDB">
            <w:pPr>
              <w:pStyle w:val="a3"/>
              <w:spacing w:before="0" w:beforeAutospacing="0" w:after="0" w:afterAutospacing="0"/>
              <w:jc w:val="center"/>
              <w:rPr>
                <w:b/>
                <w:bCs/>
                <w:sz w:val="16"/>
                <w:szCs w:val="16"/>
              </w:rPr>
            </w:pPr>
            <w:r>
              <w:rPr>
                <w:b/>
                <w:bCs/>
                <w:sz w:val="16"/>
                <w:szCs w:val="16"/>
              </w:rPr>
              <w:t>Title of each class</w:t>
            </w:r>
          </w:p>
        </w:tc>
        <w:tc>
          <w:tcPr>
            <w:tcW w:w="50" w:type="pct"/>
            <w:vAlign w:val="bottom"/>
            <w:hideMark/>
          </w:tcPr>
          <w:p w:rsidR="00000000" w:rsidRDefault="00F20BDB">
            <w:pPr>
              <w:pStyle w:val="a3"/>
              <w:spacing w:before="0" w:beforeAutospacing="0" w:after="0" w:afterAutospacing="0"/>
              <w:jc w:val="center"/>
              <w:rPr>
                <w:b/>
                <w:bCs/>
                <w:sz w:val="16"/>
                <w:szCs w:val="16"/>
              </w:rPr>
            </w:pPr>
            <w:r>
              <w:rPr>
                <w:b/>
                <w:bCs/>
                <w:sz w:val="16"/>
                <w:szCs w:val="16"/>
              </w:rPr>
              <w:t> </w:t>
            </w:r>
          </w:p>
        </w:tc>
        <w:tc>
          <w:tcPr>
            <w:tcW w:w="750" w:type="pct"/>
            <w:tcBorders>
              <w:bottom w:val="single" w:sz="6" w:space="0" w:color="000000"/>
            </w:tcBorders>
            <w:vAlign w:val="bottom"/>
            <w:hideMark/>
          </w:tcPr>
          <w:p w:rsidR="00000000" w:rsidRDefault="00F20BDB">
            <w:pPr>
              <w:pStyle w:val="a3"/>
              <w:spacing w:before="0" w:beforeAutospacing="0" w:after="0" w:afterAutospacing="0"/>
              <w:jc w:val="center"/>
              <w:rPr>
                <w:b/>
                <w:bCs/>
                <w:sz w:val="16"/>
                <w:szCs w:val="16"/>
              </w:rPr>
            </w:pPr>
            <w:r>
              <w:rPr>
                <w:b/>
                <w:bCs/>
                <w:sz w:val="16"/>
                <w:szCs w:val="16"/>
              </w:rPr>
              <w:t>Trading</w:t>
            </w:r>
          </w:p>
          <w:p w:rsidR="00000000" w:rsidRDefault="00F20BDB">
            <w:pPr>
              <w:pStyle w:val="a3"/>
              <w:spacing w:before="0" w:beforeAutospacing="0" w:after="0" w:afterAutospacing="0"/>
              <w:jc w:val="center"/>
              <w:rPr>
                <w:b/>
                <w:bCs/>
                <w:sz w:val="16"/>
                <w:szCs w:val="16"/>
              </w:rPr>
            </w:pPr>
            <w:r>
              <w:rPr>
                <w:b/>
                <w:bCs/>
                <w:sz w:val="16"/>
                <w:szCs w:val="16"/>
              </w:rPr>
              <w:t>Symbol(s)</w:t>
            </w:r>
          </w:p>
        </w:tc>
        <w:tc>
          <w:tcPr>
            <w:tcW w:w="50" w:type="pct"/>
            <w:vAlign w:val="bottom"/>
            <w:hideMark/>
          </w:tcPr>
          <w:p w:rsidR="00000000" w:rsidRDefault="00F20BDB">
            <w:pPr>
              <w:pStyle w:val="a3"/>
              <w:spacing w:before="0" w:beforeAutospacing="0" w:after="0" w:afterAutospacing="0"/>
              <w:jc w:val="center"/>
              <w:rPr>
                <w:b/>
                <w:bCs/>
                <w:sz w:val="16"/>
                <w:szCs w:val="16"/>
              </w:rPr>
            </w:pPr>
            <w:r>
              <w:rPr>
                <w:b/>
                <w:bCs/>
                <w:sz w:val="16"/>
                <w:szCs w:val="16"/>
              </w:rPr>
              <w:t> </w:t>
            </w:r>
          </w:p>
        </w:tc>
        <w:tc>
          <w:tcPr>
            <w:tcW w:w="2250" w:type="pct"/>
            <w:tcBorders>
              <w:bottom w:val="single" w:sz="6" w:space="0" w:color="000000"/>
            </w:tcBorders>
            <w:vAlign w:val="bottom"/>
            <w:hideMark/>
          </w:tcPr>
          <w:p w:rsidR="00000000" w:rsidRDefault="00F20BDB">
            <w:pPr>
              <w:pStyle w:val="a3"/>
              <w:spacing w:before="0" w:beforeAutospacing="0" w:after="0" w:afterAutospacing="0"/>
              <w:jc w:val="center"/>
              <w:rPr>
                <w:b/>
                <w:bCs/>
                <w:sz w:val="16"/>
                <w:szCs w:val="16"/>
              </w:rPr>
            </w:pPr>
            <w:r>
              <w:rPr>
                <w:b/>
                <w:bCs/>
                <w:sz w:val="16"/>
                <w:szCs w:val="16"/>
              </w:rPr>
              <w:t>Name of each exchange on which registered</w:t>
            </w:r>
          </w:p>
        </w:tc>
      </w:tr>
      <w:tr w:rsidR="00000000">
        <w:tc>
          <w:tcPr>
            <w:tcW w:w="1900" w:type="pct"/>
            <w:tcBorders>
              <w:top w:val="single" w:sz="6" w:space="0" w:color="000000"/>
            </w:tcBorders>
            <w:hideMark/>
          </w:tcPr>
          <w:p w:rsidR="00000000" w:rsidRDefault="00F20BDB">
            <w:pPr>
              <w:pStyle w:val="a3"/>
              <w:spacing w:before="0" w:beforeAutospacing="0" w:after="0" w:afterAutospacing="0"/>
              <w:jc w:val="center"/>
              <w:rPr>
                <w:sz w:val="16"/>
                <w:szCs w:val="16"/>
              </w:rPr>
            </w:pPr>
            <w:r>
              <w:rPr>
                <w:sz w:val="16"/>
                <w:szCs w:val="16"/>
              </w:rPr>
              <w:t>Common Stock, par value $0.001 per share</w:t>
            </w:r>
          </w:p>
        </w:tc>
        <w:tc>
          <w:tcPr>
            <w:tcW w:w="50" w:type="pct"/>
            <w:vAlign w:val="bottom"/>
            <w:hideMark/>
          </w:tcPr>
          <w:p w:rsidR="00000000" w:rsidRDefault="00F20BDB">
            <w:pPr>
              <w:pStyle w:val="a3"/>
              <w:spacing w:before="0" w:beforeAutospacing="0" w:after="0" w:afterAutospacing="0"/>
              <w:jc w:val="center"/>
              <w:rPr>
                <w:sz w:val="16"/>
                <w:szCs w:val="16"/>
              </w:rPr>
            </w:pPr>
            <w:r>
              <w:rPr>
                <w:sz w:val="16"/>
                <w:szCs w:val="16"/>
              </w:rPr>
              <w:t> </w:t>
            </w:r>
          </w:p>
        </w:tc>
        <w:tc>
          <w:tcPr>
            <w:tcW w:w="750" w:type="pct"/>
            <w:tcBorders>
              <w:top w:val="single" w:sz="6" w:space="0" w:color="000000"/>
            </w:tcBorders>
            <w:vAlign w:val="bottom"/>
            <w:hideMark/>
          </w:tcPr>
          <w:p w:rsidR="00000000" w:rsidRDefault="00F20BDB">
            <w:pPr>
              <w:pStyle w:val="a3"/>
              <w:spacing w:before="0" w:beforeAutospacing="0" w:after="0" w:afterAutospacing="0"/>
              <w:jc w:val="center"/>
              <w:rPr>
                <w:sz w:val="16"/>
                <w:szCs w:val="16"/>
              </w:rPr>
            </w:pPr>
            <w:r>
              <w:rPr>
                <w:sz w:val="16"/>
                <w:szCs w:val="16"/>
              </w:rPr>
              <w:t>HUBS</w:t>
            </w:r>
          </w:p>
        </w:tc>
        <w:tc>
          <w:tcPr>
            <w:tcW w:w="50" w:type="pct"/>
            <w:vAlign w:val="bottom"/>
            <w:hideMark/>
          </w:tcPr>
          <w:p w:rsidR="00000000" w:rsidRDefault="00F20BDB">
            <w:pPr>
              <w:pStyle w:val="a3"/>
              <w:spacing w:before="0" w:beforeAutospacing="0" w:after="0" w:afterAutospacing="0"/>
              <w:jc w:val="center"/>
              <w:rPr>
                <w:sz w:val="16"/>
                <w:szCs w:val="16"/>
              </w:rPr>
            </w:pPr>
            <w:r>
              <w:rPr>
                <w:sz w:val="16"/>
                <w:szCs w:val="16"/>
              </w:rPr>
              <w:t> </w:t>
            </w:r>
          </w:p>
        </w:tc>
        <w:tc>
          <w:tcPr>
            <w:tcW w:w="2250" w:type="pct"/>
            <w:tcBorders>
              <w:top w:val="single" w:sz="6" w:space="0" w:color="000000"/>
            </w:tcBorders>
            <w:vAlign w:val="bottom"/>
            <w:hideMark/>
          </w:tcPr>
          <w:p w:rsidR="00000000" w:rsidRDefault="00F20BDB">
            <w:pPr>
              <w:pStyle w:val="a3"/>
              <w:spacing w:before="0" w:beforeAutospacing="0" w:after="0" w:afterAutospacing="0"/>
              <w:jc w:val="center"/>
              <w:rPr>
                <w:sz w:val="16"/>
                <w:szCs w:val="16"/>
              </w:rPr>
            </w:pPr>
            <w:r>
              <w:rPr>
                <w:sz w:val="16"/>
                <w:szCs w:val="16"/>
              </w:rPr>
              <w:t>New York Stock Exchange</w:t>
            </w:r>
          </w:p>
        </w:tc>
      </w:tr>
    </w:tbl>
    <w:p w:rsidR="00000000" w:rsidRDefault="00F20BDB">
      <w:pPr>
        <w:pStyle w:val="a3"/>
        <w:pBdr>
          <w:bottom w:val="double" w:sz="6" w:space="1" w:color="auto"/>
        </w:pBdr>
        <w:spacing w:before="0" w:beforeAutospacing="0" w:after="0" w:afterAutospacing="0"/>
        <w:rPr>
          <w:sz w:val="12"/>
          <w:szCs w:val="12"/>
        </w:rPr>
      </w:pPr>
      <w:r>
        <w:rPr>
          <w:sz w:val="12"/>
          <w:szCs w:val="12"/>
        </w:rPr>
        <w:t> </w:t>
      </w:r>
    </w:p>
    <w:p w:rsidR="00000000" w:rsidRDefault="00F20BDB">
      <w:pPr>
        <w:pStyle w:val="a3"/>
        <w:spacing w:before="0" w:beforeAutospacing="0" w:after="0" w:afterAutospacing="0"/>
        <w:rPr>
          <w:sz w:val="2"/>
          <w:szCs w:val="2"/>
        </w:rPr>
      </w:pPr>
      <w:r>
        <w:rPr>
          <w:sz w:val="2"/>
          <w:szCs w:val="2"/>
        </w:rPr>
        <w:t> </w:t>
      </w:r>
    </w:p>
    <w:p w:rsidR="00000000" w:rsidRDefault="00F20BDB">
      <w:pPr>
        <w:pStyle w:val="a3"/>
        <w:spacing w:before="0" w:beforeAutospacing="0" w:after="0" w:afterAutospacing="0"/>
        <w:rPr>
          <w:sz w:val="2"/>
          <w:szCs w:val="2"/>
        </w:rPr>
      </w:pPr>
      <w:r>
        <w:rPr>
          <w:sz w:val="2"/>
          <w:szCs w:val="2"/>
        </w:rPr>
        <w:t> </w:t>
      </w:r>
    </w:p>
    <w:p w:rsidR="00000000" w:rsidRDefault="00F20BDB">
      <w:pPr>
        <w:pStyle w:val="a3"/>
        <w:spacing w:before="240" w:beforeAutospacing="0" w:after="0" w:afterAutospacing="0"/>
        <w:jc w:val="center"/>
        <w:rPr>
          <w:sz w:val="20"/>
          <w:szCs w:val="20"/>
        </w:rPr>
      </w:pPr>
      <w:r>
        <w:rPr>
          <w:sz w:val="20"/>
          <w:szCs w:val="20"/>
        </w:rPr>
        <w:t> </w:t>
      </w:r>
    </w:p>
    <w:p w:rsidR="00000000" w:rsidRDefault="00F20BDB">
      <w:pPr>
        <w:rPr>
          <w:rFonts w:eastAsia="Times New Roman"/>
        </w:rPr>
      </w:pPr>
      <w:r>
        <w:rPr>
          <w:rFonts w:eastAsia="Times New Roman"/>
        </w:rPr>
        <w:pict>
          <v:rect id="_x0000_i1025"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jc w:val="center"/>
        <w:rPr>
          <w:b/>
          <w:bCs/>
          <w:sz w:val="20"/>
          <w:szCs w:val="20"/>
        </w:rPr>
      </w:pPr>
      <w:bookmarkStart w:id="3" w:name="_AEIOULastRenderedPageBreakAEIOU2"/>
      <w:bookmarkEnd w:id="3"/>
      <w:r>
        <w:rPr>
          <w:b/>
          <w:bCs/>
          <w:sz w:val="20"/>
          <w:szCs w:val="20"/>
        </w:rPr>
        <w:t>HUBSPOT, INC.</w:t>
      </w:r>
    </w:p>
    <w:p w:rsidR="00000000" w:rsidRDefault="00F20BDB">
      <w:pPr>
        <w:pStyle w:val="a3"/>
        <w:spacing w:before="240" w:beforeAutospacing="0" w:after="0" w:afterAutospacing="0"/>
        <w:jc w:val="center"/>
        <w:rPr>
          <w:b/>
          <w:bCs/>
          <w:sz w:val="20"/>
          <w:szCs w:val="20"/>
        </w:rPr>
      </w:pPr>
      <w:r>
        <w:rPr>
          <w:b/>
          <w:bCs/>
          <w:sz w:val="20"/>
          <w:szCs w:val="20"/>
        </w:rPr>
        <w:t>Table of Contents</w:t>
      </w:r>
    </w:p>
    <w:p w:rsidR="00000000" w:rsidRDefault="00F20BDB">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845"/>
        <w:gridCol w:w="50"/>
        <w:gridCol w:w="7211"/>
        <w:gridCol w:w="200"/>
      </w:tblGrid>
      <w:tr w:rsidR="00000000">
        <w:trPr>
          <w:divId w:val="538903587"/>
          <w:jc w:val="center"/>
        </w:trPr>
        <w:tc>
          <w:tcPr>
            <w:tcW w:w="5000" w:type="pct"/>
            <w:gridSpan w:val="4"/>
            <w:shd w:val="clear" w:color="auto" w:fill="FFFFFF"/>
            <w:vAlign w:val="bottom"/>
            <w:hideMark/>
          </w:tcPr>
          <w:p w:rsidR="00000000" w:rsidRDefault="00F20BDB">
            <w:pPr>
              <w:pStyle w:val="a3"/>
              <w:spacing w:before="0" w:beforeAutospacing="0" w:after="0" w:afterAutospacing="0"/>
              <w:jc w:val="center"/>
              <w:rPr>
                <w:b/>
                <w:bCs/>
                <w:sz w:val="20"/>
                <w:szCs w:val="20"/>
              </w:rPr>
            </w:pPr>
            <w:hyperlink w:anchor="PART_I_FINANCIAL_INFORMATION" w:history="1">
              <w:r>
                <w:rPr>
                  <w:rStyle w:val="a4"/>
                  <w:b/>
                  <w:bCs/>
                  <w:sz w:val="20"/>
                  <w:szCs w:val="20"/>
                </w:rPr>
                <w:t>Part I — Financial Information</w:t>
              </w:r>
            </w:hyperlink>
          </w:p>
        </w:tc>
      </w:tr>
      <w:tr w:rsidR="00000000">
        <w:trPr>
          <w:divId w:val="538903587"/>
          <w:jc w:val="center"/>
        </w:trPr>
        <w:tc>
          <w:tcPr>
            <w:tcW w:w="400" w:type="pct"/>
            <w:shd w:val="clear" w:color="auto" w:fill="FFFFFF"/>
            <w:vAlign w:val="center"/>
            <w:hideMark/>
          </w:tcPr>
          <w:p w:rsidR="00000000" w:rsidRDefault="00F20BDB">
            <w:pPr>
              <w:pStyle w:val="a3"/>
              <w:spacing w:before="0" w:beforeAutospacing="0" w:after="0" w:afterAutospacing="0"/>
              <w:rPr>
                <w:sz w:val="12"/>
                <w:szCs w:val="12"/>
              </w:rPr>
            </w:pPr>
            <w:r>
              <w:rPr>
                <w:sz w:val="12"/>
                <w:szCs w:val="12"/>
              </w:rPr>
              <w:t> </w:t>
            </w:r>
          </w:p>
        </w:tc>
        <w:tc>
          <w:tcPr>
            <w:tcW w:w="34" w:type="pct"/>
            <w:shd w:val="clear" w:color="auto" w:fill="FFFFFF"/>
            <w:vAlign w:val="bottom"/>
            <w:hideMark/>
          </w:tcPr>
          <w:p w:rsidR="00000000" w:rsidRDefault="00F20BDB">
            <w:pPr>
              <w:pStyle w:val="a3"/>
              <w:spacing w:before="0" w:beforeAutospacing="0" w:after="0" w:afterAutospacing="0"/>
              <w:jc w:val="center"/>
              <w:rPr>
                <w:b/>
                <w:bCs/>
                <w:sz w:val="12"/>
                <w:szCs w:val="12"/>
              </w:rPr>
            </w:pPr>
            <w:r>
              <w:rPr>
                <w:b/>
                <w:bCs/>
                <w:sz w:val="12"/>
                <w:szCs w:val="12"/>
              </w:rPr>
              <w:t> </w:t>
            </w:r>
          </w:p>
        </w:tc>
        <w:tc>
          <w:tcPr>
            <w:tcW w:w="4434" w:type="pct"/>
            <w:shd w:val="clear" w:color="auto" w:fill="FFFFFF"/>
            <w:vAlign w:val="bottom"/>
            <w:hideMark/>
          </w:tcPr>
          <w:p w:rsidR="00000000" w:rsidRDefault="00F20BDB">
            <w:pPr>
              <w:pStyle w:val="a3"/>
              <w:spacing w:before="0" w:beforeAutospacing="0" w:after="0" w:afterAutospacing="0"/>
              <w:ind w:left="245" w:hanging="245"/>
              <w:rPr>
                <w:sz w:val="12"/>
                <w:szCs w:val="12"/>
              </w:rPr>
            </w:pPr>
            <w:r>
              <w:rPr>
                <w:sz w:val="12"/>
                <w:szCs w:val="12"/>
              </w:rPr>
              <w:t> </w:t>
            </w:r>
          </w:p>
        </w:tc>
        <w:tc>
          <w:tcPr>
            <w:tcW w:w="132" w:type="pct"/>
            <w:shd w:val="clear" w:color="auto" w:fill="FFFFFF"/>
            <w:vAlign w:val="bottom"/>
            <w:hideMark/>
          </w:tcPr>
          <w:p w:rsidR="00000000" w:rsidRDefault="00F20BDB">
            <w:pPr>
              <w:pStyle w:val="a3"/>
              <w:spacing w:before="0" w:beforeAutospacing="0" w:after="0" w:afterAutospacing="0"/>
              <w:jc w:val="right"/>
              <w:rPr>
                <w:sz w:val="12"/>
                <w:szCs w:val="12"/>
              </w:rPr>
            </w:pPr>
            <w:r>
              <w:rPr>
                <w:sz w:val="12"/>
                <w:szCs w:val="12"/>
              </w:rPr>
              <w:t> </w:t>
            </w:r>
          </w:p>
        </w:tc>
      </w:tr>
      <w:tr w:rsidR="00000000">
        <w:trPr>
          <w:divId w:val="538903587"/>
          <w:jc w:val="center"/>
        </w:trPr>
        <w:tc>
          <w:tcPr>
            <w:tcW w:w="400"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Item 1.</w:t>
            </w:r>
          </w:p>
        </w:tc>
        <w:tc>
          <w:tcPr>
            <w:tcW w:w="34" w:type="pct"/>
            <w:shd w:val="clear" w:color="auto" w:fill="FFFFFF"/>
            <w:vAlign w:val="bottom"/>
            <w:hideMark/>
          </w:tcPr>
          <w:p w:rsidR="00000000" w:rsidRDefault="00F20BDB">
            <w:pPr>
              <w:pStyle w:val="a3"/>
              <w:spacing w:before="0" w:beforeAutospacing="0" w:after="0" w:afterAutospacing="0"/>
              <w:jc w:val="center"/>
              <w:rPr>
                <w:b/>
                <w:bCs/>
                <w:color w:val="000000"/>
                <w:sz w:val="20"/>
                <w:szCs w:val="20"/>
              </w:rPr>
            </w:pPr>
            <w:r>
              <w:rPr>
                <w:b/>
                <w:bCs/>
                <w:color w:val="000000"/>
                <w:sz w:val="20"/>
                <w:szCs w:val="20"/>
              </w:rPr>
              <w:t> </w:t>
            </w:r>
          </w:p>
        </w:tc>
        <w:tc>
          <w:tcPr>
            <w:tcW w:w="4434" w:type="pct"/>
            <w:shd w:val="clear" w:color="auto" w:fill="FFFFFF"/>
            <w:vAlign w:val="bottom"/>
            <w:hideMark/>
          </w:tcPr>
          <w:p w:rsidR="00000000" w:rsidRDefault="00F20BDB">
            <w:pPr>
              <w:pStyle w:val="a3"/>
              <w:spacing w:before="0" w:beforeAutospacing="0" w:after="0" w:afterAutospacing="0"/>
              <w:ind w:left="245" w:hanging="245"/>
              <w:rPr>
                <w:sz w:val="20"/>
                <w:szCs w:val="20"/>
              </w:rPr>
            </w:pPr>
            <w:hyperlink w:anchor="ITEM_1_FINANCIAL_STATEMENTS" w:history="1">
              <w:r>
                <w:rPr>
                  <w:rStyle w:val="a4"/>
                  <w:sz w:val="20"/>
                  <w:szCs w:val="20"/>
                </w:rPr>
                <w:t>Unaudited Consolidated Financial Statements:</w:t>
              </w:r>
            </w:hyperlink>
          </w:p>
        </w:tc>
        <w:tc>
          <w:tcPr>
            <w:tcW w:w="132" w:type="pct"/>
            <w:shd w:val="clear" w:color="auto" w:fill="FFFFFF"/>
            <w:vAlign w:val="bottom"/>
            <w:hideMark/>
          </w:tcPr>
          <w:p w:rsidR="00000000" w:rsidRDefault="00F20BDB">
            <w:pPr>
              <w:pStyle w:val="a3"/>
              <w:spacing w:before="0" w:beforeAutospacing="0" w:after="0" w:afterAutospacing="0"/>
              <w:jc w:val="right"/>
              <w:rPr>
                <w:sz w:val="20"/>
                <w:szCs w:val="20"/>
              </w:rPr>
            </w:pPr>
            <w:r>
              <w:rPr>
                <w:sz w:val="20"/>
                <w:szCs w:val="20"/>
              </w:rPr>
              <w:t> </w:t>
            </w:r>
          </w:p>
        </w:tc>
      </w:tr>
      <w:tr w:rsidR="00000000">
        <w:trPr>
          <w:divId w:val="538903587"/>
          <w:jc w:val="center"/>
        </w:trPr>
        <w:tc>
          <w:tcPr>
            <w:tcW w:w="400"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4"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rsidR="00000000" w:rsidRDefault="00F20BDB">
            <w:pPr>
              <w:pStyle w:val="a3"/>
              <w:spacing w:before="0" w:beforeAutospacing="0" w:after="0" w:afterAutospacing="0"/>
              <w:ind w:left="245" w:hanging="245"/>
              <w:rPr>
                <w:sz w:val="20"/>
                <w:szCs w:val="20"/>
              </w:rPr>
            </w:pPr>
            <w:hyperlink w:anchor="UNAUDITED_CONSOLIDATED_BALANCE_SHEETS" w:history="1">
              <w:r>
                <w:rPr>
                  <w:rStyle w:val="a4"/>
                  <w:sz w:val="20"/>
                  <w:szCs w:val="20"/>
                </w:rPr>
                <w:t>Unaudited Consolidated Balance Sheets as of March 31, 2019 and December 31, 2018</w:t>
              </w:r>
            </w:hyperlink>
          </w:p>
        </w:tc>
        <w:tc>
          <w:tcPr>
            <w:tcW w:w="132" w:type="pct"/>
            <w:shd w:val="clear" w:color="auto" w:fill="FFFFFF"/>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w:t>
            </w:r>
          </w:p>
        </w:tc>
      </w:tr>
      <w:tr w:rsidR="00000000">
        <w:trPr>
          <w:divId w:val="538903587"/>
          <w:jc w:val="center"/>
        </w:trPr>
        <w:tc>
          <w:tcPr>
            <w:tcW w:w="400"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4"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rsidR="00000000" w:rsidRDefault="00F20BDB">
            <w:pPr>
              <w:pStyle w:val="a3"/>
              <w:spacing w:before="0" w:beforeAutospacing="0" w:after="0" w:afterAutospacing="0"/>
              <w:ind w:left="245" w:hanging="245"/>
              <w:rPr>
                <w:spacing w:val="-2"/>
                <w:sz w:val="20"/>
                <w:szCs w:val="20"/>
              </w:rPr>
            </w:pPr>
            <w:hyperlink w:anchor="UNAUDITED_CONSOLIDATED_STATEMENTS_OPERA" w:history="1">
              <w:r>
                <w:rPr>
                  <w:rStyle w:val="a4"/>
                  <w:spacing w:val="-2"/>
                  <w:sz w:val="20"/>
                  <w:szCs w:val="20"/>
                </w:rPr>
                <w:t>Unaudited Consolidated Statements of Operation</w:t>
              </w:r>
              <w:r>
                <w:rPr>
                  <w:rStyle w:val="a4"/>
                  <w:spacing w:val="-2"/>
                  <w:sz w:val="20"/>
                  <w:szCs w:val="20"/>
                </w:rPr>
                <w:t>s for the Three Months Ended March 31, 2019 and 2018</w:t>
              </w:r>
            </w:hyperlink>
          </w:p>
        </w:tc>
        <w:tc>
          <w:tcPr>
            <w:tcW w:w="132" w:type="pct"/>
            <w:shd w:val="clear" w:color="auto" w:fill="FFFFFF"/>
            <w:vAlign w:val="bottom"/>
            <w:hideMark/>
          </w:tcPr>
          <w:p w:rsidR="00000000" w:rsidRDefault="00F20BDB">
            <w:pPr>
              <w:pStyle w:val="a3"/>
              <w:spacing w:before="0" w:beforeAutospacing="0" w:after="0" w:afterAutospacing="0"/>
              <w:jc w:val="right"/>
              <w:rPr>
                <w:sz w:val="20"/>
                <w:szCs w:val="20"/>
              </w:rPr>
            </w:pPr>
            <w:r>
              <w:rPr>
                <w:sz w:val="20"/>
                <w:szCs w:val="20"/>
              </w:rPr>
              <w:t>6</w:t>
            </w:r>
          </w:p>
        </w:tc>
      </w:tr>
      <w:tr w:rsidR="00000000">
        <w:trPr>
          <w:divId w:val="538903587"/>
          <w:jc w:val="center"/>
        </w:trPr>
        <w:tc>
          <w:tcPr>
            <w:tcW w:w="400" w:type="pct"/>
            <w:shd w:val="clear" w:color="auto" w:fill="FFFFFF"/>
            <w:hideMark/>
          </w:tcPr>
          <w:p w:rsidR="00000000" w:rsidRDefault="00F20BDB">
            <w:pPr>
              <w:pStyle w:val="a3"/>
              <w:spacing w:before="0" w:beforeAutospacing="0" w:after="0" w:afterAutospacing="0"/>
              <w:rPr>
                <w:sz w:val="20"/>
                <w:szCs w:val="20"/>
              </w:rPr>
            </w:pPr>
            <w:r>
              <w:rPr>
                <w:sz w:val="20"/>
                <w:szCs w:val="20"/>
              </w:rPr>
              <w:t> </w:t>
            </w:r>
          </w:p>
        </w:tc>
        <w:tc>
          <w:tcPr>
            <w:tcW w:w="34" w:type="pct"/>
            <w:shd w:val="clear" w:color="auto" w:fill="FFFFFF"/>
            <w:hideMark/>
          </w:tcPr>
          <w:p w:rsidR="00000000" w:rsidRDefault="00F20BDB">
            <w:pPr>
              <w:pStyle w:val="a3"/>
              <w:spacing w:before="0" w:beforeAutospacing="0" w:after="0" w:afterAutospacing="0"/>
              <w:rPr>
                <w:sz w:val="20"/>
                <w:szCs w:val="20"/>
              </w:rPr>
            </w:pPr>
            <w:r>
              <w:rPr>
                <w:sz w:val="20"/>
                <w:szCs w:val="20"/>
              </w:rPr>
              <w:t> </w:t>
            </w:r>
          </w:p>
        </w:tc>
        <w:tc>
          <w:tcPr>
            <w:tcW w:w="4434" w:type="pct"/>
            <w:shd w:val="clear" w:color="auto" w:fill="FFFFFF"/>
            <w:vAlign w:val="bottom"/>
            <w:hideMark/>
          </w:tcPr>
          <w:p w:rsidR="00000000" w:rsidRDefault="00F20BDB">
            <w:pPr>
              <w:pStyle w:val="a3"/>
              <w:spacing w:before="0" w:beforeAutospacing="0" w:after="0" w:afterAutospacing="0"/>
              <w:ind w:left="245" w:hanging="245"/>
              <w:rPr>
                <w:spacing w:val="-2"/>
                <w:sz w:val="20"/>
                <w:szCs w:val="20"/>
              </w:rPr>
            </w:pPr>
            <w:hyperlink w:anchor="UNAUDITED_CONSOLIDATED_STATEMENTS_COMPR" w:history="1">
              <w:r>
                <w:rPr>
                  <w:rStyle w:val="a4"/>
                  <w:spacing w:val="-2"/>
                  <w:sz w:val="20"/>
                  <w:szCs w:val="20"/>
                </w:rPr>
                <w:t>Unaudited Consolidated Statements of Comprehensive Loss for the Three Months Ended March 31, 2019 and 2018</w:t>
              </w:r>
            </w:hyperlink>
          </w:p>
        </w:tc>
        <w:tc>
          <w:tcPr>
            <w:tcW w:w="132" w:type="pct"/>
            <w:shd w:val="clear" w:color="auto" w:fill="FFFFFF"/>
            <w:vAlign w:val="bottom"/>
            <w:hideMark/>
          </w:tcPr>
          <w:p w:rsidR="00000000" w:rsidRDefault="00F20BDB">
            <w:pPr>
              <w:pStyle w:val="a3"/>
              <w:spacing w:before="0" w:beforeAutospacing="0" w:after="0" w:afterAutospacing="0"/>
              <w:jc w:val="right"/>
              <w:rPr>
                <w:sz w:val="20"/>
                <w:szCs w:val="20"/>
              </w:rPr>
            </w:pPr>
            <w:r>
              <w:rPr>
                <w:sz w:val="20"/>
                <w:szCs w:val="20"/>
              </w:rPr>
              <w:t>7</w:t>
            </w:r>
          </w:p>
        </w:tc>
      </w:tr>
      <w:tr w:rsidR="00000000">
        <w:trPr>
          <w:divId w:val="538903587"/>
          <w:jc w:val="center"/>
        </w:trPr>
        <w:tc>
          <w:tcPr>
            <w:tcW w:w="400"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4"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rsidR="00000000" w:rsidRDefault="00F20BDB">
            <w:pPr>
              <w:pStyle w:val="a3"/>
              <w:spacing w:before="0" w:beforeAutospacing="0" w:after="0" w:afterAutospacing="0"/>
              <w:ind w:left="245" w:hanging="245"/>
              <w:rPr>
                <w:sz w:val="20"/>
                <w:szCs w:val="20"/>
              </w:rPr>
            </w:pPr>
            <w:hyperlink w:anchor="UNAUDITED_CONSOLIDATED_STATEMENTS_CASH_" w:history="1">
              <w:r>
                <w:rPr>
                  <w:rStyle w:val="a4"/>
                  <w:sz w:val="20"/>
                  <w:szCs w:val="20"/>
                </w:rPr>
                <w:t>Unaudited Consolidated Statements of Cash Flows for the Three Months Ended March 31, 2019 and 2018</w:t>
              </w:r>
            </w:hyperlink>
          </w:p>
        </w:tc>
        <w:tc>
          <w:tcPr>
            <w:tcW w:w="132" w:type="pct"/>
            <w:shd w:val="clear" w:color="auto" w:fill="FFFFFF"/>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w:t>
            </w:r>
          </w:p>
        </w:tc>
      </w:tr>
      <w:tr w:rsidR="00000000">
        <w:trPr>
          <w:divId w:val="538903587"/>
          <w:jc w:val="center"/>
        </w:trPr>
        <w:tc>
          <w:tcPr>
            <w:tcW w:w="400"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4"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rsidR="00000000" w:rsidRDefault="00F20BDB">
            <w:pPr>
              <w:pStyle w:val="a3"/>
              <w:spacing w:before="0" w:beforeAutospacing="0" w:after="0" w:afterAutospacing="0"/>
              <w:ind w:left="245" w:hanging="245"/>
              <w:rPr>
                <w:sz w:val="20"/>
                <w:szCs w:val="20"/>
              </w:rPr>
            </w:pPr>
            <w:hyperlink w:anchor="NOTES_TO_UNAUDITED_CONSOLIDA_TED_FINANC" w:history="1">
              <w:r>
                <w:rPr>
                  <w:rStyle w:val="a4"/>
                  <w:sz w:val="20"/>
                  <w:szCs w:val="20"/>
                </w:rPr>
                <w:t>Notes to Unaudited Consolidated Financial Statements</w:t>
              </w:r>
            </w:hyperlink>
          </w:p>
        </w:tc>
        <w:tc>
          <w:tcPr>
            <w:tcW w:w="132" w:type="pct"/>
            <w:shd w:val="clear" w:color="auto" w:fill="FFFFFF"/>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9</w:t>
            </w:r>
          </w:p>
        </w:tc>
      </w:tr>
      <w:tr w:rsidR="00000000">
        <w:trPr>
          <w:divId w:val="538903587"/>
          <w:jc w:val="center"/>
        </w:trPr>
        <w:tc>
          <w:tcPr>
            <w:tcW w:w="400"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Item 2.</w:t>
            </w:r>
          </w:p>
        </w:tc>
        <w:tc>
          <w:tcPr>
            <w:tcW w:w="34"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rsidR="00000000" w:rsidRDefault="00F20BDB">
            <w:pPr>
              <w:pStyle w:val="a3"/>
              <w:spacing w:before="0" w:beforeAutospacing="0" w:after="0" w:afterAutospacing="0"/>
              <w:ind w:left="245" w:hanging="245"/>
              <w:rPr>
                <w:sz w:val="20"/>
                <w:szCs w:val="20"/>
              </w:rPr>
            </w:pPr>
            <w:hyperlink w:anchor="ITEM_2_MANAGEMENTS_DISCUSSION_ANALYSIS_" w:history="1">
              <w:r>
                <w:rPr>
                  <w:rStyle w:val="a4"/>
                  <w:sz w:val="20"/>
                  <w:szCs w:val="20"/>
                </w:rPr>
                <w:t>Management’s Discussion and Analysis of Financial Condition and Re</w:t>
              </w:r>
              <w:r>
                <w:rPr>
                  <w:rStyle w:val="a4"/>
                  <w:sz w:val="20"/>
                  <w:szCs w:val="20"/>
                </w:rPr>
                <w:t>sults of Operations</w:t>
              </w:r>
            </w:hyperlink>
          </w:p>
        </w:tc>
        <w:tc>
          <w:tcPr>
            <w:tcW w:w="132" w:type="pct"/>
            <w:shd w:val="clear" w:color="auto" w:fill="FFFFFF"/>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21</w:t>
            </w:r>
          </w:p>
        </w:tc>
      </w:tr>
      <w:tr w:rsidR="00000000">
        <w:trPr>
          <w:divId w:val="538903587"/>
          <w:jc w:val="center"/>
        </w:trPr>
        <w:tc>
          <w:tcPr>
            <w:tcW w:w="400"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Item 3.</w:t>
            </w:r>
          </w:p>
        </w:tc>
        <w:tc>
          <w:tcPr>
            <w:tcW w:w="34"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rsidR="00000000" w:rsidRDefault="00F20BDB">
            <w:pPr>
              <w:pStyle w:val="a3"/>
              <w:spacing w:before="0" w:beforeAutospacing="0" w:after="0" w:afterAutospacing="0"/>
              <w:ind w:left="245" w:hanging="245"/>
              <w:rPr>
                <w:sz w:val="20"/>
                <w:szCs w:val="20"/>
              </w:rPr>
            </w:pPr>
            <w:hyperlink w:anchor="ITEM_3_QUANTITATIVE_QUALITATIVE_DISCLOS" w:history="1">
              <w:r>
                <w:rPr>
                  <w:rStyle w:val="a4"/>
                  <w:sz w:val="20"/>
                  <w:szCs w:val="20"/>
                </w:rPr>
                <w:t>Quantitative and Qualitative Disclosures about Market Risk</w:t>
              </w:r>
            </w:hyperlink>
          </w:p>
        </w:tc>
        <w:tc>
          <w:tcPr>
            <w:tcW w:w="132" w:type="pct"/>
            <w:shd w:val="clear" w:color="auto" w:fill="FFFFFF"/>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29</w:t>
            </w:r>
          </w:p>
        </w:tc>
      </w:tr>
      <w:tr w:rsidR="00000000">
        <w:trPr>
          <w:divId w:val="538903587"/>
          <w:jc w:val="center"/>
        </w:trPr>
        <w:tc>
          <w:tcPr>
            <w:tcW w:w="400"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Item 4.</w:t>
            </w:r>
          </w:p>
        </w:tc>
        <w:tc>
          <w:tcPr>
            <w:tcW w:w="34"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rsidR="00000000" w:rsidRDefault="00F20BDB">
            <w:pPr>
              <w:pStyle w:val="a3"/>
              <w:spacing w:before="0" w:beforeAutospacing="0" w:after="0" w:afterAutospacing="0"/>
              <w:ind w:left="245" w:hanging="245"/>
              <w:rPr>
                <w:sz w:val="20"/>
                <w:szCs w:val="20"/>
              </w:rPr>
            </w:pPr>
            <w:hyperlink w:anchor="ITEM_4_CONTROLS_PROCEDURES" w:history="1">
              <w:r>
                <w:rPr>
                  <w:rStyle w:val="a4"/>
                  <w:sz w:val="20"/>
                  <w:szCs w:val="20"/>
                </w:rPr>
                <w:t>Controls and Procedures</w:t>
              </w:r>
            </w:hyperlink>
          </w:p>
        </w:tc>
        <w:tc>
          <w:tcPr>
            <w:tcW w:w="132" w:type="pct"/>
            <w:shd w:val="clear" w:color="auto" w:fill="FFFFFF"/>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30</w:t>
            </w:r>
          </w:p>
        </w:tc>
      </w:tr>
      <w:tr w:rsidR="00000000">
        <w:trPr>
          <w:divId w:val="538903587"/>
          <w:jc w:val="center"/>
        </w:trPr>
        <w:tc>
          <w:tcPr>
            <w:tcW w:w="5000" w:type="pct"/>
            <w:gridSpan w:val="4"/>
            <w:shd w:val="clear" w:color="auto" w:fill="FFFFFF"/>
            <w:vAlign w:val="center"/>
            <w:hideMark/>
          </w:tcPr>
          <w:p w:rsidR="00000000" w:rsidRDefault="00F20BDB">
            <w:pPr>
              <w:pStyle w:val="a3"/>
              <w:spacing w:before="0" w:beforeAutospacing="0" w:after="0" w:afterAutospacing="0"/>
              <w:rPr>
                <w:color w:val="000000"/>
                <w:sz w:val="12"/>
                <w:szCs w:val="12"/>
              </w:rPr>
            </w:pPr>
            <w:r>
              <w:rPr>
                <w:color w:val="000000"/>
                <w:sz w:val="12"/>
                <w:szCs w:val="12"/>
              </w:rPr>
              <w:t> </w:t>
            </w:r>
          </w:p>
        </w:tc>
      </w:tr>
      <w:tr w:rsidR="00000000">
        <w:trPr>
          <w:divId w:val="538903587"/>
          <w:jc w:val="center"/>
        </w:trPr>
        <w:tc>
          <w:tcPr>
            <w:tcW w:w="5000" w:type="pct"/>
            <w:gridSpan w:val="4"/>
            <w:shd w:val="clear" w:color="auto" w:fill="FFFFFF"/>
            <w:vAlign w:val="bottom"/>
            <w:hideMark/>
          </w:tcPr>
          <w:p w:rsidR="00000000" w:rsidRDefault="00F20BDB">
            <w:pPr>
              <w:pStyle w:val="a3"/>
              <w:spacing w:before="0" w:beforeAutospacing="0" w:after="0" w:afterAutospacing="0"/>
              <w:jc w:val="center"/>
              <w:rPr>
                <w:b/>
                <w:bCs/>
                <w:sz w:val="20"/>
                <w:szCs w:val="20"/>
              </w:rPr>
            </w:pPr>
            <w:hyperlink w:anchor="PART_II" w:history="1">
              <w:r>
                <w:rPr>
                  <w:rStyle w:val="a4"/>
                  <w:b/>
                  <w:bCs/>
                  <w:sz w:val="20"/>
                  <w:szCs w:val="20"/>
                </w:rPr>
                <w:t>Part II — Other Information</w:t>
              </w:r>
            </w:hyperlink>
          </w:p>
        </w:tc>
      </w:tr>
      <w:tr w:rsidR="00000000">
        <w:trPr>
          <w:divId w:val="538903587"/>
          <w:jc w:val="center"/>
        </w:trPr>
        <w:tc>
          <w:tcPr>
            <w:tcW w:w="400" w:type="pct"/>
            <w:shd w:val="clear" w:color="auto" w:fill="FFFFFF"/>
            <w:vAlign w:val="center"/>
            <w:hideMark/>
          </w:tcPr>
          <w:p w:rsidR="00000000" w:rsidRDefault="00F20BDB">
            <w:pPr>
              <w:pStyle w:val="a3"/>
              <w:spacing w:before="0" w:beforeAutospacing="0" w:after="0" w:afterAutospacing="0"/>
              <w:rPr>
                <w:sz w:val="12"/>
                <w:szCs w:val="12"/>
              </w:rPr>
            </w:pPr>
            <w:r>
              <w:rPr>
                <w:sz w:val="12"/>
                <w:szCs w:val="12"/>
              </w:rPr>
              <w:t> </w:t>
            </w:r>
          </w:p>
        </w:tc>
        <w:tc>
          <w:tcPr>
            <w:tcW w:w="34" w:type="pct"/>
            <w:shd w:val="clear" w:color="auto" w:fill="FFFFFF"/>
            <w:hideMark/>
          </w:tcPr>
          <w:p w:rsidR="00000000" w:rsidRDefault="00F20BDB">
            <w:pPr>
              <w:pStyle w:val="a3"/>
              <w:spacing w:before="0" w:beforeAutospacing="0" w:after="0" w:afterAutospacing="0"/>
              <w:rPr>
                <w:sz w:val="12"/>
                <w:szCs w:val="12"/>
              </w:rPr>
            </w:pPr>
            <w:r>
              <w:rPr>
                <w:sz w:val="12"/>
                <w:szCs w:val="12"/>
              </w:rPr>
              <w:t> </w:t>
            </w:r>
          </w:p>
        </w:tc>
        <w:tc>
          <w:tcPr>
            <w:tcW w:w="4434" w:type="pct"/>
            <w:shd w:val="clear" w:color="auto" w:fill="FFFFFF"/>
            <w:vAlign w:val="bottom"/>
            <w:hideMark/>
          </w:tcPr>
          <w:p w:rsidR="00000000" w:rsidRDefault="00F20BDB">
            <w:pPr>
              <w:pStyle w:val="a3"/>
              <w:spacing w:before="0" w:beforeAutospacing="0" w:after="0" w:afterAutospacing="0"/>
              <w:rPr>
                <w:sz w:val="12"/>
                <w:szCs w:val="12"/>
              </w:rPr>
            </w:pPr>
            <w:r>
              <w:rPr>
                <w:sz w:val="12"/>
                <w:szCs w:val="12"/>
              </w:rPr>
              <w:t> </w:t>
            </w:r>
          </w:p>
        </w:tc>
        <w:tc>
          <w:tcPr>
            <w:tcW w:w="132" w:type="pct"/>
            <w:shd w:val="clear" w:color="auto" w:fill="FFFFFF"/>
            <w:vAlign w:val="bottom"/>
            <w:hideMark/>
          </w:tcPr>
          <w:p w:rsidR="00000000" w:rsidRDefault="00F20BDB">
            <w:pPr>
              <w:pStyle w:val="a3"/>
              <w:spacing w:before="0" w:beforeAutospacing="0" w:after="0" w:afterAutospacing="0"/>
              <w:jc w:val="right"/>
              <w:rPr>
                <w:sz w:val="12"/>
                <w:szCs w:val="12"/>
              </w:rPr>
            </w:pPr>
            <w:r>
              <w:rPr>
                <w:sz w:val="12"/>
                <w:szCs w:val="12"/>
              </w:rPr>
              <w:t> </w:t>
            </w:r>
          </w:p>
        </w:tc>
      </w:tr>
      <w:tr w:rsidR="00000000">
        <w:trPr>
          <w:divId w:val="538903587"/>
          <w:jc w:val="center"/>
        </w:trPr>
        <w:tc>
          <w:tcPr>
            <w:tcW w:w="400"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Item 1.</w:t>
            </w:r>
          </w:p>
        </w:tc>
        <w:tc>
          <w:tcPr>
            <w:tcW w:w="34"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rsidR="00000000" w:rsidRDefault="00F20BDB">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132" w:type="pct"/>
            <w:shd w:val="clear" w:color="auto" w:fill="FFFFFF"/>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31</w:t>
            </w:r>
          </w:p>
        </w:tc>
      </w:tr>
      <w:tr w:rsidR="00000000">
        <w:trPr>
          <w:divId w:val="538903587"/>
          <w:jc w:val="center"/>
        </w:trPr>
        <w:tc>
          <w:tcPr>
            <w:tcW w:w="400"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Item 1A.</w:t>
            </w:r>
          </w:p>
        </w:tc>
        <w:tc>
          <w:tcPr>
            <w:tcW w:w="34"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rsidR="00000000" w:rsidRDefault="00F20BDB">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132" w:type="pct"/>
            <w:shd w:val="clear" w:color="auto" w:fill="FFFFFF"/>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31</w:t>
            </w:r>
          </w:p>
        </w:tc>
      </w:tr>
      <w:tr w:rsidR="00000000">
        <w:trPr>
          <w:divId w:val="538903587"/>
          <w:jc w:val="center"/>
        </w:trPr>
        <w:tc>
          <w:tcPr>
            <w:tcW w:w="400"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Item 2.</w:t>
            </w:r>
          </w:p>
        </w:tc>
        <w:tc>
          <w:tcPr>
            <w:tcW w:w="34"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rsidR="00000000" w:rsidRDefault="00F20BDB">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132" w:type="pct"/>
            <w:shd w:val="clear" w:color="auto" w:fill="FFFFFF"/>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51</w:t>
            </w:r>
          </w:p>
        </w:tc>
      </w:tr>
      <w:tr w:rsidR="00000000">
        <w:trPr>
          <w:divId w:val="538903587"/>
          <w:jc w:val="center"/>
        </w:trPr>
        <w:tc>
          <w:tcPr>
            <w:tcW w:w="400"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Item 3.</w:t>
            </w:r>
          </w:p>
        </w:tc>
        <w:tc>
          <w:tcPr>
            <w:tcW w:w="34"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rsidR="00000000" w:rsidRDefault="00F20BDB">
            <w:pPr>
              <w:pStyle w:val="a3"/>
              <w:spacing w:before="0" w:beforeAutospacing="0" w:after="0" w:afterAutospacing="0"/>
              <w:rPr>
                <w:sz w:val="20"/>
                <w:szCs w:val="20"/>
              </w:rPr>
            </w:pPr>
            <w:hyperlink w:anchor="ITEM_3_DEFAULTS_ON_SENIOR_SECURITIES" w:history="1">
              <w:r>
                <w:rPr>
                  <w:rStyle w:val="a4"/>
                  <w:sz w:val="20"/>
                  <w:szCs w:val="20"/>
                </w:rPr>
                <w:t>Default Upon Senior Securities</w:t>
              </w:r>
            </w:hyperlink>
          </w:p>
        </w:tc>
        <w:tc>
          <w:tcPr>
            <w:tcW w:w="132" w:type="pct"/>
            <w:shd w:val="clear" w:color="auto" w:fill="FFFFFF"/>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51</w:t>
            </w:r>
          </w:p>
        </w:tc>
      </w:tr>
      <w:tr w:rsidR="00000000">
        <w:trPr>
          <w:divId w:val="538903587"/>
          <w:trHeight w:val="174"/>
          <w:jc w:val="center"/>
        </w:trPr>
        <w:tc>
          <w:tcPr>
            <w:tcW w:w="400"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Item 4.</w:t>
            </w:r>
          </w:p>
        </w:tc>
        <w:tc>
          <w:tcPr>
            <w:tcW w:w="34"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rsidR="00000000" w:rsidRDefault="00F20BDB">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132" w:type="pct"/>
            <w:shd w:val="clear" w:color="auto" w:fill="FFFFFF"/>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51</w:t>
            </w:r>
          </w:p>
        </w:tc>
      </w:tr>
      <w:tr w:rsidR="00000000">
        <w:trPr>
          <w:divId w:val="538903587"/>
          <w:jc w:val="center"/>
        </w:trPr>
        <w:tc>
          <w:tcPr>
            <w:tcW w:w="400"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Item 5.</w:t>
            </w:r>
          </w:p>
        </w:tc>
        <w:tc>
          <w:tcPr>
            <w:tcW w:w="34"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rsidR="00000000" w:rsidRDefault="00F20BDB">
            <w:pPr>
              <w:pStyle w:val="a3"/>
              <w:spacing w:before="0" w:beforeAutospacing="0" w:after="0" w:afterAutospacing="0"/>
              <w:rPr>
                <w:sz w:val="20"/>
                <w:szCs w:val="20"/>
              </w:rPr>
            </w:pPr>
            <w:hyperlink w:anchor="ITEM_5_OR_INFORMATION" w:history="1">
              <w:r>
                <w:rPr>
                  <w:rStyle w:val="a4"/>
                  <w:sz w:val="20"/>
                  <w:szCs w:val="20"/>
                </w:rPr>
                <w:t>Other Information</w:t>
              </w:r>
            </w:hyperlink>
          </w:p>
        </w:tc>
        <w:tc>
          <w:tcPr>
            <w:tcW w:w="132" w:type="pct"/>
            <w:shd w:val="clear" w:color="auto" w:fill="FFFFFF"/>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51</w:t>
            </w:r>
          </w:p>
        </w:tc>
      </w:tr>
      <w:tr w:rsidR="00000000">
        <w:trPr>
          <w:divId w:val="538903587"/>
          <w:jc w:val="center"/>
        </w:trPr>
        <w:tc>
          <w:tcPr>
            <w:tcW w:w="400"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Item 6.</w:t>
            </w:r>
          </w:p>
        </w:tc>
        <w:tc>
          <w:tcPr>
            <w:tcW w:w="34"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rsidR="00000000" w:rsidRDefault="00F20BDB">
            <w:pPr>
              <w:pStyle w:val="a3"/>
              <w:spacing w:before="0" w:beforeAutospacing="0" w:after="0" w:afterAutospacing="0"/>
              <w:rPr>
                <w:sz w:val="20"/>
                <w:szCs w:val="20"/>
              </w:rPr>
            </w:pPr>
            <w:hyperlink w:anchor="ITEM_6_EXHIBITS" w:history="1">
              <w:r>
                <w:rPr>
                  <w:rStyle w:val="a4"/>
                  <w:sz w:val="20"/>
                  <w:szCs w:val="20"/>
                </w:rPr>
                <w:t>Exhibits</w:t>
              </w:r>
            </w:hyperlink>
          </w:p>
        </w:tc>
        <w:tc>
          <w:tcPr>
            <w:tcW w:w="132" w:type="pct"/>
            <w:shd w:val="clear" w:color="auto" w:fill="FFFFFF"/>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52</w:t>
            </w:r>
          </w:p>
        </w:tc>
      </w:tr>
      <w:tr w:rsidR="00000000">
        <w:trPr>
          <w:divId w:val="538903587"/>
          <w:jc w:val="center"/>
        </w:trPr>
        <w:tc>
          <w:tcPr>
            <w:tcW w:w="400" w:type="pct"/>
            <w:shd w:val="clear" w:color="auto" w:fill="FFFFFF"/>
            <w:hideMark/>
          </w:tcPr>
          <w:p w:rsidR="00000000" w:rsidRDefault="00F20BDB">
            <w:pPr>
              <w:pStyle w:val="a3"/>
              <w:spacing w:before="0" w:beforeAutospacing="0" w:after="0" w:afterAutospacing="0"/>
              <w:rPr>
                <w:sz w:val="20"/>
                <w:szCs w:val="20"/>
              </w:rPr>
            </w:pPr>
            <w:hyperlink w:anchor="SIGNATURES" w:history="1">
              <w:r>
                <w:rPr>
                  <w:rStyle w:val="a4"/>
                  <w:sz w:val="20"/>
                  <w:szCs w:val="20"/>
                </w:rPr>
                <w:t>Signatures</w:t>
              </w:r>
            </w:hyperlink>
          </w:p>
        </w:tc>
        <w:tc>
          <w:tcPr>
            <w:tcW w:w="34"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132" w:type="pct"/>
            <w:shd w:val="clear" w:color="auto" w:fill="FFFFFF"/>
            <w:vAlign w:val="bottom"/>
            <w:hideMark/>
          </w:tcPr>
          <w:p w:rsidR="00000000" w:rsidRDefault="00F20BDB">
            <w:pPr>
              <w:pStyle w:val="a3"/>
              <w:spacing w:before="0" w:beforeAutospacing="0" w:after="0" w:afterAutospacing="0"/>
              <w:jc w:val="right"/>
              <w:rPr>
                <w:sz w:val="20"/>
                <w:szCs w:val="20"/>
              </w:rPr>
            </w:pPr>
            <w:r>
              <w:rPr>
                <w:sz w:val="20"/>
                <w:szCs w:val="20"/>
              </w:rPr>
              <w:t> </w:t>
            </w:r>
          </w:p>
        </w:tc>
      </w:tr>
      <w:tr w:rsidR="00000000">
        <w:trPr>
          <w:divId w:val="538903587"/>
          <w:jc w:val="center"/>
        </w:trPr>
        <w:tc>
          <w:tcPr>
            <w:tcW w:w="400"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EX-31.1</w:t>
            </w:r>
          </w:p>
        </w:tc>
        <w:tc>
          <w:tcPr>
            <w:tcW w:w="34"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rsidR="00000000" w:rsidRDefault="00F20BDB">
            <w:pPr>
              <w:pStyle w:val="a3"/>
              <w:spacing w:before="0" w:beforeAutospacing="0" w:after="0" w:afterAutospacing="0"/>
              <w:rPr>
                <w:color w:val="000000"/>
                <w:sz w:val="20"/>
                <w:szCs w:val="20"/>
              </w:rPr>
            </w:pPr>
            <w:r>
              <w:rPr>
                <w:color w:val="000000"/>
                <w:sz w:val="20"/>
                <w:szCs w:val="20"/>
              </w:rPr>
              <w:t>CERTIFICATION OF THE CEO PURSUANT TO SECTION 302</w:t>
            </w:r>
          </w:p>
        </w:tc>
        <w:tc>
          <w:tcPr>
            <w:tcW w:w="132" w:type="pct"/>
            <w:shd w:val="clear" w:color="auto" w:fill="FFFFFF"/>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r>
      <w:tr w:rsidR="00000000">
        <w:trPr>
          <w:divId w:val="538903587"/>
          <w:jc w:val="center"/>
        </w:trPr>
        <w:tc>
          <w:tcPr>
            <w:tcW w:w="400"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EX-31.2</w:t>
            </w:r>
          </w:p>
        </w:tc>
        <w:tc>
          <w:tcPr>
            <w:tcW w:w="34"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rsidR="00000000" w:rsidRDefault="00F20BDB">
            <w:pPr>
              <w:pStyle w:val="a3"/>
              <w:spacing w:before="0" w:beforeAutospacing="0" w:after="0" w:afterAutospacing="0"/>
              <w:rPr>
                <w:color w:val="000000"/>
                <w:sz w:val="20"/>
                <w:szCs w:val="20"/>
              </w:rPr>
            </w:pPr>
            <w:r>
              <w:rPr>
                <w:color w:val="000000"/>
                <w:sz w:val="20"/>
                <w:szCs w:val="20"/>
              </w:rPr>
              <w:t>CERTIFICATION OF THE CFO PURSUANT TO SECTION 302</w:t>
            </w:r>
          </w:p>
        </w:tc>
        <w:tc>
          <w:tcPr>
            <w:tcW w:w="132" w:type="pct"/>
            <w:shd w:val="clear" w:color="auto" w:fill="FFFFFF"/>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r>
      <w:tr w:rsidR="00000000">
        <w:trPr>
          <w:divId w:val="538903587"/>
          <w:jc w:val="center"/>
        </w:trPr>
        <w:tc>
          <w:tcPr>
            <w:tcW w:w="400"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EX-32.1</w:t>
            </w:r>
          </w:p>
        </w:tc>
        <w:tc>
          <w:tcPr>
            <w:tcW w:w="34" w:type="pct"/>
            <w:shd w:val="clear" w:color="auto" w:fill="FFFFFF"/>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rsidR="00000000" w:rsidRDefault="00F20BDB">
            <w:pPr>
              <w:pStyle w:val="a3"/>
              <w:spacing w:before="0" w:beforeAutospacing="0" w:after="0" w:afterAutospacing="0"/>
              <w:rPr>
                <w:color w:val="000000"/>
                <w:sz w:val="20"/>
                <w:szCs w:val="20"/>
              </w:rPr>
            </w:pPr>
            <w:r>
              <w:rPr>
                <w:color w:val="000000"/>
                <w:sz w:val="20"/>
                <w:szCs w:val="20"/>
              </w:rPr>
              <w:t>CERTIFICATION OF THE CEO AND CFO PURSUANT TO SECTION 906</w:t>
            </w:r>
          </w:p>
        </w:tc>
        <w:tc>
          <w:tcPr>
            <w:tcW w:w="132" w:type="pct"/>
            <w:shd w:val="clear" w:color="auto" w:fill="FFFFFF"/>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240" w:beforeAutospacing="0" w:after="0" w:afterAutospacing="0"/>
        <w:jc w:val="center"/>
        <w:rPr>
          <w:sz w:val="20"/>
          <w:szCs w:val="20"/>
        </w:rPr>
      </w:pPr>
      <w:r>
        <w:rPr>
          <w:sz w:val="20"/>
          <w:szCs w:val="20"/>
        </w:rPr>
        <w:t> </w:t>
      </w:r>
    </w:p>
    <w:p w:rsidR="00000000" w:rsidRDefault="00F20BDB">
      <w:pPr>
        <w:rPr>
          <w:rFonts w:eastAsia="Times New Roman"/>
        </w:rPr>
      </w:pPr>
      <w:r>
        <w:rPr>
          <w:rFonts w:eastAsia="Times New Roman"/>
        </w:rPr>
        <w:pict>
          <v:rect id="_x0000_i1026"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jc w:val="center"/>
        <w:rPr>
          <w:b/>
          <w:bCs/>
          <w:sz w:val="20"/>
          <w:szCs w:val="20"/>
        </w:rPr>
      </w:pPr>
      <w:bookmarkStart w:id="4" w:name="_AEIOULastRenderedPageBreakAEIOU3"/>
      <w:bookmarkEnd w:id="4"/>
      <w:r>
        <w:rPr>
          <w:b/>
          <w:bCs/>
          <w:sz w:val="20"/>
          <w:szCs w:val="20"/>
        </w:rPr>
        <w:t>SPECIAL NOTE REGARDING FORWARD-LOOKING STATEMENTS</w:t>
      </w:r>
    </w:p>
    <w:p w:rsidR="00000000" w:rsidRDefault="00F20BDB">
      <w:pPr>
        <w:pStyle w:val="a3"/>
        <w:spacing w:before="0" w:beforeAutospacing="0" w:after="0" w:afterAutospacing="0"/>
        <w:ind w:firstLine="556"/>
        <w:rPr>
          <w:sz w:val="20"/>
          <w:szCs w:val="20"/>
        </w:rPr>
      </w:pPr>
      <w:r>
        <w:rPr>
          <w:sz w:val="20"/>
          <w:szCs w:val="20"/>
        </w:rPr>
        <w:t>This Quarterly Report on Form 10-Q contains forward-looking statements within the meaning of Section 27A of the Securities Act of 1933, as amended, and Section 21E of the Securities Exchange Act of 1934, as amended, and these statements involve substantial</w:t>
      </w:r>
      <w:r>
        <w:rPr>
          <w:sz w:val="20"/>
          <w:szCs w:val="20"/>
        </w:rPr>
        <w:t xml:space="preserve"> risks and uncertainties. </w:t>
      </w:r>
      <w:r>
        <w:rPr>
          <w:color w:val="000000"/>
          <w:sz w:val="20"/>
          <w:szCs w:val="20"/>
        </w:rPr>
        <w:t xml:space="preserve">All statements other than statements of historical fact contained in this </w:t>
      </w:r>
      <w:r>
        <w:rPr>
          <w:sz w:val="20"/>
          <w:szCs w:val="20"/>
        </w:rPr>
        <w:t xml:space="preserve">Quarterly Report on Form 10-Q </w:t>
      </w:r>
      <w:r>
        <w:rPr>
          <w:color w:val="000000"/>
          <w:sz w:val="20"/>
          <w:szCs w:val="20"/>
        </w:rPr>
        <w:t>are forward-looking statements.  </w:t>
      </w:r>
      <w:r>
        <w:rPr>
          <w:sz w:val="20"/>
          <w:szCs w:val="20"/>
        </w:rPr>
        <w:t>Forward-looking statements generally relate to future events or our future financial or opera</w:t>
      </w:r>
      <w:r>
        <w:rPr>
          <w:sz w:val="20"/>
          <w:szCs w:val="20"/>
        </w:rPr>
        <w:t>ting performance. In some cases, you can identify forward-looking statements because they contain words such as “may,” “should,” “expects,” “plans,” “anticipates,” “could,” “intends,” “target,” “projects,” “contemplates,” “believes,” “estimates,” “predicts</w:t>
      </w:r>
      <w:r>
        <w:rPr>
          <w:sz w:val="20"/>
          <w:szCs w:val="20"/>
        </w:rPr>
        <w:t xml:space="preserve">,” “potential” or “continue” or the negative of these words or other similar terms or expressions that concern our expectations, strategy, plans or intentions. Forward-looking statements contained in this Quarterly Report on Form 10-Q include, but are not </w:t>
      </w:r>
      <w:r>
        <w:rPr>
          <w:sz w:val="20"/>
          <w:szCs w:val="20"/>
        </w:rPr>
        <w:t>limited to, statements about:</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lastRenderedPageBreak/>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our future financial performance, including our expectations regarding our revenue, cost of revenue, gross margin and operating expenses;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maintaining and expanding our customer base and increasing our average subscri</w:t>
            </w:r>
            <w:r>
              <w:rPr>
                <w:sz w:val="20"/>
                <w:szCs w:val="20"/>
              </w:rPr>
              <w:t>ption revenue per customer;</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the impact of competition in our industry and innovation by our competitors;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our anticipated growth and expectations regarding our ability to manage our future growth;</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 xml:space="preserve">our anticipated areas of investments, including sales and marketing, research and development, customer service and support, data center infrastructure and service capabilities, and expectations relating to such investments; </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our predictions about in</w:t>
            </w:r>
            <w:r>
              <w:rPr>
                <w:sz w:val="20"/>
                <w:szCs w:val="20"/>
              </w:rPr>
              <w:t>dustry and market trends;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 xml:space="preserve">our ability to anticipate and address the evolution of technology and the technological needs of our customers, to roll-out upgrades to our existing software platform and to develop new and enhanced applications to meet the </w:t>
            </w:r>
            <w:r>
              <w:rPr>
                <w:sz w:val="20"/>
                <w:szCs w:val="20"/>
              </w:rPr>
              <w:t>needs of our customers;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our ability to maintain our brand and inbound marketing, selling and servicing thought leadership position;</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the impact of our corporate culture and our ability to attract, hire and retain necessary qualified employees to expand our operations;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the anticipated effect on our business of litigation to which we are or may become a party;</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our ability to s</w:t>
            </w:r>
            <w:r>
              <w:rPr>
                <w:sz w:val="20"/>
                <w:szCs w:val="20"/>
              </w:rPr>
              <w:t>uccessfully acquire and integrate companies and assets;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the U.S. federal tax consequences due to dividends received as part of the move to a territorial tax system for foreign subsidiary earnings;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our plans regarding declaring or paying cash di</w:t>
            </w:r>
            <w:r>
              <w:rPr>
                <w:sz w:val="20"/>
                <w:szCs w:val="20"/>
              </w:rPr>
              <w:t>vidends in the foreseeable future; and</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our ability to stay abreast of new or modified laws and regulations that currently apply or become applicable to our business both in the United States and internationally.</w:t>
            </w:r>
          </w:p>
        </w:tc>
      </w:tr>
    </w:tbl>
    <w:p w:rsidR="00000000" w:rsidRDefault="00F20BDB">
      <w:pPr>
        <w:pStyle w:val="a3"/>
        <w:spacing w:before="120" w:beforeAutospacing="0" w:after="120" w:afterAutospacing="0"/>
        <w:ind w:firstLine="556"/>
        <w:rPr>
          <w:sz w:val="20"/>
          <w:szCs w:val="20"/>
        </w:rPr>
      </w:pPr>
      <w:r>
        <w:rPr>
          <w:sz w:val="20"/>
          <w:szCs w:val="20"/>
        </w:rPr>
        <w:t xml:space="preserve">We caution you that the foregoing list may not contain all of the forward-looking </w:t>
      </w:r>
      <w:r>
        <w:rPr>
          <w:sz w:val="20"/>
          <w:szCs w:val="20"/>
        </w:rPr>
        <w:t>statements made in this Quarterly Report on Form 10-Q.</w:t>
      </w:r>
    </w:p>
    <w:p w:rsidR="00000000" w:rsidRDefault="00F20BDB">
      <w:pPr>
        <w:pStyle w:val="a3"/>
        <w:spacing w:before="0" w:beforeAutospacing="0" w:after="120" w:afterAutospacing="0"/>
        <w:ind w:firstLine="556"/>
        <w:rPr>
          <w:sz w:val="20"/>
          <w:szCs w:val="20"/>
        </w:rPr>
      </w:pPr>
      <w:r>
        <w:rPr>
          <w:sz w:val="20"/>
          <w:szCs w:val="20"/>
        </w:rPr>
        <w:t>You should not rely upon forward-looking statements as predictions of future events. We have based the forward-looking statements contained in this Quarterly Report on Form 10-Q primarily on our curren</w:t>
      </w:r>
      <w:r>
        <w:rPr>
          <w:sz w:val="20"/>
          <w:szCs w:val="20"/>
        </w:rPr>
        <w:t>t expectations and projections about future events and trends that we believe may affect our business, financial condition, results of operations and prospects. The outcome of the events described in these forward-looking statements is subject to risks, un</w:t>
      </w:r>
      <w:r>
        <w:rPr>
          <w:sz w:val="20"/>
          <w:szCs w:val="20"/>
        </w:rPr>
        <w:t xml:space="preserve">certainties and other factors described in “Risk Factors” and elsewhere in this Quarterly Report on Form 10-Q. Moreover, we operate in a very competitive and rapidly changing environment. New risks and uncertainties emerge from time to time, and it is not </w:t>
      </w:r>
      <w:r>
        <w:rPr>
          <w:sz w:val="20"/>
          <w:szCs w:val="20"/>
        </w:rPr>
        <w:t>possible for us to predict all risks and uncertainties that could have an impact on the forward-looking statements contained in this Quarterly Report on Form 10-Q. The results, events and circumstances reflected in the forward-looking statements may not be</w:t>
      </w:r>
      <w:r>
        <w:rPr>
          <w:sz w:val="20"/>
          <w:szCs w:val="20"/>
        </w:rPr>
        <w:t xml:space="preserve"> achieved or occur, and actual results, events or circumstances could differ materially from those described in the forward-looking statements.</w:t>
      </w:r>
    </w:p>
    <w:p w:rsidR="00000000" w:rsidRDefault="00F20BDB">
      <w:pPr>
        <w:pStyle w:val="a3"/>
        <w:spacing w:before="0" w:beforeAutospacing="0" w:after="120" w:afterAutospacing="0"/>
        <w:ind w:firstLine="556"/>
        <w:rPr>
          <w:sz w:val="20"/>
          <w:szCs w:val="20"/>
        </w:rPr>
      </w:pPr>
      <w:r>
        <w:rPr>
          <w:sz w:val="20"/>
          <w:szCs w:val="20"/>
        </w:rPr>
        <w:t>The forward-looking statements made in this Quarterly Report on Form 10-Q relate only to events as of the date o</w:t>
      </w:r>
      <w:r>
        <w:rPr>
          <w:sz w:val="20"/>
          <w:szCs w:val="20"/>
        </w:rPr>
        <w:t>n which the statements are made. We undertake no obligation to update any forward-looking statements made in this Quarterly Report on Form 10-Q to reflect events or circumstances after the date of this Quarterly Report on Form 10-Q or to reflect new inform</w:t>
      </w:r>
      <w:r>
        <w:rPr>
          <w:sz w:val="20"/>
          <w:szCs w:val="20"/>
        </w:rPr>
        <w:t>ation or the occurrence of unanticipated events, except as required by law.</w:t>
      </w:r>
    </w:p>
    <w:p w:rsidR="00000000" w:rsidRDefault="00F20BDB">
      <w:pPr>
        <w:pStyle w:val="a3"/>
        <w:spacing w:before="0" w:beforeAutospacing="0" w:after="120" w:afterAutospacing="0"/>
        <w:ind w:firstLine="556"/>
        <w:rPr>
          <w:sz w:val="20"/>
          <w:szCs w:val="20"/>
        </w:rPr>
      </w:pPr>
      <w:r>
        <w:rPr>
          <w:sz w:val="20"/>
          <w:szCs w:val="20"/>
        </w:rPr>
        <w:t>We may not actually achieve the plans, intentions or expectations disclosed in our forward-looking statements and you should not place undue reliance on our forward-looking stateme</w:t>
      </w:r>
      <w:r>
        <w:rPr>
          <w:sz w:val="20"/>
          <w:szCs w:val="20"/>
        </w:rPr>
        <w:t>nts. Our forward-looking statements do not reflect the potential impact of any future acquisitions, mergers, dispositions, joint ventures or investments we may make.</w:t>
      </w:r>
    </w:p>
    <w:p w:rsidR="00000000" w:rsidRDefault="00F20BDB">
      <w:pPr>
        <w:pStyle w:val="a3"/>
        <w:spacing w:before="240" w:beforeAutospacing="0" w:after="0" w:afterAutospacing="0"/>
        <w:jc w:val="center"/>
        <w:rPr>
          <w:sz w:val="20"/>
          <w:szCs w:val="20"/>
        </w:rPr>
      </w:pPr>
      <w:r>
        <w:rPr>
          <w:sz w:val="20"/>
          <w:szCs w:val="20"/>
        </w:rPr>
        <w:t>3</w:t>
      </w:r>
    </w:p>
    <w:p w:rsidR="00000000" w:rsidRDefault="00F20BDB">
      <w:pPr>
        <w:rPr>
          <w:rFonts w:eastAsia="Times New Roman"/>
        </w:rPr>
      </w:pPr>
      <w:r>
        <w:rPr>
          <w:rFonts w:eastAsia="Times New Roman"/>
        </w:rPr>
        <w:pict>
          <v:rect id="_x0000_i1027"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ind w:firstLine="556"/>
        <w:rPr>
          <w:color w:val="000000"/>
          <w:sz w:val="20"/>
          <w:szCs w:val="20"/>
        </w:rPr>
      </w:pPr>
      <w:bookmarkStart w:id="5" w:name="_AEIOULastRenderedPageBreakAEIOU4"/>
      <w:bookmarkEnd w:id="5"/>
      <w:r>
        <w:rPr>
          <w:color w:val="000000"/>
          <w:sz w:val="20"/>
          <w:szCs w:val="20"/>
        </w:rPr>
        <w:lastRenderedPageBreak/>
        <w:t>In this Quarterly Report on Form 10-Q, the terms “HubSpot,” “we,” “us,” and “our” refer to HubSpot, Inc. and its subsidiaries, unless the context indicates otherw</w:t>
      </w:r>
      <w:r>
        <w:rPr>
          <w:color w:val="000000"/>
          <w:sz w:val="20"/>
          <w:szCs w:val="20"/>
        </w:rPr>
        <w:t>ise.</w:t>
      </w:r>
    </w:p>
    <w:p w:rsidR="00000000" w:rsidRDefault="00F20BDB">
      <w:pPr>
        <w:pStyle w:val="a3"/>
        <w:spacing w:before="240" w:beforeAutospacing="0" w:after="0" w:afterAutospacing="0"/>
        <w:jc w:val="center"/>
        <w:rPr>
          <w:sz w:val="20"/>
          <w:szCs w:val="20"/>
        </w:rPr>
      </w:pPr>
      <w:r>
        <w:rPr>
          <w:sz w:val="20"/>
          <w:szCs w:val="20"/>
        </w:rPr>
        <w:t>4</w:t>
      </w:r>
    </w:p>
    <w:p w:rsidR="00000000" w:rsidRDefault="00F20BDB">
      <w:pPr>
        <w:rPr>
          <w:rFonts w:eastAsia="Times New Roman"/>
        </w:rPr>
      </w:pPr>
      <w:r>
        <w:rPr>
          <w:rFonts w:eastAsia="Times New Roman"/>
        </w:rPr>
        <w:pict>
          <v:rect id="_x0000_i1028"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jc w:val="center"/>
        <w:rPr>
          <w:b/>
          <w:bCs/>
          <w:sz w:val="20"/>
          <w:szCs w:val="20"/>
        </w:rPr>
      </w:pPr>
      <w:bookmarkStart w:id="6" w:name="_AEIOULastRenderedPageBreakAEIOU5"/>
      <w:bookmarkStart w:id="7" w:name="PART_I_FINANCIAL_INFORMATION"/>
      <w:bookmarkEnd w:id="6"/>
      <w:bookmarkEnd w:id="7"/>
      <w:r>
        <w:rPr>
          <w:b/>
          <w:bCs/>
          <w:sz w:val="20"/>
          <w:szCs w:val="20"/>
        </w:rPr>
        <w:t>PART I — Financial Information</w:t>
      </w:r>
    </w:p>
    <w:p w:rsidR="00000000" w:rsidRDefault="00F20BDB">
      <w:pPr>
        <w:pStyle w:val="a3"/>
        <w:spacing w:before="0" w:beforeAutospacing="0" w:after="0" w:afterAutospacing="0"/>
        <w:rPr>
          <w:sz w:val="12"/>
          <w:szCs w:val="12"/>
        </w:rPr>
      </w:pPr>
      <w:r>
        <w:rPr>
          <w:sz w:val="12"/>
          <w:szCs w:val="12"/>
        </w:rPr>
        <w:t> </w:t>
      </w:r>
    </w:p>
    <w:p w:rsidR="00000000" w:rsidRDefault="00F20BD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753"/>
        <w:gridCol w:w="7553"/>
      </w:tblGrid>
      <w:tr w:rsidR="00000000">
        <w:tc>
          <w:tcPr>
            <w:tcW w:w="453" w:type="pct"/>
            <w:noWrap/>
            <w:hideMark/>
          </w:tcPr>
          <w:p w:rsidR="00000000" w:rsidRDefault="00F20BDB">
            <w:pPr>
              <w:pStyle w:val="a3"/>
              <w:spacing w:before="0" w:beforeAutospacing="0" w:after="0" w:afterAutospacing="0"/>
              <w:rPr>
                <w:b/>
                <w:bCs/>
                <w:sz w:val="20"/>
                <w:szCs w:val="20"/>
              </w:rPr>
            </w:pPr>
            <w:r>
              <w:rPr>
                <w:b/>
                <w:bCs/>
                <w:sz w:val="20"/>
                <w:szCs w:val="20"/>
              </w:rPr>
              <w:t>Item 1.</w:t>
            </w:r>
          </w:p>
        </w:tc>
        <w:tc>
          <w:tcPr>
            <w:tcW w:w="0" w:type="auto"/>
            <w:hideMark/>
          </w:tcPr>
          <w:p w:rsidR="00000000" w:rsidRDefault="00F20BDB">
            <w:pPr>
              <w:pStyle w:val="a3"/>
              <w:spacing w:before="0" w:beforeAutospacing="0" w:after="0" w:afterAutospacing="0"/>
              <w:rPr>
                <w:b/>
                <w:bCs/>
                <w:sz w:val="20"/>
                <w:szCs w:val="20"/>
              </w:rPr>
            </w:pPr>
            <w:bookmarkStart w:id="8" w:name="ITEM_1_FINANCIAL_STATEMENTS"/>
            <w:bookmarkEnd w:id="8"/>
            <w:r>
              <w:rPr>
                <w:b/>
                <w:bCs/>
                <w:sz w:val="20"/>
                <w:szCs w:val="20"/>
              </w:rPr>
              <w:t>Financial Statements</w:t>
            </w:r>
          </w:p>
        </w:tc>
      </w:tr>
    </w:tbl>
    <w:p w:rsidR="00000000" w:rsidRDefault="00F20BDB">
      <w:pPr>
        <w:pStyle w:val="a3"/>
        <w:spacing w:before="240" w:beforeAutospacing="0" w:after="0" w:afterAutospacing="0"/>
        <w:jc w:val="center"/>
        <w:rPr>
          <w:b/>
          <w:bCs/>
          <w:sz w:val="20"/>
          <w:szCs w:val="20"/>
        </w:rPr>
      </w:pPr>
      <w:r>
        <w:rPr>
          <w:b/>
          <w:bCs/>
          <w:sz w:val="20"/>
          <w:szCs w:val="20"/>
        </w:rPr>
        <w:t>HubSpot, Inc.</w:t>
      </w:r>
    </w:p>
    <w:p w:rsidR="00000000" w:rsidRDefault="00F20BDB">
      <w:pPr>
        <w:pStyle w:val="a3"/>
        <w:spacing w:before="0" w:beforeAutospacing="0" w:after="0" w:afterAutospacing="0"/>
        <w:jc w:val="center"/>
        <w:rPr>
          <w:b/>
          <w:bCs/>
          <w:sz w:val="20"/>
          <w:szCs w:val="20"/>
        </w:rPr>
      </w:pPr>
      <w:bookmarkStart w:id="9" w:name="UNAUDITED_CONSOLIDATED_BALANCE_SHEETS"/>
      <w:bookmarkEnd w:id="9"/>
      <w:r>
        <w:rPr>
          <w:b/>
          <w:bCs/>
          <w:sz w:val="20"/>
          <w:szCs w:val="20"/>
        </w:rPr>
        <w:t>Unaudited Consolidated Balance Sheets</w:t>
      </w:r>
    </w:p>
    <w:p w:rsidR="00000000" w:rsidRDefault="00F20BDB">
      <w:pPr>
        <w:pStyle w:val="a3"/>
        <w:spacing w:before="0" w:beforeAutospacing="0" w:after="0" w:afterAutospacing="0"/>
        <w:jc w:val="center"/>
        <w:rPr>
          <w:b/>
          <w:bCs/>
          <w:sz w:val="20"/>
          <w:szCs w:val="20"/>
        </w:rPr>
      </w:pPr>
      <w:r>
        <w:rPr>
          <w:b/>
          <w:bCs/>
          <w:sz w:val="20"/>
          <w:szCs w:val="20"/>
        </w:rPr>
        <w:t>(in thousands)</w:t>
      </w:r>
    </w:p>
    <w:p w:rsidR="00000000" w:rsidRDefault="00F20BDB">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51"/>
        <w:gridCol w:w="124"/>
        <w:gridCol w:w="115"/>
        <w:gridCol w:w="1059"/>
        <w:gridCol w:w="82"/>
        <w:gridCol w:w="117"/>
        <w:gridCol w:w="116"/>
        <w:gridCol w:w="1060"/>
        <w:gridCol w:w="82"/>
      </w:tblGrid>
      <w:tr w:rsidR="00000000">
        <w:trPr>
          <w:divId w:val="99503622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99503622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995036229"/>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20"/>
                <w:szCs w:val="20"/>
              </w:rPr>
            </w:pPr>
            <w:r>
              <w:rPr>
                <w:b/>
                <w:bCs/>
                <w:color w:val="000000"/>
                <w:sz w:val="20"/>
                <w:szCs w:val="20"/>
              </w:rPr>
              <w:t>Assets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Current assets: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Cash and cash equivalents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285,126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111,489</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Short-term investments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683,994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480,761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Accounts receivable — net of allowance for doubtful accounts of $1,464 and $1,317</w:t>
            </w:r>
          </w:p>
          <w:p w:rsidR="00000000" w:rsidRDefault="00F20BDB">
            <w:pPr>
              <w:pStyle w:val="a3"/>
              <w:spacing w:before="0" w:beforeAutospacing="0" w:after="0" w:afterAutospacing="0"/>
              <w:ind w:left="274"/>
              <w:rPr>
                <w:color w:val="000000"/>
                <w:sz w:val="20"/>
                <w:szCs w:val="20"/>
              </w:rPr>
            </w:pPr>
            <w:r>
              <w:rPr>
                <w:color w:val="000000"/>
                <w:sz w:val="20"/>
                <w:szCs w:val="20"/>
              </w:rPr>
              <w:t xml:space="preserve">   </w:t>
            </w:r>
            <w:r>
              <w:rPr>
                <w:color w:val="000000"/>
                <w:sz w:val="20"/>
                <w:szCs w:val="20"/>
              </w:rPr>
              <w:t>at March 31, 2019 and December 31, 2018, respectively</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69,249</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77,100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Deferred commission expense</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26,370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23,664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Restricted cash</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5,569</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5,175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Prepaid expenses and other current assets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13,143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14,229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Total current assets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1,083,451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712,418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Long-term investments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14,548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11,450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Property and equipment, net</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54,995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52,468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Capitalized software development costs, net</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13,365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12,746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Right-of-use assets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159,096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Deferred commission expense, net of current portion</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18,535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18,114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Other assets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7,066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6,888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Intangible assets, net</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4,119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4,919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Goodwill</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14,950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14,950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20"/>
                <w:szCs w:val="20"/>
              </w:rPr>
            </w:pPr>
            <w:r>
              <w:rPr>
                <w:b/>
                <w:bCs/>
                <w:color w:val="000000"/>
                <w:sz w:val="20"/>
                <w:szCs w:val="20"/>
              </w:rPr>
              <w:t>Total assets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1,370,125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833,953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20"/>
                <w:szCs w:val="20"/>
              </w:rPr>
            </w:pPr>
            <w:r>
              <w:rPr>
                <w:b/>
                <w:bCs/>
                <w:color w:val="000000"/>
                <w:sz w:val="20"/>
                <w:szCs w:val="20"/>
              </w:rPr>
              <w:t>Liabilities and stockholders’ equity</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Current liabilities: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Accounts payable</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14,859</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7,810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Accrued compensation costs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21,360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23,589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Accrued expenses and other current liabilities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25,284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22,305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Lease liabilities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15,928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Deferred revenue</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191,193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183,305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Total current liabilities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268,624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237,009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Lease liabilities, net of current portion</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171,200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Deferred rent, net of current portion</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26,445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Deferred revenue, net of current portion</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2,263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2,179</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Other long-term liabilities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4,993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4,897</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Convertible senior notes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324,042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318,782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Total liabilities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771,122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589,312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Commitments and contingencies (Note 10)</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Stockholders’ equity:</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Common stock</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Additional paid-in capital</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955,045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589,708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Accumulated other comprehensive loss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(601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(723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99503622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Accumulated deficit</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(355,484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(344,384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995036229"/>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lastRenderedPageBreak/>
              <w:t>Total stockholders’ equity</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599,003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244,641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9503622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20"/>
                <w:szCs w:val="20"/>
              </w:rPr>
            </w:pPr>
            <w:r>
              <w:rPr>
                <w:b/>
                <w:bCs/>
                <w:color w:val="000000"/>
                <w:sz w:val="20"/>
                <w:szCs w:val="20"/>
              </w:rPr>
              <w:t>Total liabilities and stockholders’ equity</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1,370,125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833,953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rPr>
          <w:sz w:val="20"/>
          <w:szCs w:val="20"/>
        </w:rPr>
      </w:pPr>
      <w:r>
        <w:rPr>
          <w:sz w:val="20"/>
          <w:szCs w:val="20"/>
        </w:rPr>
        <w:t>The accompanying notes are an integral part of the consolidated financial statements.</w:t>
      </w:r>
    </w:p>
    <w:p w:rsidR="00000000" w:rsidRDefault="00F20BDB">
      <w:pPr>
        <w:pStyle w:val="a3"/>
        <w:spacing w:before="240" w:beforeAutospacing="0" w:after="0" w:afterAutospacing="0"/>
        <w:jc w:val="center"/>
        <w:rPr>
          <w:sz w:val="20"/>
          <w:szCs w:val="20"/>
        </w:rPr>
      </w:pPr>
      <w:r>
        <w:rPr>
          <w:sz w:val="20"/>
          <w:szCs w:val="20"/>
        </w:rPr>
        <w:t>5</w:t>
      </w:r>
    </w:p>
    <w:p w:rsidR="00000000" w:rsidRDefault="00F20BDB">
      <w:pPr>
        <w:rPr>
          <w:rFonts w:eastAsia="Times New Roman"/>
        </w:rPr>
      </w:pPr>
      <w:r>
        <w:rPr>
          <w:rFonts w:eastAsia="Times New Roman"/>
        </w:rPr>
        <w:pict>
          <v:rect id="_x0000_i1029"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jc w:val="center"/>
        <w:rPr>
          <w:b/>
          <w:bCs/>
          <w:sz w:val="20"/>
          <w:szCs w:val="20"/>
        </w:rPr>
      </w:pPr>
      <w:bookmarkStart w:id="10" w:name="_AEIOULastRenderedPageBreakAEIOU6"/>
      <w:bookmarkEnd w:id="10"/>
      <w:r>
        <w:rPr>
          <w:b/>
          <w:bCs/>
          <w:sz w:val="20"/>
          <w:szCs w:val="20"/>
        </w:rPr>
        <w:t>HubSpot, Inc.</w:t>
      </w:r>
    </w:p>
    <w:p w:rsidR="00000000" w:rsidRDefault="00F20BDB">
      <w:pPr>
        <w:pStyle w:val="a3"/>
        <w:spacing w:before="0" w:beforeAutospacing="0" w:after="0" w:afterAutospacing="0"/>
        <w:jc w:val="center"/>
        <w:rPr>
          <w:b/>
          <w:bCs/>
          <w:sz w:val="20"/>
          <w:szCs w:val="20"/>
        </w:rPr>
      </w:pPr>
      <w:bookmarkStart w:id="11" w:name="UNAUDITED_CONSOLIDATED_STATEMENTS_OPERAT"/>
      <w:bookmarkEnd w:id="11"/>
      <w:r>
        <w:rPr>
          <w:b/>
          <w:bCs/>
          <w:sz w:val="20"/>
          <w:szCs w:val="20"/>
        </w:rPr>
        <w:t>Unaudited Consolidated Statements of Operations</w:t>
      </w:r>
    </w:p>
    <w:p w:rsidR="00000000" w:rsidRDefault="00F20BDB">
      <w:pPr>
        <w:pStyle w:val="a3"/>
        <w:spacing w:before="0" w:beforeAutospacing="0" w:after="0" w:afterAutospacing="0"/>
        <w:jc w:val="center"/>
        <w:rPr>
          <w:b/>
          <w:bCs/>
          <w:sz w:val="20"/>
          <w:szCs w:val="20"/>
        </w:rPr>
      </w:pPr>
      <w:r>
        <w:rPr>
          <w:b/>
          <w:bCs/>
          <w:sz w:val="20"/>
          <w:szCs w:val="20"/>
        </w:rPr>
        <w:t>(in thousands, except per share data)</w:t>
      </w:r>
    </w:p>
    <w:p w:rsidR="00000000" w:rsidRDefault="00F20BDB">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642"/>
        <w:gridCol w:w="115"/>
        <w:gridCol w:w="1077"/>
        <w:gridCol w:w="82"/>
        <w:gridCol w:w="114"/>
        <w:gridCol w:w="115"/>
        <w:gridCol w:w="1079"/>
        <w:gridCol w:w="82"/>
      </w:tblGrid>
      <w:tr w:rsidR="00000000">
        <w:trPr>
          <w:divId w:val="1421873451"/>
          <w:jc w:val="center"/>
        </w:trPr>
        <w:tc>
          <w:tcPr>
            <w:tcW w:w="340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15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For the Three Months Ended March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421873451"/>
          <w:jc w:val="center"/>
        </w:trPr>
        <w:tc>
          <w:tcPr>
            <w:tcW w:w="340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7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2"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421873451"/>
          <w:jc w:val="center"/>
        </w:trPr>
        <w:tc>
          <w:tcPr>
            <w:tcW w:w="340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Revenues: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421873451"/>
          <w:jc w:val="center"/>
        </w:trPr>
        <w:tc>
          <w:tcPr>
            <w:tcW w:w="340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Subscription</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56"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144,226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56"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108,602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421873451"/>
          <w:jc w:val="center"/>
        </w:trPr>
        <w:tc>
          <w:tcPr>
            <w:tcW w:w="340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Professional services and other</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7,572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5,954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421873451"/>
          <w:jc w:val="center"/>
        </w:trPr>
        <w:tc>
          <w:tcPr>
            <w:tcW w:w="340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821"/>
              <w:rPr>
                <w:color w:val="000000"/>
                <w:sz w:val="20"/>
                <w:szCs w:val="20"/>
              </w:rPr>
            </w:pPr>
            <w:r>
              <w:rPr>
                <w:color w:val="000000"/>
                <w:sz w:val="20"/>
                <w:szCs w:val="20"/>
              </w:rPr>
              <w:t>Total revenue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151,798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114,556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421873451"/>
          <w:jc w:val="center"/>
        </w:trPr>
        <w:tc>
          <w:tcPr>
            <w:tcW w:w="340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Cost of revenues: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421873451"/>
          <w:jc w:val="center"/>
        </w:trPr>
        <w:tc>
          <w:tcPr>
            <w:tcW w:w="340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Subscription</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21,301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15,235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421873451"/>
          <w:jc w:val="center"/>
        </w:trPr>
        <w:tc>
          <w:tcPr>
            <w:tcW w:w="340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Professional services and other</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8,277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7,142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421873451"/>
          <w:jc w:val="center"/>
        </w:trPr>
        <w:tc>
          <w:tcPr>
            <w:tcW w:w="340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821"/>
              <w:rPr>
                <w:color w:val="000000"/>
                <w:sz w:val="20"/>
                <w:szCs w:val="20"/>
              </w:rPr>
            </w:pPr>
            <w:r>
              <w:rPr>
                <w:color w:val="000000"/>
                <w:sz w:val="20"/>
                <w:szCs w:val="20"/>
              </w:rPr>
              <w:t>Total cost of revenues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29,578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22,377</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421873451"/>
          <w:jc w:val="center"/>
        </w:trPr>
        <w:tc>
          <w:tcPr>
            <w:tcW w:w="340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Gross profit</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122,220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92,179</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421873451"/>
          <w:jc w:val="center"/>
        </w:trPr>
        <w:tc>
          <w:tcPr>
            <w:tcW w:w="340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Operating expenses: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421873451"/>
          <w:jc w:val="center"/>
        </w:trPr>
        <w:tc>
          <w:tcPr>
            <w:tcW w:w="340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Research and development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35,177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26,352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421873451"/>
          <w:jc w:val="center"/>
        </w:trPr>
        <w:tc>
          <w:tcPr>
            <w:tcW w:w="340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Sales and marketing</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74,905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59,910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421873451"/>
          <w:jc w:val="center"/>
        </w:trPr>
        <w:tc>
          <w:tcPr>
            <w:tcW w:w="340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21,174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17,241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421873451"/>
          <w:jc w:val="center"/>
        </w:trPr>
        <w:tc>
          <w:tcPr>
            <w:tcW w:w="340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547"/>
              <w:rPr>
                <w:color w:val="000000"/>
                <w:sz w:val="20"/>
                <w:szCs w:val="20"/>
              </w:rPr>
            </w:pPr>
            <w:r>
              <w:rPr>
                <w:color w:val="000000"/>
                <w:sz w:val="20"/>
                <w:szCs w:val="20"/>
              </w:rPr>
              <w:t>Total operating expenses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131,256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103,503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421873451"/>
          <w:jc w:val="center"/>
        </w:trPr>
        <w:tc>
          <w:tcPr>
            <w:tcW w:w="340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Loss from operations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(9,036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(11,324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421873451"/>
          <w:jc w:val="center"/>
        </w:trPr>
        <w:tc>
          <w:tcPr>
            <w:tcW w:w="340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Other expense:</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421873451"/>
          <w:jc w:val="center"/>
        </w:trPr>
        <w:tc>
          <w:tcPr>
            <w:tcW w:w="340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Interest income</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4,174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1,824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421873451"/>
          <w:jc w:val="center"/>
        </w:trPr>
        <w:tc>
          <w:tcPr>
            <w:tcW w:w="340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Interest expense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(5,513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(5,174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421873451"/>
          <w:jc w:val="center"/>
        </w:trPr>
        <w:tc>
          <w:tcPr>
            <w:tcW w:w="340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Other expense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(283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421873451"/>
          <w:jc w:val="center"/>
        </w:trPr>
        <w:tc>
          <w:tcPr>
            <w:tcW w:w="340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547"/>
              <w:rPr>
                <w:color w:val="000000"/>
                <w:sz w:val="20"/>
                <w:szCs w:val="20"/>
              </w:rPr>
            </w:pPr>
            <w:r>
              <w:rPr>
                <w:color w:val="000000"/>
                <w:sz w:val="20"/>
                <w:szCs w:val="20"/>
              </w:rPr>
              <w:t>Total other expense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(1,351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(3,633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421873451"/>
          <w:jc w:val="center"/>
        </w:trPr>
        <w:tc>
          <w:tcPr>
            <w:tcW w:w="340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Loss before income tax expense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(10,387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(14,957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421873451"/>
          <w:jc w:val="center"/>
        </w:trPr>
        <w:tc>
          <w:tcPr>
            <w:tcW w:w="340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547"/>
              <w:rPr>
                <w:color w:val="000000"/>
                <w:sz w:val="20"/>
                <w:szCs w:val="20"/>
              </w:rPr>
            </w:pPr>
            <w:r>
              <w:rPr>
                <w:color w:val="000000"/>
                <w:sz w:val="20"/>
                <w:szCs w:val="20"/>
              </w:rPr>
              <w:t>Income tax expense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(713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(491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421873451"/>
          <w:jc w:val="center"/>
        </w:trPr>
        <w:tc>
          <w:tcPr>
            <w:tcW w:w="340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Net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(11,100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(15,448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421873451"/>
          <w:jc w:val="center"/>
        </w:trPr>
        <w:tc>
          <w:tcPr>
            <w:tcW w:w="340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Net loss per share, basic and diluted</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5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(0.27</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5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(0.41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421873451"/>
          <w:jc w:val="center"/>
        </w:trPr>
        <w:tc>
          <w:tcPr>
            <w:tcW w:w="340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Weighted average common shares used in computing basic</w:t>
            </w:r>
          </w:p>
          <w:p w:rsidR="00000000" w:rsidRDefault="00F20BDB">
            <w:pPr>
              <w:pStyle w:val="a3"/>
              <w:spacing w:before="0" w:beforeAutospacing="0" w:after="0" w:afterAutospacing="0"/>
              <w:rPr>
                <w:color w:val="000000"/>
                <w:sz w:val="20"/>
                <w:szCs w:val="20"/>
              </w:rPr>
            </w:pPr>
            <w:r>
              <w:rPr>
                <w:color w:val="000000"/>
                <w:sz w:val="20"/>
                <w:szCs w:val="20"/>
              </w:rPr>
              <w:t>   and diluted net loss per share:</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40,568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37,832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rPr>
          <w:sz w:val="20"/>
          <w:szCs w:val="20"/>
        </w:rPr>
      </w:pPr>
      <w:r>
        <w:rPr>
          <w:sz w:val="20"/>
          <w:szCs w:val="20"/>
        </w:rPr>
        <w:t>The accompanying notes are an integral part of the consolidated financial statements.</w:t>
      </w:r>
    </w:p>
    <w:p w:rsidR="00000000" w:rsidRDefault="00F20BDB">
      <w:pPr>
        <w:pStyle w:val="a3"/>
        <w:spacing w:before="240" w:beforeAutospacing="0" w:after="0" w:afterAutospacing="0"/>
        <w:jc w:val="center"/>
        <w:rPr>
          <w:sz w:val="20"/>
          <w:szCs w:val="20"/>
        </w:rPr>
      </w:pPr>
      <w:r>
        <w:rPr>
          <w:sz w:val="20"/>
          <w:szCs w:val="20"/>
        </w:rPr>
        <w:t>6</w:t>
      </w:r>
    </w:p>
    <w:p w:rsidR="00000000" w:rsidRDefault="00F20BDB">
      <w:pPr>
        <w:rPr>
          <w:rFonts w:eastAsia="Times New Roman"/>
        </w:rPr>
      </w:pPr>
      <w:r>
        <w:rPr>
          <w:rFonts w:eastAsia="Times New Roman"/>
        </w:rPr>
        <w:pict>
          <v:rect id="_x0000_i1030"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jc w:val="center"/>
        <w:rPr>
          <w:b/>
          <w:bCs/>
          <w:sz w:val="20"/>
          <w:szCs w:val="20"/>
        </w:rPr>
      </w:pPr>
      <w:bookmarkStart w:id="12" w:name="_AEIOULastRenderedPageBreakAEIOU7"/>
      <w:bookmarkEnd w:id="12"/>
      <w:r>
        <w:rPr>
          <w:b/>
          <w:bCs/>
          <w:sz w:val="20"/>
          <w:szCs w:val="20"/>
        </w:rPr>
        <w:t>HubSpot, Inc.</w:t>
      </w:r>
    </w:p>
    <w:p w:rsidR="00000000" w:rsidRDefault="00F20BDB">
      <w:pPr>
        <w:pStyle w:val="a3"/>
        <w:spacing w:before="0" w:beforeAutospacing="0" w:after="0" w:afterAutospacing="0"/>
        <w:jc w:val="center"/>
        <w:rPr>
          <w:b/>
          <w:bCs/>
          <w:sz w:val="20"/>
          <w:szCs w:val="20"/>
        </w:rPr>
      </w:pPr>
      <w:bookmarkStart w:id="13" w:name="UNAUDITED_CONSOLIDATED_STATEMENTS_COMPRE"/>
      <w:bookmarkEnd w:id="13"/>
      <w:r>
        <w:rPr>
          <w:b/>
          <w:bCs/>
          <w:sz w:val="20"/>
          <w:szCs w:val="20"/>
        </w:rPr>
        <w:t>Unaudited Consolidated Statements of Comprehensive Loss</w:t>
      </w:r>
    </w:p>
    <w:p w:rsidR="00000000" w:rsidRDefault="00F20BDB">
      <w:pPr>
        <w:pStyle w:val="a3"/>
        <w:spacing w:before="0" w:beforeAutospacing="0" w:after="0" w:afterAutospacing="0"/>
        <w:jc w:val="center"/>
        <w:rPr>
          <w:b/>
          <w:bCs/>
          <w:sz w:val="20"/>
          <w:szCs w:val="20"/>
        </w:rPr>
      </w:pPr>
      <w:r>
        <w:rPr>
          <w:b/>
          <w:bCs/>
          <w:sz w:val="20"/>
          <w:szCs w:val="20"/>
        </w:rPr>
        <w:t>(in thousands)</w:t>
      </w:r>
    </w:p>
    <w:p w:rsidR="00000000" w:rsidRDefault="00F20BDB">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641"/>
        <w:gridCol w:w="115"/>
        <w:gridCol w:w="1077"/>
        <w:gridCol w:w="82"/>
        <w:gridCol w:w="115"/>
        <w:gridCol w:w="115"/>
        <w:gridCol w:w="1079"/>
        <w:gridCol w:w="82"/>
      </w:tblGrid>
      <w:tr w:rsidR="00000000">
        <w:trPr>
          <w:divId w:val="433670834"/>
          <w:jc w:val="center"/>
        </w:trPr>
        <w:tc>
          <w:tcPr>
            <w:tcW w:w="340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154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For the Three Months Ended March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433670834"/>
          <w:jc w:val="center"/>
        </w:trPr>
        <w:tc>
          <w:tcPr>
            <w:tcW w:w="340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7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3"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433670834"/>
          <w:jc w:val="center"/>
        </w:trPr>
        <w:tc>
          <w:tcPr>
            <w:tcW w:w="340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Net loss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(11,100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(15,448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433670834"/>
          <w:jc w:val="center"/>
        </w:trPr>
        <w:tc>
          <w:tcPr>
            <w:tcW w:w="340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Other comprehensive loss: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433670834"/>
          <w:jc w:val="center"/>
        </w:trPr>
        <w:tc>
          <w:tcPr>
            <w:tcW w:w="340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Foreign currency translation adjustment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(304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298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433670834"/>
          <w:jc w:val="center"/>
        </w:trPr>
        <w:tc>
          <w:tcPr>
            <w:tcW w:w="340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lastRenderedPageBreak/>
              <w:t>Changes in unrealized gain (loss) on investments, net of income taxes of $113 thousand for the three months ended March 31, 2019 and $0 for the three months ended March 31, 2018, respectively</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426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(379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433670834"/>
          <w:jc w:val="center"/>
        </w:trPr>
        <w:tc>
          <w:tcPr>
            <w:tcW w:w="340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Comprehensive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(10,978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(15,529</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rPr>
          <w:sz w:val="20"/>
          <w:szCs w:val="20"/>
        </w:rPr>
      </w:pPr>
      <w:r>
        <w:rPr>
          <w:sz w:val="20"/>
          <w:szCs w:val="20"/>
        </w:rPr>
        <w:t>The accompanying notes are an integral part of the consolidated financial statements.</w:t>
      </w:r>
    </w:p>
    <w:p w:rsidR="00000000" w:rsidRDefault="00F20BDB">
      <w:pPr>
        <w:pStyle w:val="a3"/>
        <w:spacing w:before="240" w:beforeAutospacing="0" w:after="0" w:afterAutospacing="0"/>
        <w:jc w:val="center"/>
        <w:rPr>
          <w:sz w:val="20"/>
          <w:szCs w:val="20"/>
        </w:rPr>
      </w:pPr>
      <w:r>
        <w:rPr>
          <w:sz w:val="20"/>
          <w:szCs w:val="20"/>
        </w:rPr>
        <w:t>7</w:t>
      </w:r>
    </w:p>
    <w:p w:rsidR="00000000" w:rsidRDefault="00F20BDB">
      <w:pPr>
        <w:rPr>
          <w:rFonts w:eastAsia="Times New Roman"/>
        </w:rPr>
      </w:pPr>
      <w:r>
        <w:rPr>
          <w:rFonts w:eastAsia="Times New Roman"/>
        </w:rPr>
        <w:pict>
          <v:rect id="_x0000_i1031"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jc w:val="center"/>
        <w:rPr>
          <w:b/>
          <w:bCs/>
          <w:sz w:val="20"/>
          <w:szCs w:val="20"/>
        </w:rPr>
      </w:pPr>
      <w:bookmarkStart w:id="14" w:name="_AEIOULastRenderedPageBreakAEIOU8"/>
      <w:bookmarkEnd w:id="14"/>
      <w:r>
        <w:rPr>
          <w:b/>
          <w:bCs/>
          <w:sz w:val="20"/>
          <w:szCs w:val="20"/>
        </w:rPr>
        <w:t>HubSpot, Inc.</w:t>
      </w:r>
    </w:p>
    <w:p w:rsidR="00000000" w:rsidRDefault="00F20BDB">
      <w:pPr>
        <w:pStyle w:val="a3"/>
        <w:spacing w:before="0" w:beforeAutospacing="0" w:after="0" w:afterAutospacing="0"/>
        <w:jc w:val="center"/>
        <w:rPr>
          <w:b/>
          <w:bCs/>
          <w:sz w:val="20"/>
          <w:szCs w:val="20"/>
        </w:rPr>
      </w:pPr>
      <w:bookmarkStart w:id="15" w:name="UNAUDITED_CONSOLIDATED_STATEMENTS_CASH_F"/>
      <w:bookmarkEnd w:id="15"/>
      <w:r>
        <w:rPr>
          <w:b/>
          <w:bCs/>
          <w:sz w:val="20"/>
          <w:szCs w:val="20"/>
        </w:rPr>
        <w:t>Unaudited Consolidated Statements of Cash Flows</w:t>
      </w:r>
    </w:p>
    <w:p w:rsidR="00000000" w:rsidRDefault="00F20BDB">
      <w:pPr>
        <w:pStyle w:val="a3"/>
        <w:spacing w:before="40" w:beforeAutospacing="0" w:after="0" w:afterAutospacing="0"/>
        <w:jc w:val="center"/>
        <w:rPr>
          <w:b/>
          <w:bCs/>
          <w:sz w:val="20"/>
          <w:szCs w:val="20"/>
        </w:rPr>
      </w:pPr>
      <w:r>
        <w:rPr>
          <w:b/>
          <w:bCs/>
          <w:sz w:val="20"/>
          <w:szCs w:val="20"/>
        </w:rPr>
        <w:t>(in thousand</w:t>
      </w:r>
      <w:r>
        <w:rPr>
          <w:b/>
          <w:bCs/>
          <w:sz w:val="20"/>
          <w:szCs w:val="20"/>
        </w:rPr>
        <w:t>s)</w:t>
      </w:r>
    </w:p>
    <w:tbl>
      <w:tblPr>
        <w:tblW w:w="5000" w:type="pct"/>
        <w:jc w:val="center"/>
        <w:tblCellMar>
          <w:left w:w="0" w:type="dxa"/>
          <w:right w:w="0" w:type="dxa"/>
        </w:tblCellMar>
        <w:tblLook w:val="04A0" w:firstRow="1" w:lastRow="0" w:firstColumn="1" w:lastColumn="0" w:noHBand="0" w:noVBand="1"/>
      </w:tblPr>
      <w:tblGrid>
        <w:gridCol w:w="5551"/>
        <w:gridCol w:w="124"/>
        <w:gridCol w:w="115"/>
        <w:gridCol w:w="1059"/>
        <w:gridCol w:w="82"/>
        <w:gridCol w:w="117"/>
        <w:gridCol w:w="115"/>
        <w:gridCol w:w="1061"/>
        <w:gridCol w:w="82"/>
      </w:tblGrid>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152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For the Three Months Ended March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20"/>
                <w:szCs w:val="20"/>
              </w:rPr>
            </w:pPr>
            <w:r>
              <w:rPr>
                <w:b/>
                <w:bCs/>
                <w:color w:val="000000"/>
                <w:sz w:val="20"/>
                <w:szCs w:val="20"/>
              </w:rPr>
              <w:t>Operating Activities: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Net loss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(11,100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(15,448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Adjustments to reconcile net loss to net cash and cash equivalents provided</w:t>
            </w:r>
          </w:p>
          <w:p w:rsidR="00000000" w:rsidRDefault="00F20BDB">
            <w:pPr>
              <w:pStyle w:val="a3"/>
              <w:spacing w:before="0" w:beforeAutospacing="0" w:after="0" w:afterAutospacing="0"/>
              <w:ind w:left="274"/>
              <w:rPr>
                <w:color w:val="000000"/>
                <w:sz w:val="20"/>
                <w:szCs w:val="20"/>
              </w:rPr>
            </w:pPr>
            <w:r>
              <w:rPr>
                <w:color w:val="000000"/>
                <w:sz w:val="20"/>
                <w:szCs w:val="20"/>
              </w:rPr>
              <w:t>   by operating activities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547"/>
              <w:rPr>
                <w:color w:val="000000"/>
                <w:sz w:val="20"/>
                <w:szCs w:val="20"/>
              </w:rPr>
            </w:pPr>
            <w:r>
              <w:rPr>
                <w:color w:val="000000"/>
                <w:sz w:val="20"/>
                <w:szCs w:val="20"/>
              </w:rPr>
              <w:t>Depreciation and amortization</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6,973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5,110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547"/>
              <w:rPr>
                <w:color w:val="000000"/>
                <w:sz w:val="20"/>
                <w:szCs w:val="20"/>
              </w:rPr>
            </w:pPr>
            <w:r>
              <w:rPr>
                <w:color w:val="000000"/>
                <w:sz w:val="20"/>
                <w:szCs w:val="20"/>
              </w:rPr>
              <w:t>Stock-based compensation</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21,205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16,046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547"/>
              <w:rPr>
                <w:color w:val="000000"/>
                <w:sz w:val="20"/>
                <w:szCs w:val="20"/>
              </w:rPr>
            </w:pPr>
            <w:r>
              <w:rPr>
                <w:color w:val="000000"/>
                <w:sz w:val="20"/>
                <w:szCs w:val="20"/>
              </w:rPr>
              <w:t>Benefit for deferred income taxes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547"/>
              <w:rPr>
                <w:color w:val="000000"/>
                <w:sz w:val="20"/>
                <w:szCs w:val="20"/>
              </w:rPr>
            </w:pPr>
            <w:r>
              <w:rPr>
                <w:color w:val="000000"/>
                <w:sz w:val="20"/>
                <w:szCs w:val="20"/>
              </w:rPr>
              <w:t>Amortization of debt discount and issuance costs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5,260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4,908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547"/>
              <w:rPr>
                <w:color w:val="000000"/>
                <w:sz w:val="20"/>
                <w:szCs w:val="20"/>
              </w:rPr>
            </w:pPr>
            <w:r>
              <w:rPr>
                <w:color w:val="000000"/>
                <w:sz w:val="20"/>
                <w:szCs w:val="20"/>
              </w:rPr>
              <w:t>Accretion of bond discount</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(2,751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(1,164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547"/>
              <w:rPr>
                <w:color w:val="000000"/>
                <w:sz w:val="20"/>
                <w:szCs w:val="20"/>
              </w:rPr>
            </w:pPr>
            <w:r>
              <w:rPr>
                <w:color w:val="000000"/>
                <w:sz w:val="20"/>
                <w:szCs w:val="20"/>
              </w:rPr>
              <w:t>Noncash lease expense</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794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547"/>
              <w:rPr>
                <w:color w:val="000000"/>
                <w:sz w:val="20"/>
                <w:szCs w:val="20"/>
              </w:rPr>
            </w:pPr>
            <w:r>
              <w:rPr>
                <w:color w:val="000000"/>
                <w:sz w:val="20"/>
                <w:szCs w:val="20"/>
              </w:rPr>
              <w:t>Unrealized currency translation</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(281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547"/>
              <w:rPr>
                <w:color w:val="000000"/>
                <w:sz w:val="20"/>
                <w:szCs w:val="20"/>
              </w:rPr>
            </w:pPr>
            <w:r>
              <w:rPr>
                <w:color w:val="000000"/>
                <w:sz w:val="20"/>
                <w:szCs w:val="20"/>
              </w:rPr>
              <w:t>Changes in assets and liabilities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821"/>
              <w:rPr>
                <w:color w:val="000000"/>
                <w:sz w:val="20"/>
                <w:szCs w:val="20"/>
              </w:rPr>
            </w:pPr>
            <w:r>
              <w:rPr>
                <w:color w:val="000000"/>
                <w:sz w:val="20"/>
                <w:szCs w:val="20"/>
              </w:rPr>
              <w:t>Accounts receivable</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7,758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6,863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821"/>
              <w:rPr>
                <w:color w:val="000000"/>
                <w:sz w:val="20"/>
                <w:szCs w:val="20"/>
              </w:rPr>
            </w:pPr>
            <w:r>
              <w:rPr>
                <w:color w:val="000000"/>
                <w:sz w:val="20"/>
                <w:szCs w:val="20"/>
              </w:rPr>
              <w:t>Prepaid expenses and other assets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886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1,880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821"/>
              <w:rPr>
                <w:color w:val="000000"/>
                <w:sz w:val="20"/>
                <w:szCs w:val="20"/>
              </w:rPr>
            </w:pPr>
            <w:r>
              <w:rPr>
                <w:color w:val="000000"/>
                <w:sz w:val="20"/>
                <w:szCs w:val="20"/>
              </w:rPr>
              <w:t>Deferred commission expense</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(3,334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(5,068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821"/>
              <w:rPr>
                <w:color w:val="000000"/>
                <w:sz w:val="20"/>
                <w:szCs w:val="20"/>
              </w:rPr>
            </w:pPr>
            <w:r>
              <w:rPr>
                <w:color w:val="000000"/>
                <w:sz w:val="20"/>
                <w:szCs w:val="20"/>
              </w:rPr>
              <w:t>Right-of-use assets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5,505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xml:space="preserve">—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821"/>
              <w:rPr>
                <w:color w:val="000000"/>
                <w:sz w:val="20"/>
                <w:szCs w:val="20"/>
              </w:rPr>
            </w:pPr>
            <w:r>
              <w:rPr>
                <w:color w:val="000000"/>
                <w:sz w:val="20"/>
                <w:szCs w:val="20"/>
              </w:rPr>
              <w:t>Accounts payable</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4,911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166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821"/>
              <w:rPr>
                <w:color w:val="000000"/>
                <w:sz w:val="20"/>
                <w:szCs w:val="20"/>
              </w:rPr>
            </w:pPr>
            <w:r>
              <w:rPr>
                <w:color w:val="000000"/>
                <w:sz w:val="20"/>
                <w:szCs w:val="20"/>
              </w:rPr>
              <w:t>Accrued expenses and other liabilities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(2,071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1,674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821"/>
              <w:rPr>
                <w:color w:val="000000"/>
                <w:sz w:val="20"/>
                <w:szCs w:val="20"/>
              </w:rPr>
            </w:pPr>
            <w:r>
              <w:rPr>
                <w:color w:val="000000"/>
                <w:sz w:val="20"/>
                <w:szCs w:val="20"/>
              </w:rPr>
              <w:t>Lease liabilities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(4,110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xml:space="preserve">—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821"/>
              <w:rPr>
                <w:color w:val="000000"/>
                <w:sz w:val="20"/>
                <w:szCs w:val="20"/>
              </w:rPr>
            </w:pPr>
            <w:r>
              <w:rPr>
                <w:color w:val="000000"/>
                <w:sz w:val="20"/>
                <w:szCs w:val="20"/>
              </w:rPr>
              <w:t>Deferred rent</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821"/>
              <w:rPr>
                <w:color w:val="000000"/>
                <w:sz w:val="20"/>
                <w:szCs w:val="20"/>
              </w:rPr>
            </w:pPr>
            <w:r>
              <w:rPr>
                <w:color w:val="000000"/>
                <w:sz w:val="20"/>
                <w:szCs w:val="20"/>
              </w:rPr>
              <w:t>Deferred revenue</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8,893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10,973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1094"/>
              <w:rPr>
                <w:color w:val="000000"/>
                <w:sz w:val="20"/>
                <w:szCs w:val="20"/>
              </w:rPr>
            </w:pPr>
            <w:r>
              <w:rPr>
                <w:color w:val="000000"/>
                <w:sz w:val="20"/>
                <w:szCs w:val="20"/>
              </w:rPr>
              <w:t>Net cash and cash equivalents provided by operating activities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37,716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26,722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20"/>
                <w:szCs w:val="20"/>
              </w:rPr>
            </w:pPr>
            <w:r>
              <w:rPr>
                <w:b/>
                <w:bCs/>
                <w:color w:val="000000"/>
                <w:sz w:val="20"/>
                <w:szCs w:val="20"/>
              </w:rPr>
              <w:t>Investing Activities: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Purchases of investments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(386,501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(210,886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Maturities of investments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183,460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256,250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Purchases of property and equipment</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(4,265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(6,239</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Capitalization of software development costs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(2,821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(2,616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Purchases of strategic investments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1094"/>
              <w:rPr>
                <w:color w:val="000000"/>
                <w:sz w:val="20"/>
                <w:szCs w:val="20"/>
              </w:rPr>
            </w:pPr>
            <w:r>
              <w:rPr>
                <w:color w:val="000000"/>
                <w:sz w:val="20"/>
                <w:szCs w:val="20"/>
              </w:rPr>
              <w:t>Net cash and cash equivalents (used in) provided by investing activities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(210,127</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36,259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20"/>
                <w:szCs w:val="20"/>
              </w:rPr>
            </w:pPr>
            <w:r>
              <w:rPr>
                <w:b/>
                <w:bCs/>
                <w:color w:val="000000"/>
                <w:sz w:val="20"/>
                <w:szCs w:val="20"/>
              </w:rPr>
              <w:t>Financing Activities: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Proceeds from common stock offering, net of offering costs paid of $256</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342,739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Employee taxes paid related to the net share settlement of stock-based awards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(1,084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(2,344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Proceeds related to the issuance of common stock under stock plans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5,690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6,113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Repayments of finance lease obligations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(212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1094"/>
              <w:rPr>
                <w:color w:val="000000"/>
                <w:sz w:val="20"/>
                <w:szCs w:val="20"/>
              </w:rPr>
            </w:pPr>
            <w:r>
              <w:rPr>
                <w:color w:val="000000"/>
                <w:sz w:val="20"/>
                <w:szCs w:val="20"/>
              </w:rPr>
              <w:t>Net cash and cash equivalents provided by financing activities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347,227</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3,557</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Effect of exchange rate changes on cash, cash equivalents, and restricted cash</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(784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677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Net increase in cash, cash equivalents and restricted cash</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174,032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67,215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Cash, cash equivalents and restricted cash, beginning of period</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117,114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92,784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Cash, cash equivalents and restricted cash, end of period</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291,146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159,999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20"/>
                <w:szCs w:val="20"/>
              </w:rPr>
            </w:pPr>
            <w:r>
              <w:rPr>
                <w:b/>
                <w:bCs/>
                <w:color w:val="000000"/>
                <w:sz w:val="20"/>
                <w:szCs w:val="20"/>
              </w:rPr>
              <w:t>Supplemental cash flow disclosure:</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Cash paid for interest</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xml:space="preserve">$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Cash paid for income taxes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1,027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Right of use assets obtained in exchange for operating lease liabilities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12,410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20"/>
                <w:szCs w:val="20"/>
              </w:rPr>
            </w:pPr>
            <w:r>
              <w:rPr>
                <w:b/>
                <w:bCs/>
                <w:color w:val="000000"/>
                <w:sz w:val="20"/>
                <w:szCs w:val="20"/>
              </w:rPr>
              <w:t>Non-cash investing and financing activities: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Common stock offering costs, incurred but not yet paid</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Capital expenditures incurred but not yet paid</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2,802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1,382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788246"/>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Asset retirement obligations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40" w:beforeAutospacing="0" w:after="0" w:afterAutospacing="0"/>
        <w:rPr>
          <w:sz w:val="20"/>
          <w:szCs w:val="20"/>
        </w:rPr>
      </w:pPr>
      <w:r>
        <w:rPr>
          <w:sz w:val="20"/>
          <w:szCs w:val="20"/>
        </w:rPr>
        <w:t>The accompanying notes are an integral part of the consolidated financial statements.</w:t>
      </w:r>
    </w:p>
    <w:p w:rsidR="00000000" w:rsidRDefault="00F20BDB">
      <w:pPr>
        <w:pStyle w:val="a3"/>
        <w:spacing w:before="240" w:beforeAutospacing="0" w:after="0" w:afterAutospacing="0"/>
        <w:jc w:val="center"/>
        <w:rPr>
          <w:sz w:val="20"/>
          <w:szCs w:val="20"/>
        </w:rPr>
      </w:pPr>
      <w:r>
        <w:rPr>
          <w:sz w:val="20"/>
          <w:szCs w:val="20"/>
        </w:rPr>
        <w:t>8</w:t>
      </w:r>
    </w:p>
    <w:p w:rsidR="00000000" w:rsidRDefault="00F20BDB">
      <w:pPr>
        <w:rPr>
          <w:rFonts w:eastAsia="Times New Roman"/>
        </w:rPr>
      </w:pPr>
      <w:r>
        <w:rPr>
          <w:rFonts w:eastAsia="Times New Roman"/>
        </w:rPr>
        <w:pict>
          <v:rect id="_x0000_i1032"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jc w:val="center"/>
        <w:rPr>
          <w:b/>
          <w:bCs/>
          <w:sz w:val="20"/>
          <w:szCs w:val="20"/>
        </w:rPr>
      </w:pPr>
      <w:bookmarkStart w:id="16" w:name="_AEIOULastRenderedPageBreakAEIOU9"/>
      <w:bookmarkEnd w:id="16"/>
      <w:r>
        <w:rPr>
          <w:b/>
          <w:bCs/>
          <w:sz w:val="20"/>
          <w:szCs w:val="20"/>
        </w:rPr>
        <w:t>HubSpot, Inc.</w:t>
      </w:r>
    </w:p>
    <w:p w:rsidR="00000000" w:rsidRDefault="00F20BDB">
      <w:pPr>
        <w:pStyle w:val="a3"/>
        <w:spacing w:before="0" w:beforeAutospacing="0" w:after="0" w:afterAutospacing="0"/>
        <w:jc w:val="center"/>
        <w:rPr>
          <w:b/>
          <w:bCs/>
          <w:sz w:val="20"/>
          <w:szCs w:val="20"/>
        </w:rPr>
      </w:pPr>
      <w:bookmarkStart w:id="17" w:name="NOTES_TO_UNAUDITED_CONSOLIDA_TED_FINANCI"/>
      <w:bookmarkEnd w:id="17"/>
      <w:r>
        <w:rPr>
          <w:b/>
          <w:bCs/>
          <w:sz w:val="20"/>
          <w:szCs w:val="20"/>
        </w:rPr>
        <w:t>Notes to Unaudited Consolidated Financial Statements</w:t>
      </w:r>
    </w:p>
    <w:p w:rsidR="00000000" w:rsidRDefault="00F20BDB">
      <w:pPr>
        <w:pStyle w:val="a3"/>
        <w:spacing w:before="0" w:beforeAutospacing="0" w:after="0" w:afterAutospacing="0"/>
        <w:rPr>
          <w:sz w:val="12"/>
          <w:szCs w:val="12"/>
        </w:rPr>
      </w:pPr>
      <w:r>
        <w:rPr>
          <w:sz w:val="12"/>
          <w:szCs w:val="12"/>
        </w:rPr>
        <w:t> </w:t>
      </w:r>
    </w:p>
    <w:p w:rsidR="00000000" w:rsidRDefault="00F20BDB">
      <w:pPr>
        <w:pStyle w:val="a3"/>
        <w:spacing w:before="0" w:beforeAutospacing="0" w:after="0" w:afterAutospacing="0"/>
        <w:rPr>
          <w:sz w:val="12"/>
          <w:szCs w:val="12"/>
        </w:rPr>
      </w:pPr>
      <w:r>
        <w:rPr>
          <w:sz w:val="12"/>
          <w:szCs w:val="12"/>
        </w:rPr>
        <w:t> </w:t>
      </w:r>
    </w:p>
    <w:p w:rsidR="00000000" w:rsidRDefault="00F20BDB">
      <w:pPr>
        <w:pStyle w:val="a3"/>
        <w:spacing w:before="0" w:beforeAutospacing="0" w:after="0" w:afterAutospacing="0"/>
        <w:rPr>
          <w:b/>
          <w:bCs/>
          <w:sz w:val="20"/>
          <w:szCs w:val="20"/>
        </w:rPr>
      </w:pPr>
      <w:r>
        <w:rPr>
          <w:b/>
          <w:bCs/>
          <w:sz w:val="20"/>
          <w:szCs w:val="20"/>
        </w:rPr>
        <w:t>1. Organization and Operations</w:t>
      </w:r>
    </w:p>
    <w:p w:rsidR="00000000" w:rsidRDefault="00F20BDB">
      <w:pPr>
        <w:pStyle w:val="a3"/>
        <w:spacing w:before="240" w:beforeAutospacing="0" w:after="0" w:afterAutospacing="0"/>
        <w:ind w:firstLine="556"/>
        <w:rPr>
          <w:sz w:val="20"/>
          <w:szCs w:val="20"/>
        </w:rPr>
      </w:pPr>
      <w:r>
        <w:rPr>
          <w:sz w:val="20"/>
          <w:szCs w:val="20"/>
        </w:rPr>
        <w:t>HubSpot, Inc. (the “Company”</w:t>
      </w:r>
      <w:r>
        <w:rPr>
          <w:sz w:val="20"/>
          <w:szCs w:val="20"/>
        </w:rPr>
        <w:t xml:space="preserve">) provides a cloud-based inbound marketing, sales and customer service platform, which we refer to in this document as our Growth Platform, that enables businesses to grow better. </w:t>
      </w:r>
      <w:r>
        <w:rPr>
          <w:color w:val="000000"/>
          <w:sz w:val="20"/>
          <w:szCs w:val="20"/>
        </w:rPr>
        <w:t>Our Growth Platform, comprised of Marketing Hub, Sales Hub, Service Hub, and</w:t>
      </w:r>
      <w:r>
        <w:rPr>
          <w:color w:val="000000"/>
          <w:sz w:val="20"/>
          <w:szCs w:val="20"/>
        </w:rPr>
        <w:t xml:space="preserve"> a free customer relationship management, or CRM system, features integrated applications and tools that enable businesses to create a cohesive and adaptable customer experience throughout the customer lifecycle.</w:t>
      </w:r>
    </w:p>
    <w:p w:rsidR="00000000" w:rsidRDefault="00F20BDB">
      <w:pPr>
        <w:pStyle w:val="a3"/>
        <w:spacing w:before="240" w:beforeAutospacing="0" w:after="0" w:afterAutospacing="0"/>
        <w:ind w:firstLine="556"/>
        <w:rPr>
          <w:sz w:val="20"/>
          <w:szCs w:val="20"/>
        </w:rPr>
      </w:pPr>
      <w:r>
        <w:rPr>
          <w:sz w:val="20"/>
          <w:szCs w:val="20"/>
        </w:rPr>
        <w:t>The accompanying unaudited consolidated fin</w:t>
      </w:r>
      <w:r>
        <w:rPr>
          <w:sz w:val="20"/>
          <w:szCs w:val="20"/>
        </w:rPr>
        <w:t>ancial statements have been prepared in accordance with generally accepted accounting principles in the United States (“GAAP”) applicable to interim periods, under the rules and regulations of the United States Securities and Exchange Commission (“SEC”). I</w:t>
      </w:r>
      <w:r>
        <w:rPr>
          <w:sz w:val="20"/>
          <w:szCs w:val="20"/>
        </w:rPr>
        <w:t>n the opinion of management, the Company has prepared the accompanying unaudited consolidated financial statements on a basis substantially consistent with the audited consolidated financial statements of the Company as of and for the year ended December 3</w:t>
      </w:r>
      <w:r>
        <w:rPr>
          <w:sz w:val="20"/>
          <w:szCs w:val="20"/>
        </w:rPr>
        <w:t>1, 2018, and these consolidated financial statements include all adjustments, consisting only of normal recurring adjustments, necessary for a fair statement of the results of the interim periods presented. All intercompany balances and transactions have b</w:t>
      </w:r>
      <w:r>
        <w:rPr>
          <w:sz w:val="20"/>
          <w:szCs w:val="20"/>
        </w:rPr>
        <w:t>een eliminated in consolidation.   </w:t>
      </w:r>
    </w:p>
    <w:p w:rsidR="00000000" w:rsidRDefault="00F20BDB">
      <w:pPr>
        <w:pStyle w:val="a3"/>
        <w:spacing w:before="240" w:beforeAutospacing="0" w:after="0" w:afterAutospacing="0"/>
        <w:ind w:firstLine="556"/>
        <w:rPr>
          <w:sz w:val="20"/>
          <w:szCs w:val="20"/>
        </w:rPr>
      </w:pPr>
      <w:r>
        <w:rPr>
          <w:sz w:val="20"/>
          <w:szCs w:val="20"/>
        </w:rPr>
        <w:t>The results of operations for the interim periods presented are not necessarily indicative of the results to be expected for any subsequent quarter or for the entire year ending December 31, 2019. The year-end balance sh</w:t>
      </w:r>
      <w:r>
        <w:rPr>
          <w:sz w:val="20"/>
          <w:szCs w:val="20"/>
        </w:rPr>
        <w:t>eet data was derived from audited financial statements, but this Form 10-Q does not include all disclosures required under GAAP. Certain information and note disclosures normally included in annual financial statements prepared in accordance with GAAP have</w:t>
      </w:r>
      <w:r>
        <w:rPr>
          <w:sz w:val="20"/>
          <w:szCs w:val="20"/>
        </w:rPr>
        <w:t xml:space="preserve"> been omitted under the rules and regulations of the SEC.</w:t>
      </w:r>
    </w:p>
    <w:p w:rsidR="00000000" w:rsidRDefault="00F20BDB">
      <w:pPr>
        <w:pStyle w:val="a3"/>
        <w:spacing w:before="240" w:beforeAutospacing="0" w:after="0" w:afterAutospacing="0"/>
        <w:ind w:firstLine="556"/>
        <w:rPr>
          <w:sz w:val="20"/>
          <w:szCs w:val="20"/>
        </w:rPr>
      </w:pPr>
      <w:r>
        <w:rPr>
          <w:sz w:val="20"/>
          <w:szCs w:val="20"/>
        </w:rPr>
        <w:t>These interim financial statements should be read in conjunction with the audited consolidated financial statements and related notes contained in the Company’s Annual Report on Form 10-K filed with</w:t>
      </w:r>
      <w:r>
        <w:rPr>
          <w:sz w:val="20"/>
          <w:szCs w:val="20"/>
        </w:rPr>
        <w:t xml:space="preserve"> the SEC on February 12, 2019. There have been no changes in the Company’s significant accounting policies from those that were disclosed in the Company’s Annual Report on Form 10-K that have had a material impact on our consolidated financial statements a</w:t>
      </w:r>
      <w:r>
        <w:rPr>
          <w:sz w:val="20"/>
          <w:szCs w:val="20"/>
        </w:rPr>
        <w:t xml:space="preserve">nd related notes, except the adoption of updated guidance related to accounting for leases as described within Note 2 of these consolidated financial statements. </w:t>
      </w:r>
    </w:p>
    <w:p w:rsidR="00000000" w:rsidRDefault="00F20BDB">
      <w:pPr>
        <w:pStyle w:val="a3"/>
        <w:spacing w:before="240" w:beforeAutospacing="0" w:after="0" w:afterAutospacing="0"/>
        <w:ind w:firstLine="556"/>
        <w:rPr>
          <w:color w:val="000000"/>
          <w:sz w:val="20"/>
          <w:szCs w:val="20"/>
        </w:rPr>
      </w:pPr>
      <w:r>
        <w:rPr>
          <w:color w:val="000000"/>
          <w:sz w:val="20"/>
          <w:szCs w:val="20"/>
        </w:rPr>
        <w:t>On February 19, 2019, the Company closed a common stock offering whereby 2.2 million shares o</w:t>
      </w:r>
      <w:r>
        <w:rPr>
          <w:color w:val="000000"/>
          <w:sz w:val="20"/>
          <w:szCs w:val="20"/>
        </w:rPr>
        <w:t>f common stock were sold. The Company received aggregate proceeds of approximately $343.0 million from the offering, net of underwriters’ discounts and commissions, but before deduction of offering expenses of approximately $0.4 million.</w:t>
      </w:r>
    </w:p>
    <w:p w:rsidR="00000000" w:rsidRDefault="00F20BDB">
      <w:pPr>
        <w:pStyle w:val="a3"/>
        <w:spacing w:before="360" w:beforeAutospacing="0" w:after="0" w:afterAutospacing="0"/>
        <w:rPr>
          <w:i/>
          <w:iCs/>
          <w:sz w:val="20"/>
          <w:szCs w:val="20"/>
        </w:rPr>
      </w:pPr>
      <w:r>
        <w:rPr>
          <w:i/>
          <w:iCs/>
          <w:sz w:val="20"/>
          <w:szCs w:val="20"/>
        </w:rPr>
        <w:t xml:space="preserve">Recent Accounting </w:t>
      </w:r>
      <w:r>
        <w:rPr>
          <w:i/>
          <w:iCs/>
          <w:sz w:val="20"/>
          <w:szCs w:val="20"/>
        </w:rPr>
        <w:t>Pronouncements</w:t>
      </w:r>
    </w:p>
    <w:p w:rsidR="00000000" w:rsidRDefault="00F20BDB">
      <w:pPr>
        <w:pStyle w:val="a3"/>
        <w:spacing w:before="120" w:beforeAutospacing="0" w:after="0" w:afterAutospacing="0"/>
        <w:ind w:firstLine="556"/>
        <w:rPr>
          <w:sz w:val="20"/>
          <w:szCs w:val="20"/>
        </w:rPr>
      </w:pPr>
      <w:r>
        <w:rPr>
          <w:sz w:val="20"/>
          <w:szCs w:val="20"/>
        </w:rPr>
        <w:t>Recent accounting standards not included below are not expected to have a material impact on our consolidated financial position and results of operations.</w:t>
      </w:r>
    </w:p>
    <w:p w:rsidR="00000000" w:rsidRDefault="00F20BDB">
      <w:pPr>
        <w:pStyle w:val="a3"/>
        <w:spacing w:before="120" w:beforeAutospacing="0" w:after="0" w:afterAutospacing="0"/>
        <w:ind w:firstLine="556"/>
        <w:rPr>
          <w:color w:val="000000"/>
          <w:sz w:val="20"/>
          <w:szCs w:val="20"/>
        </w:rPr>
      </w:pPr>
      <w:r>
        <w:rPr>
          <w:color w:val="000000"/>
          <w:sz w:val="20"/>
          <w:szCs w:val="20"/>
        </w:rPr>
        <w:t>In June 2018, the Financial Accounting Standards Board (“FASB”) issued guidance for s</w:t>
      </w:r>
      <w:r>
        <w:rPr>
          <w:color w:val="000000"/>
          <w:sz w:val="20"/>
          <w:szCs w:val="20"/>
        </w:rPr>
        <w:t>tock-based compensation to include share-based payment transactions for acquiring goods and services from nonemployees. The guidance was adopted on January 1, 2019 and did not have a material impact on the consolidated financial statements.</w:t>
      </w:r>
    </w:p>
    <w:p w:rsidR="00000000" w:rsidRDefault="00F20BDB">
      <w:pPr>
        <w:pStyle w:val="a3"/>
        <w:spacing w:before="240" w:beforeAutospacing="0" w:after="0" w:afterAutospacing="0"/>
        <w:ind w:firstLine="556"/>
        <w:rPr>
          <w:color w:val="000000"/>
          <w:sz w:val="20"/>
          <w:szCs w:val="20"/>
        </w:rPr>
      </w:pPr>
      <w:r>
        <w:rPr>
          <w:color w:val="000000"/>
          <w:sz w:val="20"/>
          <w:szCs w:val="20"/>
        </w:rPr>
        <w:t>In January 2017</w:t>
      </w:r>
      <w:r>
        <w:rPr>
          <w:color w:val="000000"/>
          <w:sz w:val="20"/>
          <w:szCs w:val="20"/>
        </w:rPr>
        <w:t>, the FASB issued guidance simplifying the accounting for goodwill impairment by removing Step 2 of the goodwill impairment test. Under current guidance, Step 2 of the goodwill impairment test requires entities to calculate the implied fair value of goodwi</w:t>
      </w:r>
      <w:r>
        <w:rPr>
          <w:color w:val="000000"/>
          <w:sz w:val="20"/>
          <w:szCs w:val="20"/>
        </w:rPr>
        <w:t>ll in the same manner as the amount of goodwill recognized in a business combination by assigning the fair value of a reporting unit to all of the assets and liabilities of the reporting unit. The carrying value in excess of the implied fair value is recog</w:t>
      </w:r>
      <w:r>
        <w:rPr>
          <w:color w:val="000000"/>
          <w:sz w:val="20"/>
          <w:szCs w:val="20"/>
        </w:rPr>
        <w:t>nized as goodwill impairment. Under the new standard, goodwill impairment is recognized based on Step 1 of the current guidance, which calculates the carrying value in excess of the reporting unit’s fair value. The new standard is effective beginning in Ja</w:t>
      </w:r>
      <w:r>
        <w:rPr>
          <w:color w:val="000000"/>
          <w:sz w:val="20"/>
          <w:szCs w:val="20"/>
        </w:rPr>
        <w:t>nuary 2020, with early adoption permitted. The Company does not believe the adoption of this guidance will have a material impact on the consolidated financial statements.</w:t>
      </w:r>
    </w:p>
    <w:p w:rsidR="00000000" w:rsidRDefault="00F20BDB">
      <w:pPr>
        <w:pStyle w:val="a3"/>
        <w:spacing w:before="240" w:beforeAutospacing="0" w:after="0" w:afterAutospacing="0"/>
        <w:ind w:firstLine="556"/>
        <w:rPr>
          <w:color w:val="000000"/>
          <w:sz w:val="20"/>
          <w:szCs w:val="20"/>
        </w:rPr>
      </w:pPr>
      <w:r>
        <w:rPr>
          <w:color w:val="000000"/>
          <w:sz w:val="20"/>
          <w:szCs w:val="20"/>
        </w:rPr>
        <w:t>In June 2016, the FASB issued guidance that introduces a new methodology for account</w:t>
      </w:r>
      <w:r>
        <w:rPr>
          <w:color w:val="000000"/>
          <w:sz w:val="20"/>
          <w:szCs w:val="20"/>
        </w:rPr>
        <w:t>ing for credit losses on financial instruments. The guidance establishes a new forward-looking "expected loss model" that requires entities to estimate current expected credit losses on accounts receivable and financial instruments by using all practical a</w:t>
      </w:r>
      <w:r>
        <w:rPr>
          <w:color w:val="000000"/>
          <w:sz w:val="20"/>
          <w:szCs w:val="20"/>
        </w:rPr>
        <w:t>nd relevant information. The guidance will be effective for the Company on January 1, 2020. The Company is currently evaluating the impact of this guidance on the consolidated financial statements.</w:t>
      </w:r>
    </w:p>
    <w:p w:rsidR="00000000" w:rsidRDefault="00F20BDB">
      <w:pPr>
        <w:pStyle w:val="a3"/>
        <w:spacing w:before="240" w:beforeAutospacing="0" w:after="0" w:afterAutospacing="0"/>
        <w:jc w:val="center"/>
        <w:rPr>
          <w:sz w:val="20"/>
          <w:szCs w:val="20"/>
        </w:rPr>
      </w:pPr>
      <w:r>
        <w:rPr>
          <w:sz w:val="20"/>
          <w:szCs w:val="20"/>
        </w:rPr>
        <w:t>9</w:t>
      </w:r>
    </w:p>
    <w:p w:rsidR="00000000" w:rsidRDefault="00F20BDB">
      <w:pPr>
        <w:rPr>
          <w:rFonts w:eastAsia="Times New Roman"/>
        </w:rPr>
      </w:pPr>
      <w:r>
        <w:rPr>
          <w:rFonts w:eastAsia="Times New Roman"/>
        </w:rPr>
        <w:pict>
          <v:rect id="_x0000_i1033"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240" w:beforeAutospacing="0" w:after="0" w:afterAutospacing="0"/>
        <w:ind w:firstLine="556"/>
        <w:rPr>
          <w:color w:val="000000"/>
          <w:sz w:val="20"/>
          <w:szCs w:val="20"/>
        </w:rPr>
      </w:pPr>
      <w:bookmarkStart w:id="18" w:name="_AEIOULastRenderedPageBreakAEIOU10"/>
      <w:bookmarkEnd w:id="18"/>
      <w:r>
        <w:rPr>
          <w:color w:val="000000"/>
          <w:sz w:val="20"/>
          <w:szCs w:val="20"/>
        </w:rPr>
        <w:t>In February 2016, the FASB issued guidance related to leases to increase transparency and comparability among organizations by req</w:t>
      </w:r>
      <w:r>
        <w:rPr>
          <w:color w:val="000000"/>
          <w:sz w:val="20"/>
          <w:szCs w:val="20"/>
        </w:rPr>
        <w:t>uiring the recognition of right-of-use assets and lease liabilities on the balance sheet, while maintaining consistency with historical accounting for the recognition of expense on their income statements. Most prominent among the changes in the guidance i</w:t>
      </w:r>
      <w:r>
        <w:rPr>
          <w:color w:val="000000"/>
          <w:sz w:val="20"/>
          <w:szCs w:val="20"/>
        </w:rPr>
        <w:t>s the recognition of right-of-use assets and lease liabilities by lessees for those leases classified as operating leases. Additional disclosures are required to meet the objective of enabling users of financial statements to assess the amount, timing, and</w:t>
      </w:r>
      <w:r>
        <w:rPr>
          <w:color w:val="000000"/>
          <w:sz w:val="20"/>
          <w:szCs w:val="20"/>
        </w:rPr>
        <w:t xml:space="preserve"> uncertainty of cash flows arising from leases.  The Company adopted the updated guidance as of January 1, 2019 using a modified retrospective transition method with a cumulative-effect adjustment as of the adoption date, as permitted by the guidance. Comp</w:t>
      </w:r>
      <w:r>
        <w:rPr>
          <w:color w:val="000000"/>
          <w:sz w:val="20"/>
          <w:szCs w:val="20"/>
        </w:rPr>
        <w:t>arative periods are not adjusted.  See Note 2 of these consolidated financial statements for further details.</w:t>
      </w:r>
    </w:p>
    <w:p w:rsidR="00000000" w:rsidRDefault="00F20BDB">
      <w:pPr>
        <w:pStyle w:val="a3"/>
        <w:spacing w:before="0" w:beforeAutospacing="0" w:after="0" w:afterAutospacing="0"/>
        <w:rPr>
          <w:sz w:val="18"/>
          <w:szCs w:val="18"/>
        </w:rPr>
      </w:pPr>
      <w:r>
        <w:rPr>
          <w:sz w:val="18"/>
          <w:szCs w:val="18"/>
        </w:rPr>
        <w:t> </w:t>
      </w:r>
    </w:p>
    <w:p w:rsidR="00000000" w:rsidRDefault="00F20BDB">
      <w:pPr>
        <w:pStyle w:val="a3"/>
        <w:spacing w:before="0" w:beforeAutospacing="0" w:after="0" w:afterAutospacing="0"/>
        <w:jc w:val="both"/>
        <w:rPr>
          <w:sz w:val="20"/>
          <w:szCs w:val="20"/>
        </w:rPr>
      </w:pPr>
      <w:r>
        <w:rPr>
          <w:sz w:val="20"/>
          <w:szCs w:val="20"/>
        </w:rPr>
        <w:t> </w:t>
      </w:r>
    </w:p>
    <w:p w:rsidR="00000000" w:rsidRDefault="00F20BDB">
      <w:pPr>
        <w:pStyle w:val="a3"/>
        <w:spacing w:before="0" w:beforeAutospacing="0" w:after="0" w:afterAutospacing="0"/>
        <w:jc w:val="both"/>
        <w:rPr>
          <w:b/>
          <w:bCs/>
          <w:sz w:val="20"/>
          <w:szCs w:val="20"/>
        </w:rPr>
      </w:pPr>
      <w:r>
        <w:rPr>
          <w:b/>
          <w:bCs/>
          <w:sz w:val="20"/>
          <w:szCs w:val="20"/>
        </w:rPr>
        <w:t xml:space="preserve">2. Leases </w:t>
      </w:r>
    </w:p>
    <w:p w:rsidR="00000000" w:rsidRDefault="00F20BDB">
      <w:pPr>
        <w:pStyle w:val="a3"/>
        <w:spacing w:before="0" w:beforeAutospacing="0" w:after="0" w:afterAutospacing="0"/>
        <w:jc w:val="both"/>
        <w:rPr>
          <w:sz w:val="20"/>
          <w:szCs w:val="20"/>
        </w:rPr>
      </w:pPr>
      <w:r>
        <w:rPr>
          <w:sz w:val="20"/>
          <w:szCs w:val="20"/>
        </w:rPr>
        <w:t> </w:t>
      </w:r>
    </w:p>
    <w:p w:rsidR="00000000" w:rsidRDefault="00F20BDB">
      <w:pPr>
        <w:pStyle w:val="a3"/>
        <w:spacing w:before="0" w:beforeAutospacing="0" w:after="0" w:afterAutospacing="0"/>
        <w:jc w:val="both"/>
        <w:rPr>
          <w:b/>
          <w:bCs/>
          <w:i/>
          <w:iCs/>
          <w:color w:val="000000"/>
          <w:sz w:val="20"/>
          <w:szCs w:val="20"/>
        </w:rPr>
      </w:pPr>
      <w:r>
        <w:rPr>
          <w:b/>
          <w:bCs/>
          <w:i/>
          <w:iCs/>
          <w:color w:val="000000"/>
          <w:sz w:val="20"/>
          <w:szCs w:val="20"/>
        </w:rPr>
        <w:t>Adoption of Updated Leasing Guidance</w:t>
      </w:r>
    </w:p>
    <w:p w:rsidR="00000000" w:rsidRDefault="00F20BDB">
      <w:pPr>
        <w:pStyle w:val="a3"/>
        <w:spacing w:before="0" w:beforeAutospacing="0" w:after="0" w:afterAutospacing="0"/>
        <w:jc w:val="both"/>
        <w:rPr>
          <w:sz w:val="20"/>
          <w:szCs w:val="20"/>
        </w:rPr>
      </w:pPr>
      <w:r>
        <w:rPr>
          <w:sz w:val="20"/>
          <w:szCs w:val="20"/>
        </w:rPr>
        <w:t> </w:t>
      </w:r>
    </w:p>
    <w:p w:rsidR="00000000" w:rsidRDefault="00F20BDB">
      <w:pPr>
        <w:pStyle w:val="a3"/>
        <w:spacing w:before="0" w:beforeAutospacing="0" w:after="0" w:afterAutospacing="0"/>
        <w:ind w:firstLine="362"/>
        <w:rPr>
          <w:color w:val="000000"/>
          <w:sz w:val="20"/>
          <w:szCs w:val="20"/>
        </w:rPr>
      </w:pPr>
      <w:r>
        <w:rPr>
          <w:color w:val="000000"/>
          <w:sz w:val="20"/>
          <w:szCs w:val="20"/>
        </w:rPr>
        <w:t>On January 1, 2019, the Company adopted the new lease guidance using a modified retrospective transition method applied to those leases which were not completed as of January 1, 2019. Results for reporting periods beginning after December 31, 2018 are pres</w:t>
      </w:r>
      <w:r>
        <w:rPr>
          <w:color w:val="000000"/>
          <w:sz w:val="20"/>
          <w:szCs w:val="20"/>
        </w:rPr>
        <w:t>ented under the new guidance, while prior period comparative amounts are not adjusted and continue to be reported in accordance with historical guidance.  The Company applied the new standard using the package of practical expedients permitted under the tr</w:t>
      </w:r>
      <w:r>
        <w:rPr>
          <w:color w:val="000000"/>
          <w:sz w:val="20"/>
          <w:szCs w:val="20"/>
        </w:rPr>
        <w:t>ansition guidance where the Company:</w:t>
      </w:r>
    </w:p>
    <w:p w:rsidR="00000000" w:rsidRDefault="00F20BD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166" w:type="pct"/>
            <w:noWrap/>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0" w:beforeAutospacing="0" w:after="0" w:afterAutospacing="0"/>
              <w:rPr>
                <w:color w:val="000000"/>
                <w:sz w:val="20"/>
                <w:szCs w:val="20"/>
              </w:rPr>
            </w:pPr>
            <w:r>
              <w:rPr>
                <w:color w:val="000000"/>
                <w:sz w:val="20"/>
                <w:szCs w:val="20"/>
              </w:rPr>
              <w:t>did not reassess whether any expired or existing contracts contain a lease;</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166" w:type="pct"/>
            <w:noWrap/>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0" w:beforeAutospacing="0" w:after="0" w:afterAutospacing="0"/>
              <w:rPr>
                <w:color w:val="000000"/>
                <w:sz w:val="20"/>
                <w:szCs w:val="20"/>
              </w:rPr>
            </w:pPr>
            <w:r>
              <w:rPr>
                <w:color w:val="000000"/>
                <w:sz w:val="20"/>
                <w:szCs w:val="20"/>
              </w:rPr>
              <w:t>did not reassess the classification of existing leases; and</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166" w:type="pct"/>
            <w:noWrap/>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0" w:beforeAutospacing="0" w:after="0" w:afterAutospacing="0"/>
              <w:rPr>
                <w:color w:val="000000"/>
                <w:sz w:val="20"/>
                <w:szCs w:val="20"/>
              </w:rPr>
            </w:pPr>
            <w:r>
              <w:rPr>
                <w:color w:val="000000"/>
                <w:sz w:val="20"/>
                <w:szCs w:val="20"/>
              </w:rPr>
              <w:t>did not reassess initial direct costs for any existing leases.</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ind w:firstLine="408"/>
        <w:rPr>
          <w:color w:val="000000"/>
          <w:sz w:val="20"/>
          <w:szCs w:val="20"/>
        </w:rPr>
      </w:pPr>
      <w:r>
        <w:rPr>
          <w:color w:val="000000"/>
          <w:sz w:val="20"/>
          <w:szCs w:val="20"/>
        </w:rPr>
        <w:t xml:space="preserve">In addition, the Company elected the hindsight practical expedient to determine the lease term for existing leases. </w:t>
      </w:r>
    </w:p>
    <w:p w:rsidR="00000000" w:rsidRDefault="00F20BDB">
      <w:pPr>
        <w:pStyle w:val="a3"/>
        <w:spacing w:before="0" w:beforeAutospacing="0" w:after="0" w:afterAutospacing="0"/>
        <w:rPr>
          <w:color w:val="000000"/>
          <w:sz w:val="20"/>
          <w:szCs w:val="20"/>
        </w:rPr>
      </w:pPr>
      <w:r>
        <w:rPr>
          <w:color w:val="000000"/>
          <w:sz w:val="20"/>
          <w:szCs w:val="20"/>
        </w:rPr>
        <w:t> </w:t>
      </w:r>
    </w:p>
    <w:p w:rsidR="00000000" w:rsidRDefault="00F20BDB">
      <w:pPr>
        <w:pStyle w:val="a3"/>
        <w:spacing w:before="0" w:beforeAutospacing="0" w:after="0" w:afterAutospacing="0"/>
        <w:ind w:firstLine="816"/>
        <w:rPr>
          <w:color w:val="000000"/>
          <w:sz w:val="20"/>
          <w:szCs w:val="20"/>
        </w:rPr>
      </w:pPr>
      <w:r>
        <w:rPr>
          <w:color w:val="000000"/>
          <w:sz w:val="20"/>
          <w:szCs w:val="20"/>
        </w:rPr>
        <w:t>The resulting impact, as of the adoption date, to the consolidated balance sheet of applying the new guidance in 2019 versus the prior guidance was an increase to right-of-use assets of $152.2 million, a decrease to other assets of $0.3 million, an increas</w:t>
      </w:r>
      <w:r>
        <w:rPr>
          <w:color w:val="000000"/>
          <w:sz w:val="20"/>
          <w:szCs w:val="20"/>
        </w:rPr>
        <w:t>e to total assets of $151.9 million, an increase to short-term lease liabilities of $14.1 million, a decrease to accrued expenses and other current liabilities of $0.5 million, an increase to total current liabilities of $13.5 million, an increase to long-</w:t>
      </w:r>
      <w:r>
        <w:rPr>
          <w:color w:val="000000"/>
          <w:sz w:val="20"/>
          <w:szCs w:val="20"/>
        </w:rPr>
        <w:t xml:space="preserve">term lease liabilities of $164.8 million, a decrease to deferred rent, net of current portion of $26.4 million and an increase to total liabilities of $151.9 million. There was no impact to stockholders’ equity or the consolidated statements of operations </w:t>
      </w:r>
      <w:r>
        <w:rPr>
          <w:color w:val="000000"/>
          <w:sz w:val="20"/>
          <w:szCs w:val="20"/>
        </w:rPr>
        <w:t>as a result of adopting the new guidance.  </w:t>
      </w:r>
      <w:r>
        <w:rPr>
          <w:color w:val="000000"/>
          <w:sz w:val="20"/>
          <w:szCs w:val="20"/>
          <w:shd w:val="clear" w:color="auto" w:fill="FFFFFF"/>
        </w:rPr>
        <w:t xml:space="preserve">There was no impact to total operating or financing cash flows of applying the new guidance in 2019 versus the prior guidance other than renaming or adding </w:t>
      </w:r>
      <w:r>
        <w:rPr>
          <w:color w:val="000000"/>
          <w:sz w:val="20"/>
          <w:szCs w:val="20"/>
        </w:rPr>
        <w:t>line</w:t>
      </w:r>
      <w:r>
        <w:rPr>
          <w:color w:val="000000"/>
          <w:sz w:val="20"/>
          <w:szCs w:val="20"/>
          <w:shd w:val="clear" w:color="auto" w:fill="FFFFFF"/>
        </w:rPr>
        <w:t xml:space="preserve"> items to the statements of cash flows to conform to </w:t>
      </w:r>
      <w:r>
        <w:rPr>
          <w:color w:val="000000"/>
          <w:sz w:val="20"/>
          <w:szCs w:val="20"/>
          <w:shd w:val="clear" w:color="auto" w:fill="FFFFFF"/>
        </w:rPr>
        <w:t>the accounting for, and presentation of, the new standard.</w:t>
      </w:r>
    </w:p>
    <w:p w:rsidR="00000000" w:rsidRDefault="00F20BDB">
      <w:pPr>
        <w:pStyle w:val="a3"/>
        <w:spacing w:before="0" w:beforeAutospacing="0" w:after="0" w:afterAutospacing="0"/>
        <w:ind w:firstLine="816"/>
        <w:rPr>
          <w:sz w:val="20"/>
          <w:szCs w:val="20"/>
        </w:rPr>
      </w:pPr>
      <w:r>
        <w:rPr>
          <w:sz w:val="20"/>
          <w:szCs w:val="20"/>
        </w:rPr>
        <w:t> </w:t>
      </w:r>
    </w:p>
    <w:p w:rsidR="00000000" w:rsidRDefault="00F20BDB">
      <w:pPr>
        <w:pStyle w:val="a3"/>
        <w:spacing w:before="0" w:beforeAutospacing="0" w:after="0" w:afterAutospacing="0"/>
        <w:ind w:firstLine="816"/>
        <w:rPr>
          <w:color w:val="000000"/>
          <w:sz w:val="20"/>
          <w:szCs w:val="20"/>
        </w:rPr>
      </w:pPr>
      <w:r>
        <w:rPr>
          <w:color w:val="000000"/>
          <w:sz w:val="20"/>
          <w:szCs w:val="20"/>
        </w:rPr>
        <w:t>The Company determines if an arrangement contains a lease at inception and does not separate lease and non-lease components of an arrangement determined to contain a lease. Operating and finance leases with a duration of less than 12 months are excluded fr</w:t>
      </w:r>
      <w:r>
        <w:rPr>
          <w:color w:val="000000"/>
          <w:sz w:val="20"/>
          <w:szCs w:val="20"/>
        </w:rPr>
        <w:t>om right-of-use-assets and lease liabilities and related expense is recorded as incurred.</w:t>
      </w:r>
    </w:p>
    <w:p w:rsidR="00000000" w:rsidRDefault="00F20BDB">
      <w:pPr>
        <w:pStyle w:val="a3"/>
        <w:spacing w:before="120" w:beforeAutospacing="0" w:after="200" w:afterAutospacing="0"/>
        <w:ind w:firstLine="589"/>
        <w:rPr>
          <w:color w:val="000000"/>
          <w:sz w:val="20"/>
          <w:szCs w:val="20"/>
        </w:rPr>
      </w:pPr>
      <w:r>
        <w:rPr>
          <w:color w:val="000000"/>
          <w:sz w:val="20"/>
          <w:szCs w:val="20"/>
        </w:rPr>
        <w:t>The Company leases its office facilities under non-cancelable operating leases that expire at various dates through May 2031. Certain leases contain optional terminat</w:t>
      </w:r>
      <w:r>
        <w:rPr>
          <w:color w:val="000000"/>
          <w:sz w:val="20"/>
          <w:szCs w:val="20"/>
        </w:rPr>
        <w:t xml:space="preserve">ion dates. The table below only considers lease obligations through the optional termination dates, as the Company is not reasonably certain to extend lease agreements beyond those dates. </w:t>
      </w:r>
    </w:p>
    <w:p w:rsidR="00000000" w:rsidRDefault="00F20BDB">
      <w:pPr>
        <w:pStyle w:val="a3"/>
        <w:spacing w:before="0" w:beforeAutospacing="0" w:after="0" w:afterAutospacing="0"/>
        <w:ind w:firstLine="589"/>
        <w:rPr>
          <w:color w:val="000000"/>
          <w:sz w:val="20"/>
          <w:szCs w:val="20"/>
        </w:rPr>
      </w:pPr>
      <w:r>
        <w:rPr>
          <w:color w:val="000000"/>
          <w:sz w:val="20"/>
          <w:szCs w:val="20"/>
        </w:rPr>
        <w:t>The following table provides a summary of lease assets and liabilit</w:t>
      </w:r>
      <w:r>
        <w:rPr>
          <w:color w:val="000000"/>
          <w:sz w:val="20"/>
          <w:szCs w:val="20"/>
        </w:rPr>
        <w:t xml:space="preserve">ies as of March 31, 2019: </w:t>
      </w:r>
    </w:p>
    <w:p w:rsidR="00000000" w:rsidRDefault="00F20BDB">
      <w:pPr>
        <w:pStyle w:val="a3"/>
        <w:spacing w:before="0" w:beforeAutospacing="0" w:after="0" w:afterAutospacing="0"/>
        <w:rPr>
          <w:sz w:val="20"/>
          <w:szCs w:val="20"/>
        </w:rPr>
      </w:pPr>
      <w:r>
        <w:rPr>
          <w:sz w:val="20"/>
          <w:szCs w:val="20"/>
        </w:rPr>
        <w:t> </w:t>
      </w:r>
    </w:p>
    <w:tbl>
      <w:tblPr>
        <w:tblW w:w="4000" w:type="pct"/>
        <w:jc w:val="center"/>
        <w:tblCellMar>
          <w:left w:w="0" w:type="dxa"/>
          <w:right w:w="0" w:type="dxa"/>
        </w:tblCellMar>
        <w:tblLook w:val="04A0" w:firstRow="1" w:lastRow="0" w:firstColumn="1" w:lastColumn="0" w:noHBand="0" w:noVBand="1"/>
      </w:tblPr>
      <w:tblGrid>
        <w:gridCol w:w="6645"/>
      </w:tblGrid>
      <w:tr w:rsidR="00000000">
        <w:trPr>
          <w:divId w:val="2011369261"/>
          <w:jc w:val="center"/>
        </w:trPr>
        <w:tc>
          <w:tcPr>
            <w:tcW w:w="0" w:type="auto"/>
            <w:vAlign w:val="center"/>
            <w:hideMark/>
          </w:tcPr>
          <w:p w:rsidR="00000000" w:rsidRDefault="00F20BDB">
            <w:pPr>
              <w:rPr>
                <w:sz w:val="20"/>
                <w:szCs w:val="20"/>
              </w:rPr>
            </w:pPr>
          </w:p>
        </w:tc>
      </w:tr>
    </w:tbl>
    <w:p w:rsidR="00000000" w:rsidRDefault="00F20BDB">
      <w:pPr>
        <w:pStyle w:val="a3"/>
        <w:spacing w:before="240" w:beforeAutospacing="0" w:after="0" w:afterAutospacing="0"/>
        <w:jc w:val="center"/>
        <w:rPr>
          <w:sz w:val="20"/>
          <w:szCs w:val="20"/>
        </w:rPr>
      </w:pPr>
      <w:r>
        <w:rPr>
          <w:sz w:val="20"/>
          <w:szCs w:val="20"/>
        </w:rPr>
        <w:t>10</w:t>
      </w:r>
    </w:p>
    <w:p w:rsidR="00000000" w:rsidRDefault="00F20BDB">
      <w:pPr>
        <w:rPr>
          <w:rFonts w:eastAsia="Times New Roman"/>
        </w:rPr>
      </w:pPr>
      <w:r>
        <w:rPr>
          <w:rFonts w:eastAsia="Times New Roman"/>
        </w:rPr>
        <w:pict>
          <v:rect id="_x0000_i1034"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tbl>
      <w:tblPr>
        <w:tblW w:w="4000" w:type="pct"/>
        <w:jc w:val="center"/>
        <w:tblCellMar>
          <w:left w:w="0" w:type="dxa"/>
          <w:right w:w="0" w:type="dxa"/>
        </w:tblCellMar>
        <w:tblLook w:val="04A0" w:firstRow="1" w:lastRow="0" w:firstColumn="1" w:lastColumn="0" w:noHBand="0" w:noVBand="1"/>
      </w:tblPr>
      <w:tblGrid>
        <w:gridCol w:w="2273"/>
        <w:gridCol w:w="203"/>
        <w:gridCol w:w="2874"/>
        <w:gridCol w:w="98"/>
        <w:gridCol w:w="115"/>
        <w:gridCol w:w="1017"/>
        <w:gridCol w:w="65"/>
      </w:tblGrid>
      <w:tr w:rsidR="00000000">
        <w:trPr>
          <w:divId w:val="2062246870"/>
          <w:jc w:val="center"/>
        </w:trPr>
        <w:tc>
          <w:tcPr>
            <w:tcW w:w="1733" w:type="pct"/>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bookmarkStart w:id="19" w:name="_AEIOULastRenderedPageBreakAEIOU11"/>
            <w:bookmarkEnd w:id="19"/>
            <w:r>
              <w:rPr>
                <w:b/>
                <w:bCs/>
                <w:color w:val="000000"/>
                <w:sz w:val="16"/>
                <w:szCs w:val="16"/>
              </w:rPr>
              <w:t>Leases</w:t>
            </w:r>
          </w:p>
        </w:tc>
        <w:tc>
          <w:tcPr>
            <w:tcW w:w="9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2185" w:type="pct"/>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Balance sheet classification</w:t>
            </w:r>
          </w:p>
        </w:tc>
        <w:tc>
          <w:tcPr>
            <w:tcW w:w="9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3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Amount</w:t>
            </w:r>
          </w:p>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2062246870"/>
          <w:jc w:val="center"/>
        </w:trPr>
        <w:tc>
          <w:tcPr>
            <w:tcW w:w="1733" w:type="pct"/>
            <w:tcBorders>
              <w:top w:val="single" w:sz="6" w:space="0" w:color="000000"/>
            </w:tcBorders>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20"/>
                <w:szCs w:val="20"/>
              </w:rPr>
            </w:pPr>
            <w:r>
              <w:rPr>
                <w:b/>
                <w:bCs/>
                <w:color w:val="000000"/>
                <w:sz w:val="20"/>
                <w:szCs w:val="20"/>
              </w:rPr>
              <w:t>Assets:</w:t>
            </w:r>
          </w:p>
        </w:tc>
        <w:tc>
          <w:tcPr>
            <w:tcW w:w="9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20"/>
                <w:szCs w:val="20"/>
              </w:rPr>
            </w:pPr>
            <w:r>
              <w:rPr>
                <w:b/>
                <w:bCs/>
                <w:color w:val="000000"/>
                <w:sz w:val="20"/>
                <w:szCs w:val="20"/>
              </w:rPr>
              <w:t> </w:t>
            </w:r>
          </w:p>
        </w:tc>
        <w:tc>
          <w:tcPr>
            <w:tcW w:w="2185" w:type="pct"/>
            <w:tcBorders>
              <w:top w:val="single" w:sz="6" w:space="0" w:color="000000"/>
            </w:tcBorders>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2062246870"/>
          <w:jc w:val="center"/>
        </w:trPr>
        <w:tc>
          <w:tcPr>
            <w:tcW w:w="173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Operating lease assets</w:t>
            </w:r>
          </w:p>
        </w:tc>
        <w:tc>
          <w:tcPr>
            <w:tcW w:w="9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137"/>
              <w:rPr>
                <w:color w:val="000000"/>
                <w:sz w:val="20"/>
                <w:szCs w:val="20"/>
              </w:rPr>
            </w:pPr>
            <w:r>
              <w:rPr>
                <w:color w:val="000000"/>
                <w:sz w:val="20"/>
                <w:szCs w:val="20"/>
              </w:rPr>
              <w:t> </w:t>
            </w:r>
          </w:p>
        </w:tc>
        <w:tc>
          <w:tcPr>
            <w:tcW w:w="218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Right-of-use assets</w:t>
            </w:r>
          </w:p>
        </w:tc>
        <w:tc>
          <w:tcPr>
            <w:tcW w:w="9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159,096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2062246870"/>
          <w:jc w:val="center"/>
        </w:trPr>
        <w:tc>
          <w:tcPr>
            <w:tcW w:w="173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Finance lease assets</w:t>
            </w:r>
          </w:p>
        </w:tc>
        <w:tc>
          <w:tcPr>
            <w:tcW w:w="9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137"/>
              <w:rPr>
                <w:color w:val="000000"/>
                <w:sz w:val="20"/>
                <w:szCs w:val="20"/>
              </w:rPr>
            </w:pPr>
            <w:r>
              <w:rPr>
                <w:color w:val="000000"/>
                <w:sz w:val="20"/>
                <w:szCs w:val="20"/>
              </w:rPr>
              <w:t> </w:t>
            </w:r>
          </w:p>
        </w:tc>
        <w:tc>
          <w:tcPr>
            <w:tcW w:w="218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Fixed assets</w:t>
            </w:r>
          </w:p>
        </w:tc>
        <w:tc>
          <w:tcPr>
            <w:tcW w:w="9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229</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2062246870"/>
          <w:jc w:val="center"/>
        </w:trPr>
        <w:tc>
          <w:tcPr>
            <w:tcW w:w="173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Total leased assets</w:t>
            </w:r>
          </w:p>
        </w:tc>
        <w:tc>
          <w:tcPr>
            <w:tcW w:w="9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218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8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159,325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2062246870"/>
          <w:jc w:val="center"/>
        </w:trPr>
        <w:tc>
          <w:tcPr>
            <w:tcW w:w="173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2"/>
                <w:szCs w:val="12"/>
              </w:rPr>
            </w:pPr>
            <w:r>
              <w:rPr>
                <w:color w:val="000000"/>
                <w:sz w:val="12"/>
                <w:szCs w:val="12"/>
              </w:rPr>
              <w:t> </w:t>
            </w:r>
          </w:p>
        </w:tc>
        <w:tc>
          <w:tcPr>
            <w:tcW w:w="9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2"/>
                <w:szCs w:val="12"/>
              </w:rPr>
            </w:pPr>
            <w:r>
              <w:rPr>
                <w:color w:val="000000"/>
                <w:sz w:val="12"/>
                <w:szCs w:val="12"/>
              </w:rPr>
              <w:t> </w:t>
            </w:r>
          </w:p>
        </w:tc>
        <w:tc>
          <w:tcPr>
            <w:tcW w:w="218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2"/>
                <w:szCs w:val="12"/>
              </w:rPr>
            </w:pPr>
            <w:r>
              <w:rPr>
                <w:color w:val="000000"/>
                <w:sz w:val="12"/>
                <w:szCs w:val="12"/>
              </w:rPr>
              <w:t> </w:t>
            </w:r>
          </w:p>
        </w:tc>
        <w:tc>
          <w:tcPr>
            <w:tcW w:w="9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2"/>
                <w:szCs w:val="12"/>
              </w:rPr>
            </w:pPr>
            <w:r>
              <w:rPr>
                <w:color w:val="000000"/>
                <w:sz w:val="12"/>
                <w:szCs w:val="12"/>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2"/>
                <w:szCs w:val="12"/>
              </w:rPr>
            </w:pPr>
            <w:r>
              <w:rPr>
                <w:color w:val="000000"/>
                <w:sz w:val="12"/>
                <w:szCs w:val="12"/>
              </w:rPr>
              <w:t> </w:t>
            </w:r>
          </w:p>
        </w:tc>
        <w:tc>
          <w:tcPr>
            <w:tcW w:w="78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2"/>
                <w:szCs w:val="12"/>
              </w:rPr>
            </w:pPr>
            <w:r>
              <w:rPr>
                <w:color w:val="000000"/>
                <w:sz w:val="12"/>
                <w:szCs w:val="12"/>
              </w:rPr>
              <w:t> </w:t>
            </w:r>
          </w:p>
        </w:tc>
      </w:tr>
      <w:tr w:rsidR="00000000">
        <w:trPr>
          <w:divId w:val="2062246870"/>
          <w:jc w:val="center"/>
        </w:trPr>
        <w:tc>
          <w:tcPr>
            <w:tcW w:w="173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20"/>
                <w:szCs w:val="20"/>
              </w:rPr>
            </w:pPr>
            <w:r>
              <w:rPr>
                <w:b/>
                <w:bCs/>
                <w:color w:val="000000"/>
                <w:sz w:val="20"/>
                <w:szCs w:val="20"/>
              </w:rPr>
              <w:t>Liabilities:</w:t>
            </w:r>
          </w:p>
        </w:tc>
        <w:tc>
          <w:tcPr>
            <w:tcW w:w="9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20"/>
                <w:szCs w:val="20"/>
              </w:rPr>
            </w:pPr>
            <w:r>
              <w:rPr>
                <w:b/>
                <w:bCs/>
                <w:color w:val="000000"/>
                <w:sz w:val="20"/>
                <w:szCs w:val="20"/>
              </w:rPr>
              <w:t> </w:t>
            </w:r>
          </w:p>
        </w:tc>
        <w:tc>
          <w:tcPr>
            <w:tcW w:w="218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2062246870"/>
          <w:jc w:val="center"/>
        </w:trPr>
        <w:tc>
          <w:tcPr>
            <w:tcW w:w="173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Current</w:t>
            </w:r>
          </w:p>
        </w:tc>
        <w:tc>
          <w:tcPr>
            <w:tcW w:w="9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218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2062246870"/>
          <w:jc w:val="center"/>
        </w:trPr>
        <w:tc>
          <w:tcPr>
            <w:tcW w:w="173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Operating</w:t>
            </w:r>
          </w:p>
        </w:tc>
        <w:tc>
          <w:tcPr>
            <w:tcW w:w="9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137"/>
              <w:rPr>
                <w:color w:val="000000"/>
                <w:sz w:val="20"/>
                <w:szCs w:val="20"/>
              </w:rPr>
            </w:pPr>
            <w:r>
              <w:rPr>
                <w:color w:val="000000"/>
                <w:sz w:val="20"/>
                <w:szCs w:val="20"/>
              </w:rPr>
              <w:t> </w:t>
            </w:r>
          </w:p>
        </w:tc>
        <w:tc>
          <w:tcPr>
            <w:tcW w:w="218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Lease liabilities</w:t>
            </w:r>
          </w:p>
        </w:tc>
        <w:tc>
          <w:tcPr>
            <w:tcW w:w="9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15,928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2062246870"/>
          <w:jc w:val="center"/>
        </w:trPr>
        <w:tc>
          <w:tcPr>
            <w:tcW w:w="173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Finance</w:t>
            </w:r>
          </w:p>
        </w:tc>
        <w:tc>
          <w:tcPr>
            <w:tcW w:w="9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137"/>
              <w:rPr>
                <w:color w:val="000000"/>
                <w:sz w:val="20"/>
                <w:szCs w:val="20"/>
              </w:rPr>
            </w:pPr>
            <w:r>
              <w:rPr>
                <w:color w:val="000000"/>
                <w:sz w:val="20"/>
                <w:szCs w:val="20"/>
              </w:rPr>
              <w:t> </w:t>
            </w:r>
          </w:p>
        </w:tc>
        <w:tc>
          <w:tcPr>
            <w:tcW w:w="218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Accrued expenses and other current liabilities</w:t>
            </w:r>
          </w:p>
        </w:tc>
        <w:tc>
          <w:tcPr>
            <w:tcW w:w="9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194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2062246870"/>
          <w:jc w:val="center"/>
        </w:trPr>
        <w:tc>
          <w:tcPr>
            <w:tcW w:w="173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Noncurrent</w:t>
            </w:r>
          </w:p>
        </w:tc>
        <w:tc>
          <w:tcPr>
            <w:tcW w:w="9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218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2062246870"/>
          <w:jc w:val="center"/>
        </w:trPr>
        <w:tc>
          <w:tcPr>
            <w:tcW w:w="173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Operating</w:t>
            </w:r>
          </w:p>
        </w:tc>
        <w:tc>
          <w:tcPr>
            <w:tcW w:w="9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137"/>
              <w:rPr>
                <w:color w:val="000000"/>
                <w:sz w:val="20"/>
                <w:szCs w:val="20"/>
              </w:rPr>
            </w:pPr>
            <w:r>
              <w:rPr>
                <w:color w:val="000000"/>
                <w:sz w:val="20"/>
                <w:szCs w:val="20"/>
              </w:rPr>
              <w:t> </w:t>
            </w:r>
          </w:p>
        </w:tc>
        <w:tc>
          <w:tcPr>
            <w:tcW w:w="218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Lease liabilities, net of current portion</w:t>
            </w:r>
          </w:p>
        </w:tc>
        <w:tc>
          <w:tcPr>
            <w:tcW w:w="9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171,200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2062246870"/>
          <w:jc w:val="center"/>
        </w:trPr>
        <w:tc>
          <w:tcPr>
            <w:tcW w:w="173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Total lease liabilities</w:t>
            </w:r>
          </w:p>
        </w:tc>
        <w:tc>
          <w:tcPr>
            <w:tcW w:w="9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218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8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187,322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0" w:beforeAutospacing="0" w:after="0" w:afterAutospacing="0"/>
        <w:jc w:val="both"/>
        <w:rPr>
          <w:sz w:val="20"/>
          <w:szCs w:val="20"/>
        </w:rPr>
      </w:pPr>
      <w:r>
        <w:rPr>
          <w:sz w:val="20"/>
          <w:szCs w:val="20"/>
        </w:rPr>
        <w:t> </w:t>
      </w:r>
    </w:p>
    <w:p w:rsidR="00000000" w:rsidRDefault="00F20BDB">
      <w:pPr>
        <w:pStyle w:val="a3"/>
        <w:spacing w:before="0" w:beforeAutospacing="0" w:after="0" w:afterAutospacing="0"/>
        <w:ind w:firstLine="816"/>
        <w:jc w:val="both"/>
        <w:rPr>
          <w:color w:val="000000"/>
          <w:sz w:val="20"/>
          <w:szCs w:val="20"/>
        </w:rPr>
      </w:pPr>
      <w:r>
        <w:rPr>
          <w:color w:val="000000"/>
          <w:sz w:val="20"/>
          <w:szCs w:val="20"/>
        </w:rPr>
        <w:t>Operating lease costs were $6.8 million for the three months ended March 31, 2019, net of $0.6 million of operating sublease income related to certain office facilities subleased to third parties. Finance lease costs consisted of $0.1 million related to th</w:t>
      </w:r>
      <w:r>
        <w:rPr>
          <w:color w:val="000000"/>
          <w:sz w:val="20"/>
          <w:szCs w:val="20"/>
        </w:rPr>
        <w:t>e amortization finance lease assets and $0 of interest expense for the three months ended March 31, 2019.</w:t>
      </w:r>
    </w:p>
    <w:p w:rsidR="00000000" w:rsidRDefault="00F20BDB">
      <w:pPr>
        <w:pStyle w:val="a3"/>
        <w:spacing w:before="0" w:beforeAutospacing="0" w:after="0" w:afterAutospacing="0"/>
        <w:jc w:val="both"/>
        <w:rPr>
          <w:sz w:val="20"/>
          <w:szCs w:val="20"/>
        </w:rPr>
      </w:pPr>
      <w:r>
        <w:rPr>
          <w:sz w:val="20"/>
          <w:szCs w:val="20"/>
        </w:rPr>
        <w:t> </w:t>
      </w:r>
    </w:p>
    <w:p w:rsidR="00000000" w:rsidRDefault="00F20BDB">
      <w:pPr>
        <w:pStyle w:val="a3"/>
        <w:spacing w:before="0" w:beforeAutospacing="0" w:after="0" w:afterAutospacing="0"/>
        <w:jc w:val="both"/>
        <w:rPr>
          <w:sz w:val="20"/>
          <w:szCs w:val="20"/>
        </w:rPr>
      </w:pPr>
      <w:r>
        <w:rPr>
          <w:sz w:val="20"/>
          <w:szCs w:val="20"/>
        </w:rPr>
        <w:t> </w:t>
      </w:r>
    </w:p>
    <w:p w:rsidR="00000000" w:rsidRDefault="00F20BDB">
      <w:pPr>
        <w:pStyle w:val="a3"/>
        <w:spacing w:before="0" w:beforeAutospacing="0" w:after="0" w:afterAutospacing="0"/>
        <w:ind w:firstLine="816"/>
        <w:rPr>
          <w:color w:val="000000"/>
          <w:sz w:val="20"/>
          <w:szCs w:val="20"/>
        </w:rPr>
      </w:pPr>
      <w:r>
        <w:rPr>
          <w:color w:val="000000"/>
          <w:sz w:val="20"/>
          <w:szCs w:val="20"/>
        </w:rPr>
        <w:t xml:space="preserve">The following table provides a reconciliation between non-cancelable lease commitments and lease liabilities as of March 31, 2019: </w:t>
      </w:r>
    </w:p>
    <w:p w:rsidR="00000000" w:rsidRDefault="00F20BDB">
      <w:pPr>
        <w:pStyle w:val="a3"/>
        <w:spacing w:before="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109"/>
        <w:gridCol w:w="203"/>
        <w:gridCol w:w="116"/>
        <w:gridCol w:w="1066"/>
        <w:gridCol w:w="82"/>
        <w:gridCol w:w="65"/>
        <w:gridCol w:w="116"/>
        <w:gridCol w:w="975"/>
        <w:gridCol w:w="82"/>
      </w:tblGrid>
      <w:tr w:rsidR="00000000">
        <w:trPr>
          <w:divId w:val="1930653609"/>
          <w:jc w:val="center"/>
        </w:trPr>
        <w:tc>
          <w:tcPr>
            <w:tcW w:w="334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16"/>
                <w:szCs w:val="16"/>
              </w:rPr>
            </w:pPr>
            <w:r>
              <w:rPr>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Operatin</w:t>
            </w:r>
            <w:r>
              <w:rPr>
                <w:b/>
                <w:bCs/>
                <w:color w:val="000000"/>
                <w:sz w:val="16"/>
                <w:szCs w:val="16"/>
              </w:rPr>
              <w:t>g leases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Finance Leases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930653609"/>
          <w:jc w:val="center"/>
        </w:trPr>
        <w:tc>
          <w:tcPr>
            <w:tcW w:w="334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Lease commitments (Note 10)</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346,241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208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930653609"/>
          <w:jc w:val="center"/>
        </w:trPr>
        <w:tc>
          <w:tcPr>
            <w:tcW w:w="334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Less: Legally binding minimum lease payments for</w:t>
            </w:r>
          </w:p>
          <w:p w:rsidR="00000000" w:rsidRDefault="00F20BDB">
            <w:pPr>
              <w:pStyle w:val="a3"/>
              <w:spacing w:before="0" w:beforeAutospacing="0" w:after="0" w:afterAutospacing="0"/>
              <w:rPr>
                <w:color w:val="000000"/>
                <w:sz w:val="20"/>
                <w:szCs w:val="20"/>
              </w:rPr>
            </w:pPr>
            <w:r>
              <w:rPr>
                <w:color w:val="000000"/>
                <w:sz w:val="20"/>
                <w:szCs w:val="20"/>
              </w:rPr>
              <w:t>   leases signed but not yet commenced</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(104,259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930653609"/>
          <w:jc w:val="center"/>
        </w:trPr>
        <w:tc>
          <w:tcPr>
            <w:tcW w:w="334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Less: Present value discount</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(54,854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930653609"/>
          <w:jc w:val="center"/>
        </w:trPr>
        <w:tc>
          <w:tcPr>
            <w:tcW w:w="334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Less: Portion representing interest</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930653609"/>
          <w:jc w:val="center"/>
        </w:trPr>
        <w:tc>
          <w:tcPr>
            <w:tcW w:w="334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Total lease liabilities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137"/>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187,128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194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0" w:beforeAutospacing="0" w:after="0" w:afterAutospacing="0"/>
        <w:jc w:val="both"/>
        <w:rPr>
          <w:sz w:val="20"/>
          <w:szCs w:val="20"/>
        </w:rPr>
      </w:pPr>
      <w:r>
        <w:rPr>
          <w:sz w:val="20"/>
          <w:szCs w:val="20"/>
        </w:rPr>
        <w:t> </w:t>
      </w:r>
    </w:p>
    <w:p w:rsidR="00000000" w:rsidRDefault="00F20BDB">
      <w:pPr>
        <w:pStyle w:val="a3"/>
        <w:spacing w:before="0" w:beforeAutospacing="0" w:after="0" w:afterAutospacing="0"/>
        <w:rPr>
          <w:b/>
          <w:bCs/>
          <w:i/>
          <w:iCs/>
          <w:color w:val="000000"/>
          <w:sz w:val="20"/>
          <w:szCs w:val="20"/>
        </w:rPr>
      </w:pPr>
      <w:r>
        <w:rPr>
          <w:b/>
          <w:bCs/>
          <w:i/>
          <w:iCs/>
          <w:color w:val="000000"/>
          <w:sz w:val="20"/>
          <w:szCs w:val="20"/>
        </w:rPr>
        <w:t>Lease Term and Discount Rate</w: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ind w:firstLine="816"/>
        <w:rPr>
          <w:color w:val="000000"/>
          <w:sz w:val="20"/>
          <w:szCs w:val="20"/>
        </w:rPr>
      </w:pPr>
      <w:r>
        <w:rPr>
          <w:color w:val="000000"/>
          <w:sz w:val="20"/>
          <w:szCs w:val="20"/>
        </w:rPr>
        <w:t xml:space="preserve">The Company uses its estimated incremental borrowing rate, which is derived from information available at the lease commencement date, in determining the present value of operating lease payments. To determine the estimated incremental borrowing rate, the </w:t>
      </w:r>
      <w:r>
        <w:rPr>
          <w:color w:val="000000"/>
          <w:sz w:val="20"/>
          <w:szCs w:val="20"/>
        </w:rPr>
        <w:t>Company uses publicly available credit ratings for peer companies. The Company estimates the incremental borrowing rate using yields for maturities that are in line with the duration of the lease payments.</w: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ind w:firstLine="816"/>
        <w:rPr>
          <w:color w:val="000000"/>
          <w:sz w:val="20"/>
          <w:szCs w:val="20"/>
        </w:rPr>
      </w:pPr>
      <w:r>
        <w:rPr>
          <w:color w:val="000000"/>
          <w:sz w:val="20"/>
          <w:szCs w:val="20"/>
        </w:rPr>
        <w:t>The following table provides weighted average re</w:t>
      </w:r>
      <w:r>
        <w:rPr>
          <w:color w:val="000000"/>
          <w:sz w:val="20"/>
          <w:szCs w:val="20"/>
        </w:rPr>
        <w:t>maining lease terms and weighted average discount rate for operating and finance leases as of March 31, 2019:</w:t>
      </w:r>
    </w:p>
    <w:p w:rsidR="00000000" w:rsidRDefault="00F20BDB">
      <w:pPr>
        <w:pStyle w:val="a3"/>
        <w:spacing w:before="0" w:beforeAutospacing="0" w:after="0" w:afterAutospacing="0"/>
        <w:jc w:val="both"/>
        <w:rPr>
          <w:sz w:val="20"/>
          <w:szCs w:val="20"/>
        </w:rPr>
      </w:pPr>
      <w:r>
        <w:rPr>
          <w:sz w:val="20"/>
          <w:szCs w:val="20"/>
        </w:rPr>
        <w:t> </w:t>
      </w:r>
    </w:p>
    <w:tbl>
      <w:tblPr>
        <w:tblW w:w="3000" w:type="pct"/>
        <w:jc w:val="center"/>
        <w:tblCellMar>
          <w:left w:w="0" w:type="dxa"/>
          <w:right w:w="0" w:type="dxa"/>
        </w:tblCellMar>
        <w:tblLook w:val="04A0" w:firstRow="1" w:lastRow="0" w:firstColumn="1" w:lastColumn="0" w:noHBand="0" w:noVBand="1"/>
      </w:tblPr>
      <w:tblGrid>
        <w:gridCol w:w="3946"/>
        <w:gridCol w:w="203"/>
        <w:gridCol w:w="835"/>
      </w:tblGrid>
      <w:tr w:rsidR="00000000">
        <w:trPr>
          <w:divId w:val="1349522398"/>
          <w:jc w:val="center"/>
        </w:trPr>
        <w:tc>
          <w:tcPr>
            <w:tcW w:w="401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20"/>
                <w:szCs w:val="20"/>
              </w:rPr>
            </w:pPr>
            <w:r>
              <w:rPr>
                <w:b/>
                <w:bCs/>
                <w:color w:val="000000"/>
                <w:sz w:val="20"/>
                <w:szCs w:val="20"/>
              </w:rPr>
              <w:t>Weighted-average remaining lease term:</w:t>
            </w:r>
          </w:p>
        </w:tc>
        <w:tc>
          <w:tcPr>
            <w:tcW w:w="9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20"/>
                <w:szCs w:val="20"/>
              </w:rPr>
            </w:pPr>
            <w:r>
              <w:rPr>
                <w:b/>
                <w:bCs/>
                <w:color w:val="000000"/>
                <w:sz w:val="20"/>
                <w:szCs w:val="20"/>
              </w:rPr>
              <w:t> </w:t>
            </w:r>
          </w:p>
        </w:tc>
        <w:tc>
          <w:tcPr>
            <w:tcW w:w="89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20"/>
                <w:szCs w:val="20"/>
              </w:rPr>
            </w:pPr>
            <w:r>
              <w:rPr>
                <w:b/>
                <w:bCs/>
                <w:color w:val="000000"/>
                <w:sz w:val="20"/>
                <w:szCs w:val="20"/>
              </w:rPr>
              <w:t> </w:t>
            </w:r>
          </w:p>
        </w:tc>
      </w:tr>
      <w:tr w:rsidR="00000000">
        <w:trPr>
          <w:divId w:val="1349522398"/>
          <w:jc w:val="center"/>
        </w:trPr>
        <w:tc>
          <w:tcPr>
            <w:tcW w:w="401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Operating leases</w:t>
            </w:r>
          </w:p>
        </w:tc>
        <w:tc>
          <w:tcPr>
            <w:tcW w:w="9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137"/>
              <w:rPr>
                <w:color w:val="000000"/>
                <w:sz w:val="20"/>
                <w:szCs w:val="20"/>
              </w:rPr>
            </w:pPr>
            <w:r>
              <w:rPr>
                <w:color w:val="000000"/>
                <w:sz w:val="20"/>
                <w:szCs w:val="20"/>
              </w:rPr>
              <w:t> </w:t>
            </w:r>
          </w:p>
        </w:tc>
        <w:tc>
          <w:tcPr>
            <w:tcW w:w="89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color w:val="000000"/>
                <w:sz w:val="20"/>
                <w:szCs w:val="20"/>
              </w:rPr>
            </w:pPr>
            <w:r>
              <w:rPr>
                <w:color w:val="000000"/>
                <w:sz w:val="20"/>
                <w:szCs w:val="20"/>
              </w:rPr>
              <w:t>9.2 years</w:t>
            </w:r>
          </w:p>
        </w:tc>
      </w:tr>
      <w:tr w:rsidR="00000000">
        <w:trPr>
          <w:divId w:val="1349522398"/>
          <w:jc w:val="center"/>
        </w:trPr>
        <w:tc>
          <w:tcPr>
            <w:tcW w:w="401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Finance leases</w:t>
            </w:r>
          </w:p>
        </w:tc>
        <w:tc>
          <w:tcPr>
            <w:tcW w:w="9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137"/>
              <w:rPr>
                <w:color w:val="000000"/>
                <w:sz w:val="20"/>
                <w:szCs w:val="20"/>
              </w:rPr>
            </w:pPr>
            <w:r>
              <w:rPr>
                <w:color w:val="000000"/>
                <w:sz w:val="20"/>
                <w:szCs w:val="20"/>
              </w:rPr>
              <w:t> </w:t>
            </w:r>
          </w:p>
        </w:tc>
        <w:tc>
          <w:tcPr>
            <w:tcW w:w="89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center"/>
              <w:rPr>
                <w:color w:val="000000"/>
                <w:sz w:val="20"/>
                <w:szCs w:val="20"/>
              </w:rPr>
            </w:pPr>
            <w:r>
              <w:rPr>
                <w:color w:val="000000"/>
                <w:sz w:val="20"/>
                <w:szCs w:val="20"/>
              </w:rPr>
              <w:t>0.7 years</w:t>
            </w:r>
          </w:p>
        </w:tc>
      </w:tr>
      <w:tr w:rsidR="00000000">
        <w:trPr>
          <w:divId w:val="1349522398"/>
          <w:jc w:val="center"/>
        </w:trPr>
        <w:tc>
          <w:tcPr>
            <w:tcW w:w="401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20"/>
                <w:szCs w:val="20"/>
              </w:rPr>
            </w:pPr>
            <w:r>
              <w:rPr>
                <w:b/>
                <w:bCs/>
                <w:color w:val="000000"/>
                <w:sz w:val="20"/>
                <w:szCs w:val="20"/>
              </w:rPr>
              <w:t>Weighted-average discount rate:</w:t>
            </w:r>
          </w:p>
        </w:tc>
        <w:tc>
          <w:tcPr>
            <w:tcW w:w="9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20"/>
                <w:szCs w:val="20"/>
              </w:rPr>
            </w:pPr>
            <w:r>
              <w:rPr>
                <w:b/>
                <w:bCs/>
                <w:color w:val="000000"/>
                <w:sz w:val="20"/>
                <w:szCs w:val="20"/>
              </w:rPr>
              <w:t> </w:t>
            </w:r>
          </w:p>
        </w:tc>
        <w:tc>
          <w:tcPr>
            <w:tcW w:w="89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color w:val="000000"/>
                <w:sz w:val="20"/>
                <w:szCs w:val="20"/>
              </w:rPr>
            </w:pPr>
            <w:r>
              <w:rPr>
                <w:color w:val="000000"/>
                <w:sz w:val="20"/>
                <w:szCs w:val="20"/>
              </w:rPr>
              <w:t> </w:t>
            </w:r>
          </w:p>
        </w:tc>
      </w:tr>
      <w:tr w:rsidR="00000000">
        <w:trPr>
          <w:divId w:val="1349522398"/>
          <w:jc w:val="center"/>
        </w:trPr>
        <w:tc>
          <w:tcPr>
            <w:tcW w:w="401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Operating leases</w:t>
            </w:r>
          </w:p>
        </w:tc>
        <w:tc>
          <w:tcPr>
            <w:tcW w:w="9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137"/>
              <w:rPr>
                <w:color w:val="000000"/>
                <w:sz w:val="20"/>
                <w:szCs w:val="20"/>
              </w:rPr>
            </w:pPr>
            <w:r>
              <w:rPr>
                <w:color w:val="000000"/>
                <w:sz w:val="20"/>
                <w:szCs w:val="20"/>
              </w:rPr>
              <w:t> </w:t>
            </w:r>
          </w:p>
        </w:tc>
        <w:tc>
          <w:tcPr>
            <w:tcW w:w="89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center"/>
              <w:rPr>
                <w:color w:val="000000"/>
                <w:sz w:val="20"/>
                <w:szCs w:val="20"/>
              </w:rPr>
            </w:pPr>
            <w:r>
              <w:rPr>
                <w:color w:val="000000"/>
                <w:sz w:val="20"/>
                <w:szCs w:val="20"/>
              </w:rPr>
              <w:t>5.8%</w:t>
            </w:r>
          </w:p>
        </w:tc>
      </w:tr>
      <w:tr w:rsidR="00000000">
        <w:trPr>
          <w:divId w:val="1349522398"/>
          <w:jc w:val="center"/>
        </w:trPr>
        <w:tc>
          <w:tcPr>
            <w:tcW w:w="401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Finance leases</w:t>
            </w:r>
          </w:p>
        </w:tc>
        <w:tc>
          <w:tcPr>
            <w:tcW w:w="9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137"/>
              <w:rPr>
                <w:color w:val="000000"/>
                <w:sz w:val="20"/>
                <w:szCs w:val="20"/>
              </w:rPr>
            </w:pPr>
            <w:r>
              <w:rPr>
                <w:color w:val="000000"/>
                <w:sz w:val="20"/>
                <w:szCs w:val="20"/>
              </w:rPr>
              <w:t> </w:t>
            </w:r>
          </w:p>
        </w:tc>
        <w:tc>
          <w:tcPr>
            <w:tcW w:w="89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color w:val="000000"/>
                <w:sz w:val="20"/>
                <w:szCs w:val="20"/>
              </w:rPr>
            </w:pPr>
            <w:r>
              <w:rPr>
                <w:color w:val="000000"/>
                <w:sz w:val="20"/>
                <w:szCs w:val="20"/>
              </w:rPr>
              <w:t>3.8%</w:t>
            </w:r>
          </w:p>
        </w:tc>
      </w:tr>
    </w:tbl>
    <w:p w:rsidR="00000000" w:rsidRDefault="00F20BDB">
      <w:pPr>
        <w:pStyle w:val="a3"/>
        <w:spacing w:before="360" w:beforeAutospacing="0" w:after="0" w:afterAutospacing="0"/>
        <w:jc w:val="both"/>
        <w:rPr>
          <w:b/>
          <w:bCs/>
          <w:i/>
          <w:iCs/>
          <w:color w:val="000000"/>
          <w:sz w:val="20"/>
          <w:szCs w:val="20"/>
        </w:rPr>
      </w:pPr>
      <w:r>
        <w:rPr>
          <w:b/>
          <w:bCs/>
          <w:i/>
          <w:iCs/>
          <w:color w:val="000000"/>
          <w:sz w:val="20"/>
          <w:szCs w:val="20"/>
        </w:rPr>
        <w:t>Other Information</w:t>
      </w:r>
    </w:p>
    <w:p w:rsidR="00000000" w:rsidRDefault="00F20BDB">
      <w:pPr>
        <w:pStyle w:val="a3"/>
        <w:spacing w:before="120" w:beforeAutospacing="0" w:after="0" w:afterAutospacing="0"/>
        <w:ind w:firstLine="496"/>
        <w:jc w:val="both"/>
        <w:rPr>
          <w:color w:val="000000"/>
          <w:sz w:val="20"/>
          <w:szCs w:val="20"/>
        </w:rPr>
      </w:pPr>
      <w:r>
        <w:rPr>
          <w:color w:val="000000"/>
          <w:sz w:val="20"/>
          <w:szCs w:val="20"/>
        </w:rPr>
        <w:t>Cash payments related to our operating lease liabilities were $5.6 million for the three months ended March 31, 2019. Cash payments related to our financing lease liabilities were $0.1 million for the three months ended March 31, 2019.</w:t>
      </w:r>
    </w:p>
    <w:p w:rsidR="00000000" w:rsidRDefault="00F20BDB">
      <w:pPr>
        <w:pStyle w:val="a3"/>
        <w:spacing w:before="0" w:beforeAutospacing="0" w:after="0" w:afterAutospacing="0"/>
        <w:jc w:val="both"/>
        <w:rPr>
          <w:sz w:val="20"/>
          <w:szCs w:val="20"/>
        </w:rPr>
      </w:pPr>
      <w:r>
        <w:rPr>
          <w:sz w:val="20"/>
          <w:szCs w:val="20"/>
        </w:rPr>
        <w:t> </w:t>
      </w:r>
    </w:p>
    <w:p w:rsidR="00000000" w:rsidRDefault="00F20BDB">
      <w:pPr>
        <w:pStyle w:val="a3"/>
        <w:spacing w:before="0" w:beforeAutospacing="0" w:after="0" w:afterAutospacing="0"/>
        <w:jc w:val="both"/>
        <w:rPr>
          <w:sz w:val="20"/>
          <w:szCs w:val="20"/>
        </w:rPr>
      </w:pPr>
      <w:r>
        <w:rPr>
          <w:sz w:val="20"/>
          <w:szCs w:val="20"/>
        </w:rPr>
        <w:t> </w:t>
      </w:r>
    </w:p>
    <w:p w:rsidR="00000000" w:rsidRDefault="00F20BDB">
      <w:pPr>
        <w:pStyle w:val="a3"/>
        <w:spacing w:before="0" w:beforeAutospacing="0" w:after="0" w:afterAutospacing="0"/>
        <w:jc w:val="both"/>
        <w:rPr>
          <w:sz w:val="20"/>
          <w:szCs w:val="20"/>
        </w:rPr>
      </w:pPr>
      <w:r>
        <w:rPr>
          <w:sz w:val="20"/>
          <w:szCs w:val="20"/>
        </w:rPr>
        <w:t> </w:t>
      </w:r>
    </w:p>
    <w:p w:rsidR="00000000" w:rsidRDefault="00F20BDB">
      <w:pPr>
        <w:pStyle w:val="a3"/>
        <w:spacing w:before="0" w:beforeAutospacing="0" w:after="0" w:afterAutospacing="0"/>
        <w:jc w:val="both"/>
        <w:rPr>
          <w:sz w:val="20"/>
          <w:szCs w:val="20"/>
        </w:rPr>
      </w:pPr>
      <w:r>
        <w:rPr>
          <w:sz w:val="20"/>
          <w:szCs w:val="20"/>
        </w:rPr>
        <w:t> </w:t>
      </w:r>
    </w:p>
    <w:p w:rsidR="00000000" w:rsidRDefault="00F20BDB">
      <w:pPr>
        <w:pStyle w:val="a3"/>
        <w:spacing w:before="0" w:beforeAutospacing="0" w:after="0" w:afterAutospacing="0"/>
        <w:jc w:val="both"/>
        <w:rPr>
          <w:sz w:val="20"/>
          <w:szCs w:val="20"/>
        </w:rPr>
      </w:pPr>
      <w:r>
        <w:rPr>
          <w:sz w:val="20"/>
          <w:szCs w:val="20"/>
        </w:rPr>
        <w:t> </w:t>
      </w:r>
    </w:p>
    <w:p w:rsidR="00000000" w:rsidRDefault="00F20BDB">
      <w:pPr>
        <w:pStyle w:val="a3"/>
        <w:spacing w:before="0" w:beforeAutospacing="0" w:after="0" w:afterAutospacing="0"/>
        <w:jc w:val="both"/>
        <w:rPr>
          <w:sz w:val="20"/>
          <w:szCs w:val="20"/>
        </w:rPr>
      </w:pPr>
      <w:r>
        <w:rPr>
          <w:sz w:val="20"/>
          <w:szCs w:val="20"/>
        </w:rPr>
        <w:t> </w:t>
      </w:r>
    </w:p>
    <w:p w:rsidR="00000000" w:rsidRDefault="00F20BDB">
      <w:pPr>
        <w:pStyle w:val="a3"/>
        <w:spacing w:before="240" w:beforeAutospacing="0" w:after="0" w:afterAutospacing="0"/>
        <w:jc w:val="center"/>
        <w:rPr>
          <w:sz w:val="20"/>
          <w:szCs w:val="20"/>
        </w:rPr>
      </w:pPr>
      <w:r>
        <w:rPr>
          <w:sz w:val="20"/>
          <w:szCs w:val="20"/>
        </w:rPr>
        <w:t>11</w:t>
      </w:r>
    </w:p>
    <w:p w:rsidR="00000000" w:rsidRDefault="00F20BDB">
      <w:pPr>
        <w:rPr>
          <w:rFonts w:eastAsia="Times New Roman"/>
        </w:rPr>
      </w:pPr>
      <w:r>
        <w:rPr>
          <w:rFonts w:eastAsia="Times New Roman"/>
        </w:rPr>
        <w:pict>
          <v:rect id="_x0000_i1035"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jc w:val="both"/>
        <w:rPr>
          <w:b/>
          <w:bCs/>
          <w:sz w:val="20"/>
          <w:szCs w:val="20"/>
        </w:rPr>
      </w:pPr>
      <w:bookmarkStart w:id="20" w:name="_AEIOULastRenderedPageBreakAEIOU12"/>
      <w:bookmarkEnd w:id="20"/>
      <w:r>
        <w:rPr>
          <w:b/>
          <w:bCs/>
          <w:sz w:val="20"/>
          <w:szCs w:val="20"/>
        </w:rPr>
        <w:t>3. Revenues</w:t>
      </w:r>
    </w:p>
    <w:p w:rsidR="00000000" w:rsidRDefault="00F20BDB">
      <w:pPr>
        <w:pStyle w:val="a3"/>
        <w:spacing w:before="0" w:beforeAutospacing="0" w:after="0" w:afterAutospacing="0"/>
        <w:jc w:val="both"/>
        <w:rPr>
          <w:sz w:val="20"/>
          <w:szCs w:val="20"/>
        </w:rPr>
      </w:pPr>
      <w:r>
        <w:rPr>
          <w:sz w:val="20"/>
          <w:szCs w:val="20"/>
        </w:rPr>
        <w:t> </w:t>
      </w:r>
    </w:p>
    <w:p w:rsidR="00000000" w:rsidRDefault="00F20BDB">
      <w:pPr>
        <w:pStyle w:val="a3"/>
        <w:spacing w:before="0" w:beforeAutospacing="0" w:after="0" w:afterAutospacing="0"/>
        <w:jc w:val="both"/>
        <w:rPr>
          <w:b/>
          <w:bCs/>
          <w:i/>
          <w:iCs/>
          <w:sz w:val="20"/>
          <w:szCs w:val="20"/>
        </w:rPr>
      </w:pPr>
      <w:r>
        <w:rPr>
          <w:b/>
          <w:bCs/>
          <w:i/>
          <w:iCs/>
          <w:sz w:val="20"/>
          <w:szCs w:val="20"/>
        </w:rPr>
        <w:t xml:space="preserve">Disaggregation of Revenue </w: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ind w:firstLine="816"/>
        <w:rPr>
          <w:sz w:val="20"/>
          <w:szCs w:val="20"/>
        </w:rPr>
      </w:pPr>
      <w:r>
        <w:rPr>
          <w:sz w:val="20"/>
          <w:szCs w:val="20"/>
        </w:rPr>
        <w:t>The Company provides disaggrega</w:t>
      </w:r>
      <w:r>
        <w:rPr>
          <w:sz w:val="20"/>
          <w:szCs w:val="20"/>
        </w:rPr>
        <w:t xml:space="preserve">tion of revenue based on geographic region (Note 14) and based on the subscription </w:t>
      </w:r>
      <w:r>
        <w:rPr>
          <w:color w:val="000000"/>
          <w:sz w:val="20"/>
          <w:szCs w:val="20"/>
        </w:rPr>
        <w:t>versus</w:t>
      </w:r>
      <w:r>
        <w:rPr>
          <w:sz w:val="20"/>
          <w:szCs w:val="20"/>
        </w:rPr>
        <w:t xml:space="preserve"> professional services and other classification on the consolidated statements of operations as it believes these best depict how the nature, amount, timing and uncert</w:t>
      </w:r>
      <w:r>
        <w:rPr>
          <w:sz w:val="20"/>
          <w:szCs w:val="20"/>
        </w:rPr>
        <w:t>ainty of revenue and cash flows are affected by economic factors.</w:t>
      </w:r>
    </w:p>
    <w:p w:rsidR="00000000" w:rsidRDefault="00F20BDB">
      <w:pPr>
        <w:pStyle w:val="a3"/>
        <w:spacing w:before="0" w:beforeAutospacing="0" w:after="0" w:afterAutospacing="0"/>
        <w:ind w:firstLine="816"/>
        <w:rPr>
          <w:sz w:val="20"/>
          <w:szCs w:val="20"/>
        </w:rPr>
      </w:pPr>
      <w:r>
        <w:rPr>
          <w:sz w:val="20"/>
          <w:szCs w:val="20"/>
        </w:rPr>
        <w:t> </w:t>
      </w:r>
    </w:p>
    <w:p w:rsidR="00000000" w:rsidRDefault="00F20BDB">
      <w:pPr>
        <w:pStyle w:val="a3"/>
        <w:spacing w:before="0" w:beforeAutospacing="0" w:after="0" w:afterAutospacing="0"/>
        <w:jc w:val="both"/>
        <w:rPr>
          <w:b/>
          <w:bCs/>
          <w:i/>
          <w:iCs/>
          <w:color w:val="000000"/>
          <w:sz w:val="20"/>
          <w:szCs w:val="20"/>
        </w:rPr>
      </w:pPr>
      <w:r>
        <w:rPr>
          <w:b/>
          <w:bCs/>
          <w:i/>
          <w:iCs/>
          <w:color w:val="000000"/>
          <w:sz w:val="20"/>
          <w:szCs w:val="20"/>
        </w:rPr>
        <w:t>Deferred Revenue, Deferred Commission Expense, and Accrued Expenses and Other Current Liabilities</w:t>
      </w:r>
    </w:p>
    <w:p w:rsidR="00000000" w:rsidRDefault="00F20BDB">
      <w:pPr>
        <w:pStyle w:val="a3"/>
        <w:spacing w:before="0" w:beforeAutospacing="0" w:after="0" w:afterAutospacing="0"/>
        <w:jc w:val="both"/>
        <w:rPr>
          <w:sz w:val="20"/>
          <w:szCs w:val="20"/>
        </w:rPr>
      </w:pPr>
      <w:r>
        <w:rPr>
          <w:sz w:val="20"/>
          <w:szCs w:val="20"/>
        </w:rPr>
        <w:t> </w:t>
      </w:r>
    </w:p>
    <w:p w:rsidR="00000000" w:rsidRDefault="00F20BDB">
      <w:pPr>
        <w:pStyle w:val="a3"/>
        <w:spacing w:before="0" w:beforeAutospacing="0" w:after="0" w:afterAutospacing="0"/>
        <w:ind w:firstLine="816"/>
        <w:jc w:val="both"/>
        <w:rPr>
          <w:color w:val="000000"/>
          <w:sz w:val="20"/>
          <w:szCs w:val="20"/>
        </w:rPr>
      </w:pPr>
      <w:r>
        <w:rPr>
          <w:color w:val="000000"/>
          <w:sz w:val="20"/>
          <w:szCs w:val="20"/>
        </w:rPr>
        <w:t>Amounts that have been invoiced are recorded in accounts receivable and deferred revenue or revenue, depending on whether the revenue recognition criteria have been met. Deferred revenue represents amounts billed for which revenue has not yet been recogniz</w:t>
      </w:r>
      <w:r>
        <w:rPr>
          <w:color w:val="000000"/>
          <w:sz w:val="20"/>
          <w:szCs w:val="20"/>
        </w:rPr>
        <w:t xml:space="preserve">ed. Deferred revenue that will be recognized during the succeeding 12-month period is recorded as current deferred revenue, and the remaining portion is recorded as long-term deferred revenue.  Deferred revenue during the three months ended March 31, 2019 </w:t>
      </w:r>
      <w:r>
        <w:rPr>
          <w:color w:val="000000"/>
          <w:sz w:val="20"/>
          <w:szCs w:val="20"/>
        </w:rPr>
        <w:t>increased by $8.0 million resulting from $159.8 million of additional invoicing and was offset by revenue recognized of $151.8 million during the same period. $94.4 million of revenue was recognized during the three month period ended March 31, 2019 that w</w:t>
      </w:r>
      <w:r>
        <w:rPr>
          <w:color w:val="000000"/>
          <w:sz w:val="20"/>
          <w:szCs w:val="20"/>
        </w:rPr>
        <w:t xml:space="preserve">as included in deferred revenue at the beginning of the period. $134.4 million of revenue is expected to be recognized from remaining performance obligations for contracts with original performance obligations that exceed one year.  The Company expects to </w:t>
      </w:r>
      <w:r>
        <w:rPr>
          <w:color w:val="000000"/>
          <w:sz w:val="20"/>
          <w:szCs w:val="20"/>
        </w:rPr>
        <w:t>recognize revenue on approximately 94% of these remaining performance obligations over the next 24 months, with the balance recognized thereafter.</w:t>
      </w:r>
      <w:r>
        <w:rPr>
          <w:rFonts w:ascii="Arial" w:hAnsi="Arial" w:cs="Arial"/>
          <w:color w:val="000000"/>
          <w:sz w:val="20"/>
          <w:szCs w:val="20"/>
        </w:rPr>
        <w:t xml:space="preserve">   </w:t>
      </w:r>
    </w:p>
    <w:p w:rsidR="00000000" w:rsidRDefault="00F20BDB">
      <w:pPr>
        <w:pStyle w:val="a3"/>
        <w:spacing w:before="0" w:beforeAutospacing="0" w:after="0" w:afterAutospacing="0"/>
        <w:ind w:firstLine="816"/>
        <w:jc w:val="both"/>
        <w:rPr>
          <w:sz w:val="20"/>
          <w:szCs w:val="20"/>
        </w:rPr>
      </w:pPr>
      <w:r>
        <w:rPr>
          <w:sz w:val="20"/>
          <w:szCs w:val="20"/>
        </w:rPr>
        <w:t> </w:t>
      </w:r>
    </w:p>
    <w:p w:rsidR="00000000" w:rsidRDefault="00F20BDB">
      <w:pPr>
        <w:pStyle w:val="a3"/>
        <w:spacing w:before="0" w:beforeAutospacing="0" w:after="0" w:afterAutospacing="0"/>
        <w:ind w:firstLine="816"/>
        <w:jc w:val="both"/>
        <w:rPr>
          <w:color w:val="000000"/>
          <w:sz w:val="20"/>
          <w:szCs w:val="20"/>
        </w:rPr>
      </w:pPr>
      <w:r>
        <w:rPr>
          <w:color w:val="000000"/>
          <w:sz w:val="20"/>
          <w:szCs w:val="20"/>
        </w:rPr>
        <w:t>Additional contract liabilities of $1.3 million and $1.6 million were included in accrued expenses and o</w:t>
      </w:r>
      <w:r>
        <w:rPr>
          <w:color w:val="000000"/>
          <w:sz w:val="20"/>
          <w:szCs w:val="20"/>
        </w:rPr>
        <w:t>ther current liabilities on the consolidated balance sheet as of March 31, 2019 and December 31, 2018.</w:t>
      </w:r>
    </w:p>
    <w:p w:rsidR="00000000" w:rsidRDefault="00F20BDB">
      <w:pPr>
        <w:pStyle w:val="a3"/>
        <w:spacing w:before="240" w:beforeAutospacing="0" w:after="0" w:afterAutospacing="0"/>
        <w:ind w:firstLine="556"/>
        <w:rPr>
          <w:color w:val="000000"/>
          <w:sz w:val="20"/>
          <w:szCs w:val="20"/>
        </w:rPr>
      </w:pPr>
      <w:r>
        <w:rPr>
          <w:color w:val="000000"/>
          <w:sz w:val="20"/>
          <w:szCs w:val="20"/>
        </w:rPr>
        <w:t xml:space="preserve">The incremental direct costs of obtaining a contract, which primarily consist of sales commissions paid for new subscription contracts, are deferred and </w:t>
      </w:r>
      <w:r>
        <w:rPr>
          <w:color w:val="000000"/>
          <w:sz w:val="20"/>
          <w:szCs w:val="20"/>
        </w:rPr>
        <w:t>amortized on a straight-line basis over a period of approximately one to three years.  The one to three-year period has been determined by taking into consideration the type of product sold, the commitment term of the customer contract, the nature of the C</w:t>
      </w:r>
      <w:r>
        <w:rPr>
          <w:color w:val="000000"/>
          <w:sz w:val="20"/>
          <w:szCs w:val="20"/>
        </w:rPr>
        <w:t>ompany’s technology development life-cycle, and an estimated customer relationship period.  Sales commissions for upgrade contracts are deferred and amortized on a straight-line basis over the remaining estimated customer relationship period of the related</w:t>
      </w:r>
      <w:r>
        <w:rPr>
          <w:color w:val="000000"/>
          <w:sz w:val="20"/>
          <w:szCs w:val="20"/>
        </w:rPr>
        <w:t xml:space="preserve"> customer.  Deferred commission expense that will be recorded as expense during the succeeding 12-month period is recorded as current deferred commission expense, and the remaining portion is recorded as long-term deferred commission expense. Deferred comm</w:t>
      </w:r>
      <w:r>
        <w:rPr>
          <w:color w:val="000000"/>
          <w:sz w:val="20"/>
          <w:szCs w:val="20"/>
        </w:rPr>
        <w:t xml:space="preserve">ission expense during the three months ended March 31, 2019 increased by $3.1 million as a result of deferring incremental costs of obtaining a contract of $9.9 million and was offset by amortization of $6.8 million during the same period. </w:t>
      </w:r>
    </w:p>
    <w:p w:rsidR="00000000" w:rsidRDefault="00F20BDB">
      <w:pPr>
        <w:pStyle w:val="a3"/>
        <w:spacing w:before="0" w:beforeAutospacing="0" w:after="0" w:afterAutospacing="0"/>
        <w:rPr>
          <w:sz w:val="18"/>
          <w:szCs w:val="18"/>
        </w:rPr>
      </w:pPr>
      <w:r>
        <w:rPr>
          <w:sz w:val="18"/>
          <w:szCs w:val="18"/>
        </w:rPr>
        <w:t> </w:t>
      </w:r>
    </w:p>
    <w:p w:rsidR="00000000" w:rsidRDefault="00F20BDB">
      <w:pPr>
        <w:pStyle w:val="a3"/>
        <w:spacing w:before="0" w:beforeAutospacing="0" w:after="0" w:afterAutospacing="0"/>
        <w:rPr>
          <w:b/>
          <w:bCs/>
          <w:sz w:val="20"/>
          <w:szCs w:val="20"/>
        </w:rPr>
      </w:pPr>
      <w:r>
        <w:rPr>
          <w:b/>
          <w:bCs/>
          <w:sz w:val="20"/>
          <w:szCs w:val="20"/>
        </w:rPr>
        <w:t>4. Net Loss p</w:t>
      </w:r>
      <w:r>
        <w:rPr>
          <w:b/>
          <w:bCs/>
          <w:sz w:val="20"/>
          <w:szCs w:val="20"/>
        </w:rPr>
        <w:t>er Share</w:t>
      </w:r>
    </w:p>
    <w:p w:rsidR="00000000" w:rsidRDefault="00F20BDB">
      <w:pPr>
        <w:pStyle w:val="a3"/>
        <w:spacing w:before="120" w:beforeAutospacing="0" w:after="0" w:afterAutospacing="0"/>
        <w:ind w:firstLine="556"/>
        <w:rPr>
          <w:sz w:val="20"/>
          <w:szCs w:val="20"/>
        </w:rPr>
      </w:pPr>
      <w:r>
        <w:rPr>
          <w:sz w:val="20"/>
          <w:szCs w:val="20"/>
        </w:rPr>
        <w:t>Basic net loss per share is computed by dividing net loss by the weighted average number of common shares outstanding for the period. Diluted net loss per share is computed by giving effect to all potential dilutive common stock equivalents outsta</w:t>
      </w:r>
      <w:r>
        <w:rPr>
          <w:sz w:val="20"/>
          <w:szCs w:val="20"/>
        </w:rPr>
        <w:t>nding for the period. For purposes of this calculation, options to purchase common stock, restricted stock units (“RSUs”), Employee Stock Purchase Plan (“ESPP”), common stock warrants, and the Conversion Option of the 2022 Notes are considered to be potent</w:t>
      </w:r>
      <w:r>
        <w:rPr>
          <w:sz w:val="20"/>
          <w:szCs w:val="20"/>
        </w:rPr>
        <w:t xml:space="preserve">ial common stock equivalents. </w:t>
      </w:r>
    </w:p>
    <w:p w:rsidR="00000000" w:rsidRDefault="00F20BDB">
      <w:pPr>
        <w:pStyle w:val="a3"/>
        <w:spacing w:before="240" w:beforeAutospacing="0" w:after="0" w:afterAutospacing="0"/>
        <w:ind w:firstLine="556"/>
        <w:rPr>
          <w:sz w:val="20"/>
          <w:szCs w:val="20"/>
        </w:rPr>
      </w:pPr>
      <w:r>
        <w:rPr>
          <w:sz w:val="20"/>
          <w:szCs w:val="20"/>
        </w:rPr>
        <w:t>A reconciliation of the denominator used in the calculation of basic and diluted net loss per share is as follows:</w:t>
      </w:r>
    </w:p>
    <w:p w:rsidR="00000000" w:rsidRDefault="00F20BDB">
      <w:pPr>
        <w:pStyle w:val="a3"/>
        <w:spacing w:before="0" w:beforeAutospacing="0" w:after="0" w:afterAutospacing="0"/>
        <w:rPr>
          <w:sz w:val="20"/>
          <w:szCs w:val="20"/>
        </w:rPr>
      </w:pPr>
      <w:bookmarkStart w:id="21" w:name="_Hlk488248310"/>
      <w:bookmarkEnd w:id="21"/>
      <w:r>
        <w:rPr>
          <w:sz w:val="20"/>
          <w:szCs w:val="20"/>
        </w:rPr>
        <w:t> </w:t>
      </w:r>
    </w:p>
    <w:tbl>
      <w:tblPr>
        <w:tblW w:w="3500" w:type="pct"/>
        <w:jc w:val="center"/>
        <w:tblCellMar>
          <w:left w:w="0" w:type="dxa"/>
          <w:right w:w="0" w:type="dxa"/>
        </w:tblCellMar>
        <w:tblLook w:val="04A0" w:firstRow="1" w:lastRow="0" w:firstColumn="1" w:lastColumn="0" w:noHBand="0" w:noVBand="1"/>
      </w:tblPr>
      <w:tblGrid>
        <w:gridCol w:w="3908"/>
        <w:gridCol w:w="115"/>
        <w:gridCol w:w="732"/>
        <w:gridCol w:w="82"/>
        <w:gridCol w:w="65"/>
        <w:gridCol w:w="115"/>
        <w:gridCol w:w="715"/>
        <w:gridCol w:w="82"/>
      </w:tblGrid>
      <w:tr w:rsidR="00000000">
        <w:trPr>
          <w:divId w:val="1553423244"/>
          <w:jc w:val="center"/>
        </w:trPr>
        <w:tc>
          <w:tcPr>
            <w:tcW w:w="339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155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553423244"/>
          <w:jc w:val="center"/>
        </w:trPr>
        <w:tc>
          <w:tcPr>
            <w:tcW w:w="339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6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6"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6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553423244"/>
          <w:jc w:val="center"/>
        </w:trPr>
        <w:tc>
          <w:tcPr>
            <w:tcW w:w="339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Net loss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6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(11,100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6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(15,448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553423244"/>
          <w:jc w:val="center"/>
        </w:trPr>
        <w:tc>
          <w:tcPr>
            <w:tcW w:w="339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Weighted-average common shares</w:t>
            </w:r>
          </w:p>
          <w:p w:rsidR="00000000" w:rsidRDefault="00F20BDB">
            <w:pPr>
              <w:pStyle w:val="a3"/>
              <w:spacing w:before="0" w:beforeAutospacing="0" w:after="0" w:afterAutospacing="0"/>
              <w:rPr>
                <w:color w:val="000000"/>
                <w:sz w:val="20"/>
                <w:szCs w:val="20"/>
              </w:rPr>
            </w:pPr>
            <w:r>
              <w:rPr>
                <w:color w:val="000000"/>
                <w:sz w:val="20"/>
                <w:szCs w:val="20"/>
              </w:rPr>
              <w:t>   outstanding — basic</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6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40,568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6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37,832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553423244"/>
          <w:jc w:val="center"/>
        </w:trPr>
        <w:tc>
          <w:tcPr>
            <w:tcW w:w="339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Dilutive effect of share equivalents resulting</w:t>
            </w:r>
          </w:p>
          <w:p w:rsidR="00000000" w:rsidRDefault="00F20BDB">
            <w:pPr>
              <w:pStyle w:val="a3"/>
              <w:spacing w:before="0" w:beforeAutospacing="0" w:after="0" w:afterAutospacing="0"/>
              <w:rPr>
                <w:color w:val="000000"/>
                <w:sz w:val="20"/>
                <w:szCs w:val="20"/>
              </w:rPr>
            </w:pPr>
            <w:r>
              <w:rPr>
                <w:color w:val="000000"/>
                <w:sz w:val="20"/>
                <w:szCs w:val="20"/>
              </w:rPr>
              <w:t>   from stock options, RSUs, ESPP,</w:t>
            </w:r>
          </w:p>
          <w:p w:rsidR="00000000" w:rsidRDefault="00F20BDB">
            <w:pPr>
              <w:pStyle w:val="a3"/>
              <w:spacing w:before="0" w:beforeAutospacing="0" w:after="0" w:afterAutospacing="0"/>
              <w:rPr>
                <w:color w:val="000000"/>
                <w:sz w:val="20"/>
                <w:szCs w:val="20"/>
              </w:rPr>
            </w:pPr>
            <w:r>
              <w:rPr>
                <w:color w:val="000000"/>
                <w:sz w:val="20"/>
                <w:szCs w:val="20"/>
              </w:rPr>
              <w:t>   common stock warrants and the Conversion</w:t>
            </w:r>
          </w:p>
          <w:p w:rsidR="00000000" w:rsidRDefault="00F20BDB">
            <w:pPr>
              <w:pStyle w:val="a3"/>
              <w:spacing w:before="0" w:beforeAutospacing="0" w:after="0" w:afterAutospacing="0"/>
              <w:rPr>
                <w:color w:val="000000"/>
                <w:sz w:val="20"/>
                <w:szCs w:val="20"/>
              </w:rPr>
            </w:pPr>
            <w:r>
              <w:rPr>
                <w:color w:val="000000"/>
                <w:sz w:val="20"/>
                <w:szCs w:val="20"/>
              </w:rPr>
              <w:t>   Option of the 2022 Notes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6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6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553423244"/>
          <w:jc w:val="center"/>
        </w:trPr>
        <w:tc>
          <w:tcPr>
            <w:tcW w:w="339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Weighted-average common shares,</w:t>
            </w:r>
          </w:p>
          <w:p w:rsidR="00000000" w:rsidRDefault="00F20BDB">
            <w:pPr>
              <w:pStyle w:val="a3"/>
              <w:spacing w:before="0" w:beforeAutospacing="0" w:after="0" w:afterAutospacing="0"/>
              <w:rPr>
                <w:color w:val="000000"/>
                <w:sz w:val="20"/>
                <w:szCs w:val="20"/>
              </w:rPr>
            </w:pPr>
            <w:r>
              <w:rPr>
                <w:color w:val="000000"/>
                <w:sz w:val="20"/>
                <w:szCs w:val="20"/>
              </w:rPr>
              <w:t>   outstanding — diluted</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6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40,568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6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37,832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553423244"/>
          <w:jc w:val="center"/>
        </w:trPr>
        <w:tc>
          <w:tcPr>
            <w:tcW w:w="339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Net loss per share, basic and diluted</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6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(0.27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6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(0.41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ind w:firstLine="556"/>
        <w:rPr>
          <w:sz w:val="20"/>
          <w:szCs w:val="20"/>
        </w:rPr>
      </w:pPr>
      <w:bookmarkStart w:id="22" w:name="_AEIOULastRenderedPageBreakAEIOU13"/>
      <w:bookmarkEnd w:id="22"/>
      <w:r>
        <w:rPr>
          <w:sz w:val="20"/>
          <w:szCs w:val="20"/>
        </w:rPr>
        <w:t xml:space="preserve">Additionally, since the Company incurred net losses for each of the periods presented, diluted net loss per share is the same as basic net loss per share. The Company’s outstanding stock options, RSUs, ESPP, common stock warrants, and Conversion Option of </w:t>
      </w:r>
    </w:p>
    <w:p w:rsidR="00000000" w:rsidRDefault="00F20BDB">
      <w:pPr>
        <w:pStyle w:val="a3"/>
        <w:spacing w:before="240" w:beforeAutospacing="0" w:after="0" w:afterAutospacing="0"/>
        <w:jc w:val="center"/>
        <w:rPr>
          <w:sz w:val="20"/>
          <w:szCs w:val="20"/>
        </w:rPr>
      </w:pPr>
      <w:r>
        <w:rPr>
          <w:sz w:val="20"/>
          <w:szCs w:val="20"/>
        </w:rPr>
        <w:t>12</w:t>
      </w:r>
    </w:p>
    <w:p w:rsidR="00000000" w:rsidRDefault="00F20BDB">
      <w:pPr>
        <w:rPr>
          <w:rFonts w:eastAsia="Times New Roman"/>
        </w:rPr>
      </w:pPr>
      <w:r>
        <w:rPr>
          <w:rFonts w:eastAsia="Times New Roman"/>
        </w:rPr>
        <w:pict>
          <v:rect id="_x0000_i1036"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rPr>
          <w:sz w:val="20"/>
          <w:szCs w:val="20"/>
        </w:rPr>
      </w:pPr>
      <w:r>
        <w:rPr>
          <w:sz w:val="20"/>
          <w:szCs w:val="20"/>
        </w:rPr>
        <w:t>the 2022 Notes were not included in the calculation of diluted net loss per share as the effect would be anti-dilutive. The following table contains all potentially dilutive common stock equivalents.</w:t>
      </w:r>
      <w:r>
        <w:rPr>
          <w:sz w:val="16"/>
          <w:szCs w:val="16"/>
        </w:rPr>
        <w:t xml:space="preserve"> </w:t>
      </w:r>
    </w:p>
    <w:p w:rsidR="00000000" w:rsidRDefault="00F20BDB">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89"/>
        <w:gridCol w:w="88"/>
        <w:gridCol w:w="65"/>
        <w:gridCol w:w="744"/>
        <w:gridCol w:w="65"/>
        <w:gridCol w:w="89"/>
        <w:gridCol w:w="65"/>
        <w:gridCol w:w="744"/>
        <w:gridCol w:w="65"/>
      </w:tblGrid>
      <w:tr w:rsidR="00000000">
        <w:trPr>
          <w:divId w:val="1982491202"/>
          <w:jc w:val="center"/>
        </w:trPr>
        <w:tc>
          <w:tcPr>
            <w:tcW w:w="334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As of March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982491202"/>
          <w:jc w:val="center"/>
        </w:trPr>
        <w:tc>
          <w:tcPr>
            <w:tcW w:w="334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982491202"/>
          <w:jc w:val="center"/>
        </w:trPr>
        <w:tc>
          <w:tcPr>
            <w:tcW w:w="334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1519" w:type="pct"/>
            <w:gridSpan w:val="6"/>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982491202"/>
          <w:jc w:val="center"/>
        </w:trPr>
        <w:tc>
          <w:tcPr>
            <w:tcW w:w="334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Options to purchase common shares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1,734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2,142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982491202"/>
          <w:jc w:val="center"/>
        </w:trPr>
        <w:tc>
          <w:tcPr>
            <w:tcW w:w="334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RSUs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1,911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2,284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982491202"/>
          <w:jc w:val="center"/>
        </w:trPr>
        <w:tc>
          <w:tcPr>
            <w:tcW w:w="334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Conversion option of the 2022 Notes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1,696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383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982491202"/>
          <w:jc w:val="center"/>
        </w:trPr>
        <w:tc>
          <w:tcPr>
            <w:tcW w:w="334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Common stock warrants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1,134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982491202"/>
          <w:jc w:val="center"/>
        </w:trPr>
        <w:tc>
          <w:tcPr>
            <w:tcW w:w="334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ESPP</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ind w:firstLine="727"/>
        <w:rPr>
          <w:sz w:val="20"/>
          <w:szCs w:val="20"/>
        </w:rPr>
      </w:pPr>
      <w:r>
        <w:rPr>
          <w:sz w:val="20"/>
          <w:szCs w:val="20"/>
        </w:rPr>
        <w:t>The Company expects to settle the principal amount of the 2022 Notes (Note 9) in cash, and therefore, the Company uses the treasury stock method for calculating any potential dilutive effect of the Conversion Option on diluted net income per share, if appl</w:t>
      </w:r>
      <w:r>
        <w:rPr>
          <w:sz w:val="20"/>
          <w:szCs w:val="20"/>
        </w:rPr>
        <w:t>icable. The Conversion Option will have a dilutive impact on net income per share of common stock when the average market price of the Company’s common stock for a given period exceeds the conversion price of the 2022 Notes of $94.77 per share.</w:t>
      </w:r>
      <w:r>
        <w:rPr>
          <w:color w:val="1F497D"/>
          <w:sz w:val="22"/>
          <w:szCs w:val="22"/>
        </w:rPr>
        <w:t> </w:t>
      </w:r>
      <w:r>
        <w:rPr>
          <w:sz w:val="20"/>
          <w:szCs w:val="20"/>
        </w:rPr>
        <w:t>Because the</w:t>
      </w:r>
      <w:r>
        <w:rPr>
          <w:sz w:val="20"/>
          <w:szCs w:val="20"/>
        </w:rPr>
        <w:t xml:space="preserve"> last reported sale price of the Company’s common stock for at least 20 trading days during the period of 30 consecutive trading days ending on the last trading day of the calendar quarter ended March 31, 2019 was equal to or greater than 130% of the appli</w:t>
      </w:r>
      <w:r>
        <w:rPr>
          <w:sz w:val="20"/>
          <w:szCs w:val="20"/>
        </w:rPr>
        <w:t>cable conversion price on each applicable trading day, the 2022 Notes are convertible at the option of the holders thereof during the calendar quarter ending June 30, 2019.</w:t>
      </w:r>
      <w:r>
        <w:rPr>
          <w:color w:val="222222"/>
          <w:sz w:val="20"/>
          <w:szCs w:val="20"/>
          <w:shd w:val="clear" w:color="auto" w:fill="FFFFFF"/>
        </w:rPr>
        <w:t xml:space="preserve"> As of May 3, 2019, no holders have converted or indicated their intention to conver</w:t>
      </w:r>
      <w:r>
        <w:rPr>
          <w:color w:val="222222"/>
          <w:sz w:val="20"/>
          <w:szCs w:val="20"/>
          <w:shd w:val="clear" w:color="auto" w:fill="FFFFFF"/>
        </w:rPr>
        <w:t>t the 2022 Notes.</w:t>
      </w:r>
      <w:r>
        <w:rPr>
          <w:sz w:val="20"/>
          <w:szCs w:val="20"/>
        </w:rPr>
        <w:t xml:space="preserve"> </w:t>
      </w:r>
    </w:p>
    <w:p w:rsidR="00000000" w:rsidRDefault="00F20BDB">
      <w:pPr>
        <w:pStyle w:val="a3"/>
        <w:spacing w:before="0" w:beforeAutospacing="0" w:after="0" w:afterAutospacing="0"/>
        <w:rPr>
          <w:sz w:val="18"/>
          <w:szCs w:val="18"/>
        </w:rPr>
      </w:pPr>
      <w:r>
        <w:rPr>
          <w:sz w:val="18"/>
          <w:szCs w:val="18"/>
        </w:rPr>
        <w:t> </w:t>
      </w:r>
    </w:p>
    <w:p w:rsidR="00000000" w:rsidRDefault="00F20BDB">
      <w:pPr>
        <w:pStyle w:val="a3"/>
        <w:spacing w:before="0" w:beforeAutospacing="0" w:after="0" w:afterAutospacing="0"/>
        <w:rPr>
          <w:b/>
          <w:bCs/>
          <w:sz w:val="20"/>
          <w:szCs w:val="20"/>
        </w:rPr>
      </w:pPr>
      <w:r>
        <w:rPr>
          <w:b/>
          <w:bCs/>
          <w:sz w:val="20"/>
          <w:szCs w:val="20"/>
        </w:rPr>
        <w:t>5. Fair Value of Financial Instruments</w:t>
      </w:r>
    </w:p>
    <w:p w:rsidR="00000000" w:rsidRDefault="00F20BDB">
      <w:pPr>
        <w:pStyle w:val="a3"/>
        <w:spacing w:before="120" w:beforeAutospacing="0" w:after="0" w:afterAutospacing="0"/>
        <w:ind w:firstLine="556"/>
        <w:rPr>
          <w:sz w:val="20"/>
          <w:szCs w:val="20"/>
        </w:rPr>
      </w:pPr>
      <w:r>
        <w:rPr>
          <w:sz w:val="20"/>
          <w:szCs w:val="20"/>
        </w:rPr>
        <w:t xml:space="preserve">The Company measures certain financial assets at fair value. Fair value is determined based upon the exit price that would be received to sell an asset or paid to transfer a liability in an orderly transaction between market participants, as determined by </w:t>
      </w:r>
      <w:r>
        <w:rPr>
          <w:sz w:val="20"/>
          <w:szCs w:val="20"/>
        </w:rPr>
        <w:t>either the principal market or the most advantageous market. Inputs used in the valuation techniques to derive fair values are classified based on a three-level hierarchy, as follows: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Level 1 — Quoted prices in active markets for identical assets or li</w:t>
            </w:r>
            <w:r>
              <w:rPr>
                <w:sz w:val="20"/>
                <w:szCs w:val="20"/>
              </w:rPr>
              <w:t>abilities.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 xml:space="preserve">Level 2 — Observable inputs other than Level 1 prices such as quoted prices for similar assets or liabilities; quoted prices in markets with insufficient volume or infrequent transactions (less active markets); or model-derived valuations </w:t>
            </w:r>
            <w:r>
              <w:rPr>
                <w:sz w:val="20"/>
                <w:szCs w:val="20"/>
              </w:rPr>
              <w:t>in which all significant inputs are observable or can be derived principally from or corroborated by observable market data for substantially the full term of the assets or liabilities.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 xml:space="preserve">Level 3 — Unobservable inputs to the valuation methodology that </w:t>
            </w:r>
            <w:r>
              <w:rPr>
                <w:sz w:val="20"/>
                <w:szCs w:val="20"/>
              </w:rPr>
              <w:t>are significant to the measurement of fair value of assets or liabilities.</w:t>
            </w:r>
          </w:p>
        </w:tc>
      </w:tr>
    </w:tbl>
    <w:p w:rsidR="00000000" w:rsidRDefault="00F20BDB">
      <w:pPr>
        <w:pStyle w:val="a3"/>
        <w:spacing w:before="240" w:beforeAutospacing="0" w:after="0" w:afterAutospacing="0"/>
        <w:ind w:firstLine="556"/>
        <w:rPr>
          <w:sz w:val="20"/>
          <w:szCs w:val="20"/>
        </w:rPr>
      </w:pPr>
      <w:r>
        <w:rPr>
          <w:sz w:val="20"/>
          <w:szCs w:val="20"/>
        </w:rPr>
        <w:t>The following table details the fair value measurements within the fair value hierarchy of the Company’s financial assets and liabilities at March 31, 2019 and December 31, 2018:</w:t>
      </w:r>
    </w:p>
    <w:p w:rsidR="00000000" w:rsidRDefault="00F20BDB">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003"/>
        <w:gridCol w:w="103"/>
        <w:gridCol w:w="115"/>
        <w:gridCol w:w="789"/>
        <w:gridCol w:w="73"/>
        <w:gridCol w:w="95"/>
        <w:gridCol w:w="115"/>
        <w:gridCol w:w="789"/>
        <w:gridCol w:w="73"/>
        <w:gridCol w:w="95"/>
        <w:gridCol w:w="116"/>
        <w:gridCol w:w="789"/>
        <w:gridCol w:w="73"/>
        <w:gridCol w:w="96"/>
        <w:gridCol w:w="115"/>
        <w:gridCol w:w="793"/>
        <w:gridCol w:w="74"/>
      </w:tblGrid>
      <w:tr w:rsidR="00000000">
        <w:trPr>
          <w:divId w:val="1112214255"/>
          <w:jc w:val="center"/>
        </w:trPr>
        <w:tc>
          <w:tcPr>
            <w:tcW w:w="241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16"/>
                <w:szCs w:val="16"/>
              </w:rPr>
            </w:pPr>
            <w:r>
              <w:rPr>
                <w:color w:val="000000"/>
                <w:sz w:val="16"/>
                <w:szCs w:val="16"/>
              </w:rPr>
              <w:t> </w:t>
            </w:r>
          </w:p>
        </w:tc>
        <w:tc>
          <w:tcPr>
            <w:tcW w:w="2465"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March 31, 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112214255"/>
          <w:jc w:val="center"/>
        </w:trPr>
        <w:tc>
          <w:tcPr>
            <w:tcW w:w="241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16"/>
                <w:szCs w:val="16"/>
              </w:rPr>
            </w:pPr>
            <w:r>
              <w:rPr>
                <w:color w:val="000000"/>
                <w:sz w:val="16"/>
                <w:szCs w:val="16"/>
              </w:rPr>
              <w:t> </w:t>
            </w:r>
          </w:p>
        </w:tc>
        <w:tc>
          <w:tcPr>
            <w:tcW w:w="5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Level 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Level 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Level 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112214255"/>
          <w:jc w:val="center"/>
        </w:trPr>
        <w:tc>
          <w:tcPr>
            <w:tcW w:w="241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16"/>
                <w:szCs w:val="16"/>
              </w:rPr>
            </w:pPr>
            <w:r>
              <w:rPr>
                <w:color w:val="000000"/>
                <w:sz w:val="16"/>
                <w:szCs w:val="16"/>
              </w:rPr>
              <w:t> </w:t>
            </w:r>
          </w:p>
        </w:tc>
        <w:tc>
          <w:tcPr>
            <w:tcW w:w="2465" w:type="pct"/>
            <w:gridSpan w:val="14"/>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112214255"/>
          <w:jc w:val="center"/>
        </w:trPr>
        <w:tc>
          <w:tcPr>
            <w:tcW w:w="241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Cash equivalents and investments:</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112214255"/>
          <w:jc w:val="center"/>
        </w:trPr>
        <w:tc>
          <w:tcPr>
            <w:tcW w:w="241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Money market funds</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2,809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2,809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112214255"/>
          <w:jc w:val="center"/>
        </w:trPr>
        <w:tc>
          <w:tcPr>
            <w:tcW w:w="241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Commercial paper</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6,801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6,801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112214255"/>
          <w:jc w:val="center"/>
        </w:trPr>
        <w:tc>
          <w:tcPr>
            <w:tcW w:w="241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Corporate bonds</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61,191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61,191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112214255"/>
          <w:jc w:val="center"/>
        </w:trPr>
        <w:tc>
          <w:tcPr>
            <w:tcW w:w="241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U.S. Treasury securities</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785,382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785,382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112214255"/>
          <w:jc w:val="center"/>
        </w:trPr>
        <w:tc>
          <w:tcPr>
            <w:tcW w:w="241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Restricted cash:</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112214255"/>
          <w:jc w:val="center"/>
        </w:trPr>
        <w:tc>
          <w:tcPr>
            <w:tcW w:w="241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Certificates of deposit</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6,020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6,020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112214255"/>
          <w:jc w:val="center"/>
        </w:trPr>
        <w:tc>
          <w:tcPr>
            <w:tcW w:w="241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Total</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2,809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859,394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862,203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240" w:beforeAutospacing="0" w:after="0" w:afterAutospacing="0"/>
        <w:jc w:val="center"/>
        <w:rPr>
          <w:sz w:val="20"/>
          <w:szCs w:val="20"/>
        </w:rPr>
      </w:pPr>
      <w:r>
        <w:rPr>
          <w:sz w:val="20"/>
          <w:szCs w:val="20"/>
        </w:rPr>
        <w:t>13</w:t>
      </w:r>
    </w:p>
    <w:p w:rsidR="00000000" w:rsidRDefault="00F20BDB">
      <w:pPr>
        <w:rPr>
          <w:rFonts w:eastAsia="Times New Roman"/>
        </w:rPr>
      </w:pPr>
      <w:r>
        <w:rPr>
          <w:rFonts w:eastAsia="Times New Roman"/>
        </w:rPr>
        <w:pict>
          <v:rect id="_x0000_i1037"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003"/>
        <w:gridCol w:w="103"/>
        <w:gridCol w:w="115"/>
        <w:gridCol w:w="789"/>
        <w:gridCol w:w="73"/>
        <w:gridCol w:w="95"/>
        <w:gridCol w:w="115"/>
        <w:gridCol w:w="789"/>
        <w:gridCol w:w="73"/>
        <w:gridCol w:w="95"/>
        <w:gridCol w:w="116"/>
        <w:gridCol w:w="789"/>
        <w:gridCol w:w="73"/>
        <w:gridCol w:w="96"/>
        <w:gridCol w:w="115"/>
        <w:gridCol w:w="793"/>
        <w:gridCol w:w="74"/>
      </w:tblGrid>
      <w:tr w:rsidR="00000000">
        <w:trPr>
          <w:divId w:val="1712539120"/>
          <w:jc w:val="center"/>
        </w:trPr>
        <w:tc>
          <w:tcPr>
            <w:tcW w:w="241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2465"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712539120"/>
          <w:jc w:val="center"/>
        </w:trPr>
        <w:tc>
          <w:tcPr>
            <w:tcW w:w="241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5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Level 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Level 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Level 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712539120"/>
          <w:jc w:val="center"/>
        </w:trPr>
        <w:tc>
          <w:tcPr>
            <w:tcW w:w="241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2465" w:type="pct"/>
            <w:gridSpan w:val="14"/>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712539120"/>
          <w:jc w:val="center"/>
        </w:trPr>
        <w:tc>
          <w:tcPr>
            <w:tcW w:w="241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Cash equivalents and investments:</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712539120"/>
          <w:jc w:val="center"/>
        </w:trPr>
        <w:tc>
          <w:tcPr>
            <w:tcW w:w="241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Money market funds</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1,579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1,579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712539120"/>
          <w:jc w:val="center"/>
        </w:trPr>
        <w:tc>
          <w:tcPr>
            <w:tcW w:w="241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Commercial paper</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8,242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8,242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712539120"/>
          <w:jc w:val="center"/>
        </w:trPr>
        <w:tc>
          <w:tcPr>
            <w:tcW w:w="241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Corporate bonds</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70,728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70,728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712539120"/>
          <w:jc w:val="center"/>
        </w:trPr>
        <w:tc>
          <w:tcPr>
            <w:tcW w:w="241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U.S. Treasury securities</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413,241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413,241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712539120"/>
          <w:jc w:val="center"/>
        </w:trPr>
        <w:tc>
          <w:tcPr>
            <w:tcW w:w="241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Restricted cash:</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712539120"/>
          <w:jc w:val="center"/>
        </w:trPr>
        <w:tc>
          <w:tcPr>
            <w:tcW w:w="241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Certificates of deposit</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5,625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5,625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712539120"/>
          <w:jc w:val="center"/>
        </w:trPr>
        <w:tc>
          <w:tcPr>
            <w:tcW w:w="241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Total</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1,579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497,836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499,415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ind w:firstLine="556"/>
        <w:rPr>
          <w:sz w:val="20"/>
          <w:szCs w:val="20"/>
        </w:rPr>
      </w:pPr>
      <w:r>
        <w:rPr>
          <w:sz w:val="20"/>
          <w:szCs w:val="20"/>
        </w:rPr>
        <w:t>The Company considers all highly liquid investments purchased with a remaining maturity of three months or less to be cash equivalents. The fair value of the Company’s investments in certain money market funds is their face value and such instruments are c</w:t>
      </w:r>
      <w:r>
        <w:rPr>
          <w:sz w:val="20"/>
          <w:szCs w:val="20"/>
        </w:rPr>
        <w:t xml:space="preserve">lassified as Level 1 and are included in cash and cash equivalents on the consolidated balance sheets. At March 31, 2019 and December 31, 2018, our Level 2 securities were priced by pricing vendors. These pricing vendors utilize the most recent observable </w:t>
      </w:r>
      <w:r>
        <w:rPr>
          <w:sz w:val="20"/>
          <w:szCs w:val="20"/>
        </w:rPr>
        <w:t>market information in pricing these securities or, if specific prices are not available for these securities, use other observable inputs like market transactions involving identical or comparable securities.</w: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ind w:firstLine="592"/>
        <w:rPr>
          <w:color w:val="000000"/>
          <w:sz w:val="20"/>
          <w:szCs w:val="20"/>
        </w:rPr>
      </w:pPr>
      <w:r>
        <w:rPr>
          <w:color w:val="000000"/>
          <w:sz w:val="20"/>
          <w:szCs w:val="20"/>
        </w:rPr>
        <w:t>As of March </w:t>
      </w:r>
      <w:r>
        <w:rPr>
          <w:color w:val="000000"/>
          <w:sz w:val="20"/>
          <w:szCs w:val="20"/>
        </w:rPr>
        <w:t>31, 2019 the fair value of the 2022 Notes was $711.5 million.  The fair value was determined based on the quoted price of the 2022 Notes in an inactive market on the last trading day of the reporting period and has been classified as</w:t>
      </w:r>
    </w:p>
    <w:p w:rsidR="00000000" w:rsidRDefault="00F20BDB">
      <w:pPr>
        <w:pStyle w:val="a3"/>
        <w:spacing w:before="0" w:beforeAutospacing="0" w:after="0" w:afterAutospacing="0"/>
        <w:rPr>
          <w:color w:val="000000"/>
          <w:sz w:val="20"/>
          <w:szCs w:val="20"/>
        </w:rPr>
      </w:pPr>
      <w:r>
        <w:rPr>
          <w:color w:val="000000"/>
          <w:sz w:val="20"/>
          <w:szCs w:val="20"/>
        </w:rPr>
        <w:t>Level 2 within the fai</w:t>
      </w:r>
      <w:r>
        <w:rPr>
          <w:color w:val="000000"/>
          <w:sz w:val="20"/>
          <w:szCs w:val="20"/>
        </w:rPr>
        <w:t>r value hierarchy.</w:t>
      </w:r>
    </w:p>
    <w:p w:rsidR="00000000" w:rsidRDefault="00F20BDB">
      <w:pPr>
        <w:pStyle w:val="a3"/>
        <w:spacing w:before="0" w:beforeAutospacing="0" w:after="0" w:afterAutospacing="0"/>
        <w:rPr>
          <w:b/>
          <w:bCs/>
          <w:sz w:val="20"/>
          <w:szCs w:val="20"/>
        </w:rPr>
      </w:pPr>
      <w:r>
        <w:rPr>
          <w:b/>
          <w:bCs/>
          <w:sz w:val="20"/>
          <w:szCs w:val="20"/>
        </w:rPr>
        <w:t> </w:t>
      </w:r>
    </w:p>
    <w:p w:rsidR="00000000" w:rsidRDefault="00F20BDB">
      <w:pPr>
        <w:pStyle w:val="a3"/>
        <w:spacing w:before="0" w:beforeAutospacing="0" w:after="0" w:afterAutospacing="0"/>
        <w:ind w:firstLine="556"/>
        <w:rPr>
          <w:color w:val="000000"/>
          <w:sz w:val="20"/>
          <w:szCs w:val="20"/>
        </w:rPr>
      </w:pPr>
      <w:r>
        <w:rPr>
          <w:color w:val="000000"/>
          <w:sz w:val="20"/>
          <w:szCs w:val="20"/>
        </w:rPr>
        <w:t>For certain other financial instruments, including accounts receivable, accounts payable, capital leases and other current liabilities, the carrying amounts approximate their fair value due to the relatively short maturity of these balances.</w: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ind w:firstLine="556"/>
        <w:rPr>
          <w:color w:val="000000"/>
          <w:sz w:val="20"/>
          <w:szCs w:val="20"/>
        </w:rPr>
      </w:pPr>
      <w:r>
        <w:rPr>
          <w:color w:val="000000"/>
          <w:sz w:val="20"/>
          <w:szCs w:val="20"/>
        </w:rPr>
        <w:t>Strategic in</w:t>
      </w:r>
      <w:r>
        <w:rPr>
          <w:color w:val="000000"/>
          <w:sz w:val="20"/>
          <w:szCs w:val="20"/>
        </w:rPr>
        <w:t>vestments consist of non-controlling equity investments in privately held companies. The Company elected the measurement alternative for these investments without readily determinable fair values and for which the Company does not have the ability to exerc</w:t>
      </w:r>
      <w:r>
        <w:rPr>
          <w:color w:val="000000"/>
          <w:sz w:val="20"/>
          <w:szCs w:val="20"/>
        </w:rPr>
        <w:t xml:space="preserve">ise significant influence. These investments are accounted for under the cost method of accounting. Under the cost method of accounting, the non-marketable equity securities are carried at cost less any impairment, plus or minus adjustments resulting from </w:t>
      </w:r>
      <w:r>
        <w:rPr>
          <w:color w:val="000000"/>
          <w:sz w:val="20"/>
          <w:szCs w:val="20"/>
        </w:rPr>
        <w:t>observable price changes in orderly transactions for the identical or a similar investment of the same issuer, which is recorded within the statement of operations. The Company holds $4.0 million of strategic investments without readily determinable fair v</w:t>
      </w:r>
      <w:r>
        <w:rPr>
          <w:color w:val="000000"/>
          <w:sz w:val="20"/>
          <w:szCs w:val="20"/>
        </w:rPr>
        <w:t>alues at March 31, 2019 and December 31, 2018. These investments are included in other assets on the consolidated balance sheets. There have been no adjustments to the carrying value of strategic investments resulting from impairments or observable price c</w:t>
      </w:r>
      <w:r>
        <w:rPr>
          <w:color w:val="000000"/>
          <w:sz w:val="20"/>
          <w:szCs w:val="20"/>
        </w:rPr>
        <w:t xml:space="preserve">hanges. </w:t>
      </w:r>
    </w:p>
    <w:p w:rsidR="00000000" w:rsidRDefault="00F20BDB">
      <w:pPr>
        <w:pStyle w:val="a3"/>
        <w:spacing w:before="240" w:beforeAutospacing="0" w:after="0" w:afterAutospacing="0"/>
        <w:ind w:firstLine="556"/>
        <w:rPr>
          <w:sz w:val="20"/>
          <w:szCs w:val="20"/>
        </w:rPr>
      </w:pPr>
      <w:r>
        <w:rPr>
          <w:sz w:val="20"/>
          <w:szCs w:val="20"/>
        </w:rPr>
        <w:t xml:space="preserve">The following tables summarize the composition of our short- and long-term investments at March 31, 2019 and December 31, 2018. </w:t>
      </w:r>
    </w:p>
    <w:p w:rsidR="00000000" w:rsidRDefault="00F20BDB">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695"/>
        <w:gridCol w:w="68"/>
        <w:gridCol w:w="115"/>
        <w:gridCol w:w="665"/>
        <w:gridCol w:w="65"/>
        <w:gridCol w:w="65"/>
        <w:gridCol w:w="116"/>
        <w:gridCol w:w="686"/>
        <w:gridCol w:w="65"/>
        <w:gridCol w:w="65"/>
        <w:gridCol w:w="116"/>
        <w:gridCol w:w="686"/>
        <w:gridCol w:w="82"/>
        <w:gridCol w:w="65"/>
        <w:gridCol w:w="115"/>
        <w:gridCol w:w="741"/>
        <w:gridCol w:w="65"/>
      </w:tblGrid>
      <w:tr w:rsidR="00000000">
        <w:trPr>
          <w:divId w:val="10690583"/>
          <w:jc w:val="center"/>
        </w:trPr>
        <w:tc>
          <w:tcPr>
            <w:tcW w:w="248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16"/>
                <w:szCs w:val="16"/>
              </w:rPr>
            </w:pPr>
            <w:r>
              <w:rPr>
                <w:color w:val="000000"/>
                <w:sz w:val="16"/>
                <w:szCs w:val="16"/>
              </w:rPr>
              <w:t> </w:t>
            </w:r>
          </w:p>
        </w:tc>
        <w:tc>
          <w:tcPr>
            <w:tcW w:w="2402"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March 31, 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0690583"/>
          <w:jc w:val="center"/>
        </w:trPr>
        <w:tc>
          <w:tcPr>
            <w:tcW w:w="248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16"/>
                <w:szCs w:val="16"/>
              </w:rPr>
            </w:pPr>
            <w:r>
              <w:rPr>
                <w:color w:val="000000"/>
                <w:sz w:val="16"/>
                <w:szCs w:val="16"/>
              </w:rPr>
              <w:t> </w:t>
            </w:r>
          </w:p>
        </w:tc>
        <w:tc>
          <w:tcPr>
            <w:tcW w:w="5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Amortized</w:t>
            </w:r>
          </w:p>
          <w:p w:rsidR="00000000" w:rsidRDefault="00F20BDB">
            <w:pPr>
              <w:pStyle w:val="a3"/>
              <w:spacing w:before="0" w:beforeAutospacing="0" w:after="0" w:afterAutospacing="0"/>
              <w:jc w:val="center"/>
              <w:rPr>
                <w:b/>
                <w:bCs/>
                <w:color w:val="000000"/>
                <w:sz w:val="16"/>
                <w:szCs w:val="16"/>
              </w:rPr>
            </w:pPr>
            <w:r>
              <w:rPr>
                <w:b/>
                <w:bCs/>
                <w:color w:val="000000"/>
                <w:sz w:val="16"/>
                <w:szCs w:val="16"/>
              </w:rPr>
              <w:t>Cost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F20BDB">
            <w:pPr>
              <w:pStyle w:val="a3"/>
              <w:spacing w:before="0" w:beforeAutospacing="0" w:after="0" w:afterAutospacing="0"/>
              <w:jc w:val="center"/>
              <w:rPr>
                <w:b/>
                <w:bCs/>
                <w:color w:val="000000"/>
                <w:sz w:val="16"/>
                <w:szCs w:val="16"/>
              </w:rPr>
            </w:pPr>
            <w:r>
              <w:rPr>
                <w:b/>
                <w:bCs/>
                <w:color w:val="000000"/>
                <w:sz w:val="16"/>
                <w:szCs w:val="16"/>
              </w:rPr>
              <w:t>Gains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F20BDB">
            <w:pPr>
              <w:pStyle w:val="a3"/>
              <w:spacing w:before="0" w:beforeAutospacing="0" w:after="0" w:afterAutospacing="0"/>
              <w:jc w:val="center"/>
              <w:rPr>
                <w:b/>
                <w:bCs/>
                <w:color w:val="000000"/>
                <w:sz w:val="16"/>
                <w:szCs w:val="16"/>
              </w:rPr>
            </w:pPr>
            <w:r>
              <w:rPr>
                <w:b/>
                <w:bCs/>
                <w:color w:val="000000"/>
                <w:sz w:val="16"/>
                <w:szCs w:val="16"/>
              </w:rPr>
              <w:t>Losses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 </w:t>
            </w:r>
          </w:p>
        </w:tc>
        <w:tc>
          <w:tcPr>
            <w:tcW w:w="56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Aggregate</w:t>
            </w:r>
          </w:p>
          <w:p w:rsidR="00000000" w:rsidRDefault="00F20BDB">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0690583"/>
          <w:jc w:val="center"/>
        </w:trPr>
        <w:tc>
          <w:tcPr>
            <w:tcW w:w="248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16"/>
                <w:szCs w:val="16"/>
              </w:rPr>
            </w:pPr>
            <w:r>
              <w:rPr>
                <w:color w:val="000000"/>
                <w:sz w:val="16"/>
                <w:szCs w:val="16"/>
              </w:rPr>
              <w:t> </w:t>
            </w:r>
          </w:p>
        </w:tc>
        <w:tc>
          <w:tcPr>
            <w:tcW w:w="2402" w:type="pct"/>
            <w:gridSpan w:val="14"/>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0690583"/>
          <w:jc w:val="center"/>
        </w:trPr>
        <w:tc>
          <w:tcPr>
            <w:tcW w:w="248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Commercial paper</w:t>
            </w:r>
          </w:p>
        </w:tc>
        <w:tc>
          <w:tcPr>
            <w:tcW w:w="6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2"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6,803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2"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2"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13"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6,801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0690583"/>
          <w:jc w:val="center"/>
        </w:trPr>
        <w:tc>
          <w:tcPr>
            <w:tcW w:w="248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Corporate bonds</w:t>
            </w:r>
          </w:p>
        </w:tc>
        <w:tc>
          <w:tcPr>
            <w:tcW w:w="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2"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61,252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2"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2"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13"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61,191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0690583"/>
          <w:jc w:val="center"/>
        </w:trPr>
        <w:tc>
          <w:tcPr>
            <w:tcW w:w="248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U.S. Treasury securities</w:t>
            </w:r>
          </w:p>
        </w:tc>
        <w:tc>
          <w:tcPr>
            <w:tcW w:w="6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630,276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292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1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630,550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0690583"/>
          <w:jc w:val="center"/>
        </w:trPr>
        <w:tc>
          <w:tcPr>
            <w:tcW w:w="248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Total</w:t>
            </w:r>
          </w:p>
        </w:tc>
        <w:tc>
          <w:tcPr>
            <w:tcW w:w="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698,331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306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(95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1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698,542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695"/>
        <w:gridCol w:w="68"/>
        <w:gridCol w:w="115"/>
        <w:gridCol w:w="665"/>
        <w:gridCol w:w="65"/>
        <w:gridCol w:w="65"/>
        <w:gridCol w:w="116"/>
        <w:gridCol w:w="686"/>
        <w:gridCol w:w="65"/>
        <w:gridCol w:w="65"/>
        <w:gridCol w:w="116"/>
        <w:gridCol w:w="686"/>
        <w:gridCol w:w="82"/>
        <w:gridCol w:w="65"/>
        <w:gridCol w:w="115"/>
        <w:gridCol w:w="741"/>
        <w:gridCol w:w="65"/>
      </w:tblGrid>
      <w:tr w:rsidR="00000000">
        <w:trPr>
          <w:divId w:val="533421110"/>
          <w:jc w:val="center"/>
        </w:trPr>
        <w:tc>
          <w:tcPr>
            <w:tcW w:w="248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16"/>
                <w:szCs w:val="16"/>
              </w:rPr>
            </w:pPr>
            <w:r>
              <w:rPr>
                <w:color w:val="000000"/>
                <w:sz w:val="16"/>
                <w:szCs w:val="16"/>
              </w:rPr>
              <w:t> </w:t>
            </w:r>
          </w:p>
        </w:tc>
        <w:tc>
          <w:tcPr>
            <w:tcW w:w="2402"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533421110"/>
          <w:jc w:val="center"/>
        </w:trPr>
        <w:tc>
          <w:tcPr>
            <w:tcW w:w="248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16"/>
                <w:szCs w:val="16"/>
              </w:rPr>
            </w:pPr>
            <w:r>
              <w:rPr>
                <w:color w:val="000000"/>
                <w:sz w:val="16"/>
                <w:szCs w:val="16"/>
              </w:rPr>
              <w:t> </w:t>
            </w:r>
          </w:p>
        </w:tc>
        <w:tc>
          <w:tcPr>
            <w:tcW w:w="5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Amortized</w:t>
            </w:r>
          </w:p>
          <w:p w:rsidR="00000000" w:rsidRDefault="00F20BDB">
            <w:pPr>
              <w:pStyle w:val="a3"/>
              <w:spacing w:before="0" w:beforeAutospacing="0" w:after="0" w:afterAutospacing="0"/>
              <w:jc w:val="center"/>
              <w:rPr>
                <w:b/>
                <w:bCs/>
                <w:color w:val="000000"/>
                <w:sz w:val="16"/>
                <w:szCs w:val="16"/>
              </w:rPr>
            </w:pPr>
            <w:r>
              <w:rPr>
                <w:b/>
                <w:bCs/>
                <w:color w:val="000000"/>
                <w:sz w:val="16"/>
                <w:szCs w:val="16"/>
              </w:rPr>
              <w:t>Cost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F20BDB">
            <w:pPr>
              <w:pStyle w:val="a3"/>
              <w:spacing w:before="0" w:beforeAutospacing="0" w:after="0" w:afterAutospacing="0"/>
              <w:jc w:val="center"/>
              <w:rPr>
                <w:b/>
                <w:bCs/>
                <w:color w:val="000000"/>
                <w:sz w:val="16"/>
                <w:szCs w:val="16"/>
              </w:rPr>
            </w:pPr>
            <w:r>
              <w:rPr>
                <w:b/>
                <w:bCs/>
                <w:color w:val="000000"/>
                <w:sz w:val="16"/>
                <w:szCs w:val="16"/>
              </w:rPr>
              <w:t>Gains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F20BDB">
            <w:pPr>
              <w:pStyle w:val="a3"/>
              <w:spacing w:before="0" w:beforeAutospacing="0" w:after="0" w:afterAutospacing="0"/>
              <w:jc w:val="center"/>
              <w:rPr>
                <w:b/>
                <w:bCs/>
                <w:color w:val="000000"/>
                <w:sz w:val="16"/>
                <w:szCs w:val="16"/>
              </w:rPr>
            </w:pPr>
            <w:r>
              <w:rPr>
                <w:b/>
                <w:bCs/>
                <w:color w:val="000000"/>
                <w:sz w:val="16"/>
                <w:szCs w:val="16"/>
              </w:rPr>
              <w:t>Losses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 </w:t>
            </w:r>
          </w:p>
        </w:tc>
        <w:tc>
          <w:tcPr>
            <w:tcW w:w="56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Aggregate</w:t>
            </w:r>
          </w:p>
          <w:p w:rsidR="00000000" w:rsidRDefault="00F20BDB">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533421110"/>
          <w:jc w:val="center"/>
        </w:trPr>
        <w:tc>
          <w:tcPr>
            <w:tcW w:w="248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16"/>
                <w:szCs w:val="16"/>
              </w:rPr>
            </w:pPr>
            <w:r>
              <w:rPr>
                <w:color w:val="000000"/>
                <w:sz w:val="16"/>
                <w:szCs w:val="16"/>
              </w:rPr>
              <w:t> </w:t>
            </w:r>
          </w:p>
        </w:tc>
        <w:tc>
          <w:tcPr>
            <w:tcW w:w="2402" w:type="pct"/>
            <w:gridSpan w:val="14"/>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533421110"/>
          <w:jc w:val="center"/>
        </w:trPr>
        <w:tc>
          <w:tcPr>
            <w:tcW w:w="248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Commercial paper</w:t>
            </w:r>
          </w:p>
        </w:tc>
        <w:tc>
          <w:tcPr>
            <w:tcW w:w="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2"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8,256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2"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2"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13"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8,242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33421110"/>
          <w:jc w:val="center"/>
        </w:trPr>
        <w:tc>
          <w:tcPr>
            <w:tcW w:w="248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Corporate bonds</w:t>
            </w:r>
          </w:p>
        </w:tc>
        <w:tc>
          <w:tcPr>
            <w:tcW w:w="6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2"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70,958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2"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2"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(233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13"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70,728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33421110"/>
          <w:jc w:val="center"/>
        </w:trPr>
        <w:tc>
          <w:tcPr>
            <w:tcW w:w="248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U.S. Treasury securities</w:t>
            </w:r>
          </w:p>
        </w:tc>
        <w:tc>
          <w:tcPr>
            <w:tcW w:w="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413,323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(138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1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413,241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33421110"/>
          <w:jc w:val="center"/>
        </w:trPr>
        <w:tc>
          <w:tcPr>
            <w:tcW w:w="248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Total</w:t>
            </w:r>
          </w:p>
        </w:tc>
        <w:tc>
          <w:tcPr>
            <w:tcW w:w="6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492,537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59</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(385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1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492,211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240" w:beforeAutospacing="0" w:after="0" w:afterAutospacing="0"/>
        <w:jc w:val="center"/>
        <w:rPr>
          <w:sz w:val="20"/>
          <w:szCs w:val="20"/>
        </w:rPr>
      </w:pPr>
      <w:r>
        <w:rPr>
          <w:sz w:val="20"/>
          <w:szCs w:val="20"/>
        </w:rPr>
        <w:t>14</w:t>
      </w:r>
    </w:p>
    <w:p w:rsidR="00000000" w:rsidRDefault="00F20BDB">
      <w:pPr>
        <w:rPr>
          <w:rFonts w:eastAsia="Times New Roman"/>
        </w:rPr>
      </w:pPr>
      <w:r>
        <w:rPr>
          <w:rFonts w:eastAsia="Times New Roman"/>
        </w:rPr>
        <w:pict>
          <v:rect id="_x0000_i1038"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ind w:firstLine="556"/>
        <w:rPr>
          <w:sz w:val="20"/>
          <w:szCs w:val="20"/>
        </w:rPr>
      </w:pPr>
      <w:bookmarkStart w:id="23" w:name="_AEIOULastRenderedPageBreakAEIOU14"/>
      <w:bookmarkEnd w:id="23"/>
      <w:r>
        <w:rPr>
          <w:sz w:val="20"/>
          <w:szCs w:val="20"/>
        </w:rPr>
        <w:t>For all of our securities for which the amortized cost basis was greater than the fair value at March 31, 2019</w:t>
      </w:r>
      <w:r>
        <w:rPr>
          <w:sz w:val="20"/>
          <w:szCs w:val="20"/>
        </w:rPr>
        <w:t xml:space="preserve">, the Company has concluded that there is no plan to sell the security nor is it more likely than not that the Company would be required to sell the security before its anticipated recovery. In making the determination as to whether the unrealized loss is </w:t>
      </w:r>
      <w:r>
        <w:rPr>
          <w:sz w:val="20"/>
          <w:szCs w:val="20"/>
        </w:rPr>
        <w:t>other-than-temporary, the Company considered the length of time and extent the investment has been in an unrealized loss position, the financial condition and near-term prospects of the issuers, the issuers’ credit rating and the time to maturity.</w:t>
      </w:r>
    </w:p>
    <w:p w:rsidR="00000000" w:rsidRDefault="00F20BDB">
      <w:pPr>
        <w:pStyle w:val="a3"/>
        <w:spacing w:before="360" w:beforeAutospacing="0" w:after="0" w:afterAutospacing="0"/>
        <w:rPr>
          <w:i/>
          <w:iCs/>
          <w:sz w:val="20"/>
          <w:szCs w:val="20"/>
        </w:rPr>
      </w:pPr>
      <w:r>
        <w:rPr>
          <w:i/>
          <w:iCs/>
          <w:sz w:val="20"/>
          <w:szCs w:val="20"/>
        </w:rPr>
        <w:t>Contract</w:t>
      </w:r>
      <w:r>
        <w:rPr>
          <w:i/>
          <w:iCs/>
          <w:sz w:val="20"/>
          <w:szCs w:val="20"/>
        </w:rPr>
        <w:t>ual Maturities</w:t>
      </w:r>
    </w:p>
    <w:p w:rsidR="00000000" w:rsidRDefault="00F20BDB">
      <w:pPr>
        <w:pStyle w:val="a3"/>
        <w:spacing w:before="120" w:beforeAutospacing="0" w:after="0" w:afterAutospacing="0"/>
        <w:ind w:firstLine="556"/>
        <w:rPr>
          <w:sz w:val="20"/>
          <w:szCs w:val="20"/>
        </w:rPr>
      </w:pPr>
      <w:r>
        <w:rPr>
          <w:sz w:val="20"/>
          <w:szCs w:val="20"/>
        </w:rPr>
        <w:t>The contractual maturities of short-term and long-term investments held at March 31, 2019 and December 31, 2018 are as follows:</w:t>
      </w:r>
    </w:p>
    <w:tbl>
      <w:tblPr>
        <w:tblW w:w="4500" w:type="pct"/>
        <w:jc w:val="center"/>
        <w:tblCellMar>
          <w:left w:w="0" w:type="dxa"/>
          <w:right w:w="0" w:type="dxa"/>
        </w:tblCellMar>
        <w:tblLook w:val="04A0" w:firstRow="1" w:lastRow="0" w:firstColumn="1" w:lastColumn="0" w:noHBand="0" w:noVBand="1"/>
      </w:tblPr>
      <w:tblGrid>
        <w:gridCol w:w="3671"/>
        <w:gridCol w:w="73"/>
        <w:gridCol w:w="115"/>
        <w:gridCol w:w="812"/>
        <w:gridCol w:w="65"/>
        <w:gridCol w:w="73"/>
        <w:gridCol w:w="115"/>
        <w:gridCol w:w="665"/>
        <w:gridCol w:w="65"/>
        <w:gridCol w:w="66"/>
        <w:gridCol w:w="115"/>
        <w:gridCol w:w="665"/>
        <w:gridCol w:w="65"/>
        <w:gridCol w:w="65"/>
        <w:gridCol w:w="115"/>
        <w:gridCol w:w="665"/>
        <w:gridCol w:w="65"/>
      </w:tblGrid>
      <w:tr w:rsidR="00000000">
        <w:trPr>
          <w:divId w:val="26830854"/>
          <w:jc w:val="center"/>
        </w:trPr>
        <w:tc>
          <w:tcPr>
            <w:tcW w:w="246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120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March 31, 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9" w:type="pct"/>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110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26830854"/>
          <w:jc w:val="center"/>
        </w:trPr>
        <w:tc>
          <w:tcPr>
            <w:tcW w:w="246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Amortized</w:t>
            </w:r>
          </w:p>
          <w:p w:rsidR="00000000" w:rsidRDefault="00F20BDB">
            <w:pPr>
              <w:pStyle w:val="a3"/>
              <w:spacing w:before="0" w:beforeAutospacing="0" w:after="0" w:afterAutospacing="0"/>
              <w:jc w:val="center"/>
              <w:rPr>
                <w:b/>
                <w:bCs/>
                <w:color w:val="000000"/>
                <w:sz w:val="16"/>
                <w:szCs w:val="16"/>
              </w:rPr>
            </w:pPr>
            <w:r>
              <w:rPr>
                <w:b/>
                <w:bCs/>
                <w:color w:val="000000"/>
                <w:sz w:val="16"/>
                <w:szCs w:val="16"/>
              </w:rPr>
              <w:t>Cost Basis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Aggregate</w:t>
            </w:r>
          </w:p>
          <w:p w:rsidR="00000000" w:rsidRDefault="00F20BDB">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4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Amortized</w:t>
            </w:r>
          </w:p>
          <w:p w:rsidR="00000000" w:rsidRDefault="00F20BDB">
            <w:pPr>
              <w:pStyle w:val="a3"/>
              <w:spacing w:before="0" w:beforeAutospacing="0" w:after="0" w:afterAutospacing="0"/>
              <w:jc w:val="center"/>
              <w:rPr>
                <w:b/>
                <w:bCs/>
                <w:color w:val="000000"/>
                <w:sz w:val="16"/>
                <w:szCs w:val="16"/>
              </w:rPr>
            </w:pPr>
            <w:r>
              <w:rPr>
                <w:b/>
                <w:bCs/>
                <w:color w:val="000000"/>
                <w:sz w:val="16"/>
                <w:szCs w:val="16"/>
              </w:rPr>
              <w:t>Cost Basis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Aggregate</w:t>
            </w:r>
          </w:p>
          <w:p w:rsidR="00000000" w:rsidRDefault="00F20BDB">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26830854"/>
          <w:jc w:val="center"/>
        </w:trPr>
        <w:tc>
          <w:tcPr>
            <w:tcW w:w="246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1209" w:type="pct"/>
            <w:gridSpan w:val="6"/>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1105" w:type="pct"/>
            <w:gridSpan w:val="6"/>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26830854"/>
          <w:jc w:val="center"/>
        </w:trPr>
        <w:tc>
          <w:tcPr>
            <w:tcW w:w="246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Due within one year</w:t>
            </w:r>
          </w:p>
        </w:tc>
        <w:tc>
          <w:tcPr>
            <w:tcW w:w="5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683,783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47"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683,994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47"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481,071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47"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480,761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26830854"/>
          <w:jc w:val="center"/>
        </w:trPr>
        <w:tc>
          <w:tcPr>
            <w:tcW w:w="246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Due after 1 year through 2 years</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14,548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14,548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9" w:type="pct"/>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11,466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11,450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26830854"/>
          <w:jc w:val="center"/>
        </w:trPr>
        <w:tc>
          <w:tcPr>
            <w:tcW w:w="246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Total</w:t>
            </w:r>
          </w:p>
        </w:tc>
        <w:tc>
          <w:tcPr>
            <w:tcW w:w="5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698,331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4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698,542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9" w:type="pct"/>
            <w:tcBorders>
              <w:top w:val="single" w:sz="6" w:space="0" w:color="000000"/>
              <w:bottom w:val="double" w:sz="6" w:space="0" w:color="000000"/>
            </w:tcBorders>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4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492,537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4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492,211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sz w:val="18"/>
          <w:szCs w:val="18"/>
        </w:rPr>
      </w:pPr>
      <w:r>
        <w:rPr>
          <w:sz w:val="18"/>
          <w:szCs w:val="18"/>
        </w:rPr>
        <w:t> </w:t>
      </w:r>
    </w:p>
    <w:p w:rsidR="00000000" w:rsidRDefault="00F20BDB">
      <w:pPr>
        <w:pStyle w:val="a3"/>
        <w:spacing w:before="0" w:beforeAutospacing="0" w:after="0" w:afterAutospacing="0"/>
        <w:rPr>
          <w:b/>
          <w:bCs/>
          <w:sz w:val="20"/>
          <w:szCs w:val="20"/>
        </w:rPr>
      </w:pPr>
      <w:r>
        <w:rPr>
          <w:b/>
          <w:bCs/>
          <w:sz w:val="20"/>
          <w:szCs w:val="20"/>
        </w:rPr>
        <w:t>6. Restricted cash</w: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ind w:firstLine="816"/>
        <w:rPr>
          <w:sz w:val="20"/>
          <w:szCs w:val="20"/>
        </w:rPr>
      </w:pPr>
      <w:r>
        <w:rPr>
          <w:sz w:val="20"/>
          <w:szCs w:val="20"/>
        </w:rPr>
        <w:t> </w:t>
      </w:r>
    </w:p>
    <w:p w:rsidR="00000000" w:rsidRDefault="00F20BDB">
      <w:pPr>
        <w:pStyle w:val="a3"/>
        <w:spacing w:before="0" w:beforeAutospacing="0" w:after="0" w:afterAutospacing="0"/>
        <w:ind w:firstLine="816"/>
        <w:rPr>
          <w:sz w:val="20"/>
          <w:szCs w:val="20"/>
        </w:rPr>
      </w:pPr>
      <w:r>
        <w:rPr>
          <w:sz w:val="20"/>
          <w:szCs w:val="20"/>
        </w:rPr>
        <w:t xml:space="preserve">The following table provides a reconciliation of cash, cash equivalents, and restricted cash reported within the consolidated balance sheets that sum to the total of the same such amounts shown in the statement of cash flows for the </w:t>
      </w:r>
      <w:r>
        <w:rPr>
          <w:sz w:val="20"/>
          <w:szCs w:val="20"/>
        </w:rPr>
        <w:t>three months ended March 31, 2019 and 2018.</w:t>
      </w:r>
    </w:p>
    <w:p w:rsidR="00000000" w:rsidRDefault="00F20BDB">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084"/>
        <w:gridCol w:w="65"/>
        <w:gridCol w:w="115"/>
        <w:gridCol w:w="665"/>
        <w:gridCol w:w="65"/>
        <w:gridCol w:w="65"/>
        <w:gridCol w:w="115"/>
        <w:gridCol w:w="665"/>
        <w:gridCol w:w="65"/>
        <w:gridCol w:w="65"/>
        <w:gridCol w:w="115"/>
        <w:gridCol w:w="665"/>
        <w:gridCol w:w="65"/>
      </w:tblGrid>
      <w:tr w:rsidR="00000000">
        <w:trPr>
          <w:divId w:val="297075490"/>
          <w:jc w:val="center"/>
        </w:trPr>
        <w:tc>
          <w:tcPr>
            <w:tcW w:w="278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7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1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March 31, 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3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3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March 31, 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3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6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297075490"/>
          <w:jc w:val="center"/>
        </w:trPr>
        <w:tc>
          <w:tcPr>
            <w:tcW w:w="278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2087" w:type="pct"/>
            <w:gridSpan w:val="10"/>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297075490"/>
          <w:jc w:val="center"/>
        </w:trPr>
        <w:tc>
          <w:tcPr>
            <w:tcW w:w="278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Cash and cash equivalents</w:t>
            </w:r>
          </w:p>
        </w:tc>
        <w:tc>
          <w:tcPr>
            <w:tcW w:w="7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6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285,126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88"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154,031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12"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111,489</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297075490"/>
          <w:jc w:val="center"/>
        </w:trPr>
        <w:tc>
          <w:tcPr>
            <w:tcW w:w="278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Restricted cash</w:t>
            </w:r>
          </w:p>
        </w:tc>
        <w:tc>
          <w:tcPr>
            <w:tcW w:w="7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6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5,569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88"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5,968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2"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5,175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297075490"/>
          <w:jc w:val="center"/>
        </w:trPr>
        <w:tc>
          <w:tcPr>
            <w:tcW w:w="278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Restricted cash, included in other assets</w:t>
            </w:r>
          </w:p>
        </w:tc>
        <w:tc>
          <w:tcPr>
            <w:tcW w:w="7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6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451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8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450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297075490"/>
          <w:jc w:val="center"/>
        </w:trPr>
        <w:tc>
          <w:tcPr>
            <w:tcW w:w="278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137"/>
              <w:rPr>
                <w:color w:val="000000"/>
                <w:sz w:val="20"/>
                <w:szCs w:val="20"/>
              </w:rPr>
            </w:pPr>
            <w:r>
              <w:rPr>
                <w:color w:val="000000"/>
                <w:sz w:val="20"/>
                <w:szCs w:val="20"/>
              </w:rPr>
              <w:t>Total cash, cash equivalents, and restricted cash</w:t>
            </w:r>
          </w:p>
        </w:tc>
        <w:tc>
          <w:tcPr>
            <w:tcW w:w="7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6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291,146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8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159,999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1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117,114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ind w:firstLine="816"/>
        <w:rPr>
          <w:color w:val="000000"/>
          <w:sz w:val="20"/>
          <w:szCs w:val="20"/>
        </w:rPr>
      </w:pPr>
      <w:r>
        <w:rPr>
          <w:color w:val="000000"/>
          <w:sz w:val="20"/>
          <w:szCs w:val="20"/>
        </w:rPr>
        <w:t>Restricted cash is comprised of certificates of deposit related to landlord guarantees for our leased facilities. These restricted cash balances have been excluded from our cash and cash equivalents balance on our consolidated balance sheets.</w: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b/>
          <w:bCs/>
          <w:sz w:val="20"/>
          <w:szCs w:val="20"/>
        </w:rPr>
      </w:pPr>
      <w:r>
        <w:rPr>
          <w:b/>
          <w:bCs/>
          <w:sz w:val="20"/>
          <w:szCs w:val="20"/>
        </w:rPr>
        <w:t>7. Proper</w:t>
      </w:r>
      <w:r>
        <w:rPr>
          <w:b/>
          <w:bCs/>
          <w:sz w:val="20"/>
          <w:szCs w:val="20"/>
        </w:rPr>
        <w:t>ty and Equipment, Net</w:t>
      </w:r>
    </w:p>
    <w:p w:rsidR="00000000" w:rsidRDefault="00F20BDB">
      <w:pPr>
        <w:pStyle w:val="a3"/>
        <w:spacing w:before="120" w:beforeAutospacing="0" w:after="0" w:afterAutospacing="0"/>
        <w:ind w:firstLine="556"/>
        <w:rPr>
          <w:sz w:val="20"/>
          <w:szCs w:val="20"/>
        </w:rPr>
      </w:pPr>
      <w:r>
        <w:rPr>
          <w:sz w:val="20"/>
          <w:szCs w:val="20"/>
        </w:rPr>
        <w:t>Property and equipment, net consists of the following:</w:t>
      </w:r>
    </w:p>
    <w:p w:rsidR="00000000" w:rsidRDefault="00F20BDB">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601"/>
        <w:gridCol w:w="65"/>
        <w:gridCol w:w="115"/>
        <w:gridCol w:w="758"/>
        <w:gridCol w:w="82"/>
        <w:gridCol w:w="65"/>
        <w:gridCol w:w="116"/>
        <w:gridCol w:w="930"/>
        <w:gridCol w:w="82"/>
      </w:tblGrid>
      <w:tr w:rsidR="00000000">
        <w:trPr>
          <w:divId w:val="1101335938"/>
          <w:jc w:val="center"/>
        </w:trPr>
        <w:tc>
          <w:tcPr>
            <w:tcW w:w="312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7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73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March 31, 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8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101335938"/>
          <w:jc w:val="center"/>
        </w:trPr>
        <w:tc>
          <w:tcPr>
            <w:tcW w:w="312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7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1748" w:type="pct"/>
            <w:gridSpan w:val="6"/>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101335938"/>
          <w:jc w:val="center"/>
        </w:trPr>
        <w:tc>
          <w:tcPr>
            <w:tcW w:w="312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Computer equipment and purchased software</w:t>
            </w:r>
          </w:p>
        </w:tc>
        <w:tc>
          <w:tcPr>
            <w:tcW w:w="7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87"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8,448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3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8,163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101335938"/>
          <w:jc w:val="center"/>
        </w:trPr>
        <w:tc>
          <w:tcPr>
            <w:tcW w:w="312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Employee computer equipment</w:t>
            </w:r>
          </w:p>
        </w:tc>
        <w:tc>
          <w:tcPr>
            <w:tcW w:w="7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7"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9,727</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3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8,972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101335938"/>
          <w:jc w:val="center"/>
        </w:trPr>
        <w:tc>
          <w:tcPr>
            <w:tcW w:w="312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Furniture and fixtures</w:t>
            </w:r>
          </w:p>
        </w:tc>
        <w:tc>
          <w:tcPr>
            <w:tcW w:w="7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7"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13,162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3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13,019</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101335938"/>
          <w:jc w:val="center"/>
        </w:trPr>
        <w:tc>
          <w:tcPr>
            <w:tcW w:w="312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Office equipment</w:t>
            </w:r>
          </w:p>
        </w:tc>
        <w:tc>
          <w:tcPr>
            <w:tcW w:w="7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7"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2,549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3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2,551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101335938"/>
          <w:jc w:val="center"/>
        </w:trPr>
        <w:tc>
          <w:tcPr>
            <w:tcW w:w="312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Leasehold improvements</w:t>
            </w:r>
          </w:p>
        </w:tc>
        <w:tc>
          <w:tcPr>
            <w:tcW w:w="7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7"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45,773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3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42,894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101335938"/>
          <w:jc w:val="center"/>
        </w:trPr>
        <w:tc>
          <w:tcPr>
            <w:tcW w:w="312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Equipment under capital lease</w:t>
            </w:r>
          </w:p>
        </w:tc>
        <w:tc>
          <w:tcPr>
            <w:tcW w:w="7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7"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3,450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3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3,450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101335938"/>
          <w:jc w:val="center"/>
        </w:trPr>
        <w:tc>
          <w:tcPr>
            <w:tcW w:w="312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Internal-use software</w:t>
            </w:r>
          </w:p>
        </w:tc>
        <w:tc>
          <w:tcPr>
            <w:tcW w:w="7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7"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5,807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3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5,363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101335938"/>
          <w:jc w:val="center"/>
        </w:trPr>
        <w:tc>
          <w:tcPr>
            <w:tcW w:w="312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Construction in progress</w:t>
            </w:r>
          </w:p>
        </w:tc>
        <w:tc>
          <w:tcPr>
            <w:tcW w:w="7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3,953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3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2,498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101335938"/>
          <w:jc w:val="center"/>
        </w:trPr>
        <w:tc>
          <w:tcPr>
            <w:tcW w:w="312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Total property and equipment</w:t>
            </w:r>
          </w:p>
        </w:tc>
        <w:tc>
          <w:tcPr>
            <w:tcW w:w="7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92,869</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3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86,910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101335938"/>
          <w:jc w:val="center"/>
        </w:trPr>
        <w:tc>
          <w:tcPr>
            <w:tcW w:w="312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Less accumulated depreciation and amortization</w:t>
            </w:r>
          </w:p>
        </w:tc>
        <w:tc>
          <w:tcPr>
            <w:tcW w:w="7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(37,874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3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(34,442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101335938"/>
          <w:jc w:val="center"/>
        </w:trPr>
        <w:tc>
          <w:tcPr>
            <w:tcW w:w="312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Property and equipment, net</w:t>
            </w:r>
          </w:p>
        </w:tc>
        <w:tc>
          <w:tcPr>
            <w:tcW w:w="7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8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54,995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3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52,468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ind w:firstLine="816"/>
        <w:rPr>
          <w:sz w:val="20"/>
          <w:szCs w:val="20"/>
        </w:rPr>
      </w:pPr>
      <w:r>
        <w:rPr>
          <w:sz w:val="20"/>
          <w:szCs w:val="20"/>
        </w:rPr>
        <w:t xml:space="preserve">Depreciation and amortization expense on property and equipment was $3.7 million for the three months ended March 31 2019 and $3.1 </w:t>
      </w:r>
      <w:r>
        <w:rPr>
          <w:sz w:val="20"/>
          <w:szCs w:val="20"/>
        </w:rPr>
        <w:t xml:space="preserve">million for the three months ended March 31, 2018. </w:t>
      </w:r>
    </w:p>
    <w:p w:rsidR="00000000" w:rsidRDefault="00F20BDB">
      <w:pPr>
        <w:pStyle w:val="a3"/>
        <w:spacing w:before="0" w:beforeAutospacing="0" w:after="0" w:afterAutospacing="0"/>
        <w:rPr>
          <w:sz w:val="18"/>
          <w:szCs w:val="18"/>
        </w:rPr>
      </w:pPr>
      <w:r>
        <w:rPr>
          <w:sz w:val="18"/>
          <w:szCs w:val="18"/>
        </w:rPr>
        <w:t> </w:t>
      </w:r>
    </w:p>
    <w:p w:rsidR="00000000" w:rsidRDefault="00F20BDB">
      <w:pPr>
        <w:pStyle w:val="a3"/>
        <w:spacing w:before="240" w:beforeAutospacing="0" w:after="0" w:afterAutospacing="0"/>
        <w:jc w:val="center"/>
        <w:rPr>
          <w:sz w:val="20"/>
          <w:szCs w:val="20"/>
        </w:rPr>
      </w:pPr>
      <w:r>
        <w:rPr>
          <w:sz w:val="20"/>
          <w:szCs w:val="20"/>
        </w:rPr>
        <w:t>15</w:t>
      </w:r>
    </w:p>
    <w:p w:rsidR="00000000" w:rsidRDefault="00F20BDB">
      <w:pPr>
        <w:rPr>
          <w:rFonts w:eastAsia="Times New Roman"/>
        </w:rPr>
      </w:pPr>
      <w:r>
        <w:rPr>
          <w:rFonts w:eastAsia="Times New Roman"/>
        </w:rPr>
        <w:pict>
          <v:rect id="_x0000_i1039"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sz w:val="18"/>
          <w:szCs w:val="18"/>
        </w:rPr>
      </w:pPr>
      <w:r>
        <w:rPr>
          <w:sz w:val="18"/>
          <w:szCs w:val="18"/>
        </w:rPr>
        <w:t> </w:t>
      </w:r>
    </w:p>
    <w:p w:rsidR="00000000" w:rsidRDefault="00F20BDB">
      <w:pPr>
        <w:pStyle w:val="a3"/>
        <w:spacing w:before="0" w:beforeAutospacing="0" w:after="0" w:afterAutospacing="0"/>
        <w:rPr>
          <w:b/>
          <w:bCs/>
          <w:sz w:val="20"/>
          <w:szCs w:val="20"/>
        </w:rPr>
      </w:pPr>
      <w:r>
        <w:rPr>
          <w:b/>
          <w:bCs/>
          <w:sz w:val="20"/>
          <w:szCs w:val="20"/>
        </w:rPr>
        <w:t>8. Capitalized Software Development Costs</w:t>
      </w:r>
    </w:p>
    <w:p w:rsidR="00000000" w:rsidRDefault="00F20BDB">
      <w:pPr>
        <w:pStyle w:val="a3"/>
        <w:spacing w:before="120" w:beforeAutospacing="0" w:after="0" w:afterAutospacing="0"/>
        <w:ind w:firstLine="556"/>
        <w:rPr>
          <w:sz w:val="20"/>
          <w:szCs w:val="20"/>
        </w:rPr>
      </w:pPr>
      <w:r>
        <w:rPr>
          <w:sz w:val="20"/>
          <w:szCs w:val="20"/>
        </w:rPr>
        <w:t>Capitalized software development costs, exclusive of those recorded within property and equipment, consisted of the following:</w:t>
      </w:r>
    </w:p>
    <w:p w:rsidR="00000000" w:rsidRDefault="00F20BDB">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376"/>
        <w:gridCol w:w="65"/>
        <w:gridCol w:w="115"/>
        <w:gridCol w:w="956"/>
        <w:gridCol w:w="82"/>
        <w:gridCol w:w="65"/>
        <w:gridCol w:w="115"/>
        <w:gridCol w:w="958"/>
        <w:gridCol w:w="82"/>
      </w:tblGrid>
      <w:tr w:rsidR="00000000">
        <w:trPr>
          <w:divId w:val="246381317"/>
          <w:jc w:val="center"/>
        </w:trPr>
        <w:tc>
          <w:tcPr>
            <w:tcW w:w="293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8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90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March 31, 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90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246381317"/>
          <w:jc w:val="center"/>
        </w:trPr>
        <w:tc>
          <w:tcPr>
            <w:tcW w:w="293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8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1936" w:type="pct"/>
            <w:gridSpan w:val="6"/>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246381317"/>
          <w:jc w:val="center"/>
        </w:trPr>
        <w:tc>
          <w:tcPr>
            <w:tcW w:w="293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Gross capitalized software development costs</w:t>
            </w:r>
          </w:p>
        </w:tc>
        <w:tc>
          <w:tcPr>
            <w:tcW w:w="8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5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49,447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5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46,169</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246381317"/>
          <w:jc w:val="center"/>
        </w:trPr>
        <w:tc>
          <w:tcPr>
            <w:tcW w:w="293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Accumulated amortization</w:t>
            </w:r>
          </w:p>
        </w:tc>
        <w:tc>
          <w:tcPr>
            <w:tcW w:w="8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5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(36,082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5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(33,423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246381317"/>
          <w:jc w:val="center"/>
        </w:trPr>
        <w:tc>
          <w:tcPr>
            <w:tcW w:w="293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Capitalized software development costs, net</w:t>
            </w:r>
          </w:p>
        </w:tc>
        <w:tc>
          <w:tcPr>
            <w:tcW w:w="8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5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13,365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5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12,746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ind w:firstLine="556"/>
        <w:rPr>
          <w:sz w:val="20"/>
          <w:szCs w:val="20"/>
        </w:rPr>
      </w:pPr>
      <w:r>
        <w:rPr>
          <w:sz w:val="20"/>
          <w:szCs w:val="20"/>
        </w:rPr>
        <w:t>Capitalized software development costs are amortized on a straight-line basis over their estimated useful life of two years.</w: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ind w:firstLine="556"/>
        <w:rPr>
          <w:sz w:val="20"/>
          <w:szCs w:val="20"/>
        </w:rPr>
      </w:pPr>
      <w:r>
        <w:rPr>
          <w:sz w:val="20"/>
          <w:szCs w:val="20"/>
        </w:rPr>
        <w:t xml:space="preserve">The following table summarizes software development costs capitalized, stock-based compensation included in capitalized software </w:t>
      </w:r>
      <w:r>
        <w:rPr>
          <w:sz w:val="20"/>
          <w:szCs w:val="20"/>
        </w:rPr>
        <w:t xml:space="preserve">development costs, and amortization of capitalized software development costs. </w:t>
      </w:r>
    </w:p>
    <w:p w:rsidR="00000000" w:rsidRDefault="00F20BDB">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765"/>
        <w:gridCol w:w="66"/>
        <w:gridCol w:w="115"/>
        <w:gridCol w:w="740"/>
        <w:gridCol w:w="65"/>
        <w:gridCol w:w="67"/>
        <w:gridCol w:w="115"/>
        <w:gridCol w:w="816"/>
        <w:gridCol w:w="65"/>
      </w:tblGrid>
      <w:tr w:rsidR="00000000">
        <w:trPr>
          <w:divId w:val="1605963301"/>
          <w:jc w:val="center"/>
        </w:trPr>
        <w:tc>
          <w:tcPr>
            <w:tcW w:w="32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161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605963301"/>
          <w:jc w:val="center"/>
        </w:trPr>
        <w:tc>
          <w:tcPr>
            <w:tcW w:w="32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bookmarkStart w:id="24" w:name="_Hlk6409271"/>
            <w:bookmarkEnd w:id="24"/>
            <w:r>
              <w:rPr>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709"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73"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605963301"/>
          <w:jc w:val="center"/>
        </w:trPr>
        <w:tc>
          <w:tcPr>
            <w:tcW w:w="32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1611" w:type="pct"/>
            <w:gridSpan w:val="6"/>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605963301"/>
          <w:jc w:val="center"/>
        </w:trPr>
        <w:tc>
          <w:tcPr>
            <w:tcW w:w="325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Software development costs capitalized</w:t>
            </w:r>
          </w:p>
        </w:tc>
        <w:tc>
          <w:tcPr>
            <w:tcW w:w="7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59"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3,278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23"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2,945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605963301"/>
          <w:jc w:val="center"/>
        </w:trPr>
        <w:tc>
          <w:tcPr>
            <w:tcW w:w="32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Stock-based compensation included in capitalized software development costs</w:t>
            </w:r>
          </w:p>
        </w:tc>
        <w:tc>
          <w:tcPr>
            <w:tcW w:w="7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508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23"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550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605963301"/>
          <w:jc w:val="center"/>
        </w:trPr>
        <w:tc>
          <w:tcPr>
            <w:tcW w:w="325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Amortization of capitalized software development costs</w:t>
            </w:r>
          </w:p>
        </w:tc>
        <w:tc>
          <w:tcPr>
            <w:tcW w:w="7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59"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2,495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23"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1,975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sz w:val="20"/>
          <w:szCs w:val="20"/>
        </w:rPr>
      </w:pPr>
      <w:bookmarkStart w:id="25" w:name="FIS_UNIDENTIFIED_TABLE_45"/>
      <w:bookmarkStart w:id="26" w:name="_AEIOULastRenderedPageBreakAEIOU102"/>
      <w:bookmarkEnd w:id="25"/>
      <w:bookmarkEnd w:id="26"/>
      <w:r>
        <w:rPr>
          <w:sz w:val="20"/>
          <w:szCs w:val="20"/>
        </w:rPr>
        <w:t> </w:t>
      </w:r>
    </w:p>
    <w:p w:rsidR="00000000" w:rsidRDefault="00F20BDB">
      <w:pPr>
        <w:pStyle w:val="a3"/>
        <w:spacing w:before="0" w:beforeAutospacing="0" w:after="0" w:afterAutospacing="0"/>
        <w:rPr>
          <w:b/>
          <w:bCs/>
          <w:sz w:val="20"/>
          <w:szCs w:val="20"/>
        </w:rPr>
      </w:pPr>
      <w:r>
        <w:rPr>
          <w:b/>
          <w:bCs/>
          <w:sz w:val="20"/>
          <w:szCs w:val="20"/>
        </w:rPr>
        <w:t>9. 0.25% Convertible Senior Notes, Convertible Note Hedge and Warrant</w: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ind w:firstLine="727"/>
        <w:rPr>
          <w:sz w:val="20"/>
          <w:szCs w:val="20"/>
        </w:rPr>
      </w:pPr>
      <w:r>
        <w:rPr>
          <w:sz w:val="20"/>
          <w:szCs w:val="20"/>
        </w:rPr>
        <w:t>In May 2017, the Company issued $350 million aggregate principal amount of 0.25% convertible senior notes due June 1, 2022 in a private offering and an additional $50 million aggregate</w:t>
      </w:r>
      <w:r>
        <w:rPr>
          <w:sz w:val="20"/>
          <w:szCs w:val="20"/>
        </w:rPr>
        <w:t xml:space="preserve"> principal amount of such notes pursuant to the exercise in full of the over-allotment options of the initial purchasers (the “2022 Notes”). The 2022 Notes are convertible at the option of the holders prior to the close of business on the business day imme</w:t>
      </w:r>
      <w:r>
        <w:rPr>
          <w:sz w:val="20"/>
          <w:szCs w:val="20"/>
        </w:rPr>
        <w:t>diately preceding February 1, 2022 under certain conditions or upon the occurrence of certain events. Upon conversion, the Company will pay or deliver, as the case may be, cash, shares of the Company’s common stock or a combination of cash and shares of th</w:t>
      </w:r>
      <w:r>
        <w:rPr>
          <w:sz w:val="20"/>
          <w:szCs w:val="20"/>
        </w:rPr>
        <w:t>e Company’s common stock, at the Company’s election. Because the last reported sale price of the Company’s common stock for at least 20 trading days during the period of 30 consecutive trading days ending on the last trading day of the calendar quarter end</w:t>
      </w:r>
      <w:r>
        <w:rPr>
          <w:sz w:val="20"/>
          <w:szCs w:val="20"/>
        </w:rPr>
        <w:t>ed March 31, 2019 was equal to or greater than 130% of the applicable conversion price on each applicable trading day, the 2022 Notes are convertible at the option of the holders thereof during the calendar quarter ending June 30, 2019.</w:t>
      </w:r>
      <w:r>
        <w:rPr>
          <w:color w:val="222222"/>
          <w:sz w:val="20"/>
          <w:szCs w:val="20"/>
          <w:shd w:val="clear" w:color="auto" w:fill="FFFFFF"/>
        </w:rPr>
        <w:t xml:space="preserve"> As of May 3, 2019 n</w:t>
      </w:r>
      <w:r>
        <w:rPr>
          <w:color w:val="222222"/>
          <w:sz w:val="20"/>
          <w:szCs w:val="20"/>
          <w:shd w:val="clear" w:color="auto" w:fill="FFFFFF"/>
        </w:rPr>
        <w:t>o holders have converted or indicated their intention to convert the 2022 Notes.</w:t>
      </w:r>
    </w:p>
    <w:p w:rsidR="00000000" w:rsidRDefault="00F20BDB">
      <w:pPr>
        <w:pStyle w:val="a3"/>
        <w:spacing w:before="240" w:beforeAutospacing="0" w:after="0" w:afterAutospacing="0"/>
        <w:ind w:firstLine="727"/>
        <w:rPr>
          <w:sz w:val="20"/>
          <w:szCs w:val="20"/>
        </w:rPr>
      </w:pPr>
      <w:r>
        <w:rPr>
          <w:sz w:val="20"/>
          <w:szCs w:val="20"/>
        </w:rPr>
        <w:t>The net carrying amount of the liability component of the 2022 Notes is as follows:</w:t>
      </w:r>
    </w:p>
    <w:p w:rsidR="00000000" w:rsidRDefault="00F20BDB">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151"/>
        <w:gridCol w:w="115"/>
        <w:gridCol w:w="1186"/>
        <w:gridCol w:w="82"/>
        <w:gridCol w:w="109"/>
        <w:gridCol w:w="115"/>
        <w:gridCol w:w="974"/>
        <w:gridCol w:w="82"/>
      </w:tblGrid>
      <w:tr w:rsidR="00000000">
        <w:trPr>
          <w:divId w:val="1682464238"/>
          <w:jc w:val="center"/>
        </w:trPr>
        <w:tc>
          <w:tcPr>
            <w:tcW w:w="2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110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As of March 31, 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12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sz w:val="20"/>
                <w:szCs w:val="20"/>
              </w:rPr>
            </w:pPr>
            <w:r>
              <w:rPr>
                <w:sz w:val="20"/>
                <w:szCs w:val="20"/>
              </w:rPr>
              <w:t> </w:t>
            </w:r>
          </w:p>
        </w:tc>
        <w:tc>
          <w:tcPr>
            <w:tcW w:w="92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As of December 31, 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682464238"/>
          <w:jc w:val="center"/>
        </w:trPr>
        <w:tc>
          <w:tcPr>
            <w:tcW w:w="2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2205" w:type="pct"/>
            <w:gridSpan w:val="6"/>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682464238"/>
          <w:jc w:val="center"/>
        </w:trPr>
        <w:tc>
          <w:tcPr>
            <w:tcW w:w="274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Principal</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1055"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400,000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12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7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400,000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682464238"/>
          <w:jc w:val="center"/>
        </w:trPr>
        <w:tc>
          <w:tcPr>
            <w:tcW w:w="2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Unamortized debt discount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105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(70,681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12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7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(75,575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682464238"/>
          <w:jc w:val="center"/>
        </w:trPr>
        <w:tc>
          <w:tcPr>
            <w:tcW w:w="274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Unamortized issuance costs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105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(5,277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12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7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(5,643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682464238"/>
          <w:jc w:val="center"/>
        </w:trPr>
        <w:tc>
          <w:tcPr>
            <w:tcW w:w="2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Net carrying amount</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105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324,042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12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7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318,782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ind w:firstLine="727"/>
        <w:rPr>
          <w:sz w:val="20"/>
          <w:szCs w:val="20"/>
        </w:rPr>
      </w:pPr>
      <w:r>
        <w:rPr>
          <w:sz w:val="20"/>
          <w:szCs w:val="20"/>
        </w:rPr>
        <w:t> </w:t>
      </w:r>
    </w:p>
    <w:p w:rsidR="00000000" w:rsidRDefault="00F20BDB">
      <w:pPr>
        <w:pStyle w:val="a3"/>
        <w:spacing w:before="0" w:beforeAutospacing="0" w:after="0" w:afterAutospacing="0"/>
        <w:ind w:firstLine="727"/>
        <w:rPr>
          <w:sz w:val="20"/>
          <w:szCs w:val="20"/>
        </w:rPr>
      </w:pPr>
      <w:r>
        <w:rPr>
          <w:sz w:val="20"/>
          <w:szCs w:val="20"/>
        </w:rPr>
        <w:t>Interest expense related to the 2022 Notes is as follows:</w:t>
      </w:r>
    </w:p>
    <w:p w:rsidR="00000000" w:rsidRDefault="00F20BDB">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181"/>
        <w:gridCol w:w="115"/>
        <w:gridCol w:w="1204"/>
        <w:gridCol w:w="65"/>
        <w:gridCol w:w="80"/>
        <w:gridCol w:w="115"/>
        <w:gridCol w:w="989"/>
        <w:gridCol w:w="65"/>
      </w:tblGrid>
      <w:tr w:rsidR="00000000">
        <w:trPr>
          <w:divId w:val="1771511543"/>
          <w:jc w:val="center"/>
        </w:trPr>
        <w:tc>
          <w:tcPr>
            <w:tcW w:w="276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218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771511543"/>
          <w:jc w:val="center"/>
        </w:trPr>
        <w:tc>
          <w:tcPr>
            <w:tcW w:w="276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11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96"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92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771511543"/>
          <w:jc w:val="center"/>
        </w:trPr>
        <w:tc>
          <w:tcPr>
            <w:tcW w:w="276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2187" w:type="pct"/>
            <w:gridSpan w:val="6"/>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771511543"/>
          <w:jc w:val="center"/>
        </w:trPr>
        <w:tc>
          <w:tcPr>
            <w:tcW w:w="276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Contractual interest expense</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1063"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77"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771511543"/>
          <w:jc w:val="center"/>
        </w:trPr>
        <w:tc>
          <w:tcPr>
            <w:tcW w:w="276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Amortization of debt discount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1063"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4,894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77"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4,567</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771511543"/>
          <w:jc w:val="center"/>
        </w:trPr>
        <w:tc>
          <w:tcPr>
            <w:tcW w:w="276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Amortization of issuance costs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106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366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7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341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771511543"/>
          <w:jc w:val="center"/>
        </w:trPr>
        <w:tc>
          <w:tcPr>
            <w:tcW w:w="276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Total interest expense</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106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5,510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7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5,158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240" w:beforeAutospacing="0" w:after="0" w:afterAutospacing="0"/>
        <w:jc w:val="center"/>
        <w:rPr>
          <w:sz w:val="20"/>
          <w:szCs w:val="20"/>
        </w:rPr>
      </w:pPr>
      <w:r>
        <w:rPr>
          <w:sz w:val="20"/>
          <w:szCs w:val="20"/>
        </w:rPr>
        <w:t>16</w:t>
      </w:r>
    </w:p>
    <w:p w:rsidR="00000000" w:rsidRDefault="00F20BDB">
      <w:pPr>
        <w:rPr>
          <w:rFonts w:eastAsia="Times New Roman"/>
        </w:rPr>
      </w:pPr>
      <w:r>
        <w:rPr>
          <w:rFonts w:eastAsia="Times New Roman"/>
        </w:rPr>
        <w:pict>
          <v:rect id="_x0000_i1040"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b/>
          <w:bCs/>
          <w:sz w:val="20"/>
          <w:szCs w:val="20"/>
        </w:rPr>
      </w:pPr>
      <w:r>
        <w:rPr>
          <w:b/>
          <w:bCs/>
          <w:sz w:val="20"/>
          <w:szCs w:val="20"/>
        </w:rPr>
        <w:t>10. Commitments and Contingencies</w:t>
      </w:r>
    </w:p>
    <w:p w:rsidR="00000000" w:rsidRDefault="00F20BDB">
      <w:pPr>
        <w:pStyle w:val="a3"/>
        <w:spacing w:before="120" w:beforeAutospacing="0" w:after="0" w:afterAutospacing="0"/>
        <w:rPr>
          <w:i/>
          <w:iCs/>
          <w:sz w:val="20"/>
          <w:szCs w:val="20"/>
        </w:rPr>
      </w:pPr>
      <w:r>
        <w:rPr>
          <w:i/>
          <w:iCs/>
          <w:sz w:val="20"/>
          <w:szCs w:val="20"/>
        </w:rPr>
        <w:t>Contractual Obligations</w:t>
      </w:r>
    </w:p>
    <w:p w:rsidR="00000000" w:rsidRDefault="00F20BDB">
      <w:pPr>
        <w:pStyle w:val="a3"/>
        <w:spacing w:before="120" w:beforeAutospacing="0" w:after="0" w:afterAutospacing="0"/>
        <w:ind w:firstLine="589"/>
        <w:rPr>
          <w:color w:val="000000"/>
          <w:sz w:val="20"/>
          <w:szCs w:val="20"/>
        </w:rPr>
      </w:pPr>
      <w:r>
        <w:rPr>
          <w:color w:val="000000"/>
          <w:sz w:val="20"/>
          <w:szCs w:val="20"/>
        </w:rPr>
        <w:t xml:space="preserve">The Company </w:t>
      </w:r>
      <w:r>
        <w:rPr>
          <w:color w:val="000000"/>
          <w:sz w:val="20"/>
          <w:szCs w:val="20"/>
        </w:rPr>
        <w:t>leases its office facilities under non-cancelable operating leases that expire at various dates through May 2031. Lease expense for non-cancellable operating leases with free rental periods or scheduled rent increases is recognized on a straight-line basis</w:t>
      </w:r>
      <w:r>
        <w:rPr>
          <w:color w:val="000000"/>
          <w:sz w:val="20"/>
          <w:szCs w:val="20"/>
        </w:rPr>
        <w:t xml:space="preserve"> over the terms of the leases. Improvement reimbursements from landlords of $13.8 million are being amortized on a straight-line basis into lease expense over the terms of the leases.  Certain leases contain optional termination dates. The table below only</w:t>
      </w:r>
      <w:r>
        <w:rPr>
          <w:color w:val="000000"/>
          <w:sz w:val="20"/>
          <w:szCs w:val="20"/>
        </w:rPr>
        <w:t xml:space="preserve"> includes payments up to the optional termination date. If the Company were to extended leases beyond the optional termination date the future commitments would increase by approximately $82.4 million.</w:t>
      </w:r>
    </w:p>
    <w:p w:rsidR="00000000" w:rsidRDefault="00F20BDB">
      <w:pPr>
        <w:pStyle w:val="a3"/>
        <w:spacing w:before="120" w:beforeAutospacing="0" w:after="0" w:afterAutospacing="0"/>
        <w:ind w:firstLine="589"/>
        <w:rPr>
          <w:sz w:val="20"/>
          <w:szCs w:val="20"/>
        </w:rPr>
      </w:pPr>
      <w:r>
        <w:rPr>
          <w:sz w:val="20"/>
          <w:szCs w:val="20"/>
        </w:rPr>
        <w:t>Included in the table below are operating lease commit</w:t>
      </w:r>
      <w:r>
        <w:rPr>
          <w:sz w:val="20"/>
          <w:szCs w:val="20"/>
        </w:rPr>
        <w:t>ments for leases that have not yet commenced of approximately $104.3 million for facilities in the United States, Ireland, and Australia with lease terms of approximately 9, 12, and 3 years, respectively.</w:t>
      </w:r>
    </w:p>
    <w:p w:rsidR="00000000" w:rsidRDefault="00F20BDB">
      <w:pPr>
        <w:pStyle w:val="a3"/>
        <w:spacing w:before="120" w:beforeAutospacing="0" w:after="0" w:afterAutospacing="0"/>
        <w:ind w:firstLine="556"/>
        <w:rPr>
          <w:sz w:val="20"/>
          <w:szCs w:val="20"/>
        </w:rPr>
      </w:pPr>
      <w:r>
        <w:rPr>
          <w:sz w:val="20"/>
          <w:szCs w:val="20"/>
        </w:rPr>
        <w:t>Future minimum payments under all operating and fia</w:t>
      </w:r>
      <w:r>
        <w:rPr>
          <w:sz w:val="20"/>
          <w:szCs w:val="20"/>
        </w:rPr>
        <w:t>ncé lease agreements as of March 31, 2019 are as follows:</w:t>
      </w:r>
    </w:p>
    <w:tbl>
      <w:tblPr>
        <w:tblW w:w="3944" w:type="pct"/>
        <w:jc w:val="center"/>
        <w:tblCellMar>
          <w:left w:w="0" w:type="dxa"/>
          <w:right w:w="0" w:type="dxa"/>
        </w:tblCellMar>
        <w:tblLook w:val="04A0" w:firstRow="1" w:lastRow="0" w:firstColumn="1" w:lastColumn="0" w:noHBand="0" w:noVBand="1"/>
      </w:tblPr>
      <w:tblGrid>
        <w:gridCol w:w="4285"/>
        <w:gridCol w:w="87"/>
        <w:gridCol w:w="115"/>
        <w:gridCol w:w="808"/>
        <w:gridCol w:w="65"/>
        <w:gridCol w:w="66"/>
        <w:gridCol w:w="1044"/>
        <w:gridCol w:w="82"/>
      </w:tblGrid>
      <w:tr w:rsidR="00000000">
        <w:trPr>
          <w:divId w:val="557475882"/>
          <w:trHeight w:val="197"/>
          <w:jc w:val="center"/>
        </w:trPr>
        <w:tc>
          <w:tcPr>
            <w:tcW w:w="328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8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Operating</w:t>
            </w:r>
          </w:p>
        </w:tc>
        <w:tc>
          <w:tcPr>
            <w:tcW w:w="4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Finance</w:t>
            </w:r>
          </w:p>
        </w:tc>
        <w:tc>
          <w:tcPr>
            <w:tcW w:w="4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557475882"/>
          <w:trHeight w:val="214"/>
          <w:jc w:val="center"/>
        </w:trPr>
        <w:tc>
          <w:tcPr>
            <w:tcW w:w="328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1589" w:type="pct"/>
            <w:gridSpan w:val="5"/>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4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557475882"/>
          <w:trHeight w:val="247"/>
          <w:jc w:val="center"/>
        </w:trPr>
        <w:tc>
          <w:tcPr>
            <w:tcW w:w="3283" w:type="pct"/>
            <w:shd w:val="clear" w:color="auto" w:fill="CFF0FC"/>
            <w:tcMar>
              <w:top w:w="15" w:type="dxa"/>
              <w:left w:w="0" w:type="dxa"/>
              <w:bottom w:w="0" w:type="dxa"/>
              <w:right w:w="15" w:type="dxa"/>
            </w:tcMar>
            <w:hideMark/>
          </w:tcPr>
          <w:p w:rsidR="00000000" w:rsidRDefault="00F20BDB">
            <w:pPr>
              <w:pStyle w:val="a3"/>
              <w:spacing w:before="0" w:beforeAutospacing="0" w:after="0" w:afterAutospacing="0"/>
              <w:rPr>
                <w:color w:val="000000"/>
                <w:sz w:val="20"/>
                <w:szCs w:val="20"/>
              </w:rPr>
            </w:pPr>
            <w:r>
              <w:rPr>
                <w:color w:val="000000"/>
                <w:sz w:val="20"/>
                <w:szCs w:val="20"/>
              </w:rPr>
              <w:t>2019</w:t>
            </w:r>
          </w:p>
        </w:tc>
        <w:tc>
          <w:tcPr>
            <w:tcW w:w="79" w:type="pct"/>
            <w:shd w:val="clear" w:color="auto" w:fill="CFF0FC"/>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28"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21,826</w:t>
            </w:r>
          </w:p>
        </w:tc>
        <w:tc>
          <w:tcPr>
            <w:tcW w:w="49"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57" w:type="pct"/>
            <w:gridSpan w:val="2"/>
            <w:shd w:val="clear" w:color="auto" w:fill="CFF0FC"/>
            <w:tcMar>
              <w:top w:w="15" w:type="dxa"/>
              <w:left w:w="0" w:type="dxa"/>
              <w:bottom w:w="0" w:type="dxa"/>
              <w:right w:w="15" w:type="dxa"/>
            </w:tcMar>
            <w:vAlign w:val="center"/>
            <w:hideMark/>
          </w:tcPr>
          <w:p w:rsidR="00000000" w:rsidRDefault="00F20BDB">
            <w:pPr>
              <w:pStyle w:val="a3"/>
              <w:spacing w:before="0" w:beforeAutospacing="0" w:after="0" w:afterAutospacing="0"/>
              <w:jc w:val="right"/>
              <w:rPr>
                <w:color w:val="000000"/>
                <w:sz w:val="20"/>
                <w:szCs w:val="20"/>
              </w:rPr>
            </w:pPr>
            <w:r>
              <w:rPr>
                <w:color w:val="000000"/>
                <w:sz w:val="20"/>
                <w:szCs w:val="20"/>
              </w:rPr>
              <w:t>178</w:t>
            </w:r>
          </w:p>
        </w:tc>
        <w:tc>
          <w:tcPr>
            <w:tcW w:w="49" w:type="pct"/>
            <w:shd w:val="clear" w:color="auto" w:fill="CFF0FC"/>
            <w:noWrap/>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475882"/>
          <w:trHeight w:val="263"/>
          <w:jc w:val="center"/>
        </w:trPr>
        <w:tc>
          <w:tcPr>
            <w:tcW w:w="3283" w:type="pct"/>
            <w:shd w:val="clear" w:color="auto" w:fill="FFFFFF"/>
            <w:tcMar>
              <w:top w:w="15" w:type="dxa"/>
              <w:left w:w="0" w:type="dxa"/>
              <w:bottom w:w="0" w:type="dxa"/>
              <w:right w:w="15" w:type="dxa"/>
            </w:tcMar>
            <w:hideMark/>
          </w:tcPr>
          <w:p w:rsidR="00000000" w:rsidRDefault="00F20BDB">
            <w:pPr>
              <w:pStyle w:val="a3"/>
              <w:spacing w:before="0" w:beforeAutospacing="0" w:after="0" w:afterAutospacing="0"/>
              <w:rPr>
                <w:color w:val="000000"/>
                <w:sz w:val="20"/>
                <w:szCs w:val="20"/>
              </w:rPr>
            </w:pPr>
            <w:r>
              <w:rPr>
                <w:color w:val="000000"/>
                <w:sz w:val="20"/>
                <w:szCs w:val="20"/>
              </w:rPr>
              <w:t>2020</w:t>
            </w:r>
          </w:p>
        </w:tc>
        <w:tc>
          <w:tcPr>
            <w:tcW w:w="79" w:type="pct"/>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28"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33,864</w:t>
            </w:r>
          </w:p>
        </w:tc>
        <w:tc>
          <w:tcPr>
            <w:tcW w:w="4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57" w:type="pct"/>
            <w:gridSpan w:val="2"/>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jc w:val="right"/>
              <w:rPr>
                <w:color w:val="000000"/>
                <w:sz w:val="20"/>
                <w:szCs w:val="20"/>
              </w:rPr>
            </w:pPr>
            <w:r>
              <w:rPr>
                <w:color w:val="000000"/>
                <w:sz w:val="20"/>
                <w:szCs w:val="20"/>
              </w:rPr>
              <w:t>30</w:t>
            </w:r>
          </w:p>
        </w:tc>
        <w:tc>
          <w:tcPr>
            <w:tcW w:w="49" w:type="pct"/>
            <w:shd w:val="clear" w:color="auto" w:fill="FFFFFF"/>
            <w:noWrap/>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475882"/>
          <w:trHeight w:val="247"/>
          <w:jc w:val="center"/>
        </w:trPr>
        <w:tc>
          <w:tcPr>
            <w:tcW w:w="3283" w:type="pct"/>
            <w:shd w:val="clear" w:color="auto" w:fill="CFF0FC"/>
            <w:tcMar>
              <w:top w:w="15" w:type="dxa"/>
              <w:left w:w="0" w:type="dxa"/>
              <w:bottom w:w="0" w:type="dxa"/>
              <w:right w:w="15" w:type="dxa"/>
            </w:tcMar>
            <w:hideMark/>
          </w:tcPr>
          <w:p w:rsidR="00000000" w:rsidRDefault="00F20BDB">
            <w:pPr>
              <w:pStyle w:val="a3"/>
              <w:spacing w:before="0" w:beforeAutospacing="0" w:after="0" w:afterAutospacing="0"/>
              <w:rPr>
                <w:color w:val="000000"/>
                <w:sz w:val="20"/>
                <w:szCs w:val="20"/>
              </w:rPr>
            </w:pPr>
            <w:r>
              <w:rPr>
                <w:color w:val="000000"/>
                <w:sz w:val="20"/>
                <w:szCs w:val="20"/>
              </w:rPr>
              <w:t>2021</w:t>
            </w:r>
          </w:p>
        </w:tc>
        <w:tc>
          <w:tcPr>
            <w:tcW w:w="79" w:type="pct"/>
            <w:shd w:val="clear" w:color="auto" w:fill="CFF0FC"/>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28"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36,178</w:t>
            </w:r>
          </w:p>
        </w:tc>
        <w:tc>
          <w:tcPr>
            <w:tcW w:w="49"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noWrap/>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8" w:type="pct"/>
            <w:shd w:val="clear" w:color="auto" w:fill="CFF0FC"/>
            <w:noWrap/>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noWrap/>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475882"/>
          <w:trHeight w:val="247"/>
          <w:jc w:val="center"/>
        </w:trPr>
        <w:tc>
          <w:tcPr>
            <w:tcW w:w="3283" w:type="pct"/>
            <w:shd w:val="clear" w:color="auto" w:fill="FFFFFF"/>
            <w:tcMar>
              <w:top w:w="15" w:type="dxa"/>
              <w:left w:w="0" w:type="dxa"/>
              <w:bottom w:w="0" w:type="dxa"/>
              <w:right w:w="15" w:type="dxa"/>
            </w:tcMar>
            <w:hideMark/>
          </w:tcPr>
          <w:p w:rsidR="00000000" w:rsidRDefault="00F20BDB">
            <w:pPr>
              <w:pStyle w:val="a3"/>
              <w:spacing w:before="0" w:beforeAutospacing="0" w:after="0" w:afterAutospacing="0"/>
              <w:rPr>
                <w:color w:val="000000"/>
                <w:sz w:val="20"/>
                <w:szCs w:val="20"/>
              </w:rPr>
            </w:pPr>
            <w:r>
              <w:rPr>
                <w:color w:val="000000"/>
                <w:sz w:val="20"/>
                <w:szCs w:val="20"/>
              </w:rPr>
              <w:t>2022</w:t>
            </w:r>
          </w:p>
        </w:tc>
        <w:tc>
          <w:tcPr>
            <w:tcW w:w="79" w:type="pct"/>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28"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35,460</w:t>
            </w:r>
          </w:p>
        </w:tc>
        <w:tc>
          <w:tcPr>
            <w:tcW w:w="4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noWrap/>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8" w:type="pct"/>
            <w:shd w:val="clear" w:color="auto" w:fill="FFFFFF"/>
            <w:noWrap/>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noWrap/>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475882"/>
          <w:trHeight w:val="263"/>
          <w:jc w:val="center"/>
        </w:trPr>
        <w:tc>
          <w:tcPr>
            <w:tcW w:w="3283" w:type="pct"/>
            <w:shd w:val="clear" w:color="auto" w:fill="CFF0FC"/>
            <w:tcMar>
              <w:top w:w="15" w:type="dxa"/>
              <w:left w:w="0" w:type="dxa"/>
              <w:bottom w:w="0" w:type="dxa"/>
              <w:right w:w="15" w:type="dxa"/>
            </w:tcMar>
            <w:hideMark/>
          </w:tcPr>
          <w:p w:rsidR="00000000" w:rsidRDefault="00F20BDB">
            <w:pPr>
              <w:pStyle w:val="a3"/>
              <w:spacing w:before="0" w:beforeAutospacing="0" w:after="0" w:afterAutospacing="0"/>
              <w:rPr>
                <w:color w:val="000000"/>
                <w:sz w:val="20"/>
                <w:szCs w:val="20"/>
              </w:rPr>
            </w:pPr>
            <w:r>
              <w:rPr>
                <w:color w:val="000000"/>
                <w:sz w:val="20"/>
                <w:szCs w:val="20"/>
              </w:rPr>
              <w:t>2023</w:t>
            </w:r>
          </w:p>
        </w:tc>
        <w:tc>
          <w:tcPr>
            <w:tcW w:w="79" w:type="pct"/>
            <w:shd w:val="clear" w:color="auto" w:fill="CFF0FC"/>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28"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35,619</w:t>
            </w:r>
          </w:p>
        </w:tc>
        <w:tc>
          <w:tcPr>
            <w:tcW w:w="49"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noWrap/>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8" w:type="pct"/>
            <w:shd w:val="clear" w:color="auto" w:fill="CFF0FC"/>
            <w:noWrap/>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noWrap/>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475882"/>
          <w:trHeight w:val="247"/>
          <w:jc w:val="center"/>
        </w:trPr>
        <w:tc>
          <w:tcPr>
            <w:tcW w:w="3283" w:type="pct"/>
            <w:shd w:val="clear" w:color="auto" w:fill="FFFFFF"/>
            <w:tcMar>
              <w:top w:w="15" w:type="dxa"/>
              <w:left w:w="0" w:type="dxa"/>
              <w:bottom w:w="0" w:type="dxa"/>
              <w:right w:w="15" w:type="dxa"/>
            </w:tcMar>
            <w:hideMark/>
          </w:tcPr>
          <w:p w:rsidR="00000000" w:rsidRDefault="00F20BDB">
            <w:pPr>
              <w:pStyle w:val="a3"/>
              <w:spacing w:before="0" w:beforeAutospacing="0" w:after="0" w:afterAutospacing="0"/>
              <w:rPr>
                <w:color w:val="000000"/>
                <w:sz w:val="20"/>
                <w:szCs w:val="20"/>
              </w:rPr>
            </w:pPr>
            <w:r>
              <w:rPr>
                <w:color w:val="000000"/>
                <w:sz w:val="20"/>
                <w:szCs w:val="20"/>
              </w:rPr>
              <w:t>Thereafter</w:t>
            </w:r>
          </w:p>
        </w:tc>
        <w:tc>
          <w:tcPr>
            <w:tcW w:w="79" w:type="pct"/>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2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183,294</w:t>
            </w:r>
          </w:p>
        </w:tc>
        <w:tc>
          <w:tcPr>
            <w:tcW w:w="4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9"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8"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noWrap/>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475882"/>
          <w:trHeight w:val="263"/>
          <w:jc w:val="center"/>
        </w:trPr>
        <w:tc>
          <w:tcPr>
            <w:tcW w:w="3283" w:type="pct"/>
            <w:shd w:val="clear" w:color="auto" w:fill="CFF0FC"/>
            <w:tcMar>
              <w:top w:w="15" w:type="dxa"/>
              <w:left w:w="0" w:type="dxa"/>
              <w:bottom w:w="0" w:type="dxa"/>
              <w:right w:w="15" w:type="dxa"/>
            </w:tcMar>
            <w:hideMark/>
          </w:tcPr>
          <w:p w:rsidR="00000000" w:rsidRDefault="00F20BDB">
            <w:pPr>
              <w:pStyle w:val="a3"/>
              <w:spacing w:before="0" w:beforeAutospacing="0" w:after="0" w:afterAutospacing="0"/>
              <w:rPr>
                <w:color w:val="000000"/>
                <w:sz w:val="20"/>
                <w:szCs w:val="20"/>
              </w:rPr>
            </w:pPr>
            <w:r>
              <w:rPr>
                <w:color w:val="000000"/>
                <w:sz w:val="20"/>
                <w:szCs w:val="20"/>
              </w:rPr>
              <w:t>Total</w:t>
            </w:r>
          </w:p>
        </w:tc>
        <w:tc>
          <w:tcPr>
            <w:tcW w:w="79" w:type="pct"/>
            <w:shd w:val="clear" w:color="auto" w:fill="CFF0FC"/>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2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346,241</w:t>
            </w:r>
          </w:p>
        </w:tc>
        <w:tc>
          <w:tcPr>
            <w:tcW w:w="49"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57" w:type="pct"/>
            <w:gridSpan w:val="2"/>
            <w:tcBorders>
              <w:top w:val="single" w:sz="6" w:space="0" w:color="000000"/>
            </w:tcBorders>
            <w:shd w:val="clear" w:color="auto" w:fill="CFF0FC"/>
            <w:tcMar>
              <w:top w:w="15" w:type="dxa"/>
              <w:left w:w="0" w:type="dxa"/>
              <w:bottom w:w="0" w:type="dxa"/>
              <w:right w:w="15" w:type="dxa"/>
            </w:tcMar>
            <w:vAlign w:val="center"/>
            <w:hideMark/>
          </w:tcPr>
          <w:p w:rsidR="00000000" w:rsidRDefault="00F20BDB">
            <w:pPr>
              <w:pStyle w:val="a3"/>
              <w:spacing w:before="0" w:beforeAutospacing="0" w:after="0" w:afterAutospacing="0"/>
              <w:jc w:val="right"/>
              <w:rPr>
                <w:color w:val="000000"/>
                <w:sz w:val="20"/>
                <w:szCs w:val="20"/>
              </w:rPr>
            </w:pPr>
            <w:r>
              <w:rPr>
                <w:color w:val="000000"/>
                <w:sz w:val="20"/>
                <w:szCs w:val="20"/>
              </w:rPr>
              <w:t>208</w:t>
            </w:r>
          </w:p>
        </w:tc>
        <w:tc>
          <w:tcPr>
            <w:tcW w:w="49" w:type="pct"/>
            <w:shd w:val="clear" w:color="auto" w:fill="CFF0FC"/>
            <w:noWrap/>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57475882"/>
          <w:trHeight w:val="247"/>
          <w:jc w:val="center"/>
        </w:trPr>
        <w:tc>
          <w:tcPr>
            <w:tcW w:w="328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Less: Portion representing interest</w:t>
            </w:r>
          </w:p>
        </w:tc>
        <w:tc>
          <w:tcPr>
            <w:tcW w:w="7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2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80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w:t>
            </w:r>
          </w:p>
        </w:tc>
        <w:tc>
          <w:tcPr>
            <w:tcW w:w="4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557475882"/>
          <w:trHeight w:val="263"/>
          <w:jc w:val="center"/>
        </w:trPr>
        <w:tc>
          <w:tcPr>
            <w:tcW w:w="3283" w:type="pct"/>
            <w:shd w:val="clear" w:color="auto" w:fill="CFF0FC"/>
            <w:tcMar>
              <w:top w:w="15" w:type="dxa"/>
              <w:left w:w="0" w:type="dxa"/>
              <w:bottom w:w="0" w:type="dxa"/>
              <w:right w:w="15" w:type="dxa"/>
            </w:tcMar>
            <w:hideMark/>
          </w:tcPr>
          <w:p w:rsidR="00000000" w:rsidRDefault="00F20BDB">
            <w:pPr>
              <w:pStyle w:val="a3"/>
              <w:spacing w:before="0" w:beforeAutospacing="0" w:after="0" w:afterAutospacing="0"/>
              <w:ind w:left="137"/>
              <w:rPr>
                <w:color w:val="000000"/>
                <w:sz w:val="20"/>
                <w:szCs w:val="20"/>
              </w:rPr>
            </w:pPr>
            <w:r>
              <w:rPr>
                <w:color w:val="000000"/>
                <w:sz w:val="20"/>
                <w:szCs w:val="20"/>
              </w:rPr>
              <w:t>Capital lease obligation</w:t>
            </w:r>
          </w:p>
        </w:tc>
        <w:tc>
          <w:tcPr>
            <w:tcW w:w="79" w:type="pct"/>
            <w:shd w:val="clear" w:color="auto" w:fill="CFF0FC"/>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28"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49"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57" w:type="pct"/>
            <w:gridSpan w:val="2"/>
            <w:tcBorders>
              <w:top w:val="single" w:sz="6" w:space="0" w:color="000000"/>
              <w:bottom w:val="double" w:sz="6" w:space="0" w:color="000000"/>
            </w:tcBorders>
            <w:shd w:val="clear" w:color="auto" w:fill="CFF0FC"/>
            <w:tcMar>
              <w:top w:w="15" w:type="dxa"/>
              <w:left w:w="0" w:type="dxa"/>
              <w:bottom w:w="0" w:type="dxa"/>
              <w:right w:w="15" w:type="dxa"/>
            </w:tcMar>
            <w:vAlign w:val="center"/>
            <w:hideMark/>
          </w:tcPr>
          <w:p w:rsidR="00000000" w:rsidRDefault="00F20BDB">
            <w:pPr>
              <w:pStyle w:val="a3"/>
              <w:spacing w:before="0" w:beforeAutospacing="0" w:after="0" w:afterAutospacing="0"/>
              <w:jc w:val="right"/>
              <w:rPr>
                <w:color w:val="000000"/>
                <w:sz w:val="20"/>
                <w:szCs w:val="20"/>
              </w:rPr>
            </w:pPr>
            <w:r>
              <w:rPr>
                <w:color w:val="000000"/>
                <w:sz w:val="20"/>
                <w:szCs w:val="20"/>
              </w:rPr>
              <w:t>194</w:t>
            </w:r>
          </w:p>
        </w:tc>
        <w:tc>
          <w:tcPr>
            <w:tcW w:w="49" w:type="pct"/>
            <w:shd w:val="clear" w:color="auto" w:fill="CFF0FC"/>
            <w:noWrap/>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120" w:beforeAutospacing="0" w:after="0" w:afterAutospacing="0"/>
        <w:rPr>
          <w:sz w:val="20"/>
          <w:szCs w:val="20"/>
        </w:rPr>
      </w:pPr>
      <w:r>
        <w:rPr>
          <w:sz w:val="20"/>
          <w:szCs w:val="20"/>
        </w:rPr>
        <w:t> </w:t>
      </w:r>
    </w:p>
    <w:p w:rsidR="00000000" w:rsidRDefault="00F20BDB">
      <w:pPr>
        <w:pStyle w:val="a3"/>
        <w:spacing w:before="40" w:beforeAutospacing="0" w:after="0" w:afterAutospacing="0"/>
        <w:ind w:firstLine="556"/>
        <w:rPr>
          <w:sz w:val="20"/>
          <w:szCs w:val="20"/>
        </w:rPr>
      </w:pPr>
      <w:r>
        <w:rPr>
          <w:sz w:val="20"/>
          <w:szCs w:val="20"/>
        </w:rPr>
        <w:t>In April 2019, the Company entered into a new 10 year lease in the U.S. Additionally, the Company entered into a new 3 year property lease in Singapore. In conjunction with the new Singapore lease existing leases were extended. The new leases commence thro</w:t>
      </w:r>
      <w:r>
        <w:rPr>
          <w:sz w:val="20"/>
          <w:szCs w:val="20"/>
        </w:rPr>
        <w:t>ugh December 2019. The Company will pay an aggregate of approximately $31.2 million in incremental rent over the lease terms.</w:t>
      </w:r>
    </w:p>
    <w:p w:rsidR="00000000" w:rsidRDefault="00F20BDB">
      <w:pPr>
        <w:pStyle w:val="a3"/>
        <w:spacing w:before="40" w:beforeAutospacing="0" w:after="0" w:afterAutospacing="0"/>
        <w:ind w:firstLine="556"/>
        <w:rPr>
          <w:sz w:val="20"/>
          <w:szCs w:val="20"/>
        </w:rPr>
      </w:pPr>
      <w:r>
        <w:rPr>
          <w:sz w:val="20"/>
          <w:szCs w:val="20"/>
        </w:rPr>
        <w:t> </w:t>
      </w:r>
    </w:p>
    <w:p w:rsidR="00000000" w:rsidRDefault="00F20BDB">
      <w:pPr>
        <w:pStyle w:val="a3"/>
        <w:spacing w:before="120" w:beforeAutospacing="0" w:after="0" w:afterAutospacing="0"/>
        <w:ind w:firstLine="556"/>
        <w:rPr>
          <w:sz w:val="20"/>
          <w:szCs w:val="20"/>
        </w:rPr>
      </w:pPr>
      <w:r>
        <w:rPr>
          <w:sz w:val="20"/>
          <w:szCs w:val="20"/>
        </w:rPr>
        <w:t xml:space="preserve">As previously disclosed in our 2018 Annual Report on Form 10-K and under the previous lease accounting standard, ASC 840, </w:t>
      </w:r>
      <w:r>
        <w:rPr>
          <w:i/>
          <w:iCs/>
          <w:sz w:val="20"/>
          <w:szCs w:val="20"/>
        </w:rPr>
        <w:t>Leases</w:t>
      </w:r>
      <w:r>
        <w:rPr>
          <w:sz w:val="20"/>
          <w:szCs w:val="20"/>
        </w:rPr>
        <w:t>, the future minimum payments under all operating and finance lease agreements as of December 31, 2018 are as follows:</w:t>
      </w:r>
    </w:p>
    <w:p w:rsidR="00000000" w:rsidRDefault="00F20BDB">
      <w:pPr>
        <w:pStyle w:val="a3"/>
        <w:spacing w:before="120" w:beforeAutospacing="0" w:after="0" w:afterAutospacing="0"/>
        <w:ind w:firstLine="556"/>
        <w:rPr>
          <w:sz w:val="20"/>
          <w:szCs w:val="20"/>
        </w:rPr>
      </w:pPr>
      <w:r>
        <w:rPr>
          <w:sz w:val="20"/>
          <w:szCs w:val="20"/>
        </w:rPr>
        <w:t> </w:t>
      </w:r>
    </w:p>
    <w:tbl>
      <w:tblPr>
        <w:tblW w:w="3908" w:type="pct"/>
        <w:jc w:val="center"/>
        <w:tblCellMar>
          <w:left w:w="0" w:type="dxa"/>
          <w:right w:w="0" w:type="dxa"/>
        </w:tblCellMar>
        <w:tblLook w:val="04A0" w:firstRow="1" w:lastRow="0" w:firstColumn="1" w:lastColumn="0" w:noHBand="0" w:noVBand="1"/>
      </w:tblPr>
      <w:tblGrid>
        <w:gridCol w:w="4253"/>
        <w:gridCol w:w="80"/>
        <w:gridCol w:w="115"/>
        <w:gridCol w:w="900"/>
        <w:gridCol w:w="65"/>
        <w:gridCol w:w="80"/>
        <w:gridCol w:w="116"/>
        <w:gridCol w:w="801"/>
        <w:gridCol w:w="82"/>
      </w:tblGrid>
      <w:tr w:rsidR="00000000">
        <w:trPr>
          <w:divId w:val="198784861"/>
          <w:trHeight w:val="356"/>
          <w:jc w:val="center"/>
        </w:trPr>
        <w:tc>
          <w:tcPr>
            <w:tcW w:w="329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76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Operating</w:t>
            </w:r>
          </w:p>
        </w:tc>
        <w:tc>
          <w:tcPr>
            <w:tcW w:w="48"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8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Finance</w:t>
            </w:r>
          </w:p>
        </w:tc>
        <w:tc>
          <w:tcPr>
            <w:tcW w:w="4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98784861"/>
          <w:trHeight w:val="178"/>
          <w:jc w:val="center"/>
        </w:trPr>
        <w:tc>
          <w:tcPr>
            <w:tcW w:w="329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1579" w:type="pct"/>
            <w:gridSpan w:val="6"/>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4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98784861"/>
          <w:trHeight w:val="222"/>
          <w:jc w:val="center"/>
        </w:trPr>
        <w:tc>
          <w:tcPr>
            <w:tcW w:w="3294" w:type="pct"/>
            <w:shd w:val="clear" w:color="auto" w:fill="CFF0FC"/>
            <w:tcMar>
              <w:top w:w="15" w:type="dxa"/>
              <w:left w:w="0" w:type="dxa"/>
              <w:bottom w:w="0" w:type="dxa"/>
              <w:right w:w="15" w:type="dxa"/>
            </w:tcMar>
            <w:hideMark/>
          </w:tcPr>
          <w:p w:rsidR="00000000" w:rsidRDefault="00F20BDB">
            <w:pPr>
              <w:pStyle w:val="a3"/>
              <w:spacing w:before="0" w:beforeAutospacing="0" w:after="0" w:afterAutospacing="0"/>
              <w:rPr>
                <w:color w:val="000000"/>
                <w:sz w:val="20"/>
                <w:szCs w:val="20"/>
              </w:rPr>
            </w:pPr>
            <w:r>
              <w:rPr>
                <w:color w:val="000000"/>
                <w:sz w:val="20"/>
                <w:szCs w:val="20"/>
              </w:rPr>
              <w:t>2019</w:t>
            </w:r>
          </w:p>
        </w:tc>
        <w:tc>
          <w:tcPr>
            <w:tcW w:w="79" w:type="pct"/>
            <w:shd w:val="clear" w:color="auto" w:fill="CFF0FC"/>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1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27,755</w:t>
            </w:r>
          </w:p>
        </w:tc>
        <w:tc>
          <w:tcPr>
            <w:tcW w:w="48"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32"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298</w:t>
            </w:r>
          </w:p>
        </w:tc>
        <w:tc>
          <w:tcPr>
            <w:tcW w:w="49"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98784861"/>
          <w:trHeight w:val="237"/>
          <w:jc w:val="center"/>
        </w:trPr>
        <w:tc>
          <w:tcPr>
            <w:tcW w:w="3294" w:type="pct"/>
            <w:shd w:val="clear" w:color="auto" w:fill="FFFFFF"/>
            <w:tcMar>
              <w:top w:w="15" w:type="dxa"/>
              <w:left w:w="0" w:type="dxa"/>
              <w:bottom w:w="0" w:type="dxa"/>
              <w:right w:w="15" w:type="dxa"/>
            </w:tcMar>
            <w:hideMark/>
          </w:tcPr>
          <w:p w:rsidR="00000000" w:rsidRDefault="00F20BDB">
            <w:pPr>
              <w:pStyle w:val="a3"/>
              <w:spacing w:before="0" w:beforeAutospacing="0" w:after="0" w:afterAutospacing="0"/>
              <w:rPr>
                <w:color w:val="000000"/>
                <w:sz w:val="20"/>
                <w:szCs w:val="20"/>
              </w:rPr>
            </w:pPr>
            <w:r>
              <w:rPr>
                <w:color w:val="000000"/>
                <w:sz w:val="20"/>
                <w:szCs w:val="20"/>
              </w:rPr>
              <w:t>2020</w:t>
            </w:r>
          </w:p>
        </w:tc>
        <w:tc>
          <w:tcPr>
            <w:tcW w:w="79" w:type="pct"/>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1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33,769</w:t>
            </w:r>
          </w:p>
        </w:tc>
        <w:tc>
          <w:tcPr>
            <w:tcW w:w="48"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2"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33</w:t>
            </w:r>
          </w:p>
        </w:tc>
        <w:tc>
          <w:tcPr>
            <w:tcW w:w="4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98784861"/>
          <w:trHeight w:val="222"/>
          <w:jc w:val="center"/>
        </w:trPr>
        <w:tc>
          <w:tcPr>
            <w:tcW w:w="3294" w:type="pct"/>
            <w:shd w:val="clear" w:color="auto" w:fill="CFF0FC"/>
            <w:tcMar>
              <w:top w:w="15" w:type="dxa"/>
              <w:left w:w="0" w:type="dxa"/>
              <w:bottom w:w="0" w:type="dxa"/>
              <w:right w:w="15" w:type="dxa"/>
            </w:tcMar>
            <w:hideMark/>
          </w:tcPr>
          <w:p w:rsidR="00000000" w:rsidRDefault="00F20BDB">
            <w:pPr>
              <w:pStyle w:val="a3"/>
              <w:spacing w:before="0" w:beforeAutospacing="0" w:after="0" w:afterAutospacing="0"/>
              <w:rPr>
                <w:color w:val="000000"/>
                <w:sz w:val="20"/>
                <w:szCs w:val="20"/>
              </w:rPr>
            </w:pPr>
            <w:r>
              <w:rPr>
                <w:color w:val="000000"/>
                <w:sz w:val="20"/>
                <w:szCs w:val="20"/>
              </w:rPr>
              <w:t>2021</w:t>
            </w:r>
          </w:p>
        </w:tc>
        <w:tc>
          <w:tcPr>
            <w:tcW w:w="79" w:type="pct"/>
            <w:shd w:val="clear" w:color="auto" w:fill="CFF0FC"/>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1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35,414</w:t>
            </w:r>
          </w:p>
        </w:tc>
        <w:tc>
          <w:tcPr>
            <w:tcW w:w="48"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2"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49"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98784861"/>
          <w:trHeight w:val="222"/>
          <w:jc w:val="center"/>
        </w:trPr>
        <w:tc>
          <w:tcPr>
            <w:tcW w:w="3294" w:type="pct"/>
            <w:shd w:val="clear" w:color="auto" w:fill="FFFFFF"/>
            <w:tcMar>
              <w:top w:w="15" w:type="dxa"/>
              <w:left w:w="0" w:type="dxa"/>
              <w:bottom w:w="0" w:type="dxa"/>
              <w:right w:w="15" w:type="dxa"/>
            </w:tcMar>
            <w:hideMark/>
          </w:tcPr>
          <w:p w:rsidR="00000000" w:rsidRDefault="00F20BDB">
            <w:pPr>
              <w:pStyle w:val="a3"/>
              <w:spacing w:before="0" w:beforeAutospacing="0" w:after="0" w:afterAutospacing="0"/>
              <w:rPr>
                <w:color w:val="000000"/>
                <w:sz w:val="20"/>
                <w:szCs w:val="20"/>
              </w:rPr>
            </w:pPr>
            <w:r>
              <w:rPr>
                <w:color w:val="000000"/>
                <w:sz w:val="20"/>
                <w:szCs w:val="20"/>
              </w:rPr>
              <w:t>2022</w:t>
            </w:r>
          </w:p>
        </w:tc>
        <w:tc>
          <w:tcPr>
            <w:tcW w:w="79" w:type="pct"/>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1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35,314</w:t>
            </w:r>
          </w:p>
        </w:tc>
        <w:tc>
          <w:tcPr>
            <w:tcW w:w="48"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2"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4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98784861"/>
          <w:trHeight w:val="237"/>
          <w:jc w:val="center"/>
        </w:trPr>
        <w:tc>
          <w:tcPr>
            <w:tcW w:w="3294" w:type="pct"/>
            <w:shd w:val="clear" w:color="auto" w:fill="CFF0FC"/>
            <w:tcMar>
              <w:top w:w="15" w:type="dxa"/>
              <w:left w:w="0" w:type="dxa"/>
              <w:bottom w:w="0" w:type="dxa"/>
              <w:right w:w="15" w:type="dxa"/>
            </w:tcMar>
            <w:hideMark/>
          </w:tcPr>
          <w:p w:rsidR="00000000" w:rsidRDefault="00F20BDB">
            <w:pPr>
              <w:pStyle w:val="a3"/>
              <w:spacing w:before="0" w:beforeAutospacing="0" w:after="0" w:afterAutospacing="0"/>
              <w:rPr>
                <w:color w:val="000000"/>
                <w:sz w:val="20"/>
                <w:szCs w:val="20"/>
              </w:rPr>
            </w:pPr>
            <w:r>
              <w:rPr>
                <w:color w:val="000000"/>
                <w:sz w:val="20"/>
                <w:szCs w:val="20"/>
              </w:rPr>
              <w:t>2023</w:t>
            </w:r>
          </w:p>
        </w:tc>
        <w:tc>
          <w:tcPr>
            <w:tcW w:w="79" w:type="pct"/>
            <w:shd w:val="clear" w:color="auto" w:fill="CFF0FC"/>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1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35,686</w:t>
            </w:r>
          </w:p>
        </w:tc>
        <w:tc>
          <w:tcPr>
            <w:tcW w:w="48"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2"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49"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98784861"/>
          <w:trHeight w:val="222"/>
          <w:jc w:val="center"/>
        </w:trPr>
        <w:tc>
          <w:tcPr>
            <w:tcW w:w="3294" w:type="pct"/>
            <w:shd w:val="clear" w:color="auto" w:fill="FFFFFF"/>
            <w:tcMar>
              <w:top w:w="15" w:type="dxa"/>
              <w:left w:w="0" w:type="dxa"/>
              <w:bottom w:w="0" w:type="dxa"/>
              <w:right w:w="15" w:type="dxa"/>
            </w:tcMar>
            <w:hideMark/>
          </w:tcPr>
          <w:p w:rsidR="00000000" w:rsidRDefault="00F20BDB">
            <w:pPr>
              <w:pStyle w:val="a3"/>
              <w:spacing w:before="0" w:beforeAutospacing="0" w:after="0" w:afterAutospacing="0"/>
              <w:rPr>
                <w:color w:val="000000"/>
                <w:sz w:val="20"/>
                <w:szCs w:val="20"/>
              </w:rPr>
            </w:pPr>
            <w:r>
              <w:rPr>
                <w:color w:val="000000"/>
                <w:sz w:val="20"/>
                <w:szCs w:val="20"/>
              </w:rPr>
              <w:t>Thereafter</w:t>
            </w:r>
          </w:p>
        </w:tc>
        <w:tc>
          <w:tcPr>
            <w:tcW w:w="79" w:type="pct"/>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1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184,341</w:t>
            </w:r>
          </w:p>
        </w:tc>
        <w:tc>
          <w:tcPr>
            <w:tcW w:w="48"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4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98784861"/>
          <w:trHeight w:val="237"/>
          <w:jc w:val="center"/>
        </w:trPr>
        <w:tc>
          <w:tcPr>
            <w:tcW w:w="3294" w:type="pct"/>
            <w:shd w:val="clear" w:color="auto" w:fill="CFF0FC"/>
            <w:tcMar>
              <w:top w:w="15" w:type="dxa"/>
              <w:left w:w="0" w:type="dxa"/>
              <w:bottom w:w="0" w:type="dxa"/>
              <w:right w:w="15" w:type="dxa"/>
            </w:tcMar>
            <w:hideMark/>
          </w:tcPr>
          <w:p w:rsidR="00000000" w:rsidRDefault="00F20BDB">
            <w:pPr>
              <w:pStyle w:val="a3"/>
              <w:spacing w:before="0" w:beforeAutospacing="0" w:after="0" w:afterAutospacing="0"/>
              <w:rPr>
                <w:color w:val="000000"/>
                <w:sz w:val="20"/>
                <w:szCs w:val="20"/>
              </w:rPr>
            </w:pPr>
            <w:r>
              <w:rPr>
                <w:color w:val="000000"/>
                <w:sz w:val="20"/>
                <w:szCs w:val="20"/>
              </w:rPr>
              <w:t>Total</w:t>
            </w:r>
          </w:p>
        </w:tc>
        <w:tc>
          <w:tcPr>
            <w:tcW w:w="79" w:type="pct"/>
            <w:shd w:val="clear" w:color="auto" w:fill="CFF0FC"/>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1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352,279</w:t>
            </w:r>
          </w:p>
        </w:tc>
        <w:tc>
          <w:tcPr>
            <w:tcW w:w="48"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331</w:t>
            </w:r>
          </w:p>
        </w:tc>
        <w:tc>
          <w:tcPr>
            <w:tcW w:w="49"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98784861"/>
          <w:trHeight w:val="222"/>
          <w:jc w:val="center"/>
        </w:trPr>
        <w:tc>
          <w:tcPr>
            <w:tcW w:w="329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Less: Portion representing interest</w:t>
            </w:r>
          </w:p>
        </w:tc>
        <w:tc>
          <w:tcPr>
            <w:tcW w:w="7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1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(20</w:t>
            </w:r>
          </w:p>
        </w:tc>
        <w:tc>
          <w:tcPr>
            <w:tcW w:w="4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98784861"/>
          <w:trHeight w:val="385"/>
          <w:jc w:val="center"/>
        </w:trPr>
        <w:tc>
          <w:tcPr>
            <w:tcW w:w="3294" w:type="pct"/>
            <w:shd w:val="clear" w:color="auto" w:fill="CFF0FC"/>
            <w:tcMar>
              <w:top w:w="15" w:type="dxa"/>
              <w:left w:w="0" w:type="dxa"/>
              <w:bottom w:w="0" w:type="dxa"/>
              <w:right w:w="15" w:type="dxa"/>
            </w:tcMar>
            <w:vAlign w:val="center"/>
            <w:hideMark/>
          </w:tcPr>
          <w:p w:rsidR="00000000" w:rsidRDefault="00F20BDB">
            <w:pPr>
              <w:pStyle w:val="a3"/>
              <w:spacing w:before="0" w:beforeAutospacing="0" w:after="0" w:afterAutospacing="0"/>
              <w:ind w:left="274"/>
              <w:rPr>
                <w:color w:val="000000"/>
                <w:sz w:val="20"/>
                <w:szCs w:val="20"/>
              </w:rPr>
            </w:pPr>
            <w:r>
              <w:rPr>
                <w:color w:val="000000"/>
                <w:sz w:val="20"/>
                <w:szCs w:val="20"/>
              </w:rPr>
              <w:t>Capital lease obligation</w:t>
            </w:r>
          </w:p>
        </w:tc>
        <w:tc>
          <w:tcPr>
            <w:tcW w:w="79" w:type="pct"/>
            <w:shd w:val="clear" w:color="auto" w:fill="CFF0FC"/>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noWrap/>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11" w:type="pct"/>
            <w:shd w:val="clear" w:color="auto" w:fill="CFF0FC"/>
            <w:noWrap/>
            <w:tcMar>
              <w:top w:w="15" w:type="dxa"/>
              <w:left w:w="0" w:type="dxa"/>
              <w:bottom w:w="0" w:type="dxa"/>
              <w:right w:w="15" w:type="dxa"/>
            </w:tcMar>
            <w:vAlign w:val="center"/>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48" w:type="pct"/>
            <w:shd w:val="clear" w:color="auto" w:fill="CFF0FC"/>
            <w:noWrap/>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3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311</w:t>
            </w:r>
          </w:p>
        </w:tc>
        <w:tc>
          <w:tcPr>
            <w:tcW w:w="49"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40" w:beforeAutospacing="0" w:after="0" w:afterAutospacing="0"/>
        <w:ind w:firstLine="556"/>
        <w:rPr>
          <w:sz w:val="20"/>
          <w:szCs w:val="20"/>
        </w:rPr>
      </w:pPr>
      <w:r>
        <w:rPr>
          <w:sz w:val="20"/>
          <w:szCs w:val="20"/>
        </w:rPr>
        <w:t> </w:t>
      </w:r>
    </w:p>
    <w:p w:rsidR="00000000" w:rsidRDefault="00F20BDB">
      <w:pPr>
        <w:pStyle w:val="a3"/>
        <w:spacing w:before="40" w:beforeAutospacing="0" w:after="0" w:afterAutospacing="0"/>
        <w:ind w:firstLine="556"/>
        <w:rPr>
          <w:color w:val="000000"/>
          <w:sz w:val="20"/>
          <w:szCs w:val="20"/>
        </w:rPr>
      </w:pPr>
      <w:r>
        <w:rPr>
          <w:color w:val="000000"/>
          <w:sz w:val="20"/>
          <w:szCs w:val="20"/>
        </w:rPr>
        <w:t>There were no material changes in our vendor commitments under non-cancelable arrangements, as disclosed in the Company’s audited consolidated financial statements for the year ended December 31, 2018 and related notes thereto contained in the Company’s An</w:t>
      </w:r>
      <w:r>
        <w:rPr>
          <w:color w:val="000000"/>
          <w:sz w:val="20"/>
          <w:szCs w:val="20"/>
        </w:rPr>
        <w:t>nual Report on Form 10-K, except as disclosed below:</w:t>
      </w:r>
    </w:p>
    <w:p w:rsidR="00000000" w:rsidRDefault="00F20BDB">
      <w:pPr>
        <w:pStyle w:val="a3"/>
        <w:spacing w:before="40" w:beforeAutospacing="0" w:after="0" w:afterAutospacing="0"/>
        <w:ind w:firstLine="556"/>
        <w:rPr>
          <w:sz w:val="20"/>
          <w:szCs w:val="20"/>
        </w:rPr>
      </w:pPr>
      <w:r>
        <w:rPr>
          <w:sz w:val="20"/>
          <w:szCs w:val="20"/>
        </w:rPr>
        <w:t> </w:t>
      </w:r>
    </w:p>
    <w:p w:rsidR="00000000" w:rsidRDefault="00F20BDB">
      <w:pPr>
        <w:pStyle w:val="a3"/>
        <w:spacing w:before="240" w:beforeAutospacing="0" w:after="0" w:afterAutospacing="0"/>
        <w:jc w:val="center"/>
        <w:rPr>
          <w:sz w:val="20"/>
          <w:szCs w:val="20"/>
        </w:rPr>
      </w:pPr>
      <w:r>
        <w:rPr>
          <w:sz w:val="20"/>
          <w:szCs w:val="20"/>
        </w:rPr>
        <w:t>17</w:t>
      </w:r>
    </w:p>
    <w:p w:rsidR="00000000" w:rsidRDefault="00F20BDB">
      <w:pPr>
        <w:rPr>
          <w:rFonts w:eastAsia="Times New Roman"/>
        </w:rPr>
      </w:pPr>
      <w:r>
        <w:rPr>
          <w:rFonts w:eastAsia="Times New Roman"/>
        </w:rPr>
        <w:pict>
          <v:rect id="_x0000_i1041"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ind w:firstLine="556"/>
        <w:rPr>
          <w:sz w:val="20"/>
          <w:szCs w:val="20"/>
        </w:rPr>
      </w:pPr>
      <w:bookmarkStart w:id="27" w:name="_AEIOULastRenderedPageBreakAEIOU15"/>
      <w:bookmarkEnd w:id="27"/>
      <w:r>
        <w:rPr>
          <w:sz w:val="20"/>
          <w:szCs w:val="20"/>
        </w:rPr>
        <w:t>In March 2019, the Company exercised an option to extend an agreement with a technology vendor for an additional two years through June 2023. The Company’s additional contractual obligation under this agreement are app</w:t>
      </w:r>
      <w:r>
        <w:rPr>
          <w:sz w:val="20"/>
          <w:szCs w:val="20"/>
        </w:rPr>
        <w:t xml:space="preserve">roximately $57 million over the additional two years. </w:t>
      </w:r>
    </w:p>
    <w:p w:rsidR="00000000" w:rsidRDefault="00F20BDB">
      <w:pPr>
        <w:pStyle w:val="a3"/>
        <w:spacing w:before="40" w:beforeAutospacing="0" w:after="0" w:afterAutospacing="0"/>
        <w:rPr>
          <w:sz w:val="20"/>
          <w:szCs w:val="20"/>
        </w:rPr>
      </w:pPr>
      <w:r>
        <w:rPr>
          <w:sz w:val="20"/>
          <w:szCs w:val="20"/>
        </w:rPr>
        <w:t> </w:t>
      </w:r>
    </w:p>
    <w:p w:rsidR="00000000" w:rsidRDefault="00F20BDB">
      <w:pPr>
        <w:pStyle w:val="a3"/>
        <w:spacing w:before="40" w:beforeAutospacing="0" w:after="0" w:afterAutospacing="0"/>
        <w:rPr>
          <w:i/>
          <w:iCs/>
          <w:sz w:val="20"/>
          <w:szCs w:val="20"/>
        </w:rPr>
      </w:pPr>
      <w:r>
        <w:rPr>
          <w:i/>
          <w:iCs/>
          <w:sz w:val="20"/>
          <w:szCs w:val="20"/>
        </w:rPr>
        <w:t>Legal Contingencies</w:t>
      </w:r>
    </w:p>
    <w:p w:rsidR="00000000" w:rsidRDefault="00F20BDB">
      <w:pPr>
        <w:pStyle w:val="a3"/>
        <w:spacing w:before="120" w:beforeAutospacing="0" w:after="0" w:afterAutospacing="0"/>
        <w:ind w:firstLine="556"/>
        <w:rPr>
          <w:sz w:val="20"/>
          <w:szCs w:val="20"/>
        </w:rPr>
      </w:pPr>
      <w:r>
        <w:rPr>
          <w:sz w:val="20"/>
          <w:szCs w:val="20"/>
        </w:rPr>
        <w:t>From time to time, the Company may become a party to litigation and subject to claims incident to the ordinary course of business, including intellectual property claims, labor an</w:t>
      </w:r>
      <w:r>
        <w:rPr>
          <w:sz w:val="20"/>
          <w:szCs w:val="20"/>
        </w:rPr>
        <w:t>d employment claims, and threatened claims, breach of contract claims, tax, and other matters. The Company currently has no material pending litigation.</w:t>
      </w:r>
    </w:p>
    <w:p w:rsidR="00000000" w:rsidRDefault="00F20BDB">
      <w:pPr>
        <w:pStyle w:val="a3"/>
        <w:spacing w:before="120" w:beforeAutospacing="0" w:after="0" w:afterAutospacing="0"/>
        <w:ind w:firstLine="556"/>
        <w:rPr>
          <w:sz w:val="20"/>
          <w:szCs w:val="20"/>
        </w:rPr>
      </w:pPr>
      <w:r>
        <w:rPr>
          <w:sz w:val="20"/>
          <w:szCs w:val="20"/>
        </w:rPr>
        <w:t> </w:t>
      </w:r>
    </w:p>
    <w:p w:rsidR="00000000" w:rsidRDefault="00F20BDB">
      <w:pPr>
        <w:pStyle w:val="a3"/>
        <w:spacing w:before="0" w:beforeAutospacing="0" w:after="0" w:afterAutospacing="0"/>
        <w:rPr>
          <w:b/>
          <w:bCs/>
          <w:sz w:val="20"/>
          <w:szCs w:val="20"/>
        </w:rPr>
      </w:pPr>
      <w:r>
        <w:rPr>
          <w:b/>
          <w:bCs/>
          <w:sz w:val="20"/>
          <w:szCs w:val="20"/>
        </w:rPr>
        <w:t xml:space="preserve">11. Changes in Stockholders’ Equity </w:t>
      </w:r>
    </w:p>
    <w:p w:rsidR="00000000" w:rsidRDefault="00F20BDB">
      <w:pPr>
        <w:pStyle w:val="a3"/>
        <w:spacing w:before="120" w:beforeAutospacing="0" w:after="0" w:afterAutospacing="0"/>
        <w:ind w:firstLine="556"/>
        <w:rPr>
          <w:sz w:val="20"/>
          <w:szCs w:val="20"/>
        </w:rPr>
      </w:pPr>
      <w:r>
        <w:rPr>
          <w:sz w:val="20"/>
          <w:szCs w:val="20"/>
        </w:rPr>
        <w:t xml:space="preserve">The following tables summarize the changes in stockholders’ equity for the three months ended March 31, 2019 and 2018. </w:t>
      </w:r>
    </w:p>
    <w:tbl>
      <w:tblPr>
        <w:tblW w:w="5000" w:type="pct"/>
        <w:jc w:val="center"/>
        <w:tblCellMar>
          <w:left w:w="0" w:type="dxa"/>
          <w:right w:w="0" w:type="dxa"/>
        </w:tblCellMar>
        <w:tblLook w:val="04A0" w:firstRow="1" w:lastRow="0" w:firstColumn="1" w:lastColumn="0" w:noHBand="0" w:noVBand="1"/>
      </w:tblPr>
      <w:tblGrid>
        <w:gridCol w:w="2712"/>
        <w:gridCol w:w="65"/>
        <w:gridCol w:w="565"/>
        <w:gridCol w:w="65"/>
        <w:gridCol w:w="65"/>
        <w:gridCol w:w="116"/>
        <w:gridCol w:w="509"/>
        <w:gridCol w:w="65"/>
        <w:gridCol w:w="65"/>
        <w:gridCol w:w="115"/>
        <w:gridCol w:w="665"/>
        <w:gridCol w:w="65"/>
        <w:gridCol w:w="65"/>
        <w:gridCol w:w="125"/>
        <w:gridCol w:w="957"/>
        <w:gridCol w:w="82"/>
        <w:gridCol w:w="65"/>
        <w:gridCol w:w="116"/>
        <w:gridCol w:w="815"/>
        <w:gridCol w:w="82"/>
        <w:gridCol w:w="65"/>
        <w:gridCol w:w="115"/>
        <w:gridCol w:w="665"/>
        <w:gridCol w:w="82"/>
      </w:tblGrid>
      <w:tr w:rsidR="00000000">
        <w:trPr>
          <w:divId w:val="1540824491"/>
          <w:jc w:val="center"/>
        </w:trPr>
        <w:tc>
          <w:tcPr>
            <w:tcW w:w="182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sz w:val="20"/>
                <w:szCs w:val="20"/>
              </w:rPr>
            </w:pPr>
            <w:r>
              <w:rPr>
                <w:sz w:val="20"/>
                <w:szCs w:val="20"/>
              </w:rPr>
              <w:t> </w:t>
            </w:r>
          </w:p>
        </w:tc>
        <w:tc>
          <w:tcPr>
            <w:tcW w:w="972"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Common</w:t>
            </w:r>
          </w:p>
          <w:p w:rsidR="00000000" w:rsidRDefault="00F20BDB">
            <w:pPr>
              <w:pStyle w:val="a3"/>
              <w:spacing w:before="0" w:beforeAutospacing="0" w:after="0" w:afterAutospacing="0"/>
              <w:jc w:val="center"/>
              <w:rPr>
                <w:b/>
                <w:bCs/>
                <w:color w:val="000000"/>
                <w:sz w:val="16"/>
                <w:szCs w:val="16"/>
              </w:rPr>
            </w:pPr>
            <w:r>
              <w:rPr>
                <w:b/>
                <w:bCs/>
                <w:color w:val="000000"/>
                <w:sz w:val="16"/>
                <w:szCs w:val="16"/>
              </w:rPr>
              <w:t>Stock, $0.001</w:t>
            </w:r>
          </w:p>
          <w:p w:rsidR="00000000" w:rsidRDefault="00F20BDB">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34" w:type="pct"/>
            <w:gridSpan w:val="2"/>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Additional</w:t>
            </w:r>
          </w:p>
          <w:p w:rsidR="00000000" w:rsidRDefault="00F20BDB">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434" w:type="pct"/>
            <w:gridSpan w:val="2"/>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F20BDB">
            <w:pPr>
              <w:pStyle w:val="a3"/>
              <w:spacing w:before="0" w:beforeAutospacing="0" w:after="0" w:afterAutospacing="0"/>
              <w:jc w:val="center"/>
              <w:rPr>
                <w:b/>
                <w:bCs/>
                <w:color w:val="000000"/>
                <w:sz w:val="16"/>
                <w:szCs w:val="16"/>
              </w:rPr>
            </w:pPr>
            <w:r>
              <w:rPr>
                <w:b/>
                <w:bCs/>
                <w:color w:val="000000"/>
                <w:sz w:val="16"/>
                <w:szCs w:val="16"/>
              </w:rPr>
              <w:t>Other</w:t>
            </w:r>
          </w:p>
          <w:p w:rsidR="00000000" w:rsidRDefault="00F20BDB">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center"/>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434" w:type="pct"/>
            <w:gridSpan w:val="2"/>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384" w:type="pct"/>
            <w:shd w:val="clear" w:color="auto" w:fill="FFFFFF"/>
            <w:noWrap/>
            <w:tcMar>
              <w:top w:w="15" w:type="dxa"/>
              <w:left w:w="0" w:type="dxa"/>
              <w:bottom w:w="0" w:type="dxa"/>
              <w:right w:w="15" w:type="dxa"/>
            </w:tcMar>
            <w:vAlign w:val="cente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540824491"/>
          <w:jc w:val="center"/>
        </w:trPr>
        <w:tc>
          <w:tcPr>
            <w:tcW w:w="182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43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3"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3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34"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center"/>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434"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Income (Loss)</w:t>
            </w:r>
          </w:p>
        </w:tc>
        <w:tc>
          <w:tcPr>
            <w:tcW w:w="50" w:type="pct"/>
            <w:shd w:val="clear" w:color="auto" w:fill="FFFFFF"/>
            <w:noWrap/>
            <w:tcMar>
              <w:top w:w="15" w:type="dxa"/>
              <w:left w:w="0" w:type="dxa"/>
              <w:bottom w:w="0" w:type="dxa"/>
              <w:right w:w="15" w:type="dxa"/>
            </w:tcMar>
            <w:vAlign w:val="center"/>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434"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center"/>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43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540824491"/>
          <w:jc w:val="center"/>
        </w:trPr>
        <w:tc>
          <w:tcPr>
            <w:tcW w:w="182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Balances at December 31, 2018</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39,300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38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38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589,708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38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(723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38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(344,384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38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244,641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540824491"/>
          <w:jc w:val="center"/>
        </w:trPr>
        <w:tc>
          <w:tcPr>
            <w:tcW w:w="182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Issuance of common stock under stock</w:t>
            </w:r>
          </w:p>
          <w:p w:rsidR="00000000" w:rsidRDefault="00F20BDB">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plans, net of shares withheld for</w:t>
            </w:r>
          </w:p>
          <w:p w:rsidR="00000000" w:rsidRDefault="00F20BDB">
            <w:pPr>
              <w:pStyle w:val="a3"/>
              <w:spacing w:before="0" w:beforeAutospacing="0" w:after="0" w:afterAutospacing="0"/>
              <w:rPr>
                <w:color w:val="000000"/>
                <w:sz w:val="20"/>
                <w:szCs w:val="20"/>
              </w:rPr>
            </w:pPr>
            <w:r>
              <w:rPr>
                <w:color w:val="000000"/>
                <w:sz w:val="20"/>
                <w:szCs w:val="20"/>
              </w:rPr>
              <w:t>   employee taxes</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440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1,161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1,162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540824491"/>
          <w:jc w:val="center"/>
        </w:trPr>
        <w:tc>
          <w:tcPr>
            <w:tcW w:w="182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Issuance of common stock in relation to common stock offering, net of offering costs incurred $365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2,151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342,628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342,630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540824491"/>
          <w:jc w:val="center"/>
        </w:trPr>
        <w:tc>
          <w:tcPr>
            <w:tcW w:w="182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Stock-based compensation</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21,548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21,548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540824491"/>
          <w:jc w:val="center"/>
        </w:trPr>
        <w:tc>
          <w:tcPr>
            <w:tcW w:w="182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Cumulative translation adjustment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(304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(304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540824491"/>
          <w:jc w:val="center"/>
        </w:trPr>
        <w:tc>
          <w:tcPr>
            <w:tcW w:w="182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Unrealized gain on investments, net of income taxes of $113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426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426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540824491"/>
          <w:jc w:val="center"/>
        </w:trPr>
        <w:tc>
          <w:tcPr>
            <w:tcW w:w="182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Net loss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(11,100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(11,100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540824491"/>
          <w:jc w:val="center"/>
        </w:trPr>
        <w:tc>
          <w:tcPr>
            <w:tcW w:w="182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Balances at March 31, 2019</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41,891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38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38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955,045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38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(601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38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(355,484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38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599,003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12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711"/>
        <w:gridCol w:w="65"/>
        <w:gridCol w:w="565"/>
        <w:gridCol w:w="65"/>
        <w:gridCol w:w="65"/>
        <w:gridCol w:w="116"/>
        <w:gridCol w:w="509"/>
        <w:gridCol w:w="65"/>
        <w:gridCol w:w="65"/>
        <w:gridCol w:w="115"/>
        <w:gridCol w:w="665"/>
        <w:gridCol w:w="65"/>
        <w:gridCol w:w="65"/>
        <w:gridCol w:w="125"/>
        <w:gridCol w:w="957"/>
        <w:gridCol w:w="82"/>
        <w:gridCol w:w="65"/>
        <w:gridCol w:w="116"/>
        <w:gridCol w:w="816"/>
        <w:gridCol w:w="82"/>
        <w:gridCol w:w="65"/>
        <w:gridCol w:w="115"/>
        <w:gridCol w:w="665"/>
        <w:gridCol w:w="82"/>
      </w:tblGrid>
      <w:tr w:rsidR="00000000">
        <w:trPr>
          <w:divId w:val="2115009938"/>
          <w:jc w:val="center"/>
        </w:trPr>
        <w:tc>
          <w:tcPr>
            <w:tcW w:w="182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sz w:val="20"/>
                <w:szCs w:val="20"/>
              </w:rPr>
            </w:pPr>
            <w:r>
              <w:rPr>
                <w:sz w:val="20"/>
                <w:szCs w:val="20"/>
              </w:rPr>
              <w:t> </w:t>
            </w:r>
          </w:p>
        </w:tc>
        <w:tc>
          <w:tcPr>
            <w:tcW w:w="972"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Common</w:t>
            </w:r>
          </w:p>
          <w:p w:rsidR="00000000" w:rsidRDefault="00F20BDB">
            <w:pPr>
              <w:pStyle w:val="a3"/>
              <w:spacing w:before="0" w:beforeAutospacing="0" w:after="0" w:afterAutospacing="0"/>
              <w:jc w:val="center"/>
              <w:rPr>
                <w:b/>
                <w:bCs/>
                <w:color w:val="000000"/>
                <w:sz w:val="16"/>
                <w:szCs w:val="16"/>
              </w:rPr>
            </w:pPr>
            <w:r>
              <w:rPr>
                <w:b/>
                <w:bCs/>
                <w:color w:val="000000"/>
                <w:sz w:val="16"/>
                <w:szCs w:val="16"/>
              </w:rPr>
              <w:t>Stock, $0.001</w:t>
            </w:r>
          </w:p>
          <w:p w:rsidR="00000000" w:rsidRDefault="00F20BDB">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35" w:type="pct"/>
            <w:gridSpan w:val="2"/>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Additional</w:t>
            </w:r>
          </w:p>
          <w:p w:rsidR="00000000" w:rsidRDefault="00F20BDB">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F20BDB">
            <w:pPr>
              <w:pStyle w:val="a3"/>
              <w:spacing w:before="0" w:beforeAutospacing="0" w:after="0" w:afterAutospacing="0"/>
              <w:jc w:val="center"/>
              <w:rPr>
                <w:b/>
                <w:bCs/>
                <w:color w:val="000000"/>
                <w:sz w:val="16"/>
                <w:szCs w:val="16"/>
              </w:rPr>
            </w:pPr>
            <w:r>
              <w:rPr>
                <w:b/>
                <w:bCs/>
                <w:color w:val="000000"/>
                <w:sz w:val="16"/>
                <w:szCs w:val="16"/>
              </w:rPr>
              <w:t>Other</w:t>
            </w:r>
          </w:p>
          <w:p w:rsidR="00000000" w:rsidRDefault="00F20BDB">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center"/>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385" w:type="pct"/>
            <w:shd w:val="clear" w:color="auto" w:fill="FFFFFF"/>
            <w:noWrap/>
            <w:tcMar>
              <w:top w:w="15" w:type="dxa"/>
              <w:left w:w="0" w:type="dxa"/>
              <w:bottom w:w="0" w:type="dxa"/>
              <w:right w:w="15" w:type="dxa"/>
            </w:tcMar>
            <w:vAlign w:val="cente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2115009938"/>
          <w:jc w:val="center"/>
        </w:trPr>
        <w:tc>
          <w:tcPr>
            <w:tcW w:w="182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center"/>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Income (Loss)</w:t>
            </w:r>
          </w:p>
        </w:tc>
        <w:tc>
          <w:tcPr>
            <w:tcW w:w="50" w:type="pct"/>
            <w:shd w:val="clear" w:color="auto" w:fill="FFFFFF"/>
            <w:noWrap/>
            <w:tcMar>
              <w:top w:w="15" w:type="dxa"/>
              <w:left w:w="0" w:type="dxa"/>
              <w:bottom w:w="0" w:type="dxa"/>
              <w:right w:w="15" w:type="dxa"/>
            </w:tcMar>
            <w:vAlign w:val="center"/>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center"/>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2115009938"/>
          <w:jc w:val="center"/>
        </w:trPr>
        <w:tc>
          <w:tcPr>
            <w:tcW w:w="182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Balances at December 31, 2017</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37,503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496,461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(286,082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210,360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2115009938"/>
          <w:jc w:val="center"/>
        </w:trPr>
        <w:tc>
          <w:tcPr>
            <w:tcW w:w="182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Issuance of common stock under stock</w:t>
            </w:r>
          </w:p>
          <w:p w:rsidR="00000000" w:rsidRDefault="00F20BDB">
            <w:pPr>
              <w:pStyle w:val="a3"/>
              <w:spacing w:before="0" w:beforeAutospacing="0" w:after="0" w:afterAutospacing="0"/>
              <w:rPr>
                <w:color w:val="000000"/>
                <w:sz w:val="20"/>
                <w:szCs w:val="20"/>
              </w:rPr>
            </w:pPr>
            <w:r>
              <w:rPr>
                <w:color w:val="000000"/>
                <w:sz w:val="20"/>
                <w:szCs w:val="20"/>
              </w:rPr>
              <w:t>   plans, net of shares withheld for</w:t>
            </w:r>
          </w:p>
          <w:p w:rsidR="00000000" w:rsidRDefault="00F20BDB">
            <w:pPr>
              <w:pStyle w:val="a3"/>
              <w:spacing w:before="0" w:beforeAutospacing="0" w:after="0" w:afterAutospacing="0"/>
              <w:rPr>
                <w:color w:val="000000"/>
                <w:sz w:val="20"/>
                <w:szCs w:val="20"/>
              </w:rPr>
            </w:pPr>
            <w:r>
              <w:rPr>
                <w:color w:val="000000"/>
                <w:sz w:val="20"/>
                <w:szCs w:val="20"/>
              </w:rPr>
              <w:t>   employee taxes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571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3,877</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3,878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2115009938"/>
          <w:jc w:val="center"/>
        </w:trPr>
        <w:tc>
          <w:tcPr>
            <w:tcW w:w="182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Stock-based compensation</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16,596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16,596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2115009938"/>
          <w:jc w:val="center"/>
        </w:trPr>
        <w:tc>
          <w:tcPr>
            <w:tcW w:w="182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Cumulative adjustment from adoption of revenue recognition standard</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5,793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5,793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2115009938"/>
          <w:jc w:val="center"/>
        </w:trPr>
        <w:tc>
          <w:tcPr>
            <w:tcW w:w="182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Cumulative translation adjustment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298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298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2115009938"/>
          <w:jc w:val="center"/>
        </w:trPr>
        <w:tc>
          <w:tcPr>
            <w:tcW w:w="182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Unrealized gain on investments, net of income taxes of $20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(379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(379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2115009938"/>
          <w:jc w:val="center"/>
        </w:trPr>
        <w:tc>
          <w:tcPr>
            <w:tcW w:w="182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Net loss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(15,448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(15,448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2115009938"/>
          <w:jc w:val="center"/>
        </w:trPr>
        <w:tc>
          <w:tcPr>
            <w:tcW w:w="182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Balances at March 31, 2018</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38,074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516,934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(138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(295,737</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221,098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0" w:beforeAutospacing="0" w:after="0" w:afterAutospacing="0"/>
        <w:rPr>
          <w:sz w:val="18"/>
          <w:szCs w:val="18"/>
        </w:rPr>
      </w:pPr>
      <w:r>
        <w:rPr>
          <w:sz w:val="18"/>
          <w:szCs w:val="18"/>
        </w:rPr>
        <w:t> </w:t>
      </w:r>
    </w:p>
    <w:p w:rsidR="00000000" w:rsidRDefault="00F20BDB">
      <w:pPr>
        <w:pStyle w:val="a3"/>
        <w:spacing w:before="240" w:beforeAutospacing="0" w:after="0" w:afterAutospacing="0"/>
        <w:jc w:val="center"/>
        <w:rPr>
          <w:sz w:val="20"/>
          <w:szCs w:val="20"/>
        </w:rPr>
      </w:pPr>
      <w:r>
        <w:rPr>
          <w:sz w:val="20"/>
          <w:szCs w:val="20"/>
        </w:rPr>
        <w:t>18</w:t>
      </w:r>
    </w:p>
    <w:p w:rsidR="00000000" w:rsidRDefault="00F20BDB">
      <w:pPr>
        <w:rPr>
          <w:rFonts w:eastAsia="Times New Roman"/>
        </w:rPr>
      </w:pPr>
      <w:r>
        <w:rPr>
          <w:rFonts w:eastAsia="Times New Roman"/>
        </w:rPr>
        <w:pict>
          <v:rect id="_x0000_i1042"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b/>
          <w:bCs/>
          <w:sz w:val="20"/>
          <w:szCs w:val="20"/>
        </w:rPr>
      </w:pPr>
      <w:r>
        <w:rPr>
          <w:b/>
          <w:bCs/>
          <w:sz w:val="20"/>
          <w:szCs w:val="20"/>
        </w:rPr>
        <w:t>12. Changes in Accumulated Other Comprehensive Loss</w:t>
      </w:r>
    </w:p>
    <w:p w:rsidR="00000000" w:rsidRDefault="00F20BDB">
      <w:pPr>
        <w:pStyle w:val="a3"/>
        <w:spacing w:before="120" w:beforeAutospacing="0" w:after="0" w:afterAutospacing="0"/>
        <w:ind w:firstLine="556"/>
        <w:rPr>
          <w:sz w:val="20"/>
          <w:szCs w:val="20"/>
        </w:rPr>
      </w:pPr>
      <w:r>
        <w:rPr>
          <w:sz w:val="20"/>
          <w:szCs w:val="20"/>
        </w:rPr>
        <w:t xml:space="preserve">The following table </w:t>
      </w:r>
      <w:r>
        <w:rPr>
          <w:sz w:val="20"/>
          <w:szCs w:val="20"/>
        </w:rPr>
        <w:t>summarizes the changes in accumulated other comprehensive loss, which is reported as a component of stockholders’ equity, for the three months ended March 31, 2019.</w:t>
      </w:r>
    </w:p>
    <w:p w:rsidR="00000000" w:rsidRDefault="00F20BDB">
      <w:pPr>
        <w:pStyle w:val="a3"/>
        <w:spacing w:before="0" w:beforeAutospacing="0" w:after="0" w:afterAutospacing="0"/>
        <w:rPr>
          <w:sz w:val="20"/>
          <w:szCs w:val="20"/>
        </w:rPr>
      </w:pPr>
      <w:r>
        <w:rPr>
          <w:sz w:val="20"/>
          <w:szCs w:val="20"/>
        </w:rPr>
        <w:t> </w:t>
      </w:r>
    </w:p>
    <w:tbl>
      <w:tblPr>
        <w:tblW w:w="4000" w:type="pct"/>
        <w:jc w:val="center"/>
        <w:tblCellMar>
          <w:left w:w="0" w:type="dxa"/>
          <w:right w:w="0" w:type="dxa"/>
        </w:tblCellMar>
        <w:tblLook w:val="04A0" w:firstRow="1" w:lastRow="0" w:firstColumn="1" w:lastColumn="0" w:noHBand="0" w:noVBand="1"/>
      </w:tblPr>
      <w:tblGrid>
        <w:gridCol w:w="3665"/>
        <w:gridCol w:w="65"/>
        <w:gridCol w:w="116"/>
        <w:gridCol w:w="752"/>
        <w:gridCol w:w="82"/>
        <w:gridCol w:w="65"/>
        <w:gridCol w:w="116"/>
        <w:gridCol w:w="1053"/>
        <w:gridCol w:w="82"/>
        <w:gridCol w:w="70"/>
        <w:gridCol w:w="115"/>
        <w:gridCol w:w="382"/>
        <w:gridCol w:w="82"/>
      </w:tblGrid>
      <w:tr w:rsidR="00000000">
        <w:trPr>
          <w:divId w:val="719481340"/>
          <w:jc w:val="center"/>
        </w:trPr>
        <w:tc>
          <w:tcPr>
            <w:tcW w:w="283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58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Cumulative Translation Adjustment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66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Unrealized Gain on</w:t>
            </w:r>
          </w:p>
          <w:p w:rsidR="00000000" w:rsidRDefault="00F20BDB">
            <w:pPr>
              <w:pStyle w:val="a3"/>
              <w:spacing w:before="0" w:beforeAutospacing="0" w:after="0" w:afterAutospacing="0"/>
              <w:jc w:val="center"/>
              <w:rPr>
                <w:b/>
                <w:bCs/>
                <w:color w:val="000000"/>
                <w:sz w:val="16"/>
                <w:szCs w:val="16"/>
              </w:rPr>
            </w:pPr>
            <w:r>
              <w:rPr>
                <w:b/>
                <w:bCs/>
                <w:color w:val="000000"/>
                <w:sz w:val="16"/>
                <w:szCs w:val="16"/>
              </w:rPr>
              <w:t>Investments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8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719481340"/>
          <w:jc w:val="center"/>
        </w:trPr>
        <w:tc>
          <w:tcPr>
            <w:tcW w:w="283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2046"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719481340"/>
          <w:jc w:val="center"/>
        </w:trPr>
        <w:tc>
          <w:tcPr>
            <w:tcW w:w="283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Beginning balance at January 1, 2019</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3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(397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8" w:type="pct"/>
            <w:tcBorders>
              <w:top w:val="single" w:sz="6" w:space="0" w:color="000000"/>
            </w:tcBorders>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1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(326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7" w:type="pct"/>
            <w:tcBorders>
              <w:top w:val="single" w:sz="6" w:space="0" w:color="000000"/>
            </w:tcBorders>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3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(723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719481340"/>
          <w:jc w:val="center"/>
        </w:trPr>
        <w:tc>
          <w:tcPr>
            <w:tcW w:w="283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Other comprehensive loss before reclassifications</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(304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426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122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719481340"/>
          <w:jc w:val="center"/>
        </w:trPr>
        <w:tc>
          <w:tcPr>
            <w:tcW w:w="283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Amounts reclassified from accumulated other</w:t>
            </w:r>
          </w:p>
          <w:p w:rsidR="00000000" w:rsidRDefault="00F20BDB">
            <w:pPr>
              <w:pStyle w:val="a3"/>
              <w:spacing w:before="0" w:beforeAutospacing="0" w:after="0" w:afterAutospacing="0"/>
              <w:ind w:left="274"/>
              <w:rPr>
                <w:color w:val="000000"/>
                <w:sz w:val="20"/>
                <w:szCs w:val="20"/>
              </w:rPr>
            </w:pPr>
            <w:r>
              <w:rPr>
                <w:color w:val="000000"/>
                <w:sz w:val="20"/>
                <w:szCs w:val="20"/>
              </w:rPr>
              <w:t>   comprehensive income</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719481340"/>
          <w:jc w:val="center"/>
        </w:trPr>
        <w:tc>
          <w:tcPr>
            <w:tcW w:w="283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Ending balance at March 31, 2019</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3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(701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1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3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(601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sz w:val="18"/>
          <w:szCs w:val="18"/>
        </w:rPr>
      </w:pPr>
      <w:r>
        <w:rPr>
          <w:sz w:val="18"/>
          <w:szCs w:val="18"/>
        </w:rPr>
        <w:t> </w:t>
      </w:r>
    </w:p>
    <w:p w:rsidR="00000000" w:rsidRDefault="00F20BDB">
      <w:pPr>
        <w:pStyle w:val="a3"/>
        <w:spacing w:before="0" w:beforeAutospacing="0" w:after="0" w:afterAutospacing="0"/>
        <w:rPr>
          <w:sz w:val="18"/>
          <w:szCs w:val="18"/>
        </w:rPr>
      </w:pPr>
      <w:r>
        <w:rPr>
          <w:sz w:val="18"/>
          <w:szCs w:val="18"/>
        </w:rPr>
        <w:t> </w:t>
      </w:r>
    </w:p>
    <w:p w:rsidR="00000000" w:rsidRDefault="00F20BDB">
      <w:pPr>
        <w:pStyle w:val="a3"/>
        <w:spacing w:before="0" w:beforeAutospacing="0" w:after="0" w:afterAutospacing="0"/>
        <w:rPr>
          <w:b/>
          <w:bCs/>
          <w:sz w:val="20"/>
          <w:szCs w:val="20"/>
        </w:rPr>
      </w:pPr>
      <w:r>
        <w:rPr>
          <w:b/>
          <w:bCs/>
          <w:sz w:val="20"/>
          <w:szCs w:val="20"/>
        </w:rPr>
        <w:t>13. Stock-Based Compensation Expense</w:t>
      </w:r>
    </w:p>
    <w:p w:rsidR="00000000" w:rsidRDefault="00F20BDB">
      <w:pPr>
        <w:pStyle w:val="a3"/>
        <w:spacing w:before="120" w:beforeAutospacing="0" w:after="0" w:afterAutospacing="0"/>
        <w:ind w:firstLine="556"/>
        <w:rPr>
          <w:sz w:val="20"/>
          <w:szCs w:val="20"/>
        </w:rPr>
      </w:pPr>
      <w:r>
        <w:rPr>
          <w:sz w:val="20"/>
          <w:szCs w:val="20"/>
        </w:rPr>
        <w:t>The following two tables show stock-based compensation expense by award type and where the stock-based compensation expense is recorded in the Company’s consolidated statements of operations:</w:t>
      </w:r>
    </w:p>
    <w:p w:rsidR="00000000" w:rsidRDefault="00F20BDB">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4995"/>
        <w:gridCol w:w="109"/>
        <w:gridCol w:w="115"/>
        <w:gridCol w:w="951"/>
        <w:gridCol w:w="65"/>
        <w:gridCol w:w="108"/>
        <w:gridCol w:w="115"/>
        <w:gridCol w:w="952"/>
        <w:gridCol w:w="65"/>
      </w:tblGrid>
      <w:tr w:rsidR="00000000">
        <w:trPr>
          <w:divId w:val="855272080"/>
          <w:trHeight w:val="65"/>
          <w:jc w:val="center"/>
        </w:trPr>
        <w:tc>
          <w:tcPr>
            <w:tcW w:w="334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 Months End March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855272080"/>
          <w:jc w:val="center"/>
        </w:trPr>
        <w:tc>
          <w:tcPr>
            <w:tcW w:w="334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855272080"/>
          <w:jc w:val="center"/>
        </w:trPr>
        <w:tc>
          <w:tcPr>
            <w:tcW w:w="334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1519" w:type="pct"/>
            <w:gridSpan w:val="6"/>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855272080"/>
          <w:jc w:val="center"/>
        </w:trPr>
        <w:tc>
          <w:tcPr>
            <w:tcW w:w="334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Options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1,290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1,334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855272080"/>
          <w:jc w:val="center"/>
        </w:trPr>
        <w:tc>
          <w:tcPr>
            <w:tcW w:w="334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RSUs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18,736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14,241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855272080"/>
          <w:jc w:val="center"/>
        </w:trPr>
        <w:tc>
          <w:tcPr>
            <w:tcW w:w="334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Employee stock purchase plan</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1,179</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471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855272080"/>
          <w:jc w:val="center"/>
        </w:trPr>
        <w:tc>
          <w:tcPr>
            <w:tcW w:w="334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Total stock-based compensation expense</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21,205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16,046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ind w:firstLine="556"/>
        <w:rPr>
          <w:sz w:val="20"/>
          <w:szCs w:val="20"/>
        </w:rPr>
      </w:pPr>
      <w:r>
        <w:rPr>
          <w:sz w:val="20"/>
          <w:szCs w:val="20"/>
        </w:rPr>
        <w:t>Effect of stock-based compensation expense on income by line item:</w:t>
      </w:r>
    </w:p>
    <w:p w:rsidR="00000000" w:rsidRDefault="00F20BDB">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4995"/>
        <w:gridCol w:w="109"/>
        <w:gridCol w:w="115"/>
        <w:gridCol w:w="951"/>
        <w:gridCol w:w="65"/>
        <w:gridCol w:w="108"/>
        <w:gridCol w:w="115"/>
        <w:gridCol w:w="952"/>
        <w:gridCol w:w="65"/>
      </w:tblGrid>
      <w:tr w:rsidR="00000000">
        <w:trPr>
          <w:divId w:val="979118818"/>
          <w:jc w:val="center"/>
        </w:trPr>
        <w:tc>
          <w:tcPr>
            <w:tcW w:w="334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 Months End March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979118818"/>
          <w:jc w:val="center"/>
        </w:trPr>
        <w:tc>
          <w:tcPr>
            <w:tcW w:w="334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979118818"/>
          <w:jc w:val="center"/>
        </w:trPr>
        <w:tc>
          <w:tcPr>
            <w:tcW w:w="334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1519" w:type="pct"/>
            <w:gridSpan w:val="6"/>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979118818"/>
          <w:jc w:val="center"/>
        </w:trPr>
        <w:tc>
          <w:tcPr>
            <w:tcW w:w="334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Cost of revenue, subscription</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614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79118818"/>
          <w:jc w:val="center"/>
        </w:trPr>
        <w:tc>
          <w:tcPr>
            <w:tcW w:w="334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Cost of revenue, professional services and other</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690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79118818"/>
          <w:jc w:val="center"/>
        </w:trPr>
        <w:tc>
          <w:tcPr>
            <w:tcW w:w="334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Research and development</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7,091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4,764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79118818"/>
          <w:jc w:val="center"/>
        </w:trPr>
        <w:tc>
          <w:tcPr>
            <w:tcW w:w="334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Sales and marketing</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7,804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6,492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79118818"/>
          <w:jc w:val="center"/>
        </w:trPr>
        <w:tc>
          <w:tcPr>
            <w:tcW w:w="334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General and administrative</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4,677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3,823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979118818"/>
          <w:jc w:val="center"/>
        </w:trPr>
        <w:tc>
          <w:tcPr>
            <w:tcW w:w="334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Total stock-based compensation expense</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21,205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16,046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ind w:firstLine="556"/>
        <w:rPr>
          <w:sz w:val="20"/>
          <w:szCs w:val="20"/>
        </w:rPr>
      </w:pPr>
      <w:r>
        <w:rPr>
          <w:sz w:val="20"/>
          <w:szCs w:val="20"/>
        </w:rPr>
        <w:t>Capitalized software development costs excluded from stock-based compensation expense is $508 thousand for the three months ended March 31, 2019 and $550 thousand for the three months ended March 31, 2018.</w:t>
      </w:r>
    </w:p>
    <w:p w:rsidR="00000000" w:rsidRDefault="00F20BDB">
      <w:pPr>
        <w:pStyle w:val="a3"/>
        <w:spacing w:before="0" w:beforeAutospacing="0" w:after="0" w:afterAutospacing="0"/>
        <w:rPr>
          <w:sz w:val="18"/>
          <w:szCs w:val="18"/>
        </w:rPr>
      </w:pPr>
      <w:r>
        <w:rPr>
          <w:sz w:val="18"/>
          <w:szCs w:val="18"/>
        </w:rPr>
        <w:t> </w:t>
      </w:r>
    </w:p>
    <w:p w:rsidR="00000000" w:rsidRDefault="00F20BDB">
      <w:pPr>
        <w:pStyle w:val="a3"/>
        <w:spacing w:before="0" w:beforeAutospacing="0" w:after="0" w:afterAutospacing="0"/>
        <w:rPr>
          <w:sz w:val="18"/>
          <w:szCs w:val="18"/>
        </w:rPr>
      </w:pPr>
      <w:r>
        <w:rPr>
          <w:sz w:val="18"/>
          <w:szCs w:val="18"/>
        </w:rPr>
        <w:t> </w:t>
      </w:r>
    </w:p>
    <w:p w:rsidR="00000000" w:rsidRDefault="00F20BDB">
      <w:pPr>
        <w:pStyle w:val="a3"/>
        <w:spacing w:before="240" w:beforeAutospacing="0" w:after="0" w:afterAutospacing="0"/>
        <w:jc w:val="center"/>
        <w:rPr>
          <w:sz w:val="20"/>
          <w:szCs w:val="20"/>
        </w:rPr>
      </w:pPr>
      <w:r>
        <w:rPr>
          <w:sz w:val="20"/>
          <w:szCs w:val="20"/>
        </w:rPr>
        <w:t>19</w:t>
      </w:r>
    </w:p>
    <w:p w:rsidR="00000000" w:rsidRDefault="00F20BDB">
      <w:pPr>
        <w:rPr>
          <w:rFonts w:eastAsia="Times New Roman"/>
        </w:rPr>
      </w:pPr>
      <w:r>
        <w:rPr>
          <w:rFonts w:eastAsia="Times New Roman"/>
        </w:rPr>
        <w:pict>
          <v:rect id="_x0000_i1043"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b/>
          <w:bCs/>
          <w:sz w:val="20"/>
          <w:szCs w:val="20"/>
        </w:rPr>
      </w:pPr>
      <w:bookmarkStart w:id="28" w:name="_AEIOULastRenderedPageBreakAEIOU16"/>
      <w:bookmarkEnd w:id="28"/>
      <w:r>
        <w:rPr>
          <w:b/>
          <w:bCs/>
          <w:sz w:val="20"/>
          <w:szCs w:val="20"/>
        </w:rPr>
        <w:t>14. Segment Information and Geographic Data</w:t>
      </w:r>
    </w:p>
    <w:p w:rsidR="00000000" w:rsidRDefault="00F20BDB">
      <w:pPr>
        <w:pStyle w:val="a3"/>
        <w:spacing w:before="120" w:beforeAutospacing="0" w:after="0" w:afterAutospacing="0"/>
        <w:ind w:firstLine="556"/>
        <w:rPr>
          <w:sz w:val="20"/>
          <w:szCs w:val="20"/>
        </w:rPr>
      </w:pPr>
      <w:r>
        <w:rPr>
          <w:sz w:val="20"/>
          <w:szCs w:val="20"/>
        </w:rPr>
        <w:t>The Company operates as one operating segment. Operating segments are defined as components of an ente</w:t>
      </w:r>
      <w:r>
        <w:rPr>
          <w:sz w:val="20"/>
          <w:szCs w:val="20"/>
        </w:rPr>
        <w:t>rprise for which separate financial information is regularly evaluated by the chief operating decision makers (“CODMs”), which are the Company’s chief executive officer and chief operating officer, in deciding how to allocate resources and assess performan</w:t>
      </w:r>
      <w:r>
        <w:rPr>
          <w:sz w:val="20"/>
          <w:szCs w:val="20"/>
        </w:rPr>
        <w:t>ce. The Company’s CODMs evaluate the Company’s financial information and resources and assess the performance of these resources on a consolidated basis. Since the Company operates in one operating segment, all required financial segment information can be</w:t>
      </w:r>
      <w:r>
        <w:rPr>
          <w:sz w:val="20"/>
          <w:szCs w:val="20"/>
        </w:rPr>
        <w:t xml:space="preserve"> found in the consolidated financial statements. Revenue and long-lived assets by geographic region, based on the physical location of the operations recording the sale or the asset, are as follows:</w:t>
      </w:r>
    </w:p>
    <w:p w:rsidR="00000000" w:rsidRDefault="00F20BDB">
      <w:pPr>
        <w:pStyle w:val="a3"/>
        <w:spacing w:before="240" w:beforeAutospacing="0" w:after="0" w:afterAutospacing="0"/>
        <w:ind w:firstLine="556"/>
        <w:rPr>
          <w:sz w:val="20"/>
          <w:szCs w:val="20"/>
        </w:rPr>
      </w:pPr>
      <w:r>
        <w:rPr>
          <w:sz w:val="20"/>
          <w:szCs w:val="20"/>
        </w:rPr>
        <w:t>Revenues by geographical region:</w:t>
      </w:r>
    </w:p>
    <w:p w:rsidR="00000000" w:rsidRDefault="00F20BDB">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560"/>
        <w:gridCol w:w="65"/>
        <w:gridCol w:w="115"/>
        <w:gridCol w:w="766"/>
        <w:gridCol w:w="182"/>
        <w:gridCol w:w="65"/>
        <w:gridCol w:w="115"/>
        <w:gridCol w:w="764"/>
        <w:gridCol w:w="182"/>
      </w:tblGrid>
      <w:tr w:rsidR="00000000">
        <w:trPr>
          <w:divId w:val="1341587822"/>
          <w:jc w:val="center"/>
        </w:trPr>
        <w:tc>
          <w:tcPr>
            <w:tcW w:w="312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7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175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 Months End March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341587822"/>
          <w:jc w:val="center"/>
        </w:trPr>
        <w:tc>
          <w:tcPr>
            <w:tcW w:w="312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81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1"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1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341587822"/>
          <w:jc w:val="center"/>
        </w:trPr>
        <w:tc>
          <w:tcPr>
            <w:tcW w:w="312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Americas</w:t>
            </w:r>
          </w:p>
        </w:tc>
        <w:tc>
          <w:tcPr>
            <w:tcW w:w="7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6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104,290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6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82,158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341587822"/>
          <w:jc w:val="center"/>
        </w:trPr>
        <w:tc>
          <w:tcPr>
            <w:tcW w:w="312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Europe</w:t>
            </w:r>
          </w:p>
        </w:tc>
        <w:tc>
          <w:tcPr>
            <w:tcW w:w="7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36,676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25,209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341587822"/>
          <w:jc w:val="center"/>
        </w:trPr>
        <w:tc>
          <w:tcPr>
            <w:tcW w:w="312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Asia Pacific</w:t>
            </w:r>
          </w:p>
        </w:tc>
        <w:tc>
          <w:tcPr>
            <w:tcW w:w="7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10,832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7,189</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341587822"/>
          <w:jc w:val="center"/>
        </w:trPr>
        <w:tc>
          <w:tcPr>
            <w:tcW w:w="312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Total</w:t>
            </w:r>
          </w:p>
        </w:tc>
        <w:tc>
          <w:tcPr>
            <w:tcW w:w="7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6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151,798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6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114,556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341587822"/>
          <w:jc w:val="center"/>
        </w:trPr>
        <w:tc>
          <w:tcPr>
            <w:tcW w:w="312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Percentage of revenues generated outside</w:t>
            </w:r>
          </w:p>
          <w:p w:rsidR="00000000" w:rsidRDefault="00F20BDB">
            <w:pPr>
              <w:pStyle w:val="a3"/>
              <w:spacing w:before="0" w:beforeAutospacing="0" w:after="0" w:afterAutospacing="0"/>
              <w:rPr>
                <w:color w:val="000000"/>
                <w:sz w:val="20"/>
                <w:szCs w:val="20"/>
              </w:rPr>
            </w:pPr>
            <w:r>
              <w:rPr>
                <w:color w:val="000000"/>
                <w:sz w:val="20"/>
                <w:szCs w:val="20"/>
              </w:rPr>
              <w:t>   of the Americas</w:t>
            </w:r>
          </w:p>
        </w:tc>
        <w:tc>
          <w:tcPr>
            <w:tcW w:w="7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ind w:firstLine="556"/>
        <w:rPr>
          <w:sz w:val="20"/>
          <w:szCs w:val="20"/>
        </w:rPr>
      </w:pPr>
      <w:r>
        <w:rPr>
          <w:sz w:val="20"/>
          <w:szCs w:val="20"/>
        </w:rPr>
        <w:t xml:space="preserve">Revenue derived from customers outside the United States (international) was approximately 39% of total revenue in the three months ended March 31, 2019 and 36% of total revenue in the three months ended March 31, 2018. </w:t>
      </w:r>
    </w:p>
    <w:p w:rsidR="00000000" w:rsidRDefault="00F20BDB">
      <w:pPr>
        <w:pStyle w:val="a3"/>
        <w:spacing w:before="240" w:beforeAutospacing="0" w:after="0" w:afterAutospacing="0"/>
        <w:ind w:firstLine="556"/>
        <w:rPr>
          <w:sz w:val="20"/>
          <w:szCs w:val="20"/>
        </w:rPr>
      </w:pPr>
      <w:r>
        <w:rPr>
          <w:sz w:val="20"/>
          <w:szCs w:val="20"/>
        </w:rPr>
        <w:t>Total long-lived assets by geograph</w:t>
      </w:r>
      <w:r>
        <w:rPr>
          <w:sz w:val="20"/>
          <w:szCs w:val="20"/>
        </w:rPr>
        <w:t>ical region:</w:t>
      </w:r>
    </w:p>
    <w:p w:rsidR="00000000" w:rsidRDefault="00F20BDB">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027"/>
        <w:gridCol w:w="65"/>
        <w:gridCol w:w="115"/>
        <w:gridCol w:w="789"/>
        <w:gridCol w:w="182"/>
        <w:gridCol w:w="65"/>
        <w:gridCol w:w="116"/>
        <w:gridCol w:w="1273"/>
        <w:gridCol w:w="182"/>
      </w:tblGrid>
      <w:tr w:rsidR="00000000">
        <w:trPr>
          <w:divId w:val="797338361"/>
          <w:jc w:val="center"/>
        </w:trPr>
        <w:tc>
          <w:tcPr>
            <w:tcW w:w="276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6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98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As of March 31, 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102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As of December 31, 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797338361"/>
          <w:jc w:val="center"/>
        </w:trPr>
        <w:tc>
          <w:tcPr>
            <w:tcW w:w="276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Americas</w:t>
            </w:r>
          </w:p>
        </w:tc>
        <w:tc>
          <w:tcPr>
            <w:tcW w:w="6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9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38,344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97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35,186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797338361"/>
          <w:jc w:val="center"/>
        </w:trPr>
        <w:tc>
          <w:tcPr>
            <w:tcW w:w="276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Europe</w:t>
            </w:r>
          </w:p>
        </w:tc>
        <w:tc>
          <w:tcPr>
            <w:tcW w:w="6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937"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13,631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97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13,913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797338361"/>
          <w:jc w:val="center"/>
        </w:trPr>
        <w:tc>
          <w:tcPr>
            <w:tcW w:w="276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Asia Pacific</w:t>
            </w:r>
          </w:p>
        </w:tc>
        <w:tc>
          <w:tcPr>
            <w:tcW w:w="6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93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3,020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97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3,369</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797338361"/>
          <w:jc w:val="center"/>
        </w:trPr>
        <w:tc>
          <w:tcPr>
            <w:tcW w:w="276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Total long-lived assets</w:t>
            </w:r>
          </w:p>
        </w:tc>
        <w:tc>
          <w:tcPr>
            <w:tcW w:w="66"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93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54,995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97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52,468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797338361"/>
          <w:jc w:val="center"/>
        </w:trPr>
        <w:tc>
          <w:tcPr>
            <w:tcW w:w="276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Percentage of long-lived assets held outside of the</w:t>
            </w:r>
          </w:p>
          <w:p w:rsidR="00000000" w:rsidRDefault="00F20BDB">
            <w:pPr>
              <w:pStyle w:val="a3"/>
              <w:spacing w:before="0" w:beforeAutospacing="0" w:after="0" w:afterAutospacing="0"/>
              <w:rPr>
                <w:color w:val="000000"/>
                <w:sz w:val="20"/>
                <w:szCs w:val="20"/>
              </w:rPr>
            </w:pPr>
            <w:r>
              <w:rPr>
                <w:color w:val="000000"/>
                <w:sz w:val="20"/>
                <w:szCs w:val="20"/>
              </w:rPr>
              <w:t>   Americas</w:t>
            </w:r>
          </w:p>
        </w:tc>
        <w:tc>
          <w:tcPr>
            <w:tcW w:w="66"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93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97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sz w:val="18"/>
          <w:szCs w:val="18"/>
        </w:rPr>
      </w:pPr>
      <w:r>
        <w:rPr>
          <w:sz w:val="18"/>
          <w:szCs w:val="18"/>
        </w:rPr>
        <w:t> </w:t>
      </w:r>
    </w:p>
    <w:p w:rsidR="00000000" w:rsidRDefault="00F20BDB">
      <w:pPr>
        <w:pStyle w:val="a3"/>
        <w:spacing w:before="0" w:beforeAutospacing="0" w:after="0" w:afterAutospacing="0"/>
        <w:rPr>
          <w:sz w:val="18"/>
          <w:szCs w:val="18"/>
        </w:rPr>
      </w:pPr>
      <w:r>
        <w:rPr>
          <w:sz w:val="18"/>
          <w:szCs w:val="18"/>
        </w:rPr>
        <w:t> </w:t>
      </w:r>
    </w:p>
    <w:p w:rsidR="00000000" w:rsidRDefault="00F20BDB">
      <w:pPr>
        <w:pStyle w:val="a3"/>
        <w:spacing w:before="240" w:beforeAutospacing="0" w:after="0" w:afterAutospacing="0"/>
        <w:jc w:val="center"/>
        <w:rPr>
          <w:sz w:val="20"/>
          <w:szCs w:val="20"/>
        </w:rPr>
      </w:pPr>
      <w:r>
        <w:rPr>
          <w:sz w:val="20"/>
          <w:szCs w:val="20"/>
        </w:rPr>
        <w:t>20</w:t>
      </w:r>
    </w:p>
    <w:p w:rsidR="00000000" w:rsidRDefault="00F20BDB">
      <w:pPr>
        <w:rPr>
          <w:rFonts w:eastAsia="Times New Roman"/>
        </w:rPr>
      </w:pPr>
      <w:r>
        <w:rPr>
          <w:rFonts w:eastAsia="Times New Roman"/>
        </w:rPr>
        <w:pict>
          <v:rect id="_x0000_i1044"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c>
          <w:tcPr>
            <w:tcW w:w="453" w:type="pct"/>
            <w:noWrap/>
            <w:hideMark/>
          </w:tcPr>
          <w:p w:rsidR="00000000" w:rsidRDefault="00F20BDB">
            <w:pPr>
              <w:pStyle w:val="a3"/>
              <w:spacing w:before="0" w:beforeAutospacing="0" w:after="0" w:afterAutospacing="0"/>
              <w:rPr>
                <w:b/>
                <w:bCs/>
                <w:sz w:val="20"/>
                <w:szCs w:val="20"/>
              </w:rPr>
            </w:pPr>
            <w:r>
              <w:rPr>
                <w:b/>
                <w:bCs/>
                <w:sz w:val="20"/>
                <w:szCs w:val="20"/>
              </w:rPr>
              <w:t>Item 2.</w:t>
            </w:r>
          </w:p>
        </w:tc>
        <w:tc>
          <w:tcPr>
            <w:tcW w:w="0" w:type="auto"/>
            <w:hideMark/>
          </w:tcPr>
          <w:p w:rsidR="00000000" w:rsidRDefault="00F20BDB">
            <w:pPr>
              <w:pStyle w:val="a3"/>
              <w:spacing w:before="0" w:beforeAutospacing="0" w:after="0" w:afterAutospacing="0"/>
              <w:rPr>
                <w:b/>
                <w:bCs/>
                <w:sz w:val="20"/>
                <w:szCs w:val="20"/>
              </w:rPr>
            </w:pPr>
            <w:bookmarkStart w:id="29" w:name="ITEM_2_MANAGEMENTS_DISCUSSION_ANALYSIS_F"/>
            <w:bookmarkStart w:id="30" w:name="_AEIOULastRenderedPageBreakAEIOU17"/>
            <w:bookmarkEnd w:id="29"/>
            <w:bookmarkEnd w:id="30"/>
            <w:r>
              <w:rPr>
                <w:b/>
                <w:bCs/>
                <w:sz w:val="20"/>
                <w:szCs w:val="20"/>
              </w:rPr>
              <w:t>Management’s Discussion and Analysis of Financial Condition and Results of Operations</w:t>
            </w:r>
          </w:p>
        </w:tc>
      </w:tr>
    </w:tbl>
    <w:p w:rsidR="00000000" w:rsidRDefault="00F20BDB">
      <w:pPr>
        <w:pStyle w:val="a3"/>
        <w:spacing w:before="120" w:beforeAutospacing="0" w:after="0" w:afterAutospacing="0"/>
        <w:ind w:firstLine="556"/>
        <w:rPr>
          <w:i/>
          <w:iCs/>
          <w:sz w:val="20"/>
          <w:szCs w:val="20"/>
        </w:rPr>
      </w:pPr>
      <w:r>
        <w:rPr>
          <w:i/>
          <w:iCs/>
          <w:sz w:val="20"/>
          <w:szCs w:val="20"/>
        </w:rPr>
        <w:t>The following discussion and analysis of our financial condition and results of operations should be read in conjunction with our consolidated financial statements and related notes appearing elsewhere in this Quarterly Report on Form 10-Q and our Annual R</w:t>
      </w:r>
      <w:r>
        <w:rPr>
          <w:i/>
          <w:iCs/>
          <w:sz w:val="20"/>
          <w:szCs w:val="20"/>
        </w:rPr>
        <w:t>eport on Form 10-K for the year ended December 31, 2018 filed with the SEC on February 12, 2019. As discussed in the section titled “Special Note Regarding Forward-Looking Statements,” the following discussion and analysis contains forward-looking statemen</w:t>
      </w:r>
      <w:r>
        <w:rPr>
          <w:i/>
          <w:iCs/>
          <w:sz w:val="20"/>
          <w:szCs w:val="20"/>
        </w:rPr>
        <w:t>ts that involve risks and uncertainties, as well as assumptions that, if they never materialize or prove incorrect, could cause our results to differ materially from those expressed or implied by such forward-looking statements. Factors that could cause or</w:t>
      </w:r>
      <w:r>
        <w:rPr>
          <w:i/>
          <w:iCs/>
          <w:sz w:val="20"/>
          <w:szCs w:val="20"/>
        </w:rPr>
        <w:t xml:space="preserve"> contribute to such differences include, but are not limited to, those identified below, and those discussed in the section titled “Risk Factors” included under Part II, Item 1A below.</w:t>
      </w:r>
    </w:p>
    <w:p w:rsidR="00000000" w:rsidRDefault="00F20BDB">
      <w:pPr>
        <w:pStyle w:val="a3"/>
        <w:spacing w:before="360" w:beforeAutospacing="0" w:after="0" w:afterAutospacing="0"/>
        <w:rPr>
          <w:b/>
          <w:bCs/>
          <w:sz w:val="20"/>
          <w:szCs w:val="20"/>
        </w:rPr>
      </w:pPr>
      <w:r>
        <w:rPr>
          <w:b/>
          <w:bCs/>
          <w:sz w:val="20"/>
          <w:szCs w:val="20"/>
        </w:rPr>
        <w:t>Company Overview</w:t>
      </w:r>
    </w:p>
    <w:p w:rsidR="00000000" w:rsidRDefault="00F20BDB">
      <w:pPr>
        <w:pStyle w:val="a3"/>
        <w:spacing w:before="120" w:beforeAutospacing="0" w:after="0" w:afterAutospacing="0"/>
        <w:ind w:firstLine="592"/>
        <w:rPr>
          <w:sz w:val="20"/>
          <w:szCs w:val="20"/>
        </w:rPr>
      </w:pPr>
      <w:r>
        <w:rPr>
          <w:sz w:val="20"/>
          <w:szCs w:val="20"/>
        </w:rPr>
        <w:t>We provide a cloud-based marketing, sales, and custome</w:t>
      </w:r>
      <w:r>
        <w:rPr>
          <w:sz w:val="20"/>
          <w:szCs w:val="20"/>
        </w:rPr>
        <w:t>r service software platform, which we refer to as our Growth Platform, that enables businesses to grow better. At HubSpot, we’re committed to helping our customers grow better, which means helping them grow without compromise, always solving for the custom</w:t>
      </w:r>
      <w:r>
        <w:rPr>
          <w:sz w:val="20"/>
          <w:szCs w:val="20"/>
        </w:rPr>
        <w:t>er, and creating a better experience for customers and company alike.  To that end, our Growth Platform, comprised of Marketing Hub, Sales Hub, Service Hub, and a free customer relationship management, or CRM system, features integrated applications and to</w:t>
      </w:r>
      <w:r>
        <w:rPr>
          <w:sz w:val="20"/>
          <w:szCs w:val="20"/>
        </w:rPr>
        <w:t>ols that enable businesses to create a cohesive and adaptable customer experience throughout the customer lifecycle.  </w:t>
      </w:r>
    </w:p>
    <w:p w:rsidR="00000000" w:rsidRDefault="00F20BDB">
      <w:pPr>
        <w:pStyle w:val="a3"/>
        <w:spacing w:before="240" w:beforeAutospacing="0" w:after="0" w:afterAutospacing="0"/>
        <w:ind w:firstLine="592"/>
        <w:rPr>
          <w:sz w:val="20"/>
          <w:szCs w:val="20"/>
        </w:rPr>
      </w:pPr>
      <w:r>
        <w:rPr>
          <w:sz w:val="20"/>
          <w:szCs w:val="20"/>
        </w:rPr>
        <w:t>We focus on selling to mid-market business-to-business, or B2B, companies, which we define as companies that have between two and 2,000 e</w:t>
      </w:r>
      <w:r>
        <w:rPr>
          <w:sz w:val="20"/>
          <w:szCs w:val="20"/>
        </w:rPr>
        <w:t xml:space="preserve">mployees.  While our Growth Platform was built to grow with any company we focus on selling to mid-market businesses because we believe we have significant competitive advantages attracting and serving this market segment. These mid-market businesses seek </w:t>
      </w:r>
      <w:r>
        <w:rPr>
          <w:sz w:val="20"/>
          <w:szCs w:val="20"/>
        </w:rPr>
        <w:t>an integrated, easy-to-implement and easy-to-use solution to reach customers and compete with organizations that have larger marketing and sales budgets. We efficiently reach these businesses at scale through our proven inbound methodology, freemium pricin</w:t>
      </w:r>
      <w:r>
        <w:rPr>
          <w:sz w:val="20"/>
          <w:szCs w:val="20"/>
        </w:rPr>
        <w:t>g strategy and thousands of Partners worldwide. As of March 31, 2019, we had 2,745 full-time employees and 60,814 Total Customers of varying sizes in more than 100 countries, representing almost every industry.</w:t>
      </w:r>
    </w:p>
    <w:p w:rsidR="00000000" w:rsidRDefault="00F20BDB">
      <w:pPr>
        <w:pStyle w:val="a3"/>
        <w:spacing w:before="240" w:beforeAutospacing="0" w:after="0" w:afterAutospacing="0"/>
        <w:ind w:firstLine="592"/>
        <w:rPr>
          <w:sz w:val="20"/>
          <w:szCs w:val="20"/>
        </w:rPr>
      </w:pPr>
      <w:r>
        <w:rPr>
          <w:sz w:val="20"/>
          <w:szCs w:val="20"/>
        </w:rPr>
        <w:t>We derive most of our revenue from subscripti</w:t>
      </w:r>
      <w:r>
        <w:rPr>
          <w:sz w:val="20"/>
          <w:szCs w:val="20"/>
        </w:rPr>
        <w:t>ons to our cloud-based Growth Platform and related professional services, which consist of customer on-boarding and training services. Subscription revenue accounted for 95% of our total revenue for the three months ended March 31, 2019 and 2018. We sell m</w:t>
      </w:r>
      <w:r>
        <w:rPr>
          <w:sz w:val="20"/>
          <w:szCs w:val="20"/>
        </w:rPr>
        <w:t>ultiple product plans at different base prices on a subscription basis, each of which includes our core Growth Platform and integrated applications to meet the needs of the various customers we serve. Customers pay additional fees if the number of contacts</w:t>
      </w:r>
      <w:r>
        <w:rPr>
          <w:sz w:val="20"/>
          <w:szCs w:val="20"/>
        </w:rPr>
        <w:t xml:space="preserve"> stored and tracked in the customer’s database exceeds specified thresholds. We generate additional revenue based on the purchase of additional subscriptions, purchase of additional products, purchases of our add-on products and the number of account users</w:t>
      </w:r>
      <w:r>
        <w:rPr>
          <w:sz w:val="20"/>
          <w:szCs w:val="20"/>
        </w:rPr>
        <w:t>, subdomains and website visits. Most of our customers’ subscriptions are one year or less in duration.</w:t>
      </w:r>
    </w:p>
    <w:p w:rsidR="00000000" w:rsidRDefault="00F20BDB">
      <w:pPr>
        <w:pStyle w:val="a3"/>
        <w:spacing w:before="240" w:beforeAutospacing="0" w:after="0" w:afterAutospacing="0"/>
        <w:ind w:firstLine="592"/>
        <w:rPr>
          <w:sz w:val="20"/>
          <w:szCs w:val="20"/>
        </w:rPr>
      </w:pPr>
      <w:r>
        <w:rPr>
          <w:sz w:val="20"/>
          <w:szCs w:val="20"/>
        </w:rPr>
        <w:t>Subscriptions are non-cancelable and are billed in advance on various schedules. Because the mix of billing terms for orders can vary from period to per</w:t>
      </w:r>
      <w:r>
        <w:rPr>
          <w:sz w:val="20"/>
          <w:szCs w:val="20"/>
        </w:rPr>
        <w:t>iod, the annualized value of the orders we enter into with our customers will not be completely reflected in deferred revenue at any single point in time. Accordingly, we do not believe that change in deferred revenue is an accurate indicator of future rev</w:t>
      </w:r>
      <w:r>
        <w:rPr>
          <w:sz w:val="20"/>
          <w:szCs w:val="20"/>
        </w:rPr>
        <w:t>enue for a given period of time.</w:t>
      </w:r>
    </w:p>
    <w:p w:rsidR="00000000" w:rsidRDefault="00F20BDB">
      <w:pPr>
        <w:pStyle w:val="a3"/>
        <w:spacing w:before="240" w:beforeAutospacing="0" w:after="0" w:afterAutospacing="0"/>
        <w:ind w:firstLine="592"/>
        <w:rPr>
          <w:sz w:val="20"/>
          <w:szCs w:val="20"/>
        </w:rPr>
      </w:pPr>
      <w:r>
        <w:rPr>
          <w:sz w:val="20"/>
          <w:szCs w:val="20"/>
        </w:rPr>
        <w:t>Many of our customers purchase on-boarding and training services which are designed to help customers enhance their ability to attract, engage and delight their customers using our Growth Platform. Professional services and</w:t>
      </w:r>
      <w:r>
        <w:rPr>
          <w:sz w:val="20"/>
          <w:szCs w:val="20"/>
        </w:rPr>
        <w:t xml:space="preserve"> other revenue accounted for 5% of total revenue for the three months ended March 31, 2019 and 2018. We expect professional services and other margins to range from a moderate loss to breakeven for the foreseeable future.</w:t>
      </w:r>
    </w:p>
    <w:p w:rsidR="00000000" w:rsidRDefault="00F20BDB">
      <w:pPr>
        <w:pStyle w:val="a3"/>
        <w:spacing w:before="240" w:beforeAutospacing="0" w:after="0" w:afterAutospacing="0"/>
        <w:jc w:val="center"/>
        <w:rPr>
          <w:sz w:val="20"/>
          <w:szCs w:val="20"/>
        </w:rPr>
      </w:pPr>
      <w:r>
        <w:rPr>
          <w:sz w:val="20"/>
          <w:szCs w:val="20"/>
        </w:rPr>
        <w:t>21</w:t>
      </w:r>
    </w:p>
    <w:p w:rsidR="00000000" w:rsidRDefault="00F20BDB">
      <w:pPr>
        <w:rPr>
          <w:rFonts w:eastAsia="Times New Roman"/>
        </w:rPr>
      </w:pPr>
      <w:r>
        <w:rPr>
          <w:rFonts w:eastAsia="Times New Roman"/>
        </w:rPr>
        <w:pict>
          <v:rect id="_x0000_i1045"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ind w:firstLine="592"/>
        <w:rPr>
          <w:sz w:val="20"/>
          <w:szCs w:val="20"/>
        </w:rPr>
      </w:pPr>
      <w:bookmarkStart w:id="31" w:name="FIS_UNIDENTIFIED_TABLE_7"/>
      <w:bookmarkStart w:id="32" w:name="_AEIOULastRenderedPageBreakAEIOU18"/>
      <w:bookmarkEnd w:id="31"/>
      <w:bookmarkEnd w:id="32"/>
      <w:r>
        <w:rPr>
          <w:sz w:val="20"/>
          <w:szCs w:val="20"/>
        </w:rPr>
        <w:t>We have focused on rapidly growing our business and plan to continue to make investments to help us addr</w:t>
      </w:r>
      <w:r>
        <w:rPr>
          <w:sz w:val="20"/>
          <w:szCs w:val="20"/>
        </w:rPr>
        <w:t>ess some of the challenges facing us to support this growth, such as demand for our Growth Platform by existing and new customers, significant competition from other providers of marketing, sales and customer service software and related applications and r</w:t>
      </w:r>
      <w:r>
        <w:rPr>
          <w:sz w:val="20"/>
          <w:szCs w:val="20"/>
        </w:rPr>
        <w:t xml:space="preserve">apid technological change in our industry. We believe that the growth of our business is dependent on many factors, including our ability to expand our customer base, increase adoption of our Growth Platform within existing customers, develop new products </w:t>
      </w:r>
      <w:r>
        <w:rPr>
          <w:sz w:val="20"/>
          <w:szCs w:val="20"/>
        </w:rPr>
        <w:t>and applications to extend the functionality of our Growth Platform and provide a high level of customer service. We expect to increase our investment in sales and marketing as we continue to expand our sales teams, increase our marketing activities and gr</w:t>
      </w:r>
      <w:r>
        <w:rPr>
          <w:sz w:val="20"/>
          <w:szCs w:val="20"/>
        </w:rPr>
        <w:t>ow our international operations. We also expect to increase our investment in research and development as we continue to introduce new products and applications to extend the functionality of our Growth Platform. We also intend to invest in maintaining a h</w:t>
      </w:r>
      <w:r>
        <w:rPr>
          <w:sz w:val="20"/>
          <w:szCs w:val="20"/>
        </w:rPr>
        <w:t>igh level of customer service and support which we consider critical for our continued success. We plan to continue investing in our data center infrastructure and services capabilities in order to support continued future customer growth. We also expect t</w:t>
      </w:r>
      <w:r>
        <w:rPr>
          <w:sz w:val="20"/>
          <w:szCs w:val="20"/>
        </w:rPr>
        <w:t>o continue to incur additional general and administrative expenses as a result of both our growth and the infrastructure required to be a public company. We expect to use our cash flow from operations and the proceeds from our convertible debt and prior st</w:t>
      </w:r>
      <w:r>
        <w:rPr>
          <w:sz w:val="20"/>
          <w:szCs w:val="20"/>
        </w:rPr>
        <w:t>ock offerings to fund these growth strategies and do not expect to be profitable in the near term.</w:t>
      </w:r>
    </w:p>
    <w:p w:rsidR="00000000" w:rsidRDefault="00F20BDB">
      <w:pPr>
        <w:pStyle w:val="a3"/>
        <w:spacing w:before="240" w:beforeAutospacing="0" w:after="0" w:afterAutospacing="0"/>
        <w:ind w:firstLine="592"/>
        <w:rPr>
          <w:sz w:val="20"/>
          <w:szCs w:val="20"/>
        </w:rPr>
      </w:pPr>
      <w:r>
        <w:rPr>
          <w:sz w:val="20"/>
          <w:szCs w:val="20"/>
        </w:rPr>
        <w:t>We believe that these investments will result in an increase in our subscription revenue base. This will result in revenue increasing faster than the increas</w:t>
      </w:r>
      <w:r>
        <w:rPr>
          <w:sz w:val="20"/>
          <w:szCs w:val="20"/>
        </w:rPr>
        <w:t>e in sales and marketing, research and development and general and administrative expenses, exclusive of stock-based compensation, as we reach economies of scale. With this increased operating leverage, we expect our operating margins to increase in the lo</w:t>
      </w:r>
      <w:r>
        <w:rPr>
          <w:sz w:val="20"/>
          <w:szCs w:val="20"/>
        </w:rPr>
        <w:t>ng term. However, we will incur losses in the short term. If we are unable to achieve our revenue growth objectives, including a high rate of renewals of our customer agreements, we may not be able to achieve profitability.</w:t>
      </w:r>
    </w:p>
    <w:p w:rsidR="00000000" w:rsidRDefault="00F20BDB">
      <w:pPr>
        <w:pStyle w:val="a3"/>
        <w:spacing w:before="360" w:beforeAutospacing="0" w:after="0" w:afterAutospacing="0"/>
        <w:rPr>
          <w:b/>
          <w:bCs/>
          <w:sz w:val="20"/>
          <w:szCs w:val="20"/>
        </w:rPr>
      </w:pPr>
      <w:r>
        <w:rPr>
          <w:b/>
          <w:bCs/>
          <w:sz w:val="20"/>
          <w:szCs w:val="20"/>
        </w:rPr>
        <w:t>Results of Operations for the Th</w:t>
      </w:r>
      <w:r>
        <w:rPr>
          <w:b/>
          <w:bCs/>
          <w:sz w:val="20"/>
          <w:szCs w:val="20"/>
        </w:rPr>
        <w:t>ree Months Ended March 31, 2019 and 2018</w:t>
      </w:r>
    </w:p>
    <w:p w:rsidR="00000000" w:rsidRDefault="00F20BDB">
      <w:pPr>
        <w:pStyle w:val="a3"/>
        <w:spacing w:before="120" w:beforeAutospacing="0" w:after="0" w:afterAutospacing="0"/>
        <w:ind w:firstLine="556"/>
        <w:rPr>
          <w:sz w:val="20"/>
          <w:szCs w:val="20"/>
        </w:rPr>
      </w:pPr>
      <w:r>
        <w:rPr>
          <w:sz w:val="20"/>
          <w:szCs w:val="20"/>
        </w:rPr>
        <w:t>The following tables set forth our results of operations for the periods presented and as a percentage of our total revenue for those periods. The data has been derived from the unaudited consolidated financial stat</w:t>
      </w:r>
      <w:r>
        <w:rPr>
          <w:sz w:val="20"/>
          <w:szCs w:val="20"/>
        </w:rPr>
        <w:t xml:space="preserve">ements contained in this Quarterly Report on Form 10-Q which include, in our opinion, all adjustments, consisting only of normal recurring adjustments, that we consider necessary for a fair statement of the financial position and results of operations for </w:t>
      </w:r>
      <w:r>
        <w:rPr>
          <w:sz w:val="20"/>
          <w:szCs w:val="20"/>
        </w:rPr>
        <w:t>the interim periods presented. The period-to-period comparison of financial results is not necessarily indicative of financial results to be achieved in future periods.</w:t>
      </w:r>
    </w:p>
    <w:p w:rsidR="00000000" w:rsidRDefault="00F20BDB">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747"/>
        <w:gridCol w:w="65"/>
        <w:gridCol w:w="115"/>
        <w:gridCol w:w="691"/>
        <w:gridCol w:w="82"/>
        <w:gridCol w:w="65"/>
        <w:gridCol w:w="115"/>
        <w:gridCol w:w="852"/>
        <w:gridCol w:w="82"/>
      </w:tblGrid>
      <w:tr w:rsidR="00000000">
        <w:trPr>
          <w:divId w:val="1208571856"/>
          <w:jc w:val="center"/>
        </w:trPr>
        <w:tc>
          <w:tcPr>
            <w:tcW w:w="326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3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165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 Months</w:t>
            </w:r>
          </w:p>
          <w:p w:rsidR="00000000" w:rsidRDefault="00F20BDB">
            <w:pPr>
              <w:pStyle w:val="a3"/>
              <w:spacing w:before="0" w:beforeAutospacing="0" w:after="0" w:afterAutospacing="0"/>
              <w:jc w:val="center"/>
              <w:rPr>
                <w:b/>
                <w:bCs/>
                <w:color w:val="000000"/>
                <w:sz w:val="16"/>
                <w:szCs w:val="16"/>
              </w:rPr>
            </w:pPr>
            <w:r>
              <w:rPr>
                <w:b/>
                <w:bCs/>
                <w:color w:val="000000"/>
                <w:sz w:val="16"/>
                <w:szCs w:val="16"/>
              </w:rPr>
              <w:t>Ended March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208571856"/>
          <w:jc w:val="center"/>
        </w:trPr>
        <w:tc>
          <w:tcPr>
            <w:tcW w:w="326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3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8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0"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3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208571856"/>
          <w:jc w:val="center"/>
        </w:trPr>
        <w:tc>
          <w:tcPr>
            <w:tcW w:w="326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Revenues:</w:t>
            </w:r>
          </w:p>
        </w:tc>
        <w:tc>
          <w:tcPr>
            <w:tcW w:w="3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208571856"/>
          <w:jc w:val="center"/>
        </w:trPr>
        <w:tc>
          <w:tcPr>
            <w:tcW w:w="326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Subscription</w:t>
            </w:r>
          </w:p>
        </w:tc>
        <w:tc>
          <w:tcPr>
            <w:tcW w:w="3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3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144,226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8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108,602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208571856"/>
          <w:jc w:val="center"/>
        </w:trPr>
        <w:tc>
          <w:tcPr>
            <w:tcW w:w="326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Professional services and other</w:t>
            </w:r>
          </w:p>
        </w:tc>
        <w:tc>
          <w:tcPr>
            <w:tcW w:w="3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7,572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5,954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208571856"/>
          <w:jc w:val="center"/>
        </w:trPr>
        <w:tc>
          <w:tcPr>
            <w:tcW w:w="326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821"/>
              <w:rPr>
                <w:color w:val="000000"/>
                <w:sz w:val="20"/>
                <w:szCs w:val="20"/>
              </w:rPr>
            </w:pPr>
            <w:r>
              <w:rPr>
                <w:color w:val="000000"/>
                <w:sz w:val="20"/>
                <w:szCs w:val="20"/>
              </w:rPr>
              <w:t>Total revenue</w:t>
            </w:r>
          </w:p>
        </w:tc>
        <w:tc>
          <w:tcPr>
            <w:tcW w:w="3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151,798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114,556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208571856"/>
          <w:jc w:val="center"/>
        </w:trPr>
        <w:tc>
          <w:tcPr>
            <w:tcW w:w="326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Cost of revenues:</w:t>
            </w:r>
          </w:p>
        </w:tc>
        <w:tc>
          <w:tcPr>
            <w:tcW w:w="3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208571856"/>
          <w:jc w:val="center"/>
        </w:trPr>
        <w:tc>
          <w:tcPr>
            <w:tcW w:w="326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Subscription</w:t>
            </w:r>
          </w:p>
        </w:tc>
        <w:tc>
          <w:tcPr>
            <w:tcW w:w="3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21,301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15,235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208571856"/>
          <w:jc w:val="center"/>
        </w:trPr>
        <w:tc>
          <w:tcPr>
            <w:tcW w:w="326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Professional services and other</w:t>
            </w:r>
          </w:p>
        </w:tc>
        <w:tc>
          <w:tcPr>
            <w:tcW w:w="3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8,277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7,142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208571856"/>
          <w:jc w:val="center"/>
        </w:trPr>
        <w:tc>
          <w:tcPr>
            <w:tcW w:w="326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821"/>
              <w:rPr>
                <w:color w:val="000000"/>
                <w:sz w:val="20"/>
                <w:szCs w:val="20"/>
              </w:rPr>
            </w:pPr>
            <w:r>
              <w:rPr>
                <w:color w:val="000000"/>
                <w:sz w:val="20"/>
                <w:szCs w:val="20"/>
              </w:rPr>
              <w:t>Total cost of revenues</w:t>
            </w:r>
          </w:p>
        </w:tc>
        <w:tc>
          <w:tcPr>
            <w:tcW w:w="3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29,578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22,377</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208571856"/>
          <w:jc w:val="center"/>
        </w:trPr>
        <w:tc>
          <w:tcPr>
            <w:tcW w:w="326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Gross profit</w:t>
            </w:r>
          </w:p>
        </w:tc>
        <w:tc>
          <w:tcPr>
            <w:tcW w:w="3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122,220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92,179</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208571856"/>
          <w:jc w:val="center"/>
        </w:trPr>
        <w:tc>
          <w:tcPr>
            <w:tcW w:w="326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Operating expenses:</w:t>
            </w:r>
          </w:p>
        </w:tc>
        <w:tc>
          <w:tcPr>
            <w:tcW w:w="3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208571856"/>
          <w:jc w:val="center"/>
        </w:trPr>
        <w:tc>
          <w:tcPr>
            <w:tcW w:w="326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Research and development</w:t>
            </w:r>
          </w:p>
        </w:tc>
        <w:tc>
          <w:tcPr>
            <w:tcW w:w="3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5"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35,177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9"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26,352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208571856"/>
          <w:jc w:val="center"/>
        </w:trPr>
        <w:tc>
          <w:tcPr>
            <w:tcW w:w="326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Sales and marketing</w:t>
            </w:r>
          </w:p>
        </w:tc>
        <w:tc>
          <w:tcPr>
            <w:tcW w:w="3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74,905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59,910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208571856"/>
          <w:jc w:val="center"/>
        </w:trPr>
        <w:tc>
          <w:tcPr>
            <w:tcW w:w="326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General and administrative</w:t>
            </w:r>
          </w:p>
        </w:tc>
        <w:tc>
          <w:tcPr>
            <w:tcW w:w="3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21,174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17,241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208571856"/>
          <w:jc w:val="center"/>
        </w:trPr>
        <w:tc>
          <w:tcPr>
            <w:tcW w:w="326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547"/>
              <w:rPr>
                <w:color w:val="000000"/>
                <w:sz w:val="20"/>
                <w:szCs w:val="20"/>
              </w:rPr>
            </w:pPr>
            <w:r>
              <w:rPr>
                <w:color w:val="000000"/>
                <w:sz w:val="20"/>
                <w:szCs w:val="20"/>
              </w:rPr>
              <w:t>Total operating expenses</w:t>
            </w:r>
          </w:p>
        </w:tc>
        <w:tc>
          <w:tcPr>
            <w:tcW w:w="3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131,256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103,503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208571856"/>
          <w:jc w:val="center"/>
        </w:trPr>
        <w:tc>
          <w:tcPr>
            <w:tcW w:w="326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Loss from operations</w:t>
            </w:r>
          </w:p>
        </w:tc>
        <w:tc>
          <w:tcPr>
            <w:tcW w:w="3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(9,036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(11,324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208571856"/>
          <w:jc w:val="center"/>
        </w:trPr>
        <w:tc>
          <w:tcPr>
            <w:tcW w:w="326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Other expense:</w:t>
            </w:r>
          </w:p>
        </w:tc>
        <w:tc>
          <w:tcPr>
            <w:tcW w:w="3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208571856"/>
          <w:jc w:val="center"/>
        </w:trPr>
        <w:tc>
          <w:tcPr>
            <w:tcW w:w="326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Interest income</w:t>
            </w:r>
          </w:p>
        </w:tc>
        <w:tc>
          <w:tcPr>
            <w:tcW w:w="3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5"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4,174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9"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1,824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208571856"/>
          <w:jc w:val="center"/>
        </w:trPr>
        <w:tc>
          <w:tcPr>
            <w:tcW w:w="326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Interest expense</w:t>
            </w:r>
          </w:p>
        </w:tc>
        <w:tc>
          <w:tcPr>
            <w:tcW w:w="3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(5,513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(5,174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208571856"/>
          <w:jc w:val="center"/>
        </w:trPr>
        <w:tc>
          <w:tcPr>
            <w:tcW w:w="326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Other expense</w:t>
            </w:r>
          </w:p>
        </w:tc>
        <w:tc>
          <w:tcPr>
            <w:tcW w:w="3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(283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208571856"/>
          <w:jc w:val="center"/>
        </w:trPr>
        <w:tc>
          <w:tcPr>
            <w:tcW w:w="326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547"/>
              <w:rPr>
                <w:color w:val="000000"/>
                <w:sz w:val="20"/>
                <w:szCs w:val="20"/>
              </w:rPr>
            </w:pPr>
            <w:r>
              <w:rPr>
                <w:color w:val="000000"/>
                <w:sz w:val="20"/>
                <w:szCs w:val="20"/>
              </w:rPr>
              <w:t>Total other expense</w:t>
            </w:r>
          </w:p>
        </w:tc>
        <w:tc>
          <w:tcPr>
            <w:tcW w:w="3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(1,351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(3,633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208571856"/>
          <w:jc w:val="center"/>
        </w:trPr>
        <w:tc>
          <w:tcPr>
            <w:tcW w:w="326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Loss before income tax expense</w:t>
            </w:r>
          </w:p>
        </w:tc>
        <w:tc>
          <w:tcPr>
            <w:tcW w:w="3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(10,387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(14,957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208571856"/>
          <w:jc w:val="center"/>
        </w:trPr>
        <w:tc>
          <w:tcPr>
            <w:tcW w:w="3262"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547"/>
              <w:rPr>
                <w:color w:val="000000"/>
                <w:sz w:val="20"/>
                <w:szCs w:val="20"/>
              </w:rPr>
            </w:pPr>
            <w:r>
              <w:rPr>
                <w:color w:val="000000"/>
                <w:sz w:val="20"/>
                <w:szCs w:val="20"/>
              </w:rPr>
              <w:t>Income tax expense</w:t>
            </w:r>
          </w:p>
        </w:tc>
        <w:tc>
          <w:tcPr>
            <w:tcW w:w="3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(713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8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(491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208571856"/>
          <w:jc w:val="center"/>
        </w:trPr>
        <w:tc>
          <w:tcPr>
            <w:tcW w:w="3262"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Net loss</w:t>
            </w:r>
          </w:p>
        </w:tc>
        <w:tc>
          <w:tcPr>
            <w:tcW w:w="33"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3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(11,100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8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(15,448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bl>
    <w:p w:rsidR="00000000" w:rsidRDefault="00F20BDB">
      <w:pPr>
        <w:pStyle w:val="a3"/>
        <w:spacing w:before="240" w:beforeAutospacing="0" w:after="0" w:afterAutospacing="0"/>
        <w:jc w:val="center"/>
        <w:rPr>
          <w:sz w:val="20"/>
          <w:szCs w:val="20"/>
        </w:rPr>
      </w:pPr>
      <w:r>
        <w:rPr>
          <w:sz w:val="20"/>
          <w:szCs w:val="20"/>
        </w:rPr>
        <w:t>22</w:t>
      </w:r>
    </w:p>
    <w:p w:rsidR="00000000" w:rsidRDefault="00F20BDB">
      <w:pPr>
        <w:rPr>
          <w:rFonts w:eastAsia="Times New Roman"/>
        </w:rPr>
      </w:pPr>
      <w:r>
        <w:rPr>
          <w:rFonts w:eastAsia="Times New Roman"/>
        </w:rPr>
        <w:pict>
          <v:rect id="_x0000_i1046"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787"/>
        <w:gridCol w:w="65"/>
        <w:gridCol w:w="66"/>
        <w:gridCol w:w="654"/>
        <w:gridCol w:w="249"/>
        <w:gridCol w:w="65"/>
        <w:gridCol w:w="65"/>
        <w:gridCol w:w="614"/>
        <w:gridCol w:w="249"/>
      </w:tblGrid>
      <w:tr w:rsidR="00000000">
        <w:trPr>
          <w:divId w:val="108206791"/>
          <w:jc w:val="center"/>
        </w:trPr>
        <w:tc>
          <w:tcPr>
            <w:tcW w:w="332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154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 Months</w:t>
            </w:r>
          </w:p>
          <w:p w:rsidR="00000000" w:rsidRDefault="00F20BDB">
            <w:pPr>
              <w:pStyle w:val="a3"/>
              <w:spacing w:before="0" w:beforeAutospacing="0" w:after="0" w:afterAutospacing="0"/>
              <w:jc w:val="center"/>
              <w:rPr>
                <w:b/>
                <w:bCs/>
                <w:color w:val="000000"/>
                <w:sz w:val="16"/>
                <w:szCs w:val="16"/>
              </w:rPr>
            </w:pPr>
            <w:r>
              <w:rPr>
                <w:b/>
                <w:bCs/>
                <w:color w:val="000000"/>
                <w:sz w:val="16"/>
                <w:szCs w:val="16"/>
              </w:rPr>
              <w:t>Ended March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08206791"/>
          <w:jc w:val="center"/>
        </w:trPr>
        <w:tc>
          <w:tcPr>
            <w:tcW w:w="332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72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0"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08206791"/>
          <w:jc w:val="center"/>
        </w:trPr>
        <w:tc>
          <w:tcPr>
            <w:tcW w:w="332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Revenue:</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7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08206791"/>
          <w:jc w:val="center"/>
        </w:trPr>
        <w:tc>
          <w:tcPr>
            <w:tcW w:w="332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Subscription</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7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95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8"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95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08206791"/>
          <w:jc w:val="center"/>
        </w:trPr>
        <w:tc>
          <w:tcPr>
            <w:tcW w:w="332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Professional services and other</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24" w:type="pct"/>
            <w:gridSpan w:val="2"/>
            <w:tcBorders>
              <w:bottom w:val="single" w:sz="6" w:space="0" w:color="000000"/>
            </w:tcBorders>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8" w:type="pct"/>
            <w:gridSpan w:val="2"/>
            <w:tcBorders>
              <w:bottom w:val="single" w:sz="6" w:space="0" w:color="000000"/>
            </w:tcBorders>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08206791"/>
          <w:jc w:val="center"/>
        </w:trPr>
        <w:tc>
          <w:tcPr>
            <w:tcW w:w="332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547"/>
              <w:rPr>
                <w:color w:val="000000"/>
                <w:sz w:val="20"/>
                <w:szCs w:val="20"/>
              </w:rPr>
            </w:pPr>
            <w:r>
              <w:rPr>
                <w:color w:val="000000"/>
                <w:sz w:val="20"/>
                <w:szCs w:val="20"/>
              </w:rPr>
              <w:t>Total revenue</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2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08206791"/>
          <w:jc w:val="center"/>
        </w:trPr>
        <w:tc>
          <w:tcPr>
            <w:tcW w:w="332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Cost of revenue:</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7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08206791"/>
          <w:jc w:val="center"/>
        </w:trPr>
        <w:tc>
          <w:tcPr>
            <w:tcW w:w="332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Subscription</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24" w:type="pct"/>
            <w:gridSpan w:val="2"/>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8" w:type="pct"/>
            <w:gridSpan w:val="2"/>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08206791"/>
          <w:jc w:val="center"/>
        </w:trPr>
        <w:tc>
          <w:tcPr>
            <w:tcW w:w="332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Professional services and other</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24" w:type="pct"/>
            <w:gridSpan w:val="2"/>
            <w:tcBorders>
              <w:bottom w:val="single" w:sz="6" w:space="0" w:color="000000"/>
            </w:tcBorders>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8" w:type="pct"/>
            <w:gridSpan w:val="2"/>
            <w:tcBorders>
              <w:bottom w:val="single" w:sz="6" w:space="0" w:color="000000"/>
            </w:tcBorders>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08206791"/>
          <w:jc w:val="center"/>
        </w:trPr>
        <w:tc>
          <w:tcPr>
            <w:tcW w:w="332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547"/>
              <w:rPr>
                <w:color w:val="000000"/>
                <w:sz w:val="20"/>
                <w:szCs w:val="20"/>
              </w:rPr>
            </w:pPr>
            <w:r>
              <w:rPr>
                <w:color w:val="000000"/>
                <w:sz w:val="20"/>
                <w:szCs w:val="20"/>
              </w:rPr>
              <w:t>Total cost of revenue</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2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08206791"/>
          <w:jc w:val="center"/>
        </w:trPr>
        <w:tc>
          <w:tcPr>
            <w:tcW w:w="332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Gross profit</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24" w:type="pct"/>
            <w:gridSpan w:val="2"/>
            <w:tcBorders>
              <w:top w:val="single" w:sz="6" w:space="0" w:color="000000"/>
              <w:bottom w:val="single" w:sz="6" w:space="0" w:color="000000"/>
            </w:tcBorders>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81</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8" w:type="pct"/>
            <w:gridSpan w:val="2"/>
            <w:tcBorders>
              <w:top w:val="single" w:sz="6" w:space="0" w:color="000000"/>
              <w:bottom w:val="single" w:sz="6" w:space="0" w:color="000000"/>
            </w:tcBorders>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08206791"/>
          <w:jc w:val="center"/>
        </w:trPr>
        <w:tc>
          <w:tcPr>
            <w:tcW w:w="332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Operating expenses:</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7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08206791"/>
          <w:jc w:val="center"/>
        </w:trPr>
        <w:tc>
          <w:tcPr>
            <w:tcW w:w="332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Research and development</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24" w:type="pct"/>
            <w:gridSpan w:val="2"/>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8" w:type="pct"/>
            <w:gridSpan w:val="2"/>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08206791"/>
          <w:jc w:val="center"/>
        </w:trPr>
        <w:tc>
          <w:tcPr>
            <w:tcW w:w="332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Sales and marketing</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24" w:type="pct"/>
            <w:gridSpan w:val="2"/>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8" w:type="pct"/>
            <w:gridSpan w:val="2"/>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08206791"/>
          <w:jc w:val="center"/>
        </w:trPr>
        <w:tc>
          <w:tcPr>
            <w:tcW w:w="332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General and administrative</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24" w:type="pct"/>
            <w:gridSpan w:val="2"/>
            <w:tcBorders>
              <w:bottom w:val="single" w:sz="6" w:space="0" w:color="000000"/>
            </w:tcBorders>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8" w:type="pct"/>
            <w:gridSpan w:val="2"/>
            <w:tcBorders>
              <w:bottom w:val="single" w:sz="6" w:space="0" w:color="000000"/>
            </w:tcBorders>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08206791"/>
          <w:jc w:val="center"/>
        </w:trPr>
        <w:tc>
          <w:tcPr>
            <w:tcW w:w="332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547"/>
              <w:rPr>
                <w:color w:val="000000"/>
                <w:sz w:val="20"/>
                <w:szCs w:val="20"/>
              </w:rPr>
            </w:pPr>
            <w:r>
              <w:rPr>
                <w:color w:val="000000"/>
                <w:sz w:val="20"/>
                <w:szCs w:val="20"/>
              </w:rPr>
              <w:t>Total operating expenses</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2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86</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90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08206791"/>
          <w:jc w:val="center"/>
        </w:trPr>
        <w:tc>
          <w:tcPr>
            <w:tcW w:w="332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Loss from operations</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7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08206791"/>
          <w:jc w:val="center"/>
        </w:trPr>
        <w:tc>
          <w:tcPr>
            <w:tcW w:w="332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547"/>
              <w:rPr>
                <w:color w:val="000000"/>
                <w:sz w:val="20"/>
                <w:szCs w:val="20"/>
              </w:rPr>
            </w:pPr>
            <w:r>
              <w:rPr>
                <w:color w:val="000000"/>
                <w:sz w:val="20"/>
                <w:szCs w:val="20"/>
              </w:rPr>
              <w:t>Total other expense</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7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08206791"/>
          <w:jc w:val="center"/>
        </w:trPr>
        <w:tc>
          <w:tcPr>
            <w:tcW w:w="332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Loss before income tax expense</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7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08206791"/>
          <w:jc w:val="center"/>
        </w:trPr>
        <w:tc>
          <w:tcPr>
            <w:tcW w:w="332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547"/>
              <w:rPr>
                <w:color w:val="000000"/>
                <w:sz w:val="20"/>
                <w:szCs w:val="20"/>
              </w:rPr>
            </w:pPr>
            <w:r>
              <w:rPr>
                <w:color w:val="000000"/>
                <w:sz w:val="20"/>
                <w:szCs w:val="20"/>
              </w:rPr>
              <w:t>Income tax expense</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7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08206791"/>
          <w:jc w:val="center"/>
        </w:trPr>
        <w:tc>
          <w:tcPr>
            <w:tcW w:w="332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Net loss</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7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80"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ind w:firstLine="556"/>
        <w:rPr>
          <w:sz w:val="20"/>
          <w:szCs w:val="20"/>
        </w:rPr>
      </w:pPr>
      <w:r>
        <w:rPr>
          <w:sz w:val="20"/>
          <w:szCs w:val="20"/>
        </w:rPr>
        <w:t>Percentages are based on actual values. Totals may not sum due to rounding.</w:t>
      </w:r>
    </w:p>
    <w:p w:rsidR="00000000" w:rsidRDefault="00F20BDB">
      <w:pPr>
        <w:pStyle w:val="a3"/>
        <w:spacing w:before="40" w:beforeAutospacing="0" w:after="0" w:afterAutospacing="0"/>
        <w:rPr>
          <w:sz w:val="20"/>
          <w:szCs w:val="20"/>
        </w:rPr>
      </w:pPr>
      <w:r>
        <w:rPr>
          <w:sz w:val="20"/>
          <w:szCs w:val="20"/>
        </w:rPr>
        <w:t> </w:t>
      </w:r>
    </w:p>
    <w:p w:rsidR="00000000" w:rsidRDefault="00F20BDB">
      <w:pPr>
        <w:pStyle w:val="a3"/>
        <w:spacing w:before="40" w:beforeAutospacing="0" w:after="0" w:afterAutospacing="0"/>
        <w:rPr>
          <w:b/>
          <w:bCs/>
          <w:sz w:val="20"/>
          <w:szCs w:val="20"/>
        </w:rPr>
      </w:pPr>
      <w:r>
        <w:rPr>
          <w:b/>
          <w:bCs/>
          <w:sz w:val="20"/>
          <w:szCs w:val="20"/>
        </w:rPr>
        <w:t>Three Months Ended March 31, 2019 Compared to the Three Months Ended March 31, 2018</w:t>
      </w:r>
    </w:p>
    <w:p w:rsidR="00000000" w:rsidRDefault="00F20BDB">
      <w:pPr>
        <w:pStyle w:val="a3"/>
        <w:spacing w:before="120" w:beforeAutospacing="0" w:after="0" w:afterAutospacing="0"/>
        <w:rPr>
          <w:b/>
          <w:bCs/>
          <w:i/>
          <w:iCs/>
          <w:sz w:val="20"/>
          <w:szCs w:val="20"/>
        </w:rPr>
      </w:pPr>
      <w:r>
        <w:rPr>
          <w:b/>
          <w:bCs/>
          <w:i/>
          <w:iCs/>
          <w:sz w:val="20"/>
          <w:szCs w:val="20"/>
        </w:rPr>
        <w:t>Revenue</w:t>
      </w:r>
    </w:p>
    <w:p w:rsidR="00000000" w:rsidRDefault="00F20BDB">
      <w:pPr>
        <w:pStyle w:val="a3"/>
        <w:spacing w:before="0" w:beforeAutospacing="0" w:after="0" w:afterAutospacing="0"/>
        <w:rPr>
          <w:sz w:val="20"/>
          <w:szCs w:val="20"/>
        </w:rPr>
      </w:pPr>
      <w:r>
        <w:rPr>
          <w:sz w:val="20"/>
          <w:szCs w:val="20"/>
        </w:rPr>
        <w:t> </w:t>
      </w:r>
    </w:p>
    <w:tbl>
      <w:tblPr>
        <w:tblW w:w="4524" w:type="pct"/>
        <w:jc w:val="center"/>
        <w:tblCellMar>
          <w:left w:w="0" w:type="dxa"/>
          <w:right w:w="0" w:type="dxa"/>
        </w:tblCellMar>
        <w:tblLook w:val="04A0" w:firstRow="1" w:lastRow="0" w:firstColumn="1" w:lastColumn="0" w:noHBand="0" w:noVBand="1"/>
      </w:tblPr>
      <w:tblGrid>
        <w:gridCol w:w="3765"/>
        <w:gridCol w:w="73"/>
        <w:gridCol w:w="115"/>
        <w:gridCol w:w="671"/>
        <w:gridCol w:w="65"/>
        <w:gridCol w:w="65"/>
        <w:gridCol w:w="115"/>
        <w:gridCol w:w="673"/>
        <w:gridCol w:w="65"/>
        <w:gridCol w:w="67"/>
        <w:gridCol w:w="115"/>
        <w:gridCol w:w="672"/>
        <w:gridCol w:w="65"/>
        <w:gridCol w:w="67"/>
        <w:gridCol w:w="73"/>
        <w:gridCol w:w="667"/>
        <w:gridCol w:w="182"/>
      </w:tblGrid>
      <w:tr w:rsidR="00000000">
        <w:trPr>
          <w:divId w:val="1635477636"/>
          <w:jc w:val="center"/>
        </w:trPr>
        <w:tc>
          <w:tcPr>
            <w:tcW w:w="251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 Months</w:t>
            </w:r>
          </w:p>
          <w:p w:rsidR="00000000" w:rsidRDefault="00F20BDB">
            <w:pPr>
              <w:pStyle w:val="a3"/>
              <w:spacing w:before="0" w:beforeAutospacing="0" w:after="0" w:afterAutospacing="0"/>
              <w:jc w:val="center"/>
              <w:rPr>
                <w:b/>
                <w:bCs/>
                <w:color w:val="000000"/>
                <w:sz w:val="16"/>
                <w:szCs w:val="16"/>
              </w:rPr>
            </w:pPr>
            <w:r>
              <w:rPr>
                <w:b/>
                <w:bCs/>
                <w:color w:val="000000"/>
                <w:sz w:val="16"/>
                <w:szCs w:val="16"/>
              </w:rPr>
              <w:t>Ended March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635477636"/>
          <w:jc w:val="center"/>
        </w:trPr>
        <w:tc>
          <w:tcPr>
            <w:tcW w:w="2517" w:type="pct"/>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635477636"/>
          <w:jc w:val="center"/>
        </w:trPr>
        <w:tc>
          <w:tcPr>
            <w:tcW w:w="2517" w:type="pct"/>
            <w:tcBorders>
              <w:top w:val="single" w:sz="6" w:space="0" w:color="000000"/>
            </w:tcBorders>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Revenues:</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635477636"/>
          <w:jc w:val="center"/>
        </w:trPr>
        <w:tc>
          <w:tcPr>
            <w:tcW w:w="251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Subscription</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144,226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108,602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35,624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635477636"/>
          <w:jc w:val="center"/>
        </w:trPr>
        <w:tc>
          <w:tcPr>
            <w:tcW w:w="251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ind w:left="274"/>
              <w:rPr>
                <w:color w:val="000000"/>
                <w:sz w:val="20"/>
                <w:szCs w:val="20"/>
              </w:rPr>
            </w:pPr>
            <w:r>
              <w:rPr>
                <w:color w:val="000000"/>
                <w:sz w:val="20"/>
                <w:szCs w:val="20"/>
              </w:rPr>
              <w:t>Professional services and other</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7,572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5,954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1,618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635477636"/>
          <w:jc w:val="center"/>
        </w:trPr>
        <w:tc>
          <w:tcPr>
            <w:tcW w:w="251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ind w:left="547"/>
              <w:rPr>
                <w:color w:val="000000"/>
                <w:sz w:val="20"/>
                <w:szCs w:val="20"/>
              </w:rPr>
            </w:pPr>
            <w:r>
              <w:rPr>
                <w:color w:val="000000"/>
                <w:sz w:val="20"/>
                <w:szCs w:val="20"/>
              </w:rPr>
              <w:t>Total revenue</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151,798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114,556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37,242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ind w:firstLine="556"/>
        <w:rPr>
          <w:i/>
          <w:iCs/>
          <w:sz w:val="20"/>
          <w:szCs w:val="20"/>
        </w:rPr>
      </w:pPr>
      <w:r>
        <w:rPr>
          <w:i/>
          <w:iCs/>
          <w:sz w:val="20"/>
          <w:szCs w:val="20"/>
          <w:u w:val="single"/>
        </w:rPr>
        <w:t>Three mo</w:t>
      </w:r>
      <w:r>
        <w:rPr>
          <w:i/>
          <w:iCs/>
          <w:sz w:val="20"/>
          <w:szCs w:val="20"/>
          <w:u w:val="single"/>
        </w:rPr>
        <w:t xml:space="preserve">nth change </w:t>
      </w:r>
    </w:p>
    <w:p w:rsidR="00000000" w:rsidRDefault="00F20BDB">
      <w:pPr>
        <w:pStyle w:val="a3"/>
        <w:spacing w:before="40" w:beforeAutospacing="0" w:after="0" w:afterAutospacing="0"/>
        <w:ind w:firstLine="556"/>
        <w:rPr>
          <w:sz w:val="20"/>
          <w:szCs w:val="20"/>
        </w:rPr>
      </w:pPr>
      <w:r>
        <w:rPr>
          <w:sz w:val="20"/>
          <w:szCs w:val="20"/>
        </w:rPr>
        <w:t> </w:t>
      </w:r>
    </w:p>
    <w:p w:rsidR="00000000" w:rsidRDefault="00F20BDB">
      <w:pPr>
        <w:pStyle w:val="a3"/>
        <w:spacing w:before="40" w:beforeAutospacing="0" w:after="0" w:afterAutospacing="0"/>
        <w:ind w:firstLine="556"/>
        <w:rPr>
          <w:sz w:val="20"/>
          <w:szCs w:val="20"/>
        </w:rPr>
      </w:pPr>
      <w:r>
        <w:rPr>
          <w:sz w:val="20"/>
          <w:szCs w:val="20"/>
        </w:rPr>
        <w:t>Subscription revenue increased during the three months ended March 31, 2019 compared to the same period in 2018 primarily due to the increase in Total Customers, which grew from 44,894 as of March 31, 2018 to 60,814 as of March 31, 2019.  Total Average Sub</w:t>
      </w:r>
      <w:r>
        <w:rPr>
          <w:sz w:val="20"/>
          <w:szCs w:val="20"/>
        </w:rPr>
        <w:t>scription Revenue per Customer decreased from $10,016 for the three months ended March 31, 2018 to $9,811 for the three months ended March 31, 2019. The growth in Total Customers was primarily driven by our increased sales representative capacity to meet m</w:t>
      </w:r>
      <w:r>
        <w:rPr>
          <w:sz w:val="20"/>
          <w:szCs w:val="20"/>
        </w:rPr>
        <w:t>arket demand as well as the “freemium” model attracting customers who self-purchase our lower cost products. The decrease in average subscription revenue per customer was driven primarily by our continued adoption of our “freemium” model which allows us to</w:t>
      </w:r>
      <w:r>
        <w:rPr>
          <w:sz w:val="20"/>
          <w:szCs w:val="20"/>
        </w:rPr>
        <w:t xml:space="preserve"> add new customers through our lower cost products. </w:t>
      </w:r>
    </w:p>
    <w:p w:rsidR="00000000" w:rsidRDefault="00F20BDB">
      <w:pPr>
        <w:pStyle w:val="a3"/>
        <w:spacing w:before="240" w:beforeAutospacing="0" w:after="0" w:afterAutospacing="0"/>
        <w:ind w:firstLine="816"/>
        <w:rPr>
          <w:sz w:val="20"/>
          <w:szCs w:val="20"/>
        </w:rPr>
      </w:pPr>
      <w:r>
        <w:rPr>
          <w:sz w:val="20"/>
          <w:szCs w:val="20"/>
        </w:rPr>
        <w:t>The 27% increase in professional services and other revenue resulted primarily as a result of the increase in Total Customers and from the delivery of on-boarding and training services for the additional</w:t>
      </w:r>
      <w:r>
        <w:rPr>
          <w:sz w:val="20"/>
          <w:szCs w:val="20"/>
        </w:rPr>
        <w:t xml:space="preserve"> subscriptions sold.</w:t>
      </w:r>
    </w:p>
    <w:p w:rsidR="00000000" w:rsidRDefault="00F20BDB">
      <w:pPr>
        <w:pStyle w:val="a3"/>
        <w:spacing w:before="240" w:beforeAutospacing="0" w:after="0" w:afterAutospacing="0"/>
        <w:jc w:val="center"/>
        <w:rPr>
          <w:sz w:val="20"/>
          <w:szCs w:val="20"/>
        </w:rPr>
      </w:pPr>
      <w:r>
        <w:rPr>
          <w:sz w:val="20"/>
          <w:szCs w:val="20"/>
        </w:rPr>
        <w:t>23</w:t>
      </w:r>
    </w:p>
    <w:p w:rsidR="00000000" w:rsidRDefault="00F20BDB">
      <w:pPr>
        <w:rPr>
          <w:rFonts w:eastAsia="Times New Roman"/>
        </w:rPr>
      </w:pPr>
      <w:r>
        <w:rPr>
          <w:rFonts w:eastAsia="Times New Roman"/>
        </w:rPr>
        <w:pict>
          <v:rect id="_x0000_i1047"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b/>
          <w:bCs/>
          <w:i/>
          <w:iCs/>
          <w:sz w:val="20"/>
          <w:szCs w:val="20"/>
        </w:rPr>
      </w:pPr>
      <w:r>
        <w:rPr>
          <w:b/>
          <w:bCs/>
          <w:i/>
          <w:iCs/>
          <w:sz w:val="20"/>
          <w:szCs w:val="20"/>
        </w:rPr>
        <w:t>Cost of Revenue, Gross Profit and Gross Margin P</w:t>
      </w:r>
      <w:r>
        <w:rPr>
          <w:b/>
          <w:bCs/>
          <w:i/>
          <w:iCs/>
          <w:sz w:val="20"/>
          <w:szCs w:val="20"/>
        </w:rPr>
        <w:t xml:space="preserve">ercentage </w:t>
      </w:r>
    </w:p>
    <w:p w:rsidR="00000000" w:rsidRDefault="00F20BDB">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691"/>
        <w:gridCol w:w="65"/>
        <w:gridCol w:w="115"/>
        <w:gridCol w:w="665"/>
        <w:gridCol w:w="182"/>
        <w:gridCol w:w="65"/>
        <w:gridCol w:w="115"/>
        <w:gridCol w:w="568"/>
        <w:gridCol w:w="182"/>
        <w:gridCol w:w="65"/>
        <w:gridCol w:w="115"/>
        <w:gridCol w:w="599"/>
        <w:gridCol w:w="65"/>
        <w:gridCol w:w="65"/>
        <w:gridCol w:w="73"/>
        <w:gridCol w:w="663"/>
        <w:gridCol w:w="182"/>
      </w:tblGrid>
      <w:tr w:rsidR="00000000">
        <w:trPr>
          <w:divId w:val="1249195039"/>
          <w:jc w:val="center"/>
        </w:trPr>
        <w:tc>
          <w:tcPr>
            <w:tcW w:w="251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 Months</w:t>
            </w:r>
          </w:p>
          <w:p w:rsidR="00000000" w:rsidRDefault="00F20BDB">
            <w:pPr>
              <w:pStyle w:val="a3"/>
              <w:spacing w:before="0" w:beforeAutospacing="0" w:after="0" w:afterAutospacing="0"/>
              <w:jc w:val="center"/>
              <w:rPr>
                <w:b/>
                <w:bCs/>
                <w:color w:val="000000"/>
                <w:sz w:val="16"/>
                <w:szCs w:val="16"/>
              </w:rPr>
            </w:pPr>
            <w:r>
              <w:rPr>
                <w:b/>
                <w:bCs/>
                <w:color w:val="000000"/>
                <w:sz w:val="16"/>
                <w:szCs w:val="16"/>
              </w:rPr>
              <w:t>Ended March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249195039"/>
          <w:jc w:val="center"/>
        </w:trPr>
        <w:tc>
          <w:tcPr>
            <w:tcW w:w="2517" w:type="pct"/>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trPr>
          <w:divId w:val="1249195039"/>
          <w:jc w:val="center"/>
        </w:trPr>
        <w:tc>
          <w:tcPr>
            <w:tcW w:w="2517" w:type="pct"/>
            <w:tcBorders>
              <w:top w:val="single" w:sz="6" w:space="0" w:color="000000"/>
            </w:tcBorders>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Total cost of revenue</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29,578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22,377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7,201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249195039"/>
          <w:jc w:val="center"/>
        </w:trPr>
        <w:tc>
          <w:tcPr>
            <w:tcW w:w="251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Gross profit</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122,220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92,179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30,041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249195039"/>
          <w:jc w:val="center"/>
        </w:trPr>
        <w:tc>
          <w:tcPr>
            <w:tcW w:w="251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Gross margin percentage</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ind w:firstLine="556"/>
        <w:rPr>
          <w:sz w:val="20"/>
          <w:szCs w:val="20"/>
        </w:rPr>
      </w:pPr>
      <w:r>
        <w:rPr>
          <w:sz w:val="20"/>
          <w:szCs w:val="20"/>
        </w:rPr>
        <w:t>Total co</w:t>
      </w:r>
      <w:r>
        <w:rPr>
          <w:sz w:val="20"/>
          <w:szCs w:val="20"/>
        </w:rPr>
        <w:t>st of revenue for the three months ended March 31, 2019 increased compared to the same period in 2018 primarily due to an increase in subscription and hosting costs, employee-related costs, amortization of developed technology, amortization of acquired tec</w:t>
      </w:r>
      <w:r>
        <w:rPr>
          <w:sz w:val="20"/>
          <w:szCs w:val="20"/>
        </w:rPr>
        <w:t xml:space="preserve">hnology, and allocated overhead expenses. The increase in gross margin was primarily driven by improved leverage of our hosting costs relative to growth in subscription revenue. </w:t>
      </w:r>
    </w:p>
    <w:p w:rsidR="00000000" w:rsidRDefault="00F20BDB">
      <w:pPr>
        <w:pStyle w:val="a3"/>
        <w:spacing w:before="40" w:beforeAutospacing="0" w:after="0" w:afterAutospacing="0"/>
        <w:ind w:firstLine="556"/>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611"/>
        <w:gridCol w:w="65"/>
        <w:gridCol w:w="115"/>
        <w:gridCol w:w="583"/>
        <w:gridCol w:w="182"/>
        <w:gridCol w:w="65"/>
        <w:gridCol w:w="115"/>
        <w:gridCol w:w="587"/>
        <w:gridCol w:w="182"/>
        <w:gridCol w:w="65"/>
        <w:gridCol w:w="116"/>
        <w:gridCol w:w="741"/>
        <w:gridCol w:w="65"/>
        <w:gridCol w:w="65"/>
        <w:gridCol w:w="73"/>
        <w:gridCol w:w="663"/>
        <w:gridCol w:w="182"/>
      </w:tblGrid>
      <w:tr w:rsidR="00000000">
        <w:trPr>
          <w:divId w:val="1799300946"/>
          <w:jc w:val="center"/>
        </w:trPr>
        <w:tc>
          <w:tcPr>
            <w:tcW w:w="24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110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 Months</w:t>
            </w:r>
          </w:p>
          <w:p w:rsidR="00000000" w:rsidRDefault="00F20BDB">
            <w:pPr>
              <w:pStyle w:val="a3"/>
              <w:spacing w:before="0" w:beforeAutospacing="0" w:after="0" w:afterAutospacing="0"/>
              <w:jc w:val="center"/>
              <w:rPr>
                <w:b/>
                <w:bCs/>
                <w:color w:val="000000"/>
                <w:sz w:val="16"/>
                <w:szCs w:val="16"/>
              </w:rPr>
            </w:pPr>
            <w:r>
              <w:rPr>
                <w:b/>
                <w:bCs/>
                <w:color w:val="000000"/>
                <w:sz w:val="16"/>
                <w:szCs w:val="16"/>
              </w:rPr>
              <w:t>Ended March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5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56"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799300946"/>
          <w:jc w:val="center"/>
        </w:trPr>
        <w:tc>
          <w:tcPr>
            <w:tcW w:w="2460" w:type="pct"/>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9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9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0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trPr>
          <w:divId w:val="1799300946"/>
          <w:jc w:val="center"/>
        </w:trPr>
        <w:tc>
          <w:tcPr>
            <w:tcW w:w="2460" w:type="pct"/>
            <w:tcBorders>
              <w:top w:val="single" w:sz="6" w:space="0" w:color="000000"/>
            </w:tcBorders>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Subscription cost of revenue</w:t>
            </w:r>
          </w:p>
        </w:tc>
        <w:tc>
          <w:tcPr>
            <w:tcW w:w="5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4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21,301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4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15,235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5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6,066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799300946"/>
          <w:jc w:val="center"/>
        </w:trPr>
        <w:tc>
          <w:tcPr>
            <w:tcW w:w="246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Percentage of subscription revenue</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6"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6"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5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ind w:firstLine="556"/>
        <w:rPr>
          <w:sz w:val="20"/>
          <w:szCs w:val="20"/>
        </w:rPr>
      </w:pPr>
      <w:r>
        <w:rPr>
          <w:sz w:val="20"/>
          <w:szCs w:val="20"/>
        </w:rPr>
        <w:t>The incr</w:t>
      </w:r>
      <w:r>
        <w:rPr>
          <w:sz w:val="20"/>
          <w:szCs w:val="20"/>
        </w:rPr>
        <w:t>ease in subscription cost of revenue for the three months ended March 31, 2019 compared to the same period in 2018 was primarily due to the following:</w:t>
      </w:r>
    </w:p>
    <w:p w:rsidR="00000000" w:rsidRDefault="00F20BDB">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69"/>
        <w:gridCol w:w="73"/>
        <w:gridCol w:w="116"/>
        <w:gridCol w:w="727"/>
        <w:gridCol w:w="65"/>
        <w:gridCol w:w="65"/>
        <w:gridCol w:w="899"/>
      </w:tblGrid>
      <w:tr w:rsidR="00000000">
        <w:trPr>
          <w:divId w:val="1979257376"/>
          <w:jc w:val="center"/>
        </w:trPr>
        <w:tc>
          <w:tcPr>
            <w:tcW w:w="33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3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9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979257376"/>
          <w:jc w:val="center"/>
        </w:trPr>
        <w:tc>
          <w:tcPr>
            <w:tcW w:w="33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 Months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3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79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r>
      <w:tr w:rsidR="00000000">
        <w:trPr>
          <w:divId w:val="1979257376"/>
          <w:jc w:val="center"/>
        </w:trPr>
        <w:tc>
          <w:tcPr>
            <w:tcW w:w="33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3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9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979257376"/>
          <w:jc w:val="center"/>
        </w:trPr>
        <w:tc>
          <w:tcPr>
            <w:tcW w:w="334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Subscription and hosting costs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2,294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9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r>
      <w:tr w:rsidR="00000000">
        <w:trPr>
          <w:divId w:val="1979257376"/>
          <w:jc w:val="center"/>
        </w:trPr>
        <w:tc>
          <w:tcPr>
            <w:tcW w:w="33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Employee-related costs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1,867</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9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r>
      <w:tr w:rsidR="00000000">
        <w:trPr>
          <w:divId w:val="1979257376"/>
          <w:jc w:val="center"/>
        </w:trPr>
        <w:tc>
          <w:tcPr>
            <w:tcW w:w="334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Amortization of capitalized software development costs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793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9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r>
      <w:tr w:rsidR="00000000">
        <w:trPr>
          <w:divId w:val="1979257376"/>
          <w:jc w:val="center"/>
        </w:trPr>
        <w:tc>
          <w:tcPr>
            <w:tcW w:w="33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Amortization of acquired technology</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783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9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r>
      <w:tr w:rsidR="00000000">
        <w:trPr>
          <w:divId w:val="1979257376"/>
          <w:jc w:val="center"/>
        </w:trPr>
        <w:tc>
          <w:tcPr>
            <w:tcW w:w="334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Allocated overhead expenses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329</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9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r>
      <w:tr w:rsidR="00000000">
        <w:trPr>
          <w:divId w:val="1979257376"/>
          <w:jc w:val="center"/>
        </w:trPr>
        <w:tc>
          <w:tcPr>
            <w:tcW w:w="33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6,066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9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
                <w:szCs w:val="2"/>
              </w:rPr>
            </w:pPr>
            <w:r>
              <w:rPr>
                <w:color w:val="000000"/>
                <w:sz w:val="2"/>
                <w:szCs w:val="2"/>
              </w:rPr>
              <w:t> </w:t>
            </w:r>
          </w:p>
        </w:tc>
      </w:tr>
    </w:tbl>
    <w:p w:rsidR="00000000" w:rsidRDefault="00F20BDB">
      <w:pPr>
        <w:pStyle w:val="a3"/>
        <w:spacing w:before="40" w:beforeAutospacing="0" w:after="0" w:afterAutospacing="0"/>
        <w:ind w:firstLine="556"/>
        <w:rPr>
          <w:i/>
          <w:iCs/>
          <w:sz w:val="20"/>
          <w:szCs w:val="20"/>
        </w:rPr>
      </w:pPr>
      <w:r>
        <w:rPr>
          <w:i/>
          <w:iCs/>
          <w:sz w:val="20"/>
          <w:szCs w:val="20"/>
          <w:u w:val="single"/>
        </w:rPr>
        <w:t xml:space="preserve">Three month change </w: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ind w:firstLine="630"/>
        <w:rPr>
          <w:color w:val="000000"/>
          <w:sz w:val="20"/>
          <w:szCs w:val="20"/>
        </w:rPr>
      </w:pPr>
      <w:r>
        <w:rPr>
          <w:color w:val="000000"/>
          <w:sz w:val="20"/>
          <w:szCs w:val="20"/>
        </w:rPr>
        <w:t>Subscription and hosting costs increased due to growth in our Total Customer base from 44,894 as of March 31, 2018 to 60,814 as of March 31, 2019. Employee-related costs increased as a result of increased headcount as we continue to grow our customer suppo</w:t>
      </w:r>
      <w:r>
        <w:rPr>
          <w:color w:val="000000"/>
          <w:sz w:val="20"/>
          <w:szCs w:val="20"/>
        </w:rPr>
        <w:t>rt organization to support our customer growth and improve service levels and offerings. Amortization of capitalized software development costs increased due to the increased number of developers working on our software platform as we continue to develop n</w:t>
      </w:r>
      <w:r>
        <w:rPr>
          <w:color w:val="000000"/>
          <w:sz w:val="20"/>
          <w:szCs w:val="20"/>
        </w:rPr>
        <w:t>ew products and increased functionality.  Amortization of acquired technology increased due to acquired technology being placed into service during the third quarter of 2018. Allocated overhead expenses increased due to expansion of our leased space and in</w:t>
      </w:r>
      <w:r>
        <w:rPr>
          <w:color w:val="000000"/>
          <w:sz w:val="20"/>
          <w:szCs w:val="20"/>
        </w:rPr>
        <w:t>frastructure as we continue to grow our business and expand headcount.</w:t>
      </w:r>
    </w:p>
    <w:p w:rsidR="00000000" w:rsidRDefault="00F20BDB">
      <w:pPr>
        <w:pStyle w:val="a3"/>
        <w:spacing w:before="40" w:beforeAutospacing="0" w:after="0" w:afterAutospacing="0"/>
        <w:rPr>
          <w:sz w:val="20"/>
          <w:szCs w:val="20"/>
        </w:rPr>
      </w:pPr>
      <w:r>
        <w:rPr>
          <w:sz w:val="20"/>
          <w:szCs w:val="20"/>
        </w:rPr>
        <w:t> </w:t>
      </w:r>
    </w:p>
    <w:tbl>
      <w:tblPr>
        <w:tblW w:w="4646" w:type="pct"/>
        <w:jc w:val="center"/>
        <w:tblCellMar>
          <w:left w:w="0" w:type="dxa"/>
          <w:right w:w="0" w:type="dxa"/>
        </w:tblCellMar>
        <w:tblLook w:val="04A0" w:firstRow="1" w:lastRow="0" w:firstColumn="1" w:lastColumn="0" w:noHBand="0" w:noVBand="1"/>
      </w:tblPr>
      <w:tblGrid>
        <w:gridCol w:w="3727"/>
        <w:gridCol w:w="65"/>
        <w:gridCol w:w="115"/>
        <w:gridCol w:w="601"/>
        <w:gridCol w:w="182"/>
        <w:gridCol w:w="65"/>
        <w:gridCol w:w="115"/>
        <w:gridCol w:w="674"/>
        <w:gridCol w:w="182"/>
        <w:gridCol w:w="65"/>
        <w:gridCol w:w="115"/>
        <w:gridCol w:w="764"/>
        <w:gridCol w:w="65"/>
        <w:gridCol w:w="65"/>
        <w:gridCol w:w="73"/>
        <w:gridCol w:w="663"/>
        <w:gridCol w:w="182"/>
      </w:tblGrid>
      <w:tr w:rsidR="00000000">
        <w:trPr>
          <w:divId w:val="273709698"/>
          <w:jc w:val="center"/>
        </w:trPr>
        <w:tc>
          <w:tcPr>
            <w:tcW w:w="245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110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 Months</w:t>
            </w:r>
          </w:p>
          <w:p w:rsidR="00000000" w:rsidRDefault="00F20BDB">
            <w:pPr>
              <w:pStyle w:val="a3"/>
              <w:spacing w:before="0" w:beforeAutospacing="0" w:after="0" w:afterAutospacing="0"/>
              <w:jc w:val="center"/>
              <w:rPr>
                <w:b/>
                <w:bCs/>
                <w:color w:val="000000"/>
                <w:sz w:val="16"/>
                <w:szCs w:val="16"/>
              </w:rPr>
            </w:pPr>
            <w:r>
              <w:rPr>
                <w:b/>
                <w:bCs/>
                <w:color w:val="000000"/>
                <w:sz w:val="16"/>
                <w:szCs w:val="16"/>
              </w:rPr>
              <w:t>Ended March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56"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273709698"/>
          <w:jc w:val="center"/>
        </w:trPr>
        <w:tc>
          <w:tcPr>
            <w:tcW w:w="2457" w:type="pct"/>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9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29"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0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trPr>
          <w:divId w:val="273709698"/>
          <w:jc w:val="center"/>
        </w:trPr>
        <w:tc>
          <w:tcPr>
            <w:tcW w:w="2457" w:type="pct"/>
            <w:tcBorders>
              <w:top w:val="single" w:sz="6" w:space="0" w:color="000000"/>
            </w:tcBorders>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Professional services and other cost of</w:t>
            </w:r>
          </w:p>
          <w:p w:rsidR="00000000" w:rsidRDefault="00F20BDB">
            <w:pPr>
              <w:pStyle w:val="a3"/>
              <w:spacing w:before="0" w:beforeAutospacing="0" w:after="0" w:afterAutospacing="0"/>
              <w:rPr>
                <w:color w:val="000000"/>
                <w:sz w:val="20"/>
                <w:szCs w:val="20"/>
              </w:rPr>
            </w:pPr>
            <w:r>
              <w:rPr>
                <w:color w:val="000000"/>
                <w:sz w:val="20"/>
                <w:szCs w:val="20"/>
              </w:rPr>
              <w:t>   revenue</w:t>
            </w:r>
          </w:p>
        </w:tc>
        <w:tc>
          <w:tcPr>
            <w:tcW w:w="5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4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8,277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2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8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7,142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1,135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273709698"/>
          <w:jc w:val="center"/>
        </w:trPr>
        <w:tc>
          <w:tcPr>
            <w:tcW w:w="245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Percentage of professional services and</w:t>
            </w:r>
          </w:p>
          <w:p w:rsidR="00000000" w:rsidRDefault="00F20BDB">
            <w:pPr>
              <w:pStyle w:val="a3"/>
              <w:spacing w:before="0" w:beforeAutospacing="0" w:after="0" w:afterAutospacing="0"/>
              <w:rPr>
                <w:color w:val="000000"/>
                <w:sz w:val="20"/>
                <w:szCs w:val="20"/>
              </w:rPr>
            </w:pPr>
            <w:r>
              <w:rPr>
                <w:color w:val="000000"/>
                <w:sz w:val="20"/>
                <w:szCs w:val="20"/>
              </w:rPr>
              <w:t>   other revenue</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46"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2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120</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240" w:beforeAutospacing="0" w:after="0" w:afterAutospacing="0"/>
        <w:jc w:val="center"/>
        <w:rPr>
          <w:sz w:val="20"/>
          <w:szCs w:val="20"/>
        </w:rPr>
      </w:pPr>
      <w:r>
        <w:rPr>
          <w:sz w:val="20"/>
          <w:szCs w:val="20"/>
        </w:rPr>
        <w:t>24</w:t>
      </w:r>
    </w:p>
    <w:p w:rsidR="00000000" w:rsidRDefault="00F20BDB">
      <w:pPr>
        <w:rPr>
          <w:rFonts w:eastAsia="Times New Roman"/>
        </w:rPr>
      </w:pPr>
      <w:r>
        <w:rPr>
          <w:rFonts w:eastAsia="Times New Roman"/>
        </w:rPr>
        <w:pict>
          <v:rect id="_x0000_i1048"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sz w:val="20"/>
          <w:szCs w:val="20"/>
        </w:rPr>
      </w:pPr>
      <w:bookmarkStart w:id="33" w:name="_AEIOULastRenderedPageBreakAEIOU19"/>
      <w:bookmarkEnd w:id="33"/>
      <w:r>
        <w:rPr>
          <w:sz w:val="20"/>
          <w:szCs w:val="20"/>
        </w:rPr>
        <w:t> </w:t>
      </w:r>
    </w:p>
    <w:p w:rsidR="00000000" w:rsidRDefault="00F20BDB">
      <w:pPr>
        <w:pStyle w:val="a3"/>
        <w:spacing w:before="40" w:beforeAutospacing="0" w:after="0" w:afterAutospacing="0"/>
        <w:ind w:firstLine="816"/>
        <w:rPr>
          <w:sz w:val="20"/>
          <w:szCs w:val="20"/>
        </w:rPr>
      </w:pPr>
      <w:r>
        <w:rPr>
          <w:sz w:val="20"/>
          <w:szCs w:val="20"/>
        </w:rPr>
        <w:t>The increase in professional services and other cost of revenue for the three months ended March 31, 2019 compared to the same period in 2018 was primarily due to the following:</w:t>
      </w:r>
    </w:p>
    <w:p w:rsidR="00000000" w:rsidRDefault="00F20BDB">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69"/>
        <w:gridCol w:w="73"/>
        <w:gridCol w:w="116"/>
        <w:gridCol w:w="727"/>
        <w:gridCol w:w="65"/>
        <w:gridCol w:w="65"/>
        <w:gridCol w:w="899"/>
      </w:tblGrid>
      <w:tr w:rsidR="00000000">
        <w:trPr>
          <w:divId w:val="1498769741"/>
          <w:jc w:val="center"/>
        </w:trPr>
        <w:tc>
          <w:tcPr>
            <w:tcW w:w="33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20"/>
                <w:szCs w:val="20"/>
              </w:rPr>
            </w:pPr>
            <w:r>
              <w:rPr>
                <w:b/>
                <w:bCs/>
                <w:color w:val="000000"/>
                <w:sz w:val="20"/>
                <w:szCs w:val="20"/>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3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9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498769741"/>
          <w:jc w:val="center"/>
        </w:trPr>
        <w:tc>
          <w:tcPr>
            <w:tcW w:w="33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 Months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3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79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r>
      <w:tr w:rsidR="00000000">
        <w:trPr>
          <w:divId w:val="1498769741"/>
          <w:jc w:val="center"/>
        </w:trPr>
        <w:tc>
          <w:tcPr>
            <w:tcW w:w="33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3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9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498769741"/>
          <w:jc w:val="center"/>
        </w:trPr>
        <w:tc>
          <w:tcPr>
            <w:tcW w:w="334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Employee-related costs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1,067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9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498769741"/>
          <w:jc w:val="center"/>
        </w:trPr>
        <w:tc>
          <w:tcPr>
            <w:tcW w:w="33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Allocated overhead expenses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9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498769741"/>
          <w:jc w:val="center"/>
        </w:trPr>
        <w:tc>
          <w:tcPr>
            <w:tcW w:w="3344"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1,135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9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
                <w:szCs w:val="2"/>
              </w:rPr>
            </w:pPr>
            <w:r>
              <w:rPr>
                <w:color w:val="000000"/>
                <w:sz w:val="2"/>
                <w:szCs w:val="2"/>
              </w:rPr>
              <w:t> </w:t>
            </w:r>
          </w:p>
        </w:tc>
      </w:tr>
    </w:tbl>
    <w:p w:rsidR="00000000" w:rsidRDefault="00F20BDB">
      <w:pPr>
        <w:pStyle w:val="a3"/>
        <w:spacing w:before="40" w:beforeAutospacing="0" w:after="0" w:afterAutospacing="0"/>
        <w:ind w:firstLine="556"/>
        <w:rPr>
          <w:i/>
          <w:iCs/>
          <w:sz w:val="20"/>
          <w:szCs w:val="20"/>
        </w:rPr>
      </w:pPr>
      <w:r>
        <w:rPr>
          <w:i/>
          <w:iCs/>
          <w:sz w:val="20"/>
          <w:szCs w:val="20"/>
          <w:u w:val="single"/>
        </w:rPr>
        <w:t xml:space="preserve">Three month change </w:t>
      </w:r>
    </w:p>
    <w:p w:rsidR="00000000" w:rsidRDefault="00F20BDB">
      <w:pPr>
        <w:pStyle w:val="a3"/>
        <w:spacing w:before="40" w:beforeAutospacing="0" w:after="0" w:afterAutospacing="0"/>
        <w:rPr>
          <w:sz w:val="20"/>
          <w:szCs w:val="20"/>
        </w:rPr>
      </w:pPr>
      <w:r>
        <w:rPr>
          <w:sz w:val="20"/>
          <w:szCs w:val="20"/>
        </w:rPr>
        <w:t> </w:t>
      </w:r>
    </w:p>
    <w:p w:rsidR="00000000" w:rsidRDefault="00F20BDB">
      <w:pPr>
        <w:pStyle w:val="a3"/>
        <w:spacing w:before="40" w:beforeAutospacing="0" w:after="0" w:afterAutospacing="0"/>
        <w:ind w:firstLine="556"/>
        <w:rPr>
          <w:sz w:val="20"/>
          <w:szCs w:val="20"/>
        </w:rPr>
      </w:pPr>
      <w:r>
        <w:rPr>
          <w:sz w:val="20"/>
          <w:szCs w:val="20"/>
        </w:rPr>
        <w:t>Employee-related costs increased as a result of increased headcount as we continue to grow our professional services organization to support our Total Customer growth. Allocated overhead expenses increased due to expansion of our leased space and infrastru</w:t>
      </w:r>
      <w:r>
        <w:rPr>
          <w:sz w:val="20"/>
          <w:szCs w:val="20"/>
        </w:rPr>
        <w:t xml:space="preserve">cture as we continue to grow our business and expand headcount. </w:t>
      </w:r>
    </w:p>
    <w:p w:rsidR="00000000" w:rsidRDefault="00F20BDB">
      <w:pPr>
        <w:pStyle w:val="a3"/>
        <w:spacing w:before="360" w:beforeAutospacing="0" w:after="0" w:afterAutospacing="0"/>
        <w:rPr>
          <w:b/>
          <w:bCs/>
          <w:i/>
          <w:iCs/>
          <w:sz w:val="20"/>
          <w:szCs w:val="20"/>
        </w:rPr>
      </w:pPr>
      <w:r>
        <w:rPr>
          <w:b/>
          <w:bCs/>
          <w:i/>
          <w:iCs/>
          <w:sz w:val="20"/>
          <w:szCs w:val="20"/>
        </w:rPr>
        <w:t>Research and Development</w:t>
      </w:r>
    </w:p>
    <w:p w:rsidR="00000000" w:rsidRDefault="00F20BDB">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697"/>
        <w:gridCol w:w="65"/>
        <w:gridCol w:w="115"/>
        <w:gridCol w:w="606"/>
        <w:gridCol w:w="182"/>
        <w:gridCol w:w="65"/>
        <w:gridCol w:w="115"/>
        <w:gridCol w:w="608"/>
        <w:gridCol w:w="182"/>
        <w:gridCol w:w="65"/>
        <w:gridCol w:w="116"/>
        <w:gridCol w:w="607"/>
        <w:gridCol w:w="65"/>
        <w:gridCol w:w="65"/>
        <w:gridCol w:w="73"/>
        <w:gridCol w:w="667"/>
        <w:gridCol w:w="182"/>
      </w:tblGrid>
      <w:tr w:rsidR="00000000">
        <w:trPr>
          <w:divId w:val="1004749194"/>
          <w:jc w:val="center"/>
        </w:trPr>
        <w:tc>
          <w:tcPr>
            <w:tcW w:w="251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 Months</w:t>
            </w:r>
          </w:p>
          <w:p w:rsidR="00000000" w:rsidRDefault="00F20BDB">
            <w:pPr>
              <w:pStyle w:val="a3"/>
              <w:spacing w:before="0" w:beforeAutospacing="0" w:after="0" w:afterAutospacing="0"/>
              <w:jc w:val="center"/>
              <w:rPr>
                <w:b/>
                <w:bCs/>
                <w:color w:val="000000"/>
                <w:sz w:val="16"/>
                <w:szCs w:val="16"/>
              </w:rPr>
            </w:pPr>
            <w:r>
              <w:rPr>
                <w:b/>
                <w:bCs/>
                <w:color w:val="000000"/>
                <w:sz w:val="16"/>
                <w:szCs w:val="16"/>
              </w:rPr>
              <w:t>Ended March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000000">
        <w:trPr>
          <w:divId w:val="1004749194"/>
          <w:jc w:val="center"/>
        </w:trPr>
        <w:tc>
          <w:tcPr>
            <w:tcW w:w="2517" w:type="pct"/>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004749194"/>
          <w:jc w:val="center"/>
        </w:trPr>
        <w:tc>
          <w:tcPr>
            <w:tcW w:w="2517" w:type="pct"/>
            <w:tcBorders>
              <w:top w:val="single" w:sz="6" w:space="0" w:color="000000"/>
            </w:tcBorders>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Research and development</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35,177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26,352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8,825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1004749194"/>
          <w:jc w:val="center"/>
        </w:trPr>
        <w:tc>
          <w:tcPr>
            <w:tcW w:w="251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Percentage of total revenue</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ind w:firstLine="556"/>
        <w:rPr>
          <w:sz w:val="20"/>
          <w:szCs w:val="20"/>
        </w:rPr>
      </w:pPr>
      <w:r>
        <w:rPr>
          <w:sz w:val="20"/>
          <w:szCs w:val="20"/>
        </w:rPr>
        <w:t>The incr</w:t>
      </w:r>
      <w:r>
        <w:rPr>
          <w:sz w:val="20"/>
          <w:szCs w:val="20"/>
        </w:rPr>
        <w:t>ease in research and development expense for the three months ended March 31, 2019 compared to the same period in 2018 was primarily due to the following:</w:t>
      </w:r>
    </w:p>
    <w:p w:rsidR="00000000" w:rsidRDefault="00F20BDB">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81"/>
        <w:gridCol w:w="81"/>
        <w:gridCol w:w="116"/>
        <w:gridCol w:w="736"/>
        <w:gridCol w:w="65"/>
        <w:gridCol w:w="82"/>
        <w:gridCol w:w="853"/>
      </w:tblGrid>
      <w:tr w:rsidR="00000000">
        <w:trPr>
          <w:divId w:val="1418792460"/>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418792460"/>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 Months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r>
      <w:tr w:rsidR="00000000">
        <w:trPr>
          <w:divId w:val="1418792460"/>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418792460"/>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Employee-related costs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7,926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r>
      <w:tr w:rsidR="00000000">
        <w:trPr>
          <w:divId w:val="1418792460"/>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Allocated overhead expenses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899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418792460"/>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8,825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
                <w:szCs w:val="2"/>
              </w:rPr>
            </w:pPr>
            <w:r>
              <w:rPr>
                <w:color w:val="000000"/>
                <w:sz w:val="2"/>
                <w:szCs w:val="2"/>
              </w:rPr>
              <w:t> </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ind w:firstLine="556"/>
        <w:rPr>
          <w:i/>
          <w:iCs/>
          <w:sz w:val="20"/>
          <w:szCs w:val="20"/>
        </w:rPr>
      </w:pPr>
      <w:r>
        <w:rPr>
          <w:i/>
          <w:iCs/>
          <w:sz w:val="20"/>
          <w:szCs w:val="20"/>
          <w:u w:val="single"/>
        </w:rPr>
        <w:t xml:space="preserve">Three month change </w:t>
      </w:r>
    </w:p>
    <w:p w:rsidR="00000000" w:rsidRDefault="00F20BDB">
      <w:pPr>
        <w:pStyle w:val="a3"/>
        <w:spacing w:before="40" w:beforeAutospacing="0" w:after="0" w:afterAutospacing="0"/>
        <w:rPr>
          <w:sz w:val="20"/>
          <w:szCs w:val="20"/>
        </w:rPr>
      </w:pPr>
      <w:r>
        <w:rPr>
          <w:sz w:val="20"/>
          <w:szCs w:val="20"/>
        </w:rPr>
        <w:t> </w:t>
      </w:r>
    </w:p>
    <w:p w:rsidR="00000000" w:rsidRDefault="00F20BDB">
      <w:pPr>
        <w:pStyle w:val="a3"/>
        <w:spacing w:before="40" w:beforeAutospacing="0" w:after="0" w:afterAutospacing="0"/>
        <w:ind w:firstLine="556"/>
        <w:rPr>
          <w:color w:val="000000"/>
          <w:sz w:val="20"/>
          <w:szCs w:val="20"/>
        </w:rPr>
      </w:pPr>
      <w:r>
        <w:rPr>
          <w:color w:val="000000"/>
          <w:sz w:val="20"/>
          <w:szCs w:val="20"/>
        </w:rPr>
        <w:t>Employee-related costs increased as a result of increased headcount as we continue to grow our engineering organization to develop new products, increase functionality and to maintain our existing Growth Platform. Allocated overhead expense increased due t</w:t>
      </w:r>
      <w:r>
        <w:rPr>
          <w:color w:val="000000"/>
          <w:sz w:val="20"/>
          <w:szCs w:val="20"/>
        </w:rPr>
        <w:t>o expanding our leased space and infrastructure as we continue to grow our business and expand headcount.</w:t>
      </w:r>
    </w:p>
    <w:p w:rsidR="00000000" w:rsidRDefault="00F20BDB">
      <w:pPr>
        <w:pStyle w:val="a3"/>
        <w:spacing w:before="360" w:beforeAutospacing="0" w:after="0" w:afterAutospacing="0"/>
        <w:rPr>
          <w:sz w:val="20"/>
          <w:szCs w:val="20"/>
        </w:rPr>
      </w:pPr>
      <w:r>
        <w:rPr>
          <w:sz w:val="20"/>
          <w:szCs w:val="20"/>
        </w:rPr>
        <w:t> </w:t>
      </w:r>
      <w:r>
        <w:rPr>
          <w:b/>
          <w:bCs/>
          <w:i/>
          <w:iCs/>
          <w:sz w:val="20"/>
          <w:szCs w:val="20"/>
        </w:rPr>
        <w:t>Sales and Marketing</w:t>
      </w:r>
    </w:p>
    <w:p w:rsidR="00000000" w:rsidRDefault="00F20BDB">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00"/>
        <w:gridCol w:w="65"/>
        <w:gridCol w:w="115"/>
        <w:gridCol w:w="605"/>
        <w:gridCol w:w="182"/>
        <w:gridCol w:w="65"/>
        <w:gridCol w:w="115"/>
        <w:gridCol w:w="607"/>
        <w:gridCol w:w="182"/>
        <w:gridCol w:w="65"/>
        <w:gridCol w:w="115"/>
        <w:gridCol w:w="607"/>
        <w:gridCol w:w="65"/>
        <w:gridCol w:w="65"/>
        <w:gridCol w:w="74"/>
        <w:gridCol w:w="666"/>
        <w:gridCol w:w="182"/>
      </w:tblGrid>
      <w:tr w:rsidR="00000000">
        <w:trPr>
          <w:divId w:val="458690740"/>
          <w:jc w:val="center"/>
        </w:trPr>
        <w:tc>
          <w:tcPr>
            <w:tcW w:w="252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113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 Months</w:t>
            </w:r>
          </w:p>
          <w:p w:rsidR="00000000" w:rsidRDefault="00F20BDB">
            <w:pPr>
              <w:pStyle w:val="a3"/>
              <w:spacing w:before="0" w:beforeAutospacing="0" w:after="0" w:afterAutospacing="0"/>
              <w:jc w:val="center"/>
              <w:rPr>
                <w:b/>
                <w:bCs/>
                <w:color w:val="000000"/>
                <w:sz w:val="16"/>
                <w:szCs w:val="16"/>
              </w:rPr>
            </w:pPr>
            <w:r>
              <w:rPr>
                <w:b/>
                <w:bCs/>
                <w:color w:val="000000"/>
                <w:sz w:val="16"/>
                <w:szCs w:val="16"/>
              </w:rPr>
              <w:t>Ended March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6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5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458690740"/>
          <w:jc w:val="center"/>
        </w:trPr>
        <w:tc>
          <w:tcPr>
            <w:tcW w:w="2520" w:type="pct"/>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1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1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1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458690740"/>
          <w:jc w:val="center"/>
        </w:trPr>
        <w:tc>
          <w:tcPr>
            <w:tcW w:w="2520" w:type="pct"/>
            <w:tcBorders>
              <w:top w:val="single" w:sz="6" w:space="0" w:color="000000"/>
            </w:tcBorders>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Sales and marketing</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74,905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59,910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14,995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458690740"/>
          <w:jc w:val="center"/>
        </w:trPr>
        <w:tc>
          <w:tcPr>
            <w:tcW w:w="2520"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Percentage of total revenue</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6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6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6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240" w:beforeAutospacing="0" w:after="0" w:afterAutospacing="0"/>
        <w:jc w:val="center"/>
        <w:rPr>
          <w:sz w:val="20"/>
          <w:szCs w:val="20"/>
        </w:rPr>
      </w:pPr>
      <w:r>
        <w:rPr>
          <w:sz w:val="20"/>
          <w:szCs w:val="20"/>
        </w:rPr>
        <w:t>25</w:t>
      </w:r>
    </w:p>
    <w:p w:rsidR="00000000" w:rsidRDefault="00F20BDB">
      <w:pPr>
        <w:rPr>
          <w:rFonts w:eastAsia="Times New Roman"/>
        </w:rPr>
      </w:pPr>
      <w:r>
        <w:rPr>
          <w:rFonts w:eastAsia="Times New Roman"/>
        </w:rPr>
        <w:pict>
          <v:rect id="_x0000_i1049"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ind w:firstLine="556"/>
        <w:rPr>
          <w:sz w:val="20"/>
          <w:szCs w:val="20"/>
        </w:rPr>
      </w:pPr>
      <w:bookmarkStart w:id="34" w:name="_AEIOULastRenderedPageBreakAEIOU20"/>
      <w:bookmarkEnd w:id="34"/>
      <w:r>
        <w:rPr>
          <w:sz w:val="20"/>
          <w:szCs w:val="20"/>
        </w:rPr>
        <w:t>The increase in sales and marketing expense for the three months ended Mar</w:t>
      </w:r>
      <w:r>
        <w:rPr>
          <w:sz w:val="20"/>
          <w:szCs w:val="20"/>
        </w:rPr>
        <w:t>ch 31, 2019 compared to the same period in 2018 was primarily due to the following:</w:t>
      </w:r>
    </w:p>
    <w:tbl>
      <w:tblPr>
        <w:tblW w:w="3500" w:type="pct"/>
        <w:jc w:val="center"/>
        <w:tblCellMar>
          <w:left w:w="0" w:type="dxa"/>
          <w:right w:w="0" w:type="dxa"/>
        </w:tblCellMar>
        <w:tblLook w:val="04A0" w:firstRow="1" w:lastRow="0" w:firstColumn="1" w:lastColumn="0" w:noHBand="0" w:noVBand="1"/>
      </w:tblPr>
      <w:tblGrid>
        <w:gridCol w:w="3881"/>
        <w:gridCol w:w="81"/>
        <w:gridCol w:w="116"/>
        <w:gridCol w:w="736"/>
        <w:gridCol w:w="65"/>
        <w:gridCol w:w="82"/>
        <w:gridCol w:w="853"/>
      </w:tblGrid>
      <w:tr w:rsidR="00000000">
        <w:trPr>
          <w:divId w:val="534654263"/>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534654263"/>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 Months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r>
      <w:tr w:rsidR="00000000">
        <w:trPr>
          <w:divId w:val="534654263"/>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534654263"/>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Employee-related costs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10,051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34654263"/>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Partner commissions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2,281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34654263"/>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Marketing programs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1,379</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34654263"/>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Allocated overhead expenses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1,284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534654263"/>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14,995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
                <w:szCs w:val="2"/>
              </w:rPr>
            </w:pPr>
            <w:r>
              <w:rPr>
                <w:color w:val="000000"/>
                <w:sz w:val="2"/>
                <w:szCs w:val="2"/>
              </w:rPr>
              <w:t> </w:t>
            </w:r>
          </w:p>
        </w:tc>
      </w:tr>
    </w:tbl>
    <w:p w:rsidR="00000000" w:rsidRDefault="00F20BDB">
      <w:pPr>
        <w:pStyle w:val="a3"/>
        <w:spacing w:before="40" w:beforeAutospacing="0" w:after="0" w:afterAutospacing="0"/>
        <w:ind w:firstLine="556"/>
        <w:rPr>
          <w:sz w:val="20"/>
          <w:szCs w:val="20"/>
        </w:rPr>
      </w:pPr>
      <w:r>
        <w:rPr>
          <w:sz w:val="20"/>
          <w:szCs w:val="20"/>
        </w:rPr>
        <w:t> </w:t>
      </w:r>
    </w:p>
    <w:p w:rsidR="00000000" w:rsidRDefault="00F20BDB">
      <w:pPr>
        <w:pStyle w:val="a3"/>
        <w:spacing w:before="40" w:beforeAutospacing="0" w:after="0" w:afterAutospacing="0"/>
        <w:ind w:firstLine="556"/>
        <w:rPr>
          <w:i/>
          <w:iCs/>
          <w:sz w:val="20"/>
          <w:szCs w:val="20"/>
        </w:rPr>
      </w:pPr>
      <w:r>
        <w:rPr>
          <w:i/>
          <w:iCs/>
          <w:sz w:val="20"/>
          <w:szCs w:val="20"/>
          <w:u w:val="single"/>
        </w:rPr>
        <w:t xml:space="preserve">Three month change </w:t>
      </w:r>
    </w:p>
    <w:p w:rsidR="00000000" w:rsidRDefault="00F20BDB">
      <w:pPr>
        <w:pStyle w:val="a3"/>
        <w:spacing w:before="40" w:beforeAutospacing="0" w:after="0" w:afterAutospacing="0"/>
        <w:ind w:firstLine="556"/>
        <w:rPr>
          <w:sz w:val="20"/>
          <w:szCs w:val="20"/>
        </w:rPr>
      </w:pPr>
      <w:r>
        <w:rPr>
          <w:sz w:val="20"/>
          <w:szCs w:val="20"/>
        </w:rPr>
        <w:t> </w:t>
      </w:r>
    </w:p>
    <w:p w:rsidR="00000000" w:rsidRDefault="00F20BDB">
      <w:pPr>
        <w:pStyle w:val="a3"/>
        <w:spacing w:before="40" w:beforeAutospacing="0" w:after="0" w:afterAutospacing="0"/>
        <w:ind w:firstLine="556"/>
        <w:rPr>
          <w:color w:val="000000"/>
          <w:sz w:val="20"/>
          <w:szCs w:val="20"/>
        </w:rPr>
      </w:pPr>
      <w:r>
        <w:rPr>
          <w:color w:val="000000"/>
          <w:sz w:val="20"/>
          <w:szCs w:val="20"/>
        </w:rPr>
        <w:t>Employee-related costs increased as a result of increased headcount as we continue to expand our selling and marketing organizations to grow our customer base. Partner commissions increased as a result of increased revenue generated through our partners. M</w:t>
      </w:r>
      <w:r>
        <w:rPr>
          <w:color w:val="000000"/>
          <w:sz w:val="20"/>
          <w:szCs w:val="20"/>
        </w:rPr>
        <w:t xml:space="preserve">arketing programs increased as we continue to make investments in attracting new customers. Allocated overhead expenses increased due to expanding our leased space and infrastructure as we continue to grow our business and expand headcount. </w:t>
      </w:r>
    </w:p>
    <w:p w:rsidR="00000000" w:rsidRDefault="00F20BDB">
      <w:pPr>
        <w:pStyle w:val="a3"/>
        <w:spacing w:before="40" w:beforeAutospacing="0" w:after="0" w:afterAutospacing="0"/>
        <w:ind w:firstLine="556"/>
        <w:rPr>
          <w:sz w:val="20"/>
          <w:szCs w:val="20"/>
        </w:rPr>
      </w:pPr>
      <w:r>
        <w:rPr>
          <w:sz w:val="20"/>
          <w:szCs w:val="20"/>
        </w:rPr>
        <w:t> </w:t>
      </w:r>
    </w:p>
    <w:p w:rsidR="00000000" w:rsidRDefault="00F20BDB">
      <w:pPr>
        <w:pStyle w:val="a3"/>
        <w:spacing w:before="40" w:beforeAutospacing="0" w:after="0" w:afterAutospacing="0"/>
        <w:ind w:firstLine="556"/>
        <w:rPr>
          <w:b/>
          <w:bCs/>
          <w:i/>
          <w:iCs/>
          <w:sz w:val="20"/>
          <w:szCs w:val="20"/>
        </w:rPr>
      </w:pPr>
      <w:r>
        <w:rPr>
          <w:b/>
          <w:bCs/>
          <w:i/>
          <w:iCs/>
          <w:sz w:val="20"/>
          <w:szCs w:val="20"/>
        </w:rPr>
        <w:t xml:space="preserve">General and </w:t>
      </w:r>
      <w:r>
        <w:rPr>
          <w:b/>
          <w:bCs/>
          <w:i/>
          <w:iCs/>
          <w:sz w:val="20"/>
          <w:szCs w:val="20"/>
        </w:rPr>
        <w:t xml:space="preserve">Administrative </w:t>
      </w:r>
    </w:p>
    <w:p w:rsidR="00000000" w:rsidRDefault="00F20BDB">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697"/>
        <w:gridCol w:w="65"/>
        <w:gridCol w:w="115"/>
        <w:gridCol w:w="606"/>
        <w:gridCol w:w="182"/>
        <w:gridCol w:w="65"/>
        <w:gridCol w:w="115"/>
        <w:gridCol w:w="608"/>
        <w:gridCol w:w="182"/>
        <w:gridCol w:w="65"/>
        <w:gridCol w:w="116"/>
        <w:gridCol w:w="607"/>
        <w:gridCol w:w="65"/>
        <w:gridCol w:w="65"/>
        <w:gridCol w:w="73"/>
        <w:gridCol w:w="667"/>
        <w:gridCol w:w="182"/>
      </w:tblGrid>
      <w:tr w:rsidR="00000000">
        <w:trPr>
          <w:divId w:val="2028366501"/>
          <w:jc w:val="center"/>
        </w:trPr>
        <w:tc>
          <w:tcPr>
            <w:tcW w:w="251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 Months</w:t>
            </w:r>
          </w:p>
          <w:p w:rsidR="00000000" w:rsidRDefault="00F20BDB">
            <w:pPr>
              <w:pStyle w:val="a3"/>
              <w:spacing w:before="0" w:beforeAutospacing="0" w:after="0" w:afterAutospacing="0"/>
              <w:jc w:val="center"/>
              <w:rPr>
                <w:b/>
                <w:bCs/>
                <w:color w:val="000000"/>
                <w:sz w:val="16"/>
                <w:szCs w:val="16"/>
              </w:rPr>
            </w:pPr>
            <w:r>
              <w:rPr>
                <w:b/>
                <w:bCs/>
                <w:color w:val="000000"/>
                <w:sz w:val="16"/>
                <w:szCs w:val="16"/>
              </w:rPr>
              <w:t>Ended March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2028366501"/>
          <w:jc w:val="center"/>
        </w:trPr>
        <w:tc>
          <w:tcPr>
            <w:tcW w:w="2517" w:type="pct"/>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2028366501"/>
          <w:jc w:val="center"/>
        </w:trPr>
        <w:tc>
          <w:tcPr>
            <w:tcW w:w="2517" w:type="pct"/>
            <w:tcBorders>
              <w:top w:val="single" w:sz="6" w:space="0" w:color="000000"/>
            </w:tcBorders>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General and administrative</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21,174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17,241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3,933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2028366501"/>
          <w:jc w:val="center"/>
        </w:trPr>
        <w:tc>
          <w:tcPr>
            <w:tcW w:w="251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Percentage of total revenue</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2"/>
                <w:szCs w:val="22"/>
              </w:rPr>
            </w:pPr>
            <w:r>
              <w:rPr>
                <w:color w:val="000000"/>
                <w:sz w:val="22"/>
                <w:szCs w:val="22"/>
              </w:rPr>
              <w:t> </w:t>
            </w:r>
          </w:p>
        </w:tc>
        <w:tc>
          <w:tcPr>
            <w:tcW w:w="45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ind w:firstLine="556"/>
        <w:rPr>
          <w:sz w:val="20"/>
          <w:szCs w:val="20"/>
        </w:rPr>
      </w:pPr>
      <w:r>
        <w:rPr>
          <w:sz w:val="20"/>
          <w:szCs w:val="20"/>
        </w:rPr>
        <w:t>The incr</w:t>
      </w:r>
      <w:r>
        <w:rPr>
          <w:sz w:val="20"/>
          <w:szCs w:val="20"/>
        </w:rPr>
        <w:t>ease in general and administrative expense for the three months ended March 31, 2019 compared to the same period in 2018 was primarily due to the following:</w:t>
      </w:r>
    </w:p>
    <w:p w:rsidR="00000000" w:rsidRDefault="00F20BDB">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81"/>
        <w:gridCol w:w="81"/>
        <w:gridCol w:w="116"/>
        <w:gridCol w:w="736"/>
        <w:gridCol w:w="65"/>
        <w:gridCol w:w="82"/>
        <w:gridCol w:w="853"/>
      </w:tblGrid>
      <w:tr w:rsidR="00000000">
        <w:trPr>
          <w:divId w:val="81660337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81660337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 Months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r>
      <w:tr w:rsidR="00000000">
        <w:trPr>
          <w:divId w:val="81660337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816603379"/>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Employee-related costs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2,698</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81660337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Allocated overhead expenses</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805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816603379"/>
          <w:jc w:val="center"/>
        </w:trPr>
        <w:tc>
          <w:tcPr>
            <w:tcW w:w="3347"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Customer credit card fees</w:t>
            </w:r>
          </w:p>
        </w:tc>
        <w:tc>
          <w:tcPr>
            <w:tcW w:w="81"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430</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816603379"/>
          <w:jc w:val="center"/>
        </w:trPr>
        <w:tc>
          <w:tcPr>
            <w:tcW w:w="334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3,933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4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
                <w:szCs w:val="2"/>
              </w:rPr>
            </w:pPr>
            <w:r>
              <w:rPr>
                <w:color w:val="000000"/>
                <w:sz w:val="2"/>
                <w:szCs w:val="2"/>
              </w:rPr>
              <w:t> </w:t>
            </w:r>
          </w:p>
        </w:tc>
      </w:tr>
    </w:tbl>
    <w:p w:rsidR="00000000" w:rsidRDefault="00F20BDB">
      <w:pPr>
        <w:pStyle w:val="a3"/>
        <w:spacing w:before="40" w:beforeAutospacing="0" w:after="0" w:afterAutospacing="0"/>
        <w:ind w:firstLine="556"/>
        <w:rPr>
          <w:sz w:val="20"/>
          <w:szCs w:val="20"/>
        </w:rPr>
      </w:pPr>
      <w:r>
        <w:rPr>
          <w:sz w:val="20"/>
          <w:szCs w:val="20"/>
        </w:rPr>
        <w:t> </w:t>
      </w:r>
    </w:p>
    <w:p w:rsidR="00000000" w:rsidRDefault="00F20BDB">
      <w:pPr>
        <w:pStyle w:val="a3"/>
        <w:spacing w:before="40" w:beforeAutospacing="0" w:after="0" w:afterAutospacing="0"/>
        <w:ind w:firstLine="556"/>
        <w:rPr>
          <w:i/>
          <w:iCs/>
          <w:sz w:val="20"/>
          <w:szCs w:val="20"/>
        </w:rPr>
      </w:pPr>
      <w:r>
        <w:rPr>
          <w:i/>
          <w:iCs/>
          <w:sz w:val="20"/>
          <w:szCs w:val="20"/>
          <w:u w:val="single"/>
        </w:rPr>
        <w:t xml:space="preserve">Three month change </w:t>
      </w:r>
    </w:p>
    <w:p w:rsidR="00000000" w:rsidRDefault="00F20BDB">
      <w:pPr>
        <w:pStyle w:val="a3"/>
        <w:spacing w:before="40" w:beforeAutospacing="0" w:after="0" w:afterAutospacing="0"/>
        <w:rPr>
          <w:sz w:val="20"/>
          <w:szCs w:val="20"/>
        </w:rPr>
      </w:pPr>
      <w:r>
        <w:rPr>
          <w:sz w:val="20"/>
          <w:szCs w:val="20"/>
        </w:rPr>
        <w:t> </w:t>
      </w:r>
    </w:p>
    <w:p w:rsidR="00000000" w:rsidRDefault="00F20BDB">
      <w:pPr>
        <w:pStyle w:val="a3"/>
        <w:spacing w:before="40" w:beforeAutospacing="0" w:after="0" w:afterAutospacing="0"/>
        <w:ind w:firstLine="556"/>
        <w:rPr>
          <w:color w:val="000000"/>
          <w:sz w:val="20"/>
          <w:szCs w:val="20"/>
        </w:rPr>
      </w:pPr>
      <w:r>
        <w:rPr>
          <w:color w:val="000000"/>
          <w:sz w:val="20"/>
          <w:szCs w:val="20"/>
        </w:rPr>
        <w:t>Employee-related costs increased as a result of increased headcount as we continue to grow our business and require additional personnel to support our expanded operations. Allocated overhead expenses increased due to expanding our leased space and infrast</w:t>
      </w:r>
      <w:r>
        <w:rPr>
          <w:color w:val="000000"/>
          <w:sz w:val="20"/>
          <w:szCs w:val="20"/>
        </w:rPr>
        <w:t xml:space="preserve">ructure as we continue to grow our business and expand headcount. Customer credit card fees increased due to increased customer transactions as we continue to grow our business. </w:t>
      </w:r>
    </w:p>
    <w:p w:rsidR="00000000" w:rsidRDefault="00F20BDB">
      <w:pPr>
        <w:pStyle w:val="a3"/>
        <w:spacing w:before="40" w:beforeAutospacing="0" w:after="0" w:afterAutospacing="0"/>
        <w:ind w:firstLine="556"/>
        <w:rPr>
          <w:sz w:val="20"/>
          <w:szCs w:val="20"/>
        </w:rPr>
      </w:pPr>
      <w:r>
        <w:rPr>
          <w:sz w:val="20"/>
          <w:szCs w:val="20"/>
        </w:rPr>
        <w:t> </w:t>
      </w:r>
    </w:p>
    <w:p w:rsidR="00000000" w:rsidRDefault="00F20BDB">
      <w:pPr>
        <w:pStyle w:val="a3"/>
        <w:spacing w:before="40" w:beforeAutospacing="0" w:after="0" w:afterAutospacing="0"/>
        <w:ind w:firstLine="556"/>
        <w:rPr>
          <w:b/>
          <w:bCs/>
          <w:i/>
          <w:iCs/>
          <w:sz w:val="20"/>
          <w:szCs w:val="20"/>
        </w:rPr>
      </w:pPr>
      <w:r>
        <w:rPr>
          <w:b/>
          <w:bCs/>
          <w:i/>
          <w:iCs/>
          <w:sz w:val="20"/>
          <w:szCs w:val="20"/>
        </w:rPr>
        <w:t>Other expense</w:t>
      </w:r>
    </w:p>
    <w:tbl>
      <w:tblPr>
        <w:tblW w:w="5000" w:type="pct"/>
        <w:jc w:val="center"/>
        <w:tblCellMar>
          <w:left w:w="0" w:type="dxa"/>
          <w:right w:w="0" w:type="dxa"/>
        </w:tblCellMar>
        <w:tblLook w:val="04A0" w:firstRow="1" w:lastRow="0" w:firstColumn="1" w:lastColumn="0" w:noHBand="0" w:noVBand="1"/>
      </w:tblPr>
      <w:tblGrid>
        <w:gridCol w:w="3635"/>
        <w:gridCol w:w="65"/>
        <w:gridCol w:w="115"/>
        <w:gridCol w:w="836"/>
        <w:gridCol w:w="249"/>
        <w:gridCol w:w="65"/>
        <w:gridCol w:w="115"/>
        <w:gridCol w:w="952"/>
        <w:gridCol w:w="249"/>
        <w:gridCol w:w="65"/>
        <w:gridCol w:w="116"/>
        <w:gridCol w:w="758"/>
        <w:gridCol w:w="82"/>
        <w:gridCol w:w="65"/>
        <w:gridCol w:w="69"/>
        <w:gridCol w:w="688"/>
        <w:gridCol w:w="182"/>
      </w:tblGrid>
      <w:tr w:rsidR="00000000">
        <w:trPr>
          <w:divId w:val="64187280"/>
          <w:jc w:val="center"/>
        </w:trPr>
        <w:tc>
          <w:tcPr>
            <w:tcW w:w="221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sz w:val="20"/>
                <w:szCs w:val="20"/>
              </w:rPr>
            </w:pPr>
            <w:r>
              <w:rPr>
                <w:sz w:val="20"/>
                <w:szCs w:val="20"/>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135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 Months</w:t>
            </w:r>
          </w:p>
          <w:p w:rsidR="00000000" w:rsidRDefault="00F20BDB">
            <w:pPr>
              <w:pStyle w:val="a3"/>
              <w:spacing w:before="0" w:beforeAutospacing="0" w:after="0" w:afterAutospacing="0"/>
              <w:jc w:val="center"/>
              <w:rPr>
                <w:b/>
                <w:bCs/>
                <w:color w:val="000000"/>
                <w:sz w:val="16"/>
                <w:szCs w:val="16"/>
              </w:rPr>
            </w:pPr>
            <w:r>
              <w:rPr>
                <w:b/>
                <w:bCs/>
                <w:color w:val="000000"/>
                <w:sz w:val="16"/>
                <w:szCs w:val="16"/>
              </w:rPr>
              <w:t>Ended March 31,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9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64187280"/>
          <w:jc w:val="center"/>
        </w:trPr>
        <w:tc>
          <w:tcPr>
            <w:tcW w:w="2215" w:type="pct"/>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(dollars in thousands)</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8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8"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5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3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4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trPr>
          <w:divId w:val="64187280"/>
          <w:jc w:val="center"/>
        </w:trPr>
        <w:tc>
          <w:tcPr>
            <w:tcW w:w="2215" w:type="pct"/>
            <w:tcBorders>
              <w:top w:val="single" w:sz="6" w:space="0" w:color="000000"/>
            </w:tcBorders>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Interest income</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3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4,174</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0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1,824</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8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2,350</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9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129</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64187280"/>
          <w:jc w:val="center"/>
        </w:trPr>
        <w:tc>
          <w:tcPr>
            <w:tcW w:w="221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Percentage of total revenue</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0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9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64187280"/>
          <w:jc w:val="center"/>
        </w:trPr>
        <w:tc>
          <w:tcPr>
            <w:tcW w:w="221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Interest expense</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3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(5,513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0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(5,174</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85"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(339</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9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64187280"/>
          <w:jc w:val="center"/>
        </w:trPr>
        <w:tc>
          <w:tcPr>
            <w:tcW w:w="221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Percentage of total revenue</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0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9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64187280"/>
          <w:jc w:val="center"/>
        </w:trPr>
        <w:tc>
          <w:tcPr>
            <w:tcW w:w="221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Other expense</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3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0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(283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85"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271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91"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-96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64187280"/>
          <w:jc w:val="center"/>
        </w:trPr>
        <w:tc>
          <w:tcPr>
            <w:tcW w:w="221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Percentage of total revenue</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81" w:type="pct"/>
            <w:gridSpan w:val="2"/>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50" w:type="pct"/>
            <w:gridSpan w:val="2"/>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9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F20BDB">
            <w:pPr>
              <w:pStyle w:val="a3"/>
              <w:spacing w:before="40" w:beforeAutospacing="0" w:after="0" w:afterAutospacing="0"/>
              <w:rPr>
                <w:sz w:val="20"/>
                <w:szCs w:val="20"/>
              </w:rPr>
            </w:pPr>
            <w:r>
              <w:rPr>
                <w:sz w:val="20"/>
                <w:szCs w:val="20"/>
              </w:rPr>
              <w:t>*</w:t>
            </w:r>
          </w:p>
        </w:tc>
        <w:tc>
          <w:tcPr>
            <w:tcW w:w="0" w:type="auto"/>
            <w:hideMark/>
          </w:tcPr>
          <w:p w:rsidR="00000000" w:rsidRDefault="00F20BDB">
            <w:pPr>
              <w:pStyle w:val="a3"/>
              <w:spacing w:before="40" w:beforeAutospacing="0" w:after="0" w:afterAutospacing="0"/>
              <w:rPr>
                <w:sz w:val="20"/>
                <w:szCs w:val="20"/>
              </w:rPr>
            </w:pPr>
            <w:r>
              <w:rPr>
                <w:sz w:val="20"/>
                <w:szCs w:val="20"/>
              </w:rPr>
              <w:t>not meaningful</w:t>
            </w:r>
          </w:p>
        </w:tc>
      </w:tr>
    </w:tbl>
    <w:p w:rsidR="00000000" w:rsidRDefault="00F20BDB">
      <w:pPr>
        <w:pStyle w:val="a3"/>
        <w:spacing w:before="240" w:beforeAutospacing="0" w:after="0" w:afterAutospacing="0"/>
        <w:jc w:val="center"/>
        <w:rPr>
          <w:sz w:val="20"/>
          <w:szCs w:val="20"/>
        </w:rPr>
      </w:pPr>
      <w:r>
        <w:rPr>
          <w:sz w:val="20"/>
          <w:szCs w:val="20"/>
        </w:rPr>
        <w:t>26</w:t>
      </w:r>
    </w:p>
    <w:p w:rsidR="00000000" w:rsidRDefault="00F20BDB">
      <w:pPr>
        <w:rPr>
          <w:rFonts w:eastAsia="Times New Roman"/>
        </w:rPr>
      </w:pPr>
      <w:r>
        <w:rPr>
          <w:rFonts w:eastAsia="Times New Roman"/>
        </w:rPr>
        <w:pict>
          <v:rect id="_x0000_i1050"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240" w:beforeAutospacing="0" w:after="0" w:afterAutospacing="0"/>
        <w:ind w:firstLine="592"/>
        <w:rPr>
          <w:sz w:val="20"/>
          <w:szCs w:val="20"/>
        </w:rPr>
      </w:pPr>
      <w:bookmarkStart w:id="35" w:name="_AEIOULastRenderedPageBreakAEIOU21"/>
      <w:bookmarkEnd w:id="35"/>
      <w:r>
        <w:rPr>
          <w:sz w:val="20"/>
          <w:szCs w:val="20"/>
        </w:rPr>
        <w:t xml:space="preserve">Interest income primarily consists of interest earned </w:t>
      </w:r>
      <w:r>
        <w:rPr>
          <w:sz w:val="20"/>
          <w:szCs w:val="20"/>
        </w:rPr>
        <w:t>on invested cash and cash equivalents balances and investments. The increase during the three months ended March 31, 2019 is primarily due to the increase in the amount of investment holdings from the proceeds received from the common stock offering that o</w:t>
      </w:r>
      <w:r>
        <w:rPr>
          <w:sz w:val="20"/>
          <w:szCs w:val="20"/>
        </w:rPr>
        <w:t xml:space="preserve">ccurred during the first quarter of 2019 and an increase in yields on our investment balances. </w:t>
      </w:r>
    </w:p>
    <w:p w:rsidR="00000000" w:rsidRDefault="00F20BDB">
      <w:pPr>
        <w:pStyle w:val="a3"/>
        <w:spacing w:before="240" w:beforeAutospacing="0" w:after="0" w:afterAutospacing="0"/>
        <w:ind w:firstLine="592"/>
        <w:rPr>
          <w:sz w:val="20"/>
          <w:szCs w:val="20"/>
        </w:rPr>
      </w:pPr>
      <w:r>
        <w:rPr>
          <w:sz w:val="20"/>
          <w:szCs w:val="20"/>
        </w:rPr>
        <w:t>Interest expense primarily consists of amortization of the debt discount and issuance costs related to the 2022 Notes that is recorded as interest expense, cont</w:t>
      </w:r>
      <w:r>
        <w:rPr>
          <w:sz w:val="20"/>
          <w:szCs w:val="20"/>
        </w:rPr>
        <w:t xml:space="preserve">ractual interest expense on the 2022 Notes, and interest on capital leases. The increase during the three months ended March 31, 2019 was primarily due to the use of the effective-interest method to amortize the debt discount and issuance costs related to </w:t>
      </w:r>
      <w:r>
        <w:rPr>
          <w:sz w:val="20"/>
          <w:szCs w:val="20"/>
        </w:rPr>
        <w:t>the 2022 Notes.  </w:t>
      </w:r>
    </w:p>
    <w:p w:rsidR="00000000" w:rsidRDefault="00F20BDB">
      <w:pPr>
        <w:pStyle w:val="a3"/>
        <w:spacing w:before="240" w:beforeAutospacing="0" w:after="0" w:afterAutospacing="0"/>
        <w:ind w:firstLine="592"/>
        <w:rPr>
          <w:sz w:val="20"/>
          <w:szCs w:val="20"/>
        </w:rPr>
      </w:pPr>
      <w:r>
        <w:rPr>
          <w:sz w:val="20"/>
          <w:szCs w:val="20"/>
        </w:rPr>
        <w:t>Other expense primarily consists of the impact of foreign currency transaction gains and losses associated with monetary assets and liabilities. The decrease is primarily due to exchange rate fluctuations.  </w:t>
      </w:r>
    </w:p>
    <w:p w:rsidR="00000000" w:rsidRDefault="00F20BDB">
      <w:pPr>
        <w:pStyle w:val="a3"/>
        <w:spacing w:before="360" w:beforeAutospacing="0" w:after="0" w:afterAutospacing="0"/>
        <w:rPr>
          <w:b/>
          <w:bCs/>
          <w:i/>
          <w:iCs/>
          <w:sz w:val="20"/>
          <w:szCs w:val="20"/>
        </w:rPr>
      </w:pPr>
      <w:r>
        <w:rPr>
          <w:b/>
          <w:bCs/>
          <w:i/>
          <w:iCs/>
          <w:sz w:val="20"/>
          <w:szCs w:val="20"/>
        </w:rPr>
        <w:t>Income tax expense</w:t>
      </w:r>
    </w:p>
    <w:p w:rsidR="00000000" w:rsidRDefault="00F20BDB">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262"/>
        <w:gridCol w:w="65"/>
        <w:gridCol w:w="115"/>
        <w:gridCol w:w="736"/>
        <w:gridCol w:w="182"/>
        <w:gridCol w:w="65"/>
        <w:gridCol w:w="115"/>
        <w:gridCol w:w="841"/>
        <w:gridCol w:w="182"/>
        <w:gridCol w:w="65"/>
        <w:gridCol w:w="116"/>
        <w:gridCol w:w="666"/>
        <w:gridCol w:w="82"/>
        <w:gridCol w:w="65"/>
        <w:gridCol w:w="69"/>
        <w:gridCol w:w="667"/>
        <w:gridCol w:w="182"/>
      </w:tblGrid>
      <w:tr w:rsidR="00000000">
        <w:trPr>
          <w:divId w:val="2016179905"/>
          <w:jc w:val="center"/>
        </w:trPr>
        <w:tc>
          <w:tcPr>
            <w:tcW w:w="221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sz w:val="20"/>
                <w:szCs w:val="20"/>
              </w:rPr>
            </w:pPr>
            <w:r>
              <w:rPr>
                <w:sz w:val="20"/>
                <w:szCs w:val="20"/>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135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w:t>
            </w:r>
            <w:r>
              <w:rPr>
                <w:b/>
                <w:bCs/>
                <w:color w:val="000000"/>
                <w:sz w:val="16"/>
                <w:szCs w:val="16"/>
              </w:rPr>
              <w:t xml:space="preserve"> Months</w:t>
            </w:r>
          </w:p>
          <w:p w:rsidR="00000000" w:rsidRDefault="00F20BDB">
            <w:pPr>
              <w:pStyle w:val="a3"/>
              <w:spacing w:before="0" w:beforeAutospacing="0" w:after="0" w:afterAutospacing="0"/>
              <w:jc w:val="center"/>
              <w:rPr>
                <w:b/>
                <w:bCs/>
                <w:color w:val="000000"/>
                <w:sz w:val="16"/>
                <w:szCs w:val="16"/>
              </w:rPr>
            </w:pPr>
            <w:r>
              <w:rPr>
                <w:b/>
                <w:bCs/>
                <w:color w:val="000000"/>
                <w:sz w:val="16"/>
                <w:szCs w:val="16"/>
              </w:rPr>
              <w:t>Ended March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49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2016179905"/>
          <w:jc w:val="center"/>
        </w:trPr>
        <w:tc>
          <w:tcPr>
            <w:tcW w:w="2215" w:type="pct"/>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(dollars in thousands)</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8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8"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5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3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54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trPr>
          <w:divId w:val="2016179905"/>
          <w:jc w:val="center"/>
        </w:trPr>
        <w:tc>
          <w:tcPr>
            <w:tcW w:w="2215" w:type="pct"/>
            <w:tcBorders>
              <w:top w:val="single" w:sz="6" w:space="0" w:color="000000"/>
            </w:tcBorders>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Income tax expense</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3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(713</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0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(491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48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(222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8"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9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45</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2016179905"/>
          <w:jc w:val="center"/>
        </w:trPr>
        <w:tc>
          <w:tcPr>
            <w:tcW w:w="221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Effective tax rate</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3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0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85"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49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40" w:beforeAutospacing="0" w:after="0" w:afterAutospacing="0"/>
        <w:rPr>
          <w:sz w:val="20"/>
          <w:szCs w:val="20"/>
        </w:rPr>
      </w:pPr>
      <w:r>
        <w:rPr>
          <w:sz w:val="20"/>
          <w:szCs w:val="20"/>
        </w:rPr>
        <w:t> </w:t>
      </w:r>
    </w:p>
    <w:p w:rsidR="00000000" w:rsidRDefault="00F20BDB">
      <w:pPr>
        <w:pStyle w:val="a3"/>
        <w:spacing w:before="0" w:beforeAutospacing="0" w:after="0" w:afterAutospacing="0"/>
        <w:ind w:firstLine="816"/>
        <w:rPr>
          <w:sz w:val="20"/>
          <w:szCs w:val="20"/>
        </w:rPr>
      </w:pPr>
      <w:r>
        <w:rPr>
          <w:sz w:val="20"/>
          <w:szCs w:val="20"/>
        </w:rPr>
        <w:t>Income t</w:t>
      </w:r>
      <w:r>
        <w:rPr>
          <w:sz w:val="20"/>
          <w:szCs w:val="20"/>
        </w:rPr>
        <w:t xml:space="preserve">ax expense consists of current and deferred taxes for U.S. and foreign income. </w: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b/>
          <w:bCs/>
          <w:sz w:val="20"/>
          <w:szCs w:val="20"/>
        </w:rPr>
      </w:pPr>
      <w:r>
        <w:rPr>
          <w:b/>
          <w:bCs/>
          <w:sz w:val="20"/>
          <w:szCs w:val="20"/>
        </w:rPr>
        <w:t>Liquidity and Capital Resources</w:t>
      </w:r>
    </w:p>
    <w:p w:rsidR="00000000" w:rsidRDefault="00F20BDB">
      <w:pPr>
        <w:pStyle w:val="a3"/>
        <w:spacing w:before="0" w:beforeAutospacing="0" w:after="0" w:afterAutospacing="0"/>
        <w:ind w:firstLine="556"/>
        <w:rPr>
          <w:sz w:val="20"/>
          <w:szCs w:val="20"/>
        </w:rPr>
      </w:pPr>
      <w:r>
        <w:rPr>
          <w:sz w:val="20"/>
          <w:szCs w:val="20"/>
        </w:rPr>
        <w:t> </w:t>
      </w:r>
    </w:p>
    <w:p w:rsidR="00000000" w:rsidRDefault="00F20BDB">
      <w:pPr>
        <w:pStyle w:val="a3"/>
        <w:spacing w:before="0" w:beforeAutospacing="0" w:after="0" w:afterAutospacing="0"/>
        <w:ind w:firstLine="556"/>
        <w:rPr>
          <w:sz w:val="20"/>
          <w:szCs w:val="20"/>
        </w:rPr>
      </w:pPr>
      <w:r>
        <w:rPr>
          <w:sz w:val="20"/>
          <w:szCs w:val="20"/>
        </w:rPr>
        <w:t xml:space="preserve">Our principal sources of liquidity to date have been cash and cash equivalents, net accounts receivable, our common stock offerings, and our convertible notes offering. </w:t>
      </w:r>
    </w:p>
    <w:p w:rsidR="00000000" w:rsidRDefault="00F20BDB">
      <w:pPr>
        <w:pStyle w:val="a3"/>
        <w:spacing w:before="0" w:beforeAutospacing="0" w:after="0" w:afterAutospacing="0"/>
        <w:ind w:firstLine="556"/>
        <w:rPr>
          <w:sz w:val="20"/>
          <w:szCs w:val="20"/>
        </w:rPr>
      </w:pPr>
      <w:r>
        <w:rPr>
          <w:sz w:val="20"/>
          <w:szCs w:val="20"/>
        </w:rPr>
        <w:t> </w:t>
      </w:r>
    </w:p>
    <w:p w:rsidR="00000000" w:rsidRDefault="00F20BDB">
      <w:pPr>
        <w:pStyle w:val="a3"/>
        <w:spacing w:before="0" w:beforeAutospacing="0" w:after="0" w:afterAutospacing="0"/>
        <w:ind w:firstLine="556"/>
        <w:rPr>
          <w:sz w:val="20"/>
          <w:szCs w:val="20"/>
        </w:rPr>
      </w:pPr>
      <w:r>
        <w:rPr>
          <w:sz w:val="20"/>
          <w:szCs w:val="20"/>
        </w:rPr>
        <w:t>The following table shows cash and cash equivalents, working capital, net cash and c</w:t>
      </w:r>
      <w:r>
        <w:rPr>
          <w:sz w:val="20"/>
          <w:szCs w:val="20"/>
        </w:rPr>
        <w:t xml:space="preserve">ash equivalents provided by operating activities, net cash and cash equivalents used in investing activities, and net cash and cash equivalents provided by financing activities for the three months ended March 31, 2019 and 2018. </w:t>
      </w:r>
    </w:p>
    <w:p w:rsidR="00000000" w:rsidRDefault="00F20BDB">
      <w:pPr>
        <w:pStyle w:val="a3"/>
        <w:spacing w:before="0" w:beforeAutospacing="0" w:after="0" w:afterAutospacing="0"/>
        <w:ind w:firstLine="556"/>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583"/>
        <w:gridCol w:w="65"/>
        <w:gridCol w:w="115"/>
        <w:gridCol w:w="861"/>
        <w:gridCol w:w="82"/>
        <w:gridCol w:w="65"/>
        <w:gridCol w:w="115"/>
        <w:gridCol w:w="863"/>
        <w:gridCol w:w="65"/>
      </w:tblGrid>
      <w:tr w:rsidR="00000000">
        <w:trPr>
          <w:divId w:val="1775907021"/>
          <w:jc w:val="center"/>
        </w:trPr>
        <w:tc>
          <w:tcPr>
            <w:tcW w:w="310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176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Three Months ended M</w:t>
            </w:r>
            <w:r>
              <w:rPr>
                <w:b/>
                <w:bCs/>
                <w:color w:val="000000"/>
                <w:sz w:val="16"/>
                <w:szCs w:val="16"/>
              </w:rPr>
              <w:t>arch 31,</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775907021"/>
          <w:jc w:val="center"/>
        </w:trPr>
        <w:tc>
          <w:tcPr>
            <w:tcW w:w="310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81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1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775907021"/>
          <w:jc w:val="center"/>
        </w:trPr>
        <w:tc>
          <w:tcPr>
            <w:tcW w:w="310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16"/>
                <w:szCs w:val="16"/>
              </w:rPr>
            </w:pPr>
            <w:r>
              <w:rPr>
                <w:color w:val="000000"/>
                <w:sz w:val="16"/>
                <w:szCs w:val="16"/>
              </w:rPr>
              <w:t> </w:t>
            </w:r>
          </w:p>
        </w:tc>
        <w:tc>
          <w:tcPr>
            <w:tcW w:w="1764" w:type="pct"/>
            <w:gridSpan w:val="6"/>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1775907021"/>
          <w:jc w:val="center"/>
        </w:trPr>
        <w:tc>
          <w:tcPr>
            <w:tcW w:w="310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Cash and cash equivalents</w:t>
            </w:r>
          </w:p>
        </w:tc>
        <w:tc>
          <w:tcPr>
            <w:tcW w:w="7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67"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285,126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67"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154,031</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775907021"/>
          <w:jc w:val="center"/>
        </w:trPr>
        <w:tc>
          <w:tcPr>
            <w:tcW w:w="310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Working capital</w:t>
            </w:r>
          </w:p>
        </w:tc>
        <w:tc>
          <w:tcPr>
            <w:tcW w:w="7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7"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814,827</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7"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427,173</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775907021"/>
          <w:jc w:val="center"/>
        </w:trPr>
        <w:tc>
          <w:tcPr>
            <w:tcW w:w="310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Net cash and cash equivalents provided by operating</w:t>
            </w:r>
          </w:p>
          <w:p w:rsidR="00000000" w:rsidRDefault="00F20BDB">
            <w:pPr>
              <w:pStyle w:val="a3"/>
              <w:spacing w:before="0" w:beforeAutospacing="0" w:after="0" w:afterAutospacing="0"/>
              <w:rPr>
                <w:color w:val="000000"/>
                <w:sz w:val="20"/>
                <w:szCs w:val="20"/>
              </w:rPr>
            </w:pPr>
            <w:r>
              <w:rPr>
                <w:color w:val="000000"/>
                <w:sz w:val="20"/>
                <w:szCs w:val="20"/>
              </w:rPr>
              <w:t>   activities</w:t>
            </w:r>
          </w:p>
        </w:tc>
        <w:tc>
          <w:tcPr>
            <w:tcW w:w="7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7"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37,716</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7"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26,722</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775907021"/>
          <w:jc w:val="center"/>
        </w:trPr>
        <w:tc>
          <w:tcPr>
            <w:tcW w:w="3105"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Net cash and cash equivalents (used in) provided by   investing activities</w:t>
            </w:r>
          </w:p>
        </w:tc>
        <w:tc>
          <w:tcPr>
            <w:tcW w:w="7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7"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(210,127</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7"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36,259</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1775907021"/>
          <w:jc w:val="center"/>
        </w:trPr>
        <w:tc>
          <w:tcPr>
            <w:tcW w:w="3105"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Net cash and cash equivalents provided by</w:t>
            </w:r>
          </w:p>
          <w:p w:rsidR="00000000" w:rsidRDefault="00F20BDB">
            <w:pPr>
              <w:pStyle w:val="a3"/>
              <w:spacing w:before="0" w:beforeAutospacing="0" w:after="0" w:afterAutospacing="0"/>
              <w:rPr>
                <w:color w:val="000000"/>
                <w:sz w:val="20"/>
                <w:szCs w:val="20"/>
              </w:rPr>
            </w:pPr>
            <w:r>
              <w:rPr>
                <w:color w:val="000000"/>
                <w:sz w:val="20"/>
                <w:szCs w:val="20"/>
              </w:rPr>
              <w:t>   financing activities</w:t>
            </w:r>
          </w:p>
        </w:tc>
        <w:tc>
          <w:tcPr>
            <w:tcW w:w="7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7"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347,227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767"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3,557</w:t>
            </w:r>
          </w:p>
        </w:tc>
        <w:tc>
          <w:tcPr>
            <w:tcW w:w="50" w:type="pct"/>
            <w:shd w:val="clear" w:color="auto" w:fill="CFF0FC"/>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
                <w:szCs w:val="2"/>
              </w:rPr>
            </w:pPr>
            <w:r>
              <w:rPr>
                <w:color w:val="000000"/>
                <w:sz w:val="2"/>
                <w:szCs w:val="2"/>
              </w:rPr>
              <w:t> </w:t>
            </w:r>
          </w:p>
        </w:tc>
      </w:tr>
    </w:tbl>
    <w:p w:rsidR="00000000" w:rsidRDefault="00F20BDB">
      <w:pPr>
        <w:pStyle w:val="a3"/>
        <w:spacing w:before="40" w:beforeAutospacing="0" w:after="0" w:afterAutospacing="0"/>
        <w:ind w:firstLine="556"/>
        <w:rPr>
          <w:sz w:val="20"/>
          <w:szCs w:val="20"/>
        </w:rPr>
      </w:pPr>
      <w:r>
        <w:rPr>
          <w:sz w:val="20"/>
          <w:szCs w:val="20"/>
        </w:rPr>
        <w:t> </w:t>
      </w:r>
    </w:p>
    <w:p w:rsidR="00000000" w:rsidRDefault="00F20BDB">
      <w:pPr>
        <w:pStyle w:val="a3"/>
        <w:spacing w:before="40" w:beforeAutospacing="0" w:after="0" w:afterAutospacing="0"/>
        <w:ind w:firstLine="556"/>
        <w:rPr>
          <w:sz w:val="20"/>
          <w:szCs w:val="20"/>
        </w:rPr>
      </w:pPr>
      <w:r>
        <w:rPr>
          <w:sz w:val="20"/>
          <w:szCs w:val="20"/>
        </w:rPr>
        <w:t>Our cash and cash equivalents at March 31, 2019 were held for working capital purposes. We believe our working capital is sufficient to support our operations for at least the next 12 months. At March 31, 2019, $</w:t>
      </w:r>
      <w:r>
        <w:rPr>
          <w:color w:val="000000"/>
          <w:sz w:val="20"/>
          <w:szCs w:val="20"/>
        </w:rPr>
        <w:t xml:space="preserve">51.6 million </w:t>
      </w:r>
      <w:r>
        <w:rPr>
          <w:sz w:val="20"/>
          <w:szCs w:val="20"/>
        </w:rPr>
        <w:t>of our cash and cash equivalent</w:t>
      </w:r>
      <w:r>
        <w:rPr>
          <w:sz w:val="20"/>
          <w:szCs w:val="20"/>
        </w:rPr>
        <w:t xml:space="preserve">s was held in accounts outside the United States. </w:t>
      </w:r>
      <w:r>
        <w:rPr>
          <w:color w:val="222222"/>
          <w:sz w:val="20"/>
          <w:szCs w:val="20"/>
        </w:rPr>
        <w:t>We completed our accounting for the U.S. tax reform legislation and we determined that we will no longer assert indefinite reinvestment of our foreign earnings because these earnings have now been subject t</w:t>
      </w:r>
      <w:r>
        <w:rPr>
          <w:color w:val="222222"/>
          <w:sz w:val="20"/>
          <w:szCs w:val="20"/>
        </w:rPr>
        <w:t>o United States Federal tax.  While we have concluded that any incremental tax incurred upon ultimate distribution of these earnings to be immaterial, our current plans do not demonstrate a need to repatriate undistributed earnings to fund our U.S. operati</w:t>
      </w:r>
      <w:r>
        <w:rPr>
          <w:color w:val="222222"/>
          <w:sz w:val="20"/>
          <w:szCs w:val="20"/>
        </w:rPr>
        <w:t>ons.</w:t>
      </w:r>
    </w:p>
    <w:p w:rsidR="00000000" w:rsidRDefault="00F20BDB">
      <w:pPr>
        <w:pStyle w:val="a3"/>
        <w:spacing w:before="360" w:beforeAutospacing="0" w:after="0" w:afterAutospacing="0"/>
        <w:rPr>
          <w:i/>
          <w:iCs/>
          <w:sz w:val="20"/>
          <w:szCs w:val="20"/>
        </w:rPr>
      </w:pPr>
      <w:r>
        <w:rPr>
          <w:i/>
          <w:iCs/>
          <w:sz w:val="20"/>
          <w:szCs w:val="20"/>
        </w:rPr>
        <w:t>Net Cash and Cash Equivalents Provided by Operating Activities</w:t>
      </w:r>
    </w:p>
    <w:p w:rsidR="00000000" w:rsidRDefault="00F20BDB">
      <w:pPr>
        <w:pStyle w:val="a3"/>
        <w:spacing w:before="120" w:beforeAutospacing="0" w:after="0" w:afterAutospacing="0"/>
        <w:ind w:firstLine="556"/>
        <w:rPr>
          <w:sz w:val="20"/>
          <w:szCs w:val="20"/>
        </w:rPr>
      </w:pPr>
      <w:r>
        <w:rPr>
          <w:sz w:val="20"/>
          <w:szCs w:val="20"/>
        </w:rPr>
        <w:t>Net cash and cash equivalents provided by operating activities consists primarily of net loss adjusted for certain non-cash items, including stock-based compensation, depreciation and amor</w:t>
      </w:r>
      <w:r>
        <w:rPr>
          <w:sz w:val="20"/>
          <w:szCs w:val="20"/>
        </w:rPr>
        <w:t>tization and other non-cash charges, net.</w:t>
      </w:r>
    </w:p>
    <w:p w:rsidR="00000000" w:rsidRDefault="00F20BDB">
      <w:pPr>
        <w:pStyle w:val="a3"/>
        <w:spacing w:before="240" w:beforeAutospacing="0" w:after="0" w:afterAutospacing="0"/>
        <w:ind w:firstLine="592"/>
        <w:rPr>
          <w:sz w:val="20"/>
          <w:szCs w:val="20"/>
        </w:rPr>
      </w:pPr>
      <w:bookmarkStart w:id="36" w:name="_AEIOULastRenderedPageBreakAEIOU22"/>
      <w:bookmarkEnd w:id="36"/>
      <w:r>
        <w:rPr>
          <w:sz w:val="20"/>
          <w:szCs w:val="20"/>
        </w:rPr>
        <w:t>Net cash and cash equivalents provided by operating activities during the three months ended March 31, 2019 primarily reflected our net loss of $11.1 million and accretion of bond discounts of $2.8 million offset b</w:t>
      </w:r>
      <w:r>
        <w:rPr>
          <w:sz w:val="20"/>
          <w:szCs w:val="20"/>
        </w:rPr>
        <w:t xml:space="preserve">y non-cash expenses that included $7.0 </w:t>
      </w:r>
    </w:p>
    <w:p w:rsidR="00000000" w:rsidRDefault="00F20BDB">
      <w:pPr>
        <w:pStyle w:val="a3"/>
        <w:spacing w:before="240" w:beforeAutospacing="0" w:after="0" w:afterAutospacing="0"/>
        <w:jc w:val="center"/>
        <w:rPr>
          <w:sz w:val="20"/>
          <w:szCs w:val="20"/>
        </w:rPr>
      </w:pPr>
      <w:r>
        <w:rPr>
          <w:sz w:val="20"/>
          <w:szCs w:val="20"/>
        </w:rPr>
        <w:t>27</w:t>
      </w:r>
    </w:p>
    <w:p w:rsidR="00000000" w:rsidRDefault="00F20BDB">
      <w:pPr>
        <w:rPr>
          <w:rFonts w:eastAsia="Times New Roman"/>
        </w:rPr>
      </w:pPr>
      <w:r>
        <w:rPr>
          <w:rFonts w:eastAsia="Times New Roman"/>
        </w:rPr>
        <w:pict>
          <v:rect id="_x0000_i1051"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240" w:beforeAutospacing="0" w:after="0" w:afterAutospacing="0"/>
        <w:rPr>
          <w:sz w:val="20"/>
          <w:szCs w:val="20"/>
        </w:rPr>
      </w:pPr>
      <w:r>
        <w:rPr>
          <w:sz w:val="20"/>
          <w:szCs w:val="20"/>
        </w:rPr>
        <w:t>million of depreciation and am</w:t>
      </w:r>
      <w:r>
        <w:rPr>
          <w:sz w:val="20"/>
          <w:szCs w:val="20"/>
        </w:rPr>
        <w:t xml:space="preserve">ortization, $21.2 million in stock-based compensation and $5.3 million of amortization of debt discount and issuance costs. Working capital sources of cash and cash equivalents included an $8.9 million increase in deferred revenue primarily resulting from </w:t>
      </w:r>
      <w:r>
        <w:rPr>
          <w:sz w:val="20"/>
          <w:szCs w:val="20"/>
        </w:rPr>
        <w:t>the growth in the number of customers invoiced during the period, a $7.8 million decrease in accounts receivable related to increased collection, a $5.5 million increase in right-of-use asset, a $4.9 million increase in accounts payable related to timing o</w:t>
      </w:r>
      <w:r>
        <w:rPr>
          <w:sz w:val="20"/>
          <w:szCs w:val="20"/>
        </w:rPr>
        <w:t>f bill payments, and a $0.9 million decrease in prepaid expenses and other assets. These sources of cash and cash equivalents were offset by a $4.1 million decrease in lease liabilities, a $3.3 million increase in deferred commissions and a $2.1 million de</w:t>
      </w:r>
      <w:r>
        <w:rPr>
          <w:sz w:val="20"/>
          <w:szCs w:val="20"/>
        </w:rPr>
        <w:t xml:space="preserve">crease in accrued expenses and other liabilities. </w:t>
      </w:r>
    </w:p>
    <w:p w:rsidR="00000000" w:rsidRDefault="00F20BDB">
      <w:pPr>
        <w:pStyle w:val="a3"/>
        <w:spacing w:before="240" w:beforeAutospacing="0" w:after="0" w:afterAutospacing="0"/>
        <w:ind w:firstLine="632"/>
        <w:rPr>
          <w:sz w:val="20"/>
          <w:szCs w:val="20"/>
        </w:rPr>
      </w:pPr>
      <w:r>
        <w:rPr>
          <w:sz w:val="20"/>
          <w:szCs w:val="20"/>
        </w:rPr>
        <w:t>Net cash and cash equivalents provided by operating activities during the three months ended March 31, 2018 primarily reflected our net loss of $15.4 million and accretion of bond discounts of $1.2 million offset by non-cash expenses that included $5.1 mil</w:t>
      </w:r>
      <w:r>
        <w:rPr>
          <w:sz w:val="20"/>
          <w:szCs w:val="20"/>
        </w:rPr>
        <w:t>lion of depreciation and amortization, $16.0 million in stock-based compensation, $0.8 million of non-cash rent expense and $4.9 million of amortization of debt discount and issuance costs. Working capital sources of cash and cash equivalents included an $</w:t>
      </w:r>
      <w:r>
        <w:rPr>
          <w:sz w:val="20"/>
          <w:szCs w:val="20"/>
        </w:rPr>
        <w:t>11.0 million increase in deferred revenue primarily resulting from the growth in the number of customers invoiced during the period, a $6.9 million decrease in accounts receivable related to increased collections, $1.9 million decrease in prepaid expenses,</w:t>
      </w:r>
      <w:r>
        <w:rPr>
          <w:sz w:val="20"/>
          <w:szCs w:val="20"/>
        </w:rPr>
        <w:t xml:space="preserve"> and a $1.7 million increase in accrued expenses. These sources of cash and cash equivalents were offset by a $5.1 million increase in deferred commissions.</w:t>
      </w:r>
    </w:p>
    <w:p w:rsidR="00000000" w:rsidRDefault="00F20BDB">
      <w:pPr>
        <w:pStyle w:val="a3"/>
        <w:spacing w:before="360" w:beforeAutospacing="0" w:after="0" w:afterAutospacing="0"/>
        <w:rPr>
          <w:i/>
          <w:iCs/>
          <w:sz w:val="20"/>
          <w:szCs w:val="20"/>
        </w:rPr>
      </w:pPr>
      <w:r>
        <w:rPr>
          <w:i/>
          <w:iCs/>
          <w:sz w:val="20"/>
          <w:szCs w:val="20"/>
        </w:rPr>
        <w:t>Net Cash and Cash Equivalents Used in Investing Activities</w:t>
      </w:r>
    </w:p>
    <w:p w:rsidR="00000000" w:rsidRDefault="00F20BDB">
      <w:pPr>
        <w:pStyle w:val="a3"/>
        <w:spacing w:before="120" w:beforeAutospacing="0" w:after="0" w:afterAutospacing="0"/>
        <w:ind w:firstLine="592"/>
        <w:rPr>
          <w:sz w:val="20"/>
          <w:szCs w:val="20"/>
        </w:rPr>
      </w:pPr>
      <w:r>
        <w:rPr>
          <w:sz w:val="20"/>
          <w:szCs w:val="20"/>
        </w:rPr>
        <w:t xml:space="preserve">Our investing activities have consisted </w:t>
      </w:r>
      <w:r>
        <w:rPr>
          <w:sz w:val="20"/>
          <w:szCs w:val="20"/>
        </w:rPr>
        <w:t>primarily of purchases and maturities of investments, property and equipment purchases, an acquisition of a business and purchase of technology, strategic investments, and capitalization of software development costs. Capitalized software development costs</w:t>
      </w:r>
      <w:r>
        <w:rPr>
          <w:sz w:val="20"/>
          <w:szCs w:val="20"/>
        </w:rPr>
        <w:t xml:space="preserve"> are related to new products or improvements to our existing software platform that expands the functionality for our customers.</w:t>
      </w:r>
    </w:p>
    <w:p w:rsidR="00000000" w:rsidRDefault="00F20BDB">
      <w:pPr>
        <w:pStyle w:val="a3"/>
        <w:spacing w:before="240" w:beforeAutospacing="0" w:after="0" w:afterAutospacing="0"/>
        <w:ind w:firstLine="592"/>
        <w:rPr>
          <w:sz w:val="20"/>
          <w:szCs w:val="20"/>
        </w:rPr>
      </w:pPr>
      <w:r>
        <w:rPr>
          <w:sz w:val="20"/>
          <w:szCs w:val="20"/>
        </w:rPr>
        <w:t xml:space="preserve">Net cash and cash equivalents used in investing activities during the three months ended March 31, 2019 consisted primarily of </w:t>
      </w:r>
      <w:r>
        <w:rPr>
          <w:sz w:val="20"/>
          <w:szCs w:val="20"/>
        </w:rPr>
        <w:t>$386.5 million purchases of investments, $4.3 million of purchased property and equipment, $2.8 million of capitalized software development costs. These uses of cash were offset by $183.5 million received related to the maturity of investments.</w:t>
      </w:r>
    </w:p>
    <w:p w:rsidR="00000000" w:rsidRDefault="00F20BDB">
      <w:pPr>
        <w:pStyle w:val="a3"/>
        <w:spacing w:before="240" w:beforeAutospacing="0" w:after="0" w:afterAutospacing="0"/>
        <w:ind w:firstLine="632"/>
        <w:rPr>
          <w:sz w:val="20"/>
          <w:szCs w:val="20"/>
        </w:rPr>
      </w:pPr>
      <w:r>
        <w:rPr>
          <w:sz w:val="20"/>
          <w:szCs w:val="20"/>
        </w:rPr>
        <w:t>Net cash an</w:t>
      </w:r>
      <w:r>
        <w:rPr>
          <w:sz w:val="20"/>
          <w:szCs w:val="20"/>
        </w:rPr>
        <w:t xml:space="preserve">d cash equivalents used in investing activities during the three months ended March 31, 2018 consisted primarily of $210.9 million purchases of investments, $6.2 million of purchased property and equipment, $2.6 million of capitalized software development </w:t>
      </w:r>
      <w:r>
        <w:rPr>
          <w:sz w:val="20"/>
          <w:szCs w:val="20"/>
        </w:rPr>
        <w:t>costs, and $0.3 million related to the purchase of strategic investments. These uses of cash were offset by $256.3 million received related to the maturity of investments.</w:t>
      </w:r>
    </w:p>
    <w:p w:rsidR="00000000" w:rsidRDefault="00F20BDB">
      <w:pPr>
        <w:pStyle w:val="a3"/>
        <w:spacing w:before="360" w:beforeAutospacing="0" w:after="0" w:afterAutospacing="0"/>
        <w:rPr>
          <w:i/>
          <w:iCs/>
          <w:sz w:val="20"/>
          <w:szCs w:val="20"/>
        </w:rPr>
      </w:pPr>
      <w:r>
        <w:rPr>
          <w:i/>
          <w:iCs/>
          <w:sz w:val="20"/>
          <w:szCs w:val="20"/>
        </w:rPr>
        <w:t>Net Cash and Cash Equivalents Provided by Financing Activities</w:t>
      </w:r>
    </w:p>
    <w:p w:rsidR="00000000" w:rsidRDefault="00F20BDB">
      <w:pPr>
        <w:pStyle w:val="a3"/>
        <w:spacing w:before="120" w:beforeAutospacing="0" w:after="0" w:afterAutospacing="0"/>
        <w:ind w:firstLine="556"/>
        <w:rPr>
          <w:sz w:val="20"/>
          <w:szCs w:val="20"/>
        </w:rPr>
      </w:pPr>
      <w:r>
        <w:rPr>
          <w:sz w:val="20"/>
          <w:szCs w:val="20"/>
        </w:rPr>
        <w:t>Our financing activit</w:t>
      </w:r>
      <w:r>
        <w:rPr>
          <w:sz w:val="20"/>
          <w:szCs w:val="20"/>
        </w:rPr>
        <w:t>ies have consisted primarily of our stock offerings, the various components of our 2022 Notes offering, the issuance of our common stock under our stock plans, payments of employee taxes related to the net share settlement of stock-based awards, and repaym</w:t>
      </w:r>
      <w:r>
        <w:rPr>
          <w:sz w:val="20"/>
          <w:szCs w:val="20"/>
        </w:rPr>
        <w:t>ents of our finance lease obligations.</w:t>
      </w:r>
    </w:p>
    <w:p w:rsidR="00000000" w:rsidRDefault="00F20BDB">
      <w:pPr>
        <w:pStyle w:val="a3"/>
        <w:spacing w:before="240" w:beforeAutospacing="0" w:after="0" w:afterAutospacing="0"/>
        <w:ind w:firstLine="592"/>
        <w:rPr>
          <w:sz w:val="20"/>
          <w:szCs w:val="20"/>
        </w:rPr>
      </w:pPr>
      <w:r>
        <w:rPr>
          <w:sz w:val="20"/>
          <w:szCs w:val="20"/>
        </w:rPr>
        <w:t>For the three months ended March 31, 2019 cash provided by financing activities consisted primarily of $342.7 million of net proceeds related to common stock offering and $5.7 million of proceeds related to issuance o</w:t>
      </w:r>
      <w:r>
        <w:rPr>
          <w:sz w:val="20"/>
          <w:szCs w:val="20"/>
        </w:rPr>
        <w:t>f common stock under stock plans. This source of cash was offset by $1.1 million used for payment of employee taxes related to the net share settlement of stock-based awards.</w:t>
      </w:r>
    </w:p>
    <w:p w:rsidR="00000000" w:rsidRDefault="00F20BDB">
      <w:pPr>
        <w:pStyle w:val="a3"/>
        <w:spacing w:before="240" w:beforeAutospacing="0" w:after="0" w:afterAutospacing="0"/>
        <w:ind w:firstLine="632"/>
        <w:rPr>
          <w:sz w:val="20"/>
          <w:szCs w:val="20"/>
        </w:rPr>
      </w:pPr>
      <w:r>
        <w:rPr>
          <w:sz w:val="20"/>
          <w:szCs w:val="20"/>
        </w:rPr>
        <w:t xml:space="preserve">For the three months ended March 31, 2018, cash provided by financing activities </w:t>
      </w:r>
      <w:r>
        <w:rPr>
          <w:sz w:val="20"/>
          <w:szCs w:val="20"/>
        </w:rPr>
        <w:t>consisted primarily of $6.1 million of proceeds related to issuance of common stock under stock plans. This source of cash was offset by $2.3 million used for payment of employee taxes related to the net share settlement of stock-based awards and $0.2 mill</w:t>
      </w:r>
      <w:r>
        <w:rPr>
          <w:sz w:val="20"/>
          <w:szCs w:val="20"/>
        </w:rPr>
        <w:t>ion used for repayments of finance lease obligations.  </w:t>
      </w:r>
    </w:p>
    <w:p w:rsidR="00000000" w:rsidRDefault="00F20BDB">
      <w:pPr>
        <w:pStyle w:val="a3"/>
        <w:spacing w:before="0" w:beforeAutospacing="0" w:after="0" w:afterAutospacing="0"/>
        <w:rPr>
          <w:b/>
          <w:bCs/>
          <w:sz w:val="20"/>
          <w:szCs w:val="20"/>
        </w:rPr>
      </w:pPr>
      <w:r>
        <w:rPr>
          <w:b/>
          <w:bCs/>
          <w:sz w:val="20"/>
          <w:szCs w:val="20"/>
        </w:rPr>
        <w:t> </w:t>
      </w:r>
    </w:p>
    <w:p w:rsidR="00000000" w:rsidRDefault="00F20BDB">
      <w:pPr>
        <w:pStyle w:val="a3"/>
        <w:spacing w:before="0" w:beforeAutospacing="0" w:after="0" w:afterAutospacing="0"/>
        <w:rPr>
          <w:b/>
          <w:bCs/>
          <w:sz w:val="20"/>
          <w:szCs w:val="20"/>
        </w:rPr>
      </w:pPr>
      <w:r>
        <w:rPr>
          <w:b/>
          <w:bCs/>
          <w:sz w:val="20"/>
          <w:szCs w:val="20"/>
        </w:rPr>
        <w:t>Critical Accounting Policies and Estimates</w: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ind w:firstLine="816"/>
        <w:rPr>
          <w:sz w:val="20"/>
          <w:szCs w:val="20"/>
        </w:rPr>
      </w:pPr>
      <w:r>
        <w:rPr>
          <w:sz w:val="20"/>
          <w:szCs w:val="20"/>
        </w:rPr>
        <w:t xml:space="preserve">There have been no significant changes in our critical accounting policies and estimates during the three months ended March 31, 2019 as compared to the </w:t>
      </w:r>
      <w:r>
        <w:rPr>
          <w:sz w:val="20"/>
          <w:szCs w:val="20"/>
        </w:rPr>
        <w:t>critical accounting policies and estimates disclosed in our Annual Report on Form 10-K for the year ended December 31, 2018 except those disclosed below.</w:t>
      </w:r>
    </w:p>
    <w:p w:rsidR="00000000" w:rsidRDefault="00F20BDB">
      <w:pPr>
        <w:pStyle w:val="a3"/>
        <w:spacing w:before="0" w:beforeAutospacing="0" w:after="0" w:afterAutospacing="0"/>
        <w:ind w:firstLine="816"/>
        <w:rPr>
          <w:b/>
          <w:bCs/>
          <w:sz w:val="20"/>
          <w:szCs w:val="20"/>
        </w:rPr>
      </w:pPr>
      <w:r>
        <w:rPr>
          <w:b/>
          <w:bCs/>
          <w:sz w:val="20"/>
          <w:szCs w:val="20"/>
        </w:rPr>
        <w:t> </w:t>
      </w:r>
    </w:p>
    <w:p w:rsidR="00000000" w:rsidRDefault="00F20BDB">
      <w:pPr>
        <w:pStyle w:val="a3"/>
        <w:spacing w:before="0" w:beforeAutospacing="0" w:after="0" w:afterAutospacing="0"/>
        <w:rPr>
          <w:b/>
          <w:bCs/>
          <w:i/>
          <w:iCs/>
          <w:sz w:val="20"/>
          <w:szCs w:val="20"/>
        </w:rPr>
      </w:pPr>
      <w:r>
        <w:rPr>
          <w:b/>
          <w:bCs/>
          <w:i/>
          <w:iCs/>
          <w:sz w:val="20"/>
          <w:szCs w:val="20"/>
        </w:rPr>
        <w:t xml:space="preserve">Leases </w:t>
      </w:r>
    </w:p>
    <w:p w:rsidR="00000000" w:rsidRDefault="00F20BDB">
      <w:pPr>
        <w:pStyle w:val="a3"/>
        <w:spacing w:before="0" w:beforeAutospacing="0" w:after="0" w:afterAutospacing="0"/>
        <w:ind w:firstLine="816"/>
        <w:rPr>
          <w:b/>
          <w:bCs/>
          <w:sz w:val="20"/>
          <w:szCs w:val="20"/>
        </w:rPr>
      </w:pPr>
      <w:r>
        <w:rPr>
          <w:b/>
          <w:bCs/>
          <w:sz w:val="20"/>
          <w:szCs w:val="20"/>
        </w:rPr>
        <w:t> </w:t>
      </w:r>
    </w:p>
    <w:p w:rsidR="00000000" w:rsidRDefault="00F20BDB">
      <w:pPr>
        <w:pStyle w:val="a3"/>
        <w:spacing w:before="240" w:beforeAutospacing="0" w:after="0" w:afterAutospacing="0"/>
        <w:jc w:val="center"/>
        <w:rPr>
          <w:sz w:val="20"/>
          <w:szCs w:val="20"/>
        </w:rPr>
      </w:pPr>
      <w:r>
        <w:rPr>
          <w:sz w:val="20"/>
          <w:szCs w:val="20"/>
        </w:rPr>
        <w:t>28</w:t>
      </w:r>
    </w:p>
    <w:p w:rsidR="00000000" w:rsidRDefault="00F20BDB">
      <w:pPr>
        <w:rPr>
          <w:rFonts w:eastAsia="Times New Roman"/>
        </w:rPr>
      </w:pPr>
      <w:r>
        <w:rPr>
          <w:rFonts w:eastAsia="Times New Roman"/>
        </w:rPr>
        <w:pict>
          <v:rect id="_x0000_i1052"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ind w:firstLine="816"/>
        <w:rPr>
          <w:sz w:val="20"/>
          <w:szCs w:val="20"/>
        </w:rPr>
      </w:pPr>
      <w:bookmarkStart w:id="37" w:name="_AEIOULastRenderedPageBreakAEIOU23"/>
      <w:bookmarkEnd w:id="37"/>
      <w:r>
        <w:rPr>
          <w:sz w:val="20"/>
          <w:szCs w:val="20"/>
        </w:rPr>
        <w:t>On January 1, 2019, we adopted the new lease guidance using a modified ret</w:t>
      </w:r>
      <w:r>
        <w:rPr>
          <w:sz w:val="20"/>
          <w:szCs w:val="20"/>
        </w:rPr>
        <w:t>rospective transition method applied to those leases which were not completed as of January 1, 2019.</w:t>
      </w:r>
    </w:p>
    <w:p w:rsidR="00000000" w:rsidRDefault="00F20BDB">
      <w:pPr>
        <w:pStyle w:val="a3"/>
        <w:spacing w:before="120" w:beforeAutospacing="0" w:after="200" w:afterAutospacing="0"/>
        <w:ind w:firstLine="589"/>
        <w:rPr>
          <w:color w:val="000000"/>
          <w:sz w:val="20"/>
          <w:szCs w:val="20"/>
        </w:rPr>
      </w:pPr>
      <w:r>
        <w:rPr>
          <w:color w:val="000000"/>
          <w:sz w:val="20"/>
          <w:szCs w:val="20"/>
        </w:rPr>
        <w:t>We lease office facilities under non-cancelable operating leases that expire at various dates through May 2031. Certain leases contain optional termination</w:t>
      </w:r>
      <w:r>
        <w:rPr>
          <w:color w:val="000000"/>
          <w:sz w:val="20"/>
          <w:szCs w:val="20"/>
        </w:rPr>
        <w:t xml:space="preserve"> dates. </w:t>
      </w:r>
    </w:p>
    <w:p w:rsidR="00000000" w:rsidRDefault="00F20BDB">
      <w:pPr>
        <w:pStyle w:val="a3"/>
        <w:spacing w:before="0" w:beforeAutospacing="0" w:after="0" w:afterAutospacing="0"/>
        <w:ind w:firstLine="816"/>
        <w:rPr>
          <w:color w:val="000000"/>
          <w:sz w:val="20"/>
          <w:szCs w:val="20"/>
        </w:rPr>
      </w:pPr>
      <w:r>
        <w:rPr>
          <w:color w:val="000000"/>
          <w:sz w:val="20"/>
          <w:szCs w:val="20"/>
        </w:rPr>
        <w:t>We determine if an arrangement contains a lease at inception and does not separate lease and non-lease components of an arrangement determined to contain a lease. Operating and finance leases with a duration of less than 12 months are excluded fro</w:t>
      </w:r>
      <w:r>
        <w:rPr>
          <w:color w:val="000000"/>
          <w:sz w:val="20"/>
          <w:szCs w:val="20"/>
        </w:rPr>
        <w:t>m right-of-use-assets and lease liabilities and related expense is recorded as incurred.</w:t>
      </w:r>
    </w:p>
    <w:p w:rsidR="00000000" w:rsidRDefault="00F20BDB">
      <w:pPr>
        <w:pStyle w:val="a3"/>
        <w:spacing w:before="0" w:beforeAutospacing="0" w:after="0" w:afterAutospacing="0"/>
        <w:ind w:firstLine="816"/>
        <w:rPr>
          <w:sz w:val="20"/>
          <w:szCs w:val="20"/>
        </w:rPr>
      </w:pPr>
      <w:r>
        <w:rPr>
          <w:sz w:val="20"/>
          <w:szCs w:val="20"/>
        </w:rPr>
        <w:t> </w:t>
      </w:r>
    </w:p>
    <w:p w:rsidR="00000000" w:rsidRDefault="00F20BDB">
      <w:pPr>
        <w:pStyle w:val="a3"/>
        <w:spacing w:before="0" w:beforeAutospacing="0" w:after="0" w:afterAutospacing="0"/>
        <w:ind w:firstLine="816"/>
        <w:rPr>
          <w:color w:val="000000"/>
          <w:sz w:val="20"/>
          <w:szCs w:val="20"/>
        </w:rPr>
      </w:pPr>
      <w:r>
        <w:rPr>
          <w:color w:val="000000"/>
          <w:sz w:val="20"/>
          <w:szCs w:val="20"/>
        </w:rPr>
        <w:t>We use our estimated incremental borrowing rate, which is derived from information available at the lease commencement date, in determining the present value of oper</w:t>
      </w:r>
      <w:r>
        <w:rPr>
          <w:color w:val="000000"/>
          <w:sz w:val="20"/>
          <w:szCs w:val="20"/>
        </w:rPr>
        <w:t>ating lease payments. To determine the estimated incremental borrowing rate, we use publicly available credit ratings for peer companies. The Company estimates the incremental borrowing rate using yields for maturities that are in line with the duration of</w:t>
      </w:r>
      <w:r>
        <w:rPr>
          <w:color w:val="000000"/>
          <w:sz w:val="20"/>
          <w:szCs w:val="20"/>
        </w:rPr>
        <w:t xml:space="preserve"> the lease payments. A hypothetical 100 basis point decrease in our estimate of the incremental borrowing rate at January 1, 2019 (the date of our adoption) would increase our operating lease liability by approximately $7.4 million.</w:t>
      </w:r>
    </w:p>
    <w:p w:rsidR="00000000" w:rsidRDefault="00F20BDB">
      <w:pPr>
        <w:pStyle w:val="a3"/>
        <w:spacing w:before="0" w:beforeAutospacing="0" w:after="0" w:afterAutospacing="0"/>
      </w:pPr>
      <w:r>
        <w:t> </w:t>
      </w:r>
    </w:p>
    <w:p w:rsidR="00000000" w:rsidRDefault="00F20BDB">
      <w:pPr>
        <w:pStyle w:val="a3"/>
        <w:spacing w:before="0" w:beforeAutospacing="0" w:after="0" w:afterAutospacing="0"/>
        <w:rPr>
          <w:b/>
          <w:bCs/>
          <w:sz w:val="20"/>
          <w:szCs w:val="20"/>
        </w:rPr>
      </w:pPr>
      <w:r>
        <w:rPr>
          <w:b/>
          <w:bCs/>
          <w:sz w:val="20"/>
          <w:szCs w:val="20"/>
        </w:rPr>
        <w:t>Contractual Obligatio</w:t>
      </w:r>
      <w:r>
        <w:rPr>
          <w:b/>
          <w:bCs/>
          <w:sz w:val="20"/>
          <w:szCs w:val="20"/>
        </w:rPr>
        <w:t>ns and Commitments</w:t>
      </w:r>
    </w:p>
    <w:p w:rsidR="00000000" w:rsidRDefault="00F20BDB">
      <w:pPr>
        <w:pStyle w:val="a3"/>
        <w:spacing w:before="120" w:beforeAutospacing="0" w:after="0" w:afterAutospacing="0"/>
        <w:ind w:firstLine="556"/>
        <w:rPr>
          <w:sz w:val="20"/>
          <w:szCs w:val="20"/>
        </w:rPr>
      </w:pPr>
      <w:r>
        <w:rPr>
          <w:sz w:val="20"/>
          <w:szCs w:val="20"/>
        </w:rPr>
        <w:t>As of March 31, 2019, there were no material changes in our contractual obligations and commitments from those disclosed in the Annual Report on Form 10-K filed with the SEC on February 12, 2019, other than those appearing in the notes t</w:t>
      </w:r>
      <w:r>
        <w:rPr>
          <w:sz w:val="20"/>
          <w:szCs w:val="20"/>
        </w:rPr>
        <w:t xml:space="preserve">o the consolidated financial statements appearing elsewhere in this Quarterly Report on Form 10-Q. </w:t>
      </w:r>
    </w:p>
    <w:p w:rsidR="00000000" w:rsidRDefault="00F20BDB">
      <w:pPr>
        <w:pStyle w:val="a3"/>
        <w:spacing w:before="360" w:beforeAutospacing="0" w:after="0" w:afterAutospacing="0"/>
        <w:rPr>
          <w:b/>
          <w:bCs/>
          <w:sz w:val="20"/>
          <w:szCs w:val="20"/>
        </w:rPr>
      </w:pPr>
      <w:r>
        <w:rPr>
          <w:b/>
          <w:bCs/>
          <w:sz w:val="20"/>
          <w:szCs w:val="20"/>
        </w:rPr>
        <w:t>Recent Accounting Pronouncements</w:t>
      </w:r>
    </w:p>
    <w:p w:rsidR="00000000" w:rsidRDefault="00F20BDB">
      <w:pPr>
        <w:pStyle w:val="a3"/>
        <w:spacing w:before="120" w:beforeAutospacing="0" w:after="0" w:afterAutospacing="0"/>
        <w:ind w:firstLine="556"/>
        <w:rPr>
          <w:sz w:val="20"/>
          <w:szCs w:val="20"/>
        </w:rPr>
      </w:pPr>
      <w:r>
        <w:rPr>
          <w:sz w:val="20"/>
          <w:szCs w:val="20"/>
        </w:rPr>
        <w:t xml:space="preserve">For information on recent accounting pronouncements, see </w:t>
      </w:r>
      <w:r>
        <w:rPr>
          <w:i/>
          <w:iCs/>
          <w:sz w:val="20"/>
          <w:szCs w:val="20"/>
        </w:rPr>
        <w:t>Recent Accounting Pronouncements</w:t>
      </w:r>
      <w:r>
        <w:rPr>
          <w:sz w:val="20"/>
          <w:szCs w:val="20"/>
        </w:rPr>
        <w:t xml:space="preserve"> in the notes to the consolidated </w:t>
      </w:r>
      <w:r>
        <w:rPr>
          <w:sz w:val="20"/>
          <w:szCs w:val="20"/>
        </w:rPr>
        <w:t>financial statements appearing elsewhere in this Quarterly Report on Form 10-Q.</w:t>
      </w:r>
    </w:p>
    <w:p w:rsidR="00000000" w:rsidRDefault="00F20BDB">
      <w:pPr>
        <w:pStyle w:val="a3"/>
        <w:spacing w:before="360" w:beforeAutospacing="0" w:after="0" w:afterAutospacing="0"/>
        <w:rPr>
          <w:b/>
          <w:bCs/>
          <w:sz w:val="20"/>
          <w:szCs w:val="20"/>
        </w:rPr>
      </w:pPr>
      <w:r>
        <w:rPr>
          <w:b/>
          <w:bCs/>
          <w:sz w:val="20"/>
          <w:szCs w:val="20"/>
        </w:rPr>
        <w:t>Off-Balance Sheet Arrangements</w:t>
      </w:r>
    </w:p>
    <w:p w:rsidR="00000000" w:rsidRDefault="00F20BDB">
      <w:pPr>
        <w:pStyle w:val="a3"/>
        <w:spacing w:before="120" w:beforeAutospacing="0" w:after="0" w:afterAutospacing="0"/>
        <w:ind w:firstLine="556"/>
        <w:rPr>
          <w:sz w:val="20"/>
          <w:szCs w:val="20"/>
        </w:rPr>
      </w:pPr>
      <w:r>
        <w:rPr>
          <w:sz w:val="20"/>
          <w:szCs w:val="20"/>
        </w:rPr>
        <w:t>During the three months ended March 31, 2019, we had no material off-balance sheet arrangements, exclusive of operating leases and indemnificatio</w:t>
      </w:r>
      <w:r>
        <w:rPr>
          <w:sz w:val="20"/>
          <w:szCs w:val="20"/>
        </w:rPr>
        <w:t>ns of officers, directors and employees for certain events or occurrences while the officer, director or employee is, or was, serving at our request in such capacity.</w:t>
      </w:r>
    </w:p>
    <w:p w:rsidR="00000000" w:rsidRDefault="00F20BDB">
      <w:pPr>
        <w:pStyle w:val="a3"/>
        <w:spacing w:before="0" w:beforeAutospacing="0" w:after="0" w:afterAutospacing="0"/>
        <w:rPr>
          <w:sz w:val="18"/>
          <w:szCs w:val="18"/>
        </w:rPr>
      </w:pPr>
      <w:r>
        <w:rPr>
          <w:sz w:val="18"/>
          <w:szCs w:val="18"/>
        </w:rPr>
        <w:t> </w:t>
      </w:r>
    </w:p>
    <w:p w:rsidR="00000000" w:rsidRDefault="00F20BDB">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tc>
          <w:tcPr>
            <w:tcW w:w="453" w:type="pct"/>
            <w:noWrap/>
            <w:hideMark/>
          </w:tcPr>
          <w:p w:rsidR="00000000" w:rsidRDefault="00F20BDB">
            <w:pPr>
              <w:pStyle w:val="a3"/>
              <w:spacing w:before="0" w:beforeAutospacing="0" w:after="0" w:afterAutospacing="0"/>
              <w:rPr>
                <w:b/>
                <w:bCs/>
                <w:sz w:val="20"/>
                <w:szCs w:val="20"/>
              </w:rPr>
            </w:pPr>
            <w:r>
              <w:rPr>
                <w:b/>
                <w:bCs/>
                <w:sz w:val="20"/>
                <w:szCs w:val="20"/>
              </w:rPr>
              <w:t>Item 3.</w:t>
            </w:r>
          </w:p>
        </w:tc>
        <w:tc>
          <w:tcPr>
            <w:tcW w:w="0" w:type="auto"/>
            <w:hideMark/>
          </w:tcPr>
          <w:p w:rsidR="00000000" w:rsidRDefault="00F20BDB">
            <w:pPr>
              <w:pStyle w:val="a3"/>
              <w:spacing w:before="0" w:beforeAutospacing="0" w:after="0" w:afterAutospacing="0"/>
              <w:rPr>
                <w:b/>
                <w:bCs/>
                <w:sz w:val="20"/>
                <w:szCs w:val="20"/>
              </w:rPr>
            </w:pPr>
            <w:bookmarkStart w:id="38" w:name="ITEM_3_QUANTITATIVE_QUALITATIVE_DISCLOSU"/>
            <w:bookmarkEnd w:id="38"/>
            <w:r>
              <w:rPr>
                <w:b/>
                <w:bCs/>
                <w:sz w:val="20"/>
                <w:szCs w:val="20"/>
              </w:rPr>
              <w:t>Quantitative and Qualitative Disclosures About Market Risk</w:t>
            </w:r>
          </w:p>
        </w:tc>
      </w:tr>
    </w:tbl>
    <w:p w:rsidR="00000000" w:rsidRDefault="00F20BDB">
      <w:pPr>
        <w:pStyle w:val="a3"/>
        <w:spacing w:before="120" w:beforeAutospacing="0" w:after="0" w:afterAutospacing="0"/>
        <w:ind w:left="476"/>
        <w:rPr>
          <w:b/>
          <w:bCs/>
          <w:i/>
          <w:iCs/>
          <w:sz w:val="20"/>
          <w:szCs w:val="20"/>
        </w:rPr>
      </w:pPr>
      <w:r>
        <w:rPr>
          <w:b/>
          <w:bCs/>
          <w:i/>
          <w:iCs/>
          <w:sz w:val="20"/>
          <w:szCs w:val="20"/>
        </w:rPr>
        <w:t>Foreign Currency Exchange Risk</w:t>
      </w:r>
    </w:p>
    <w:p w:rsidR="00000000" w:rsidRDefault="00F20BDB">
      <w:pPr>
        <w:pStyle w:val="a3"/>
        <w:spacing w:before="120" w:beforeAutospacing="0" w:after="0" w:afterAutospacing="0"/>
        <w:ind w:firstLine="592"/>
        <w:rPr>
          <w:sz w:val="20"/>
          <w:szCs w:val="20"/>
        </w:rPr>
      </w:pPr>
      <w:r>
        <w:rPr>
          <w:sz w:val="20"/>
          <w:szCs w:val="20"/>
        </w:rPr>
        <w:t>We have foreign currency risks related to our revenue and operating expenses denominated in currencies other than the U.S. dollar, primarily the Euro, British Pound Sterling, Australian dollar, Singaporean dollar, Japanese Ye</w:t>
      </w:r>
      <w:r>
        <w:rPr>
          <w:sz w:val="20"/>
          <w:szCs w:val="20"/>
        </w:rPr>
        <w:t>n, and Colombian Peso. Since we translate foreign currencies into U.S. dollars for financial reporting purposes, currency fluctuations can have an impact on our financial results.</w:t>
      </w:r>
    </w:p>
    <w:p w:rsidR="00000000" w:rsidRDefault="00F20BDB">
      <w:pPr>
        <w:pStyle w:val="a3"/>
        <w:spacing w:before="240" w:beforeAutospacing="0" w:after="0" w:afterAutospacing="0"/>
        <w:ind w:firstLine="592"/>
        <w:rPr>
          <w:sz w:val="20"/>
          <w:szCs w:val="20"/>
        </w:rPr>
      </w:pPr>
      <w:r>
        <w:rPr>
          <w:sz w:val="20"/>
          <w:szCs w:val="20"/>
        </w:rPr>
        <w:t xml:space="preserve">We have experienced and will continue to experience fluctuations in our net </w:t>
      </w:r>
      <w:r>
        <w:rPr>
          <w:sz w:val="20"/>
          <w:szCs w:val="20"/>
        </w:rPr>
        <w:t>loss as a result of transaction gains or losses related to revaluing certain current asset and current liability balances that are denominated in currencies other than the functional currency of the entities in which they are recorded. We recognized immate</w:t>
      </w:r>
      <w:r>
        <w:rPr>
          <w:sz w:val="20"/>
          <w:szCs w:val="20"/>
        </w:rPr>
        <w:t>rial amounts of foreign currency gains and losses in each of the periods presented. We have not engaged in the hedging of our foreign currency transactions to date, we are evaluating the costs and benefits of initiating such a program and may in the future</w:t>
      </w:r>
      <w:r>
        <w:rPr>
          <w:sz w:val="20"/>
          <w:szCs w:val="20"/>
        </w:rPr>
        <w:t xml:space="preserve"> hedge selected significant transactions denominated in currencies other than the U.S. dollar as we expand our international operation and our risk grows.</w:t>
      </w:r>
    </w:p>
    <w:p w:rsidR="00000000" w:rsidRDefault="00F20BDB">
      <w:pPr>
        <w:pStyle w:val="a3"/>
        <w:spacing w:before="240" w:beforeAutospacing="0" w:after="0" w:afterAutospacing="0"/>
        <w:ind w:firstLine="592"/>
        <w:rPr>
          <w:b/>
          <w:bCs/>
          <w:i/>
          <w:iCs/>
          <w:sz w:val="20"/>
          <w:szCs w:val="20"/>
        </w:rPr>
      </w:pPr>
      <w:r>
        <w:rPr>
          <w:b/>
          <w:bCs/>
          <w:i/>
          <w:iCs/>
          <w:sz w:val="20"/>
          <w:szCs w:val="20"/>
        </w:rPr>
        <w:t>Interest Rate Sensitivity</w:t>
      </w:r>
    </w:p>
    <w:p w:rsidR="00000000" w:rsidRDefault="00F20BDB">
      <w:pPr>
        <w:pStyle w:val="a3"/>
        <w:spacing w:before="120" w:beforeAutospacing="0" w:after="0" w:afterAutospacing="0"/>
        <w:ind w:firstLine="592"/>
        <w:rPr>
          <w:sz w:val="20"/>
          <w:szCs w:val="20"/>
        </w:rPr>
      </w:pPr>
      <w:r>
        <w:rPr>
          <w:sz w:val="20"/>
          <w:szCs w:val="20"/>
        </w:rPr>
        <w:t>Our portfolio of cash and cash equivalents and short- and long-term investm</w:t>
      </w:r>
      <w:r>
        <w:rPr>
          <w:sz w:val="20"/>
          <w:szCs w:val="20"/>
        </w:rPr>
        <w:t>ents is maintained in a variety of securities, including government agency obligations, corporate bonds and money market funds. Investments are classified as available-for-sale securities and carried at their fair market value with cumulative unrealized ga</w:t>
      </w:r>
      <w:r>
        <w:rPr>
          <w:sz w:val="20"/>
          <w:szCs w:val="20"/>
        </w:rPr>
        <w:t>ins or losses recorded as a component of accumulated other comprehensive loss within stockholders' equity. A sharp rise in interest rates could have an adverse impact on the fair market value of certain securities in our portfolio. We do not currently hedg</w:t>
      </w:r>
      <w:r>
        <w:rPr>
          <w:sz w:val="20"/>
          <w:szCs w:val="20"/>
        </w:rPr>
        <w:t>e our interest rate exposure and do not enter into financial instruments for trading or speculative purposes.</w:t>
      </w:r>
    </w:p>
    <w:p w:rsidR="00000000" w:rsidRDefault="00F20BDB">
      <w:pPr>
        <w:pStyle w:val="a3"/>
        <w:spacing w:before="240" w:beforeAutospacing="0" w:after="0" w:afterAutospacing="0"/>
        <w:jc w:val="center"/>
        <w:rPr>
          <w:sz w:val="20"/>
          <w:szCs w:val="20"/>
        </w:rPr>
      </w:pPr>
      <w:r>
        <w:rPr>
          <w:sz w:val="20"/>
          <w:szCs w:val="20"/>
        </w:rPr>
        <w:t>29</w:t>
      </w:r>
    </w:p>
    <w:p w:rsidR="00000000" w:rsidRDefault="00F20BDB">
      <w:pPr>
        <w:rPr>
          <w:rFonts w:eastAsia="Times New Roman"/>
        </w:rPr>
      </w:pPr>
      <w:r>
        <w:rPr>
          <w:rFonts w:eastAsia="Times New Roman"/>
        </w:rPr>
        <w:pict>
          <v:rect id="_x0000_i1053"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120" w:beforeAutospacing="0" w:after="0" w:afterAutospacing="0"/>
        <w:ind w:firstLine="592"/>
        <w:rPr>
          <w:b/>
          <w:bCs/>
          <w:i/>
          <w:iCs/>
          <w:sz w:val="20"/>
          <w:szCs w:val="20"/>
        </w:rPr>
      </w:pPr>
      <w:bookmarkStart w:id="39" w:name="_AEIOULastRenderedPageBreakAEIOU24"/>
      <w:bookmarkEnd w:id="39"/>
      <w:r>
        <w:rPr>
          <w:b/>
          <w:bCs/>
          <w:i/>
          <w:iCs/>
          <w:sz w:val="20"/>
          <w:szCs w:val="20"/>
        </w:rPr>
        <w:t>Inflation Risk</w:t>
      </w:r>
    </w:p>
    <w:p w:rsidR="00000000" w:rsidRDefault="00F20BDB">
      <w:pPr>
        <w:pStyle w:val="a3"/>
        <w:spacing w:before="120" w:beforeAutospacing="0" w:after="0" w:afterAutospacing="0"/>
        <w:ind w:firstLine="592"/>
        <w:rPr>
          <w:sz w:val="20"/>
          <w:szCs w:val="20"/>
        </w:rPr>
      </w:pPr>
      <w:r>
        <w:rPr>
          <w:sz w:val="20"/>
          <w:szCs w:val="20"/>
        </w:rPr>
        <w:t xml:space="preserve">We do not believe that inflation has had a material effect on our business. However, if our costs, in particular personnel, sales and marketing and hosting costs, were to become subject to significant </w:t>
      </w:r>
      <w:r>
        <w:rPr>
          <w:sz w:val="20"/>
          <w:szCs w:val="20"/>
        </w:rPr>
        <w:t>inflationary pressures, we may not be able to fully offset such higher costs through price increases. Our inability or failure to do so could harm our business, operating results and financial condition.</w:t>
      </w:r>
    </w:p>
    <w:p w:rsidR="00000000" w:rsidRDefault="00F20BDB">
      <w:pPr>
        <w:pStyle w:val="a3"/>
        <w:spacing w:before="120" w:beforeAutospacing="0" w:after="0" w:afterAutospacing="0"/>
        <w:ind w:firstLine="556"/>
        <w:rPr>
          <w:b/>
          <w:bCs/>
          <w:i/>
          <w:iCs/>
          <w:sz w:val="20"/>
          <w:szCs w:val="20"/>
        </w:rPr>
      </w:pPr>
      <w:r>
        <w:rPr>
          <w:b/>
          <w:bCs/>
          <w:i/>
          <w:iCs/>
          <w:sz w:val="20"/>
          <w:szCs w:val="20"/>
        </w:rPr>
        <w:t>Market Risk and Market Interest Risk</w:t>
      </w:r>
    </w:p>
    <w:p w:rsidR="00000000" w:rsidRDefault="00F20BDB">
      <w:pPr>
        <w:pStyle w:val="a3"/>
        <w:spacing w:before="120" w:beforeAutospacing="0" w:after="0" w:afterAutospacing="0"/>
        <w:ind w:firstLine="592"/>
        <w:rPr>
          <w:sz w:val="20"/>
          <w:szCs w:val="20"/>
        </w:rPr>
      </w:pPr>
      <w:r>
        <w:rPr>
          <w:sz w:val="20"/>
          <w:szCs w:val="20"/>
        </w:rPr>
        <w:t>In May 2017, we</w:t>
      </w:r>
      <w:r>
        <w:rPr>
          <w:sz w:val="20"/>
          <w:szCs w:val="20"/>
        </w:rPr>
        <w:t xml:space="preserve"> issued $400 million aggregate principal amount of 0.25% convertible senior notes due 2022. The fair value of our convertible senior notes is subject to interest rate risk, market risk and other factors due to the convertible feature.  The fair value of th</w:t>
      </w:r>
      <w:r>
        <w:rPr>
          <w:sz w:val="20"/>
          <w:szCs w:val="20"/>
        </w:rPr>
        <w:t xml:space="preserve">e convertible senior notes will generally increase as our common stock price increases and will generally decrease as our common stock price declines in value. The interest and market value changes affect the fair value of our convertible senior notes but </w:t>
      </w:r>
      <w:r>
        <w:rPr>
          <w:sz w:val="20"/>
          <w:szCs w:val="20"/>
        </w:rPr>
        <w:t xml:space="preserve">do not impact our financial position, cash flows or results of operations due to the fixed nature of the debt obligation. </w:t>
      </w:r>
      <w:r>
        <w:rPr>
          <w:color w:val="000000"/>
          <w:sz w:val="20"/>
          <w:szCs w:val="20"/>
        </w:rPr>
        <w:t xml:space="preserve">Generally, the fair value of 2022 Notes will increase as interest rates fall and decrease as interest rates rise. </w:t>
      </w:r>
      <w:r>
        <w:rPr>
          <w:sz w:val="20"/>
          <w:szCs w:val="20"/>
        </w:rPr>
        <w:t>Additionally, we car</w:t>
      </w:r>
      <w:r>
        <w:rPr>
          <w:sz w:val="20"/>
          <w:szCs w:val="20"/>
        </w:rPr>
        <w:t>ry the convertible senior notes at face value less unamortized discount on our balance sheet, and we present the fair value for required disclosure purposes only.</w:t>
      </w:r>
    </w:p>
    <w:p w:rsidR="00000000" w:rsidRDefault="00F20BDB">
      <w:pPr>
        <w:pStyle w:val="a3"/>
        <w:spacing w:before="40" w:beforeAutospacing="0" w:after="0" w:afterAutospacing="0"/>
        <w:ind w:firstLine="592"/>
        <w:rPr>
          <w:sz w:val="20"/>
          <w:szCs w:val="20"/>
        </w:rPr>
      </w:pPr>
      <w:r>
        <w:rPr>
          <w:sz w:val="20"/>
          <w:szCs w:val="20"/>
        </w:rPr>
        <w:t> </w:t>
      </w:r>
    </w:p>
    <w:p w:rsidR="00000000" w:rsidRDefault="00F20BDB">
      <w:pPr>
        <w:pStyle w:val="a3"/>
        <w:shd w:val="clear" w:color="auto" w:fill="FFFFFF"/>
        <w:spacing w:before="0" w:beforeAutospacing="0" w:after="0" w:afterAutospacing="0"/>
        <w:ind w:firstLine="592"/>
        <w:rPr>
          <w:sz w:val="20"/>
          <w:szCs w:val="20"/>
        </w:rPr>
      </w:pPr>
      <w:r>
        <w:rPr>
          <w:sz w:val="20"/>
          <w:szCs w:val="20"/>
        </w:rPr>
        <w:t>The table below provides a sensitivity analysis of hypothetical 10% changes of our stock pr</w:t>
      </w:r>
      <w:r>
        <w:rPr>
          <w:sz w:val="20"/>
          <w:szCs w:val="20"/>
        </w:rPr>
        <w:t>ice as of March 31, 2019 and the estimated impact on the fair value of the 2022 Notes. The selected scenarios are not predictions of future events, but rather are intended to illustrate the effect such event may have on the fair value of the 2022 Notes.</w:t>
      </w:r>
    </w:p>
    <w:p w:rsidR="00000000" w:rsidRDefault="00F20BDB">
      <w:pPr>
        <w:pStyle w:val="a3"/>
        <w:shd w:val="clear" w:color="auto" w:fill="FFFFFF"/>
        <w:spacing w:before="0" w:beforeAutospacing="0" w:after="0" w:afterAutospacing="0"/>
        <w:ind w:firstLine="556"/>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1697"/>
        <w:gridCol w:w="1837"/>
        <w:gridCol w:w="92"/>
        <w:gridCol w:w="115"/>
        <w:gridCol w:w="1076"/>
        <w:gridCol w:w="65"/>
        <w:gridCol w:w="65"/>
        <w:gridCol w:w="116"/>
        <w:gridCol w:w="1127"/>
        <w:gridCol w:w="82"/>
        <w:gridCol w:w="65"/>
        <w:gridCol w:w="116"/>
        <w:gridCol w:w="840"/>
        <w:gridCol w:w="182"/>
      </w:tblGrid>
      <w:tr w:rsidR="00000000">
        <w:trPr>
          <w:divId w:val="2029288269"/>
          <w:jc w:val="center"/>
        </w:trPr>
        <w:tc>
          <w:tcPr>
            <w:tcW w:w="246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Hypothetical change in HubSpot stock price</w:t>
            </w:r>
          </w:p>
        </w:tc>
        <w:tc>
          <w:tcPr>
            <w:tcW w:w="113" w:type="pct"/>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 </w:t>
            </w:r>
          </w:p>
        </w:tc>
        <w:tc>
          <w:tcPr>
            <w:tcW w:w="82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60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Estimated change in fair value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c>
          <w:tcPr>
            <w:tcW w:w="3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1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center"/>
              <w:rPr>
                <w:b/>
                <w:bCs/>
                <w:color w:val="000000"/>
                <w:sz w:val="16"/>
                <w:szCs w:val="16"/>
              </w:rPr>
            </w:pPr>
            <w:r>
              <w:rPr>
                <w:b/>
                <w:bCs/>
                <w:color w:val="000000"/>
                <w:sz w:val="16"/>
                <w:szCs w:val="16"/>
              </w:rPr>
              <w:t>Hypothetical percentage increase (decrease) in fair value</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b/>
                <w:bCs/>
                <w:color w:val="000000"/>
                <w:sz w:val="16"/>
                <w:szCs w:val="16"/>
              </w:rPr>
            </w:pPr>
            <w:r>
              <w:rPr>
                <w:b/>
                <w:bCs/>
                <w:color w:val="000000"/>
                <w:sz w:val="16"/>
                <w:szCs w:val="16"/>
              </w:rPr>
              <w:t> </w:t>
            </w:r>
          </w:p>
        </w:tc>
      </w:tr>
      <w:tr w:rsidR="00000000">
        <w:trPr>
          <w:divId w:val="2029288269"/>
          <w:jc w:val="center"/>
        </w:trPr>
        <w:tc>
          <w:tcPr>
            <w:tcW w:w="1187" w:type="pct"/>
            <w:tcBorders>
              <w:top w:val="single" w:sz="6" w:space="0" w:color="000000"/>
            </w:tcBorders>
            <w:shd w:val="clear" w:color="auto" w:fill="CCEE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10% increase</w:t>
            </w:r>
          </w:p>
        </w:tc>
        <w:tc>
          <w:tcPr>
            <w:tcW w:w="1278" w:type="pct"/>
            <w:tcBorders>
              <w:top w:val="single" w:sz="6" w:space="0" w:color="000000"/>
            </w:tcBorders>
            <w:shd w:val="clear" w:color="auto" w:fill="CCEE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113" w:type="pct"/>
            <w:tcBorders>
              <w:top w:val="single" w:sz="6" w:space="0" w:color="000000"/>
            </w:tcBorders>
            <w:shd w:val="clear" w:color="auto" w:fill="CCEE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CEE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71" w:type="pct"/>
            <w:tcBorders>
              <w:top w:val="single" w:sz="6" w:space="0" w:color="000000"/>
            </w:tcBorders>
            <w:shd w:val="clear" w:color="auto" w:fill="CCEE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774,264</w:t>
            </w:r>
          </w:p>
        </w:tc>
        <w:tc>
          <w:tcPr>
            <w:tcW w:w="50" w:type="pct"/>
            <w:shd w:val="clear" w:color="auto" w:fill="CCEE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4" w:type="pct"/>
            <w:shd w:val="clear" w:color="auto" w:fill="CCEE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CEE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56" w:type="pct"/>
            <w:tcBorders>
              <w:top w:val="single" w:sz="6" w:space="0" w:color="000000"/>
            </w:tcBorders>
            <w:shd w:val="clear" w:color="auto" w:fill="CCEE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62,728</w:t>
            </w:r>
          </w:p>
        </w:tc>
        <w:tc>
          <w:tcPr>
            <w:tcW w:w="50" w:type="pct"/>
            <w:shd w:val="clear" w:color="auto" w:fill="CCEE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9" w:type="pct"/>
            <w:shd w:val="clear" w:color="auto" w:fill="CCEE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CEE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69" w:type="pct"/>
            <w:tcBorders>
              <w:top w:val="single" w:sz="6" w:space="0" w:color="000000"/>
            </w:tcBorders>
            <w:shd w:val="clear" w:color="auto" w:fill="CCEE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8.8</w:t>
            </w:r>
          </w:p>
        </w:tc>
        <w:tc>
          <w:tcPr>
            <w:tcW w:w="50" w:type="pct"/>
            <w:shd w:val="clear" w:color="auto" w:fill="CCEE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r w:rsidR="00000000">
        <w:trPr>
          <w:divId w:val="2029288269"/>
          <w:jc w:val="center"/>
        </w:trPr>
        <w:tc>
          <w:tcPr>
            <w:tcW w:w="1187"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No change</w:t>
            </w:r>
          </w:p>
        </w:tc>
        <w:tc>
          <w:tcPr>
            <w:tcW w:w="1278"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113"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71"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711,536</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4"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56"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39" w:type="pct"/>
            <w:shd w:val="clear" w:color="auto" w:fill="FFFFFF"/>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669"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r>
      <w:tr w:rsidR="00000000">
        <w:trPr>
          <w:divId w:val="2029288269"/>
          <w:jc w:val="center"/>
        </w:trPr>
        <w:tc>
          <w:tcPr>
            <w:tcW w:w="1187" w:type="pct"/>
            <w:shd w:val="clear" w:color="auto" w:fill="CCEE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10% decrease</w:t>
            </w:r>
          </w:p>
        </w:tc>
        <w:tc>
          <w:tcPr>
            <w:tcW w:w="1278" w:type="pct"/>
            <w:shd w:val="clear" w:color="auto" w:fill="CCEE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113" w:type="pct"/>
            <w:shd w:val="clear" w:color="auto" w:fill="CCEE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CEE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771" w:type="pct"/>
            <w:shd w:val="clear" w:color="auto" w:fill="CCEE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648,800</w:t>
            </w:r>
          </w:p>
        </w:tc>
        <w:tc>
          <w:tcPr>
            <w:tcW w:w="50" w:type="pct"/>
            <w:shd w:val="clear" w:color="auto" w:fill="CCEE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84" w:type="pct"/>
            <w:shd w:val="clear" w:color="auto" w:fill="CCEE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CEE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556" w:type="pct"/>
            <w:shd w:val="clear" w:color="auto" w:fill="CCEE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(62,736</w:t>
            </w:r>
          </w:p>
        </w:tc>
        <w:tc>
          <w:tcPr>
            <w:tcW w:w="50" w:type="pct"/>
            <w:shd w:val="clear" w:color="auto" w:fill="CCEE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c>
          <w:tcPr>
            <w:tcW w:w="39" w:type="pct"/>
            <w:shd w:val="clear" w:color="auto" w:fill="CCEEFF"/>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50" w:type="pct"/>
            <w:shd w:val="clear" w:color="auto" w:fill="CCEE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 </w:t>
            </w:r>
          </w:p>
        </w:tc>
        <w:tc>
          <w:tcPr>
            <w:tcW w:w="669" w:type="pct"/>
            <w:shd w:val="clear" w:color="auto" w:fill="CCEEFF"/>
            <w:noWrap/>
            <w:tcMar>
              <w:top w:w="15" w:type="dxa"/>
              <w:left w:w="0" w:type="dxa"/>
              <w:bottom w:w="0" w:type="dxa"/>
              <w:right w:w="15" w:type="dxa"/>
            </w:tcMar>
            <w:vAlign w:val="bottom"/>
            <w:hideMark/>
          </w:tcPr>
          <w:p w:rsidR="00000000" w:rsidRDefault="00F20BDB">
            <w:pPr>
              <w:pStyle w:val="a3"/>
              <w:spacing w:before="0" w:beforeAutospacing="0" w:after="0" w:afterAutospacing="0"/>
              <w:jc w:val="right"/>
              <w:rPr>
                <w:color w:val="000000"/>
                <w:sz w:val="20"/>
                <w:szCs w:val="20"/>
              </w:rPr>
            </w:pPr>
            <w:r>
              <w:rPr>
                <w:color w:val="000000"/>
                <w:sz w:val="20"/>
                <w:szCs w:val="20"/>
              </w:rPr>
              <w:t>-8.8</w:t>
            </w:r>
          </w:p>
        </w:tc>
        <w:tc>
          <w:tcPr>
            <w:tcW w:w="50" w:type="pct"/>
            <w:shd w:val="clear" w:color="auto" w:fill="CCEEFF"/>
            <w:noWrap/>
            <w:tcMar>
              <w:top w:w="15" w:type="dxa"/>
              <w:left w:w="0" w:type="dxa"/>
              <w:bottom w:w="0" w:type="dxa"/>
              <w:right w:w="15" w:type="dxa"/>
            </w:tcMar>
            <w:vAlign w:val="bottom"/>
            <w:hideMark/>
          </w:tcPr>
          <w:p w:rsidR="00000000" w:rsidRDefault="00F20BDB">
            <w:pPr>
              <w:pStyle w:val="a3"/>
              <w:spacing w:before="0" w:beforeAutospacing="0" w:after="0" w:afterAutospacing="0"/>
              <w:rPr>
                <w:color w:val="000000"/>
                <w:sz w:val="20"/>
                <w:szCs w:val="20"/>
              </w:rPr>
            </w:pPr>
            <w:r>
              <w:rPr>
                <w:color w:val="000000"/>
                <w:sz w:val="20"/>
                <w:szCs w:val="20"/>
              </w:rPr>
              <w:t>%</w:t>
            </w:r>
          </w:p>
        </w:tc>
      </w:tr>
    </w:tbl>
    <w:p w:rsidR="00000000" w:rsidRDefault="00F20BDB">
      <w:pPr>
        <w:pStyle w:val="a3"/>
        <w:spacing w:before="0" w:beforeAutospacing="0" w:after="0" w:afterAutospacing="0"/>
        <w:rPr>
          <w:sz w:val="18"/>
          <w:szCs w:val="18"/>
        </w:rPr>
      </w:pPr>
      <w:r>
        <w:rPr>
          <w:sz w:val="18"/>
          <w:szCs w:val="18"/>
        </w:rPr>
        <w:t> </w:t>
      </w:r>
    </w:p>
    <w:p w:rsidR="00000000" w:rsidRDefault="00F20BDB">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tc>
          <w:tcPr>
            <w:tcW w:w="453" w:type="pct"/>
            <w:noWrap/>
            <w:hideMark/>
          </w:tcPr>
          <w:p w:rsidR="00000000" w:rsidRDefault="00F20BDB">
            <w:pPr>
              <w:pStyle w:val="a3"/>
              <w:spacing w:before="0" w:beforeAutospacing="0" w:after="0" w:afterAutospacing="0"/>
              <w:rPr>
                <w:b/>
                <w:bCs/>
                <w:sz w:val="20"/>
                <w:szCs w:val="20"/>
              </w:rPr>
            </w:pPr>
            <w:r>
              <w:rPr>
                <w:b/>
                <w:bCs/>
                <w:sz w:val="20"/>
                <w:szCs w:val="20"/>
              </w:rPr>
              <w:t>Item 4.</w:t>
            </w:r>
          </w:p>
        </w:tc>
        <w:tc>
          <w:tcPr>
            <w:tcW w:w="0" w:type="auto"/>
            <w:hideMark/>
          </w:tcPr>
          <w:p w:rsidR="00000000" w:rsidRDefault="00F20BDB">
            <w:pPr>
              <w:pStyle w:val="a3"/>
              <w:spacing w:before="0" w:beforeAutospacing="0" w:after="0" w:afterAutospacing="0"/>
              <w:rPr>
                <w:b/>
                <w:bCs/>
                <w:sz w:val="20"/>
                <w:szCs w:val="20"/>
              </w:rPr>
            </w:pPr>
            <w:bookmarkStart w:id="40" w:name="ITEM_4_CONTROLS_PROCEDURES"/>
            <w:bookmarkEnd w:id="40"/>
            <w:r>
              <w:rPr>
                <w:b/>
                <w:bCs/>
                <w:sz w:val="20"/>
                <w:szCs w:val="20"/>
              </w:rPr>
              <w:t>Controls and Procedures</w:t>
            </w:r>
          </w:p>
        </w:tc>
      </w:tr>
    </w:tbl>
    <w:p w:rsidR="00000000" w:rsidRDefault="00F20BDB">
      <w:pPr>
        <w:pStyle w:val="a3"/>
        <w:spacing w:before="120" w:beforeAutospacing="0" w:after="0" w:afterAutospacing="0"/>
        <w:ind w:firstLine="556"/>
        <w:rPr>
          <w:sz w:val="20"/>
          <w:szCs w:val="20"/>
        </w:rPr>
      </w:pPr>
      <w:r>
        <w:rPr>
          <w:sz w:val="20"/>
          <w:szCs w:val="20"/>
          <w:u w:val="single"/>
        </w:rPr>
        <w:t>Evaluation of Disclosure Controls and Procedures</w:t>
      </w:r>
      <w:r>
        <w:rPr>
          <w:sz w:val="20"/>
          <w:szCs w:val="20"/>
        </w:rPr>
        <w:t>. Our management, with the participation of our principal executive officer and principal financial officer, has evaluated the effectiveness of our disclosure controls and procedures (as defined in Rules 13a-15(e) and 15d-15(e) under the Securities Exchang</w:t>
      </w:r>
      <w:r>
        <w:rPr>
          <w:sz w:val="20"/>
          <w:szCs w:val="20"/>
        </w:rPr>
        <w:t>e Act of 1934, as amended (the “Exchange Act”)), as of the end of the period covered by this Quarterly Report on Form 10-Q. Based on such evaluation, our principal executive officer and principal financial officer have concluded that as of such date, our d</w:t>
      </w:r>
      <w:r>
        <w:rPr>
          <w:sz w:val="20"/>
          <w:szCs w:val="20"/>
        </w:rPr>
        <w:t>isclosure controls and procedures were effective.</w:t>
      </w:r>
    </w:p>
    <w:p w:rsidR="00000000" w:rsidRDefault="00F20BDB">
      <w:pPr>
        <w:pStyle w:val="a3"/>
        <w:spacing w:before="240" w:beforeAutospacing="0" w:after="0" w:afterAutospacing="0"/>
        <w:ind w:firstLine="556"/>
        <w:rPr>
          <w:sz w:val="20"/>
          <w:szCs w:val="20"/>
        </w:rPr>
      </w:pPr>
      <w:r>
        <w:rPr>
          <w:sz w:val="20"/>
          <w:szCs w:val="20"/>
          <w:u w:val="single"/>
        </w:rPr>
        <w:t>Changes in Internal Control Over Financial Reporting</w:t>
      </w:r>
      <w:r>
        <w:rPr>
          <w:sz w:val="20"/>
          <w:szCs w:val="20"/>
        </w:rPr>
        <w:t xml:space="preserve">. There was no change in our internal control over financial reporting (as defined in Rules 13a-15(f) and 15d-15(f) under the Exchange Act) that occurred </w:t>
      </w:r>
      <w:r>
        <w:rPr>
          <w:sz w:val="20"/>
          <w:szCs w:val="20"/>
        </w:rPr>
        <w:t xml:space="preserve">during the period covered by this Quarterly Report on Form 10-Q that has materially affected, or is reasonably likely to materially affect, our internal control over financial reporting. </w:t>
      </w:r>
    </w:p>
    <w:p w:rsidR="00000000" w:rsidRDefault="00F20BDB">
      <w:pPr>
        <w:pStyle w:val="a3"/>
        <w:spacing w:before="240" w:beforeAutospacing="0" w:after="0" w:afterAutospacing="0"/>
        <w:ind w:firstLine="556"/>
        <w:rPr>
          <w:sz w:val="20"/>
          <w:szCs w:val="20"/>
        </w:rPr>
      </w:pPr>
      <w:r>
        <w:rPr>
          <w:sz w:val="20"/>
          <w:szCs w:val="20"/>
          <w:u w:val="single"/>
        </w:rPr>
        <w:t>Inherent Limitations of Internal Controls</w:t>
      </w:r>
      <w:r>
        <w:rPr>
          <w:sz w:val="20"/>
          <w:szCs w:val="20"/>
        </w:rPr>
        <w:t>. Our management, including</w:t>
      </w:r>
      <w:r>
        <w:rPr>
          <w:sz w:val="20"/>
          <w:szCs w:val="20"/>
        </w:rPr>
        <w:t xml:space="preserve"> our Chief Executive Officer and Chief Financial Officer, does not expect that our disclosure controls and procedures or our internal controls will prevent all errors and all fraud. A control system, no matter how well conceived and operated, can provide o</w:t>
      </w:r>
      <w:r>
        <w:rPr>
          <w:sz w:val="20"/>
          <w:szCs w:val="20"/>
        </w:rPr>
        <w:t xml:space="preserve">nly reasonable, not absolute, assurance that the objectives of the control system are met. Because of the inherent limitations in all control systems, no evaluation of controls can provide absolute assurance that all control issues and instances of fraud, </w:t>
      </w:r>
      <w:r>
        <w:rPr>
          <w:sz w:val="20"/>
          <w:szCs w:val="20"/>
        </w:rPr>
        <w:t xml:space="preserve">if any, within the Company have been detected. These inherent limitations include the realities that judgments in decision-making can be faulty, and that breakdowns can occur because of a simple error or mistake. Additionally, controls can be circumvented </w:t>
      </w:r>
      <w:r>
        <w:rPr>
          <w:sz w:val="20"/>
          <w:szCs w:val="20"/>
        </w:rPr>
        <w:t>by the individual acts of some persons, by collusion of two or more people, or by management override of the control. The design of any system of controls also is based in part upon certain assumptions about the likelihood of future events, and there can b</w:t>
      </w:r>
      <w:r>
        <w:rPr>
          <w:sz w:val="20"/>
          <w:szCs w:val="20"/>
        </w:rPr>
        <w:t>e no assurance that any design will succeed in achieving its stated goals under all potential future conditions. Over time, controls may become inadequate because of changes in conditions, or the degree of compliance with the policies or procedures may det</w:t>
      </w:r>
      <w:r>
        <w:rPr>
          <w:sz w:val="20"/>
          <w:szCs w:val="20"/>
        </w:rPr>
        <w:t>eriorate. Because of the inherent limitations in a cost-effective control system, misstatements due to error or fraud may occur and not be detected.</w:t>
      </w:r>
    </w:p>
    <w:p w:rsidR="00000000" w:rsidRDefault="00F20BDB">
      <w:pPr>
        <w:pStyle w:val="a3"/>
        <w:spacing w:before="240" w:beforeAutospacing="0" w:after="0" w:afterAutospacing="0"/>
        <w:jc w:val="center"/>
        <w:rPr>
          <w:sz w:val="20"/>
          <w:szCs w:val="20"/>
        </w:rPr>
      </w:pPr>
      <w:r>
        <w:rPr>
          <w:sz w:val="20"/>
          <w:szCs w:val="20"/>
        </w:rPr>
        <w:t>30</w:t>
      </w:r>
    </w:p>
    <w:p w:rsidR="00000000" w:rsidRDefault="00F20BDB">
      <w:pPr>
        <w:rPr>
          <w:rFonts w:eastAsia="Times New Roman"/>
        </w:rPr>
      </w:pPr>
      <w:r>
        <w:rPr>
          <w:rFonts w:eastAsia="Times New Roman"/>
        </w:rPr>
        <w:pict>
          <v:rect id="_x0000_i1054"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jc w:val="center"/>
        <w:rPr>
          <w:b/>
          <w:bCs/>
          <w:sz w:val="20"/>
          <w:szCs w:val="20"/>
        </w:rPr>
      </w:pPr>
      <w:bookmarkStart w:id="41" w:name="_AEIOULastRenderedPageBreakAEIOU25"/>
      <w:bookmarkStart w:id="42" w:name="PART_II"/>
      <w:bookmarkEnd w:id="41"/>
      <w:bookmarkEnd w:id="42"/>
      <w:r>
        <w:rPr>
          <w:b/>
          <w:bCs/>
          <w:sz w:val="20"/>
          <w:szCs w:val="20"/>
        </w:rPr>
        <w:t>PART II</w:t>
      </w:r>
    </w:p>
    <w:p w:rsidR="00000000" w:rsidRDefault="00F20BDB">
      <w:pPr>
        <w:pStyle w:val="a3"/>
        <w:spacing w:before="0" w:beforeAutospacing="0" w:after="0" w:afterAutospacing="0"/>
        <w:jc w:val="center"/>
        <w:rPr>
          <w:b/>
          <w:bCs/>
          <w:sz w:val="20"/>
          <w:szCs w:val="20"/>
        </w:rPr>
      </w:pPr>
      <w:r>
        <w:rPr>
          <w:b/>
          <w:bCs/>
          <w:sz w:val="20"/>
          <w:szCs w:val="20"/>
        </w:rPr>
        <w:t>Other Information</w:t>
      </w:r>
    </w:p>
    <w:p w:rsidR="00000000" w:rsidRDefault="00F20BDB">
      <w:pPr>
        <w:pStyle w:val="a3"/>
        <w:spacing w:before="0" w:beforeAutospacing="0" w:after="0" w:afterAutospacing="0"/>
        <w:rPr>
          <w:sz w:val="12"/>
          <w:szCs w:val="12"/>
        </w:rPr>
      </w:pPr>
      <w:r>
        <w:rPr>
          <w:sz w:val="12"/>
          <w:szCs w:val="12"/>
        </w:rPr>
        <w:t> </w:t>
      </w:r>
    </w:p>
    <w:p w:rsidR="00000000" w:rsidRDefault="00F20BD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753"/>
        <w:gridCol w:w="7553"/>
      </w:tblGrid>
      <w:tr w:rsidR="00000000">
        <w:tc>
          <w:tcPr>
            <w:tcW w:w="453" w:type="pct"/>
            <w:noWrap/>
            <w:hideMark/>
          </w:tcPr>
          <w:p w:rsidR="00000000" w:rsidRDefault="00F20BDB">
            <w:pPr>
              <w:pStyle w:val="a3"/>
              <w:spacing w:before="0" w:beforeAutospacing="0" w:after="0" w:afterAutospacing="0"/>
              <w:rPr>
                <w:b/>
                <w:bCs/>
                <w:sz w:val="20"/>
                <w:szCs w:val="20"/>
              </w:rPr>
            </w:pPr>
            <w:r>
              <w:rPr>
                <w:b/>
                <w:bCs/>
                <w:sz w:val="20"/>
                <w:szCs w:val="20"/>
              </w:rPr>
              <w:t>Item 1.</w:t>
            </w:r>
          </w:p>
        </w:tc>
        <w:tc>
          <w:tcPr>
            <w:tcW w:w="0" w:type="auto"/>
            <w:hideMark/>
          </w:tcPr>
          <w:p w:rsidR="00000000" w:rsidRDefault="00F20BDB">
            <w:pPr>
              <w:pStyle w:val="a3"/>
              <w:spacing w:before="0" w:beforeAutospacing="0" w:after="0" w:afterAutospacing="0"/>
              <w:rPr>
                <w:b/>
                <w:bCs/>
                <w:sz w:val="20"/>
                <w:szCs w:val="20"/>
              </w:rPr>
            </w:pPr>
            <w:bookmarkStart w:id="43" w:name="ITEM_1_LEGAL_PROCEEDINGS"/>
            <w:bookmarkEnd w:id="43"/>
            <w:r>
              <w:rPr>
                <w:b/>
                <w:bCs/>
                <w:sz w:val="20"/>
                <w:szCs w:val="20"/>
              </w:rPr>
              <w:t>Legal Proceedings</w:t>
            </w:r>
          </w:p>
        </w:tc>
      </w:tr>
    </w:tbl>
    <w:p w:rsidR="00000000" w:rsidRDefault="00F20BDB">
      <w:pPr>
        <w:pStyle w:val="a3"/>
        <w:spacing w:before="120" w:beforeAutospacing="0" w:after="0" w:afterAutospacing="0"/>
        <w:ind w:firstLine="556"/>
        <w:rPr>
          <w:sz w:val="20"/>
          <w:szCs w:val="20"/>
        </w:rPr>
      </w:pPr>
      <w:r>
        <w:rPr>
          <w:sz w:val="20"/>
          <w:szCs w:val="20"/>
        </w:rPr>
        <w:t>From time to time we may become involved in legal proceedings or be subject to claims arising in the ordinary course of o</w:t>
      </w:r>
      <w:r>
        <w:rPr>
          <w:sz w:val="20"/>
          <w:szCs w:val="20"/>
        </w:rPr>
        <w:t>ur business. Although the results of litigation and claims cannot be predicted with certainty, we currently believe that the final outcome of these ordinary course matters will not have a material adverse effect on our business, operating results, financia</w:t>
      </w:r>
      <w:r>
        <w:rPr>
          <w:sz w:val="20"/>
          <w:szCs w:val="20"/>
        </w:rPr>
        <w:t>l condition or cash flows. Regardless of the outcome, litigation can have an adverse impact on us because of defense and settlement costs, diversion of management resources and other factors.</w:t>
      </w:r>
    </w:p>
    <w:p w:rsidR="00000000" w:rsidRDefault="00F20BDB">
      <w:pPr>
        <w:pStyle w:val="a3"/>
        <w:spacing w:before="0" w:beforeAutospacing="0" w:after="0" w:afterAutospacing="0"/>
        <w:rPr>
          <w:sz w:val="18"/>
          <w:szCs w:val="18"/>
        </w:rPr>
      </w:pPr>
      <w:r>
        <w:rPr>
          <w:sz w:val="18"/>
          <w:szCs w:val="18"/>
        </w:rPr>
        <w:t> </w:t>
      </w:r>
    </w:p>
    <w:p w:rsidR="00000000" w:rsidRDefault="00F20BDB">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tc>
          <w:tcPr>
            <w:tcW w:w="453" w:type="pct"/>
            <w:noWrap/>
            <w:hideMark/>
          </w:tcPr>
          <w:p w:rsidR="00000000" w:rsidRDefault="00F20BDB">
            <w:pPr>
              <w:pStyle w:val="a3"/>
              <w:spacing w:before="0" w:beforeAutospacing="0" w:after="0" w:afterAutospacing="0"/>
              <w:rPr>
                <w:b/>
                <w:bCs/>
                <w:color w:val="000000"/>
                <w:sz w:val="20"/>
                <w:szCs w:val="20"/>
              </w:rPr>
            </w:pPr>
            <w:r>
              <w:rPr>
                <w:b/>
                <w:bCs/>
                <w:color w:val="000000"/>
                <w:sz w:val="20"/>
                <w:szCs w:val="20"/>
              </w:rPr>
              <w:t>Item 1A.</w:t>
            </w:r>
          </w:p>
        </w:tc>
        <w:tc>
          <w:tcPr>
            <w:tcW w:w="0" w:type="auto"/>
            <w:hideMark/>
          </w:tcPr>
          <w:p w:rsidR="00000000" w:rsidRDefault="00F20BDB">
            <w:pPr>
              <w:pStyle w:val="a3"/>
              <w:spacing w:before="0" w:beforeAutospacing="0" w:after="0" w:afterAutospacing="0"/>
              <w:rPr>
                <w:b/>
                <w:bCs/>
                <w:color w:val="000000"/>
                <w:sz w:val="20"/>
                <w:szCs w:val="20"/>
              </w:rPr>
            </w:pPr>
            <w:bookmarkStart w:id="44" w:name="ITEM_1A_RISK_FACTORS"/>
            <w:bookmarkEnd w:id="44"/>
            <w:r>
              <w:rPr>
                <w:b/>
                <w:bCs/>
                <w:color w:val="000000"/>
                <w:sz w:val="20"/>
                <w:szCs w:val="20"/>
              </w:rPr>
              <w:t>RISK FACTORS</w:t>
            </w:r>
          </w:p>
        </w:tc>
      </w:tr>
    </w:tbl>
    <w:p w:rsidR="00000000" w:rsidRDefault="00F20BDB">
      <w:pPr>
        <w:pStyle w:val="a3"/>
        <w:spacing w:before="120" w:beforeAutospacing="0" w:after="0" w:afterAutospacing="0"/>
        <w:ind w:firstLine="556"/>
        <w:rPr>
          <w:i/>
          <w:iCs/>
          <w:sz w:val="20"/>
          <w:szCs w:val="20"/>
        </w:rPr>
      </w:pPr>
      <w:r>
        <w:rPr>
          <w:i/>
          <w:iCs/>
          <w:sz w:val="20"/>
          <w:szCs w:val="20"/>
        </w:rPr>
        <w:t xml:space="preserve">An investment in our common stock involves a high degree of risk. You should carefully consider the risks described below and the other information in this Quarterly Report on Form 10-Q and in our other public filings before making an investment decision. </w:t>
      </w:r>
      <w:r>
        <w:rPr>
          <w:i/>
          <w:iCs/>
          <w:sz w:val="20"/>
          <w:szCs w:val="20"/>
        </w:rPr>
        <w:t>Our business, prospects, financial condition, or operating results could be harmed by any of these risks, as well as other risks not currently known to us or that we currently consider immaterial. If any of such risks and uncertainties actually occurs, our</w:t>
      </w:r>
      <w:r>
        <w:rPr>
          <w:i/>
          <w:iCs/>
          <w:sz w:val="20"/>
          <w:szCs w:val="20"/>
        </w:rPr>
        <w:t xml:space="preserve"> business, financial condition or operating results could differ materially from the plans, projections and other forward-looking statements included in the section titled “Management’s Discussion and Analysis of Financial Condition and Results of Operatio</w:t>
      </w:r>
      <w:r>
        <w:rPr>
          <w:i/>
          <w:iCs/>
          <w:sz w:val="20"/>
          <w:szCs w:val="20"/>
        </w:rPr>
        <w:t>ns” and elsewhere in this report and in our other public filings. The trading price of our common stock could decline due to any of these risks, and, as a result, you may lose all or part of your investment.</w:t>
      </w:r>
    </w:p>
    <w:p w:rsidR="00000000" w:rsidRDefault="00F20BDB">
      <w:pPr>
        <w:pStyle w:val="a3"/>
        <w:spacing w:before="360" w:beforeAutospacing="0" w:after="0" w:afterAutospacing="0"/>
        <w:rPr>
          <w:b/>
          <w:bCs/>
          <w:sz w:val="20"/>
          <w:szCs w:val="20"/>
        </w:rPr>
      </w:pPr>
      <w:r>
        <w:rPr>
          <w:b/>
          <w:bCs/>
          <w:sz w:val="20"/>
          <w:szCs w:val="20"/>
        </w:rPr>
        <w:t>Risks Related to Our Business and Strategy</w:t>
      </w:r>
    </w:p>
    <w:p w:rsidR="00000000" w:rsidRDefault="00F20BDB">
      <w:pPr>
        <w:pStyle w:val="a3"/>
        <w:spacing w:before="120" w:beforeAutospacing="0" w:after="0" w:afterAutospacing="0"/>
        <w:rPr>
          <w:b/>
          <w:bCs/>
          <w:i/>
          <w:iCs/>
          <w:sz w:val="20"/>
          <w:szCs w:val="20"/>
        </w:rPr>
      </w:pPr>
      <w:r>
        <w:rPr>
          <w:b/>
          <w:bCs/>
          <w:i/>
          <w:iCs/>
          <w:sz w:val="20"/>
          <w:szCs w:val="20"/>
        </w:rPr>
        <w:t>We ha</w:t>
      </w:r>
      <w:r>
        <w:rPr>
          <w:b/>
          <w:bCs/>
          <w:i/>
          <w:iCs/>
          <w:sz w:val="20"/>
          <w:szCs w:val="20"/>
        </w:rPr>
        <w:t>ve a history of losses and may not achieve profitability in the future.</w:t>
      </w:r>
    </w:p>
    <w:p w:rsidR="00000000" w:rsidRDefault="00F20BDB">
      <w:pPr>
        <w:pStyle w:val="a3"/>
        <w:spacing w:before="120" w:beforeAutospacing="0" w:after="0" w:afterAutospacing="0"/>
        <w:ind w:firstLine="556"/>
        <w:rPr>
          <w:sz w:val="20"/>
          <w:szCs w:val="20"/>
        </w:rPr>
      </w:pPr>
      <w:r>
        <w:rPr>
          <w:sz w:val="20"/>
          <w:szCs w:val="20"/>
        </w:rPr>
        <w:t>We generated net losses of $11.1 million and $15.4 million for the three months ended March 31, 2019 and 2018, respectively. As of March 31, 2019, we had an accumulated deficit of $355</w:t>
      </w:r>
      <w:r>
        <w:rPr>
          <w:sz w:val="20"/>
          <w:szCs w:val="20"/>
        </w:rPr>
        <w:t>.5 million. We will need to generate and sustain increased revenue levels in future periods to become profitable, and, even if we do, we may not be able to maintain or increase our level of profitability. We intend to continue to expend significant funds t</w:t>
      </w:r>
      <w:r>
        <w:rPr>
          <w:sz w:val="20"/>
          <w:szCs w:val="20"/>
        </w:rPr>
        <w:t>o grow our marketing, sales and customer service operations, develop and enhance our Growth Platform, scale our data center infrastructure and services capabilities and expand into new markets. Our efforts to grow our business may be more costly than we ex</w:t>
      </w:r>
      <w:r>
        <w:rPr>
          <w:sz w:val="20"/>
          <w:szCs w:val="20"/>
        </w:rPr>
        <w:t>pect, and we may not be able to increase our revenue enough to offset our higher operating expenses. We may incur significant losses in the future for a number of reasons, including the other risks described in this Quarterly Report on Form 10-Q, and unfor</w:t>
      </w:r>
      <w:r>
        <w:rPr>
          <w:sz w:val="20"/>
          <w:szCs w:val="20"/>
        </w:rPr>
        <w:t>eseen expenses, difficulties, complications and delays and other unknown events. If we are unable to achieve and sustain profitability, the market price of our common stock may significantly decrease.</w:t>
      </w:r>
    </w:p>
    <w:p w:rsidR="00000000" w:rsidRDefault="00F20BDB">
      <w:pPr>
        <w:pStyle w:val="a3"/>
        <w:spacing w:before="360" w:beforeAutospacing="0" w:after="0" w:afterAutospacing="0"/>
        <w:rPr>
          <w:b/>
          <w:bCs/>
          <w:i/>
          <w:iCs/>
          <w:sz w:val="20"/>
          <w:szCs w:val="20"/>
        </w:rPr>
      </w:pPr>
      <w:r>
        <w:rPr>
          <w:b/>
          <w:bCs/>
          <w:i/>
          <w:iCs/>
          <w:sz w:val="20"/>
          <w:szCs w:val="20"/>
        </w:rPr>
        <w:t>We are dependent upon customer renewals, the addition o</w:t>
      </w:r>
      <w:r>
        <w:rPr>
          <w:b/>
          <w:bCs/>
          <w:i/>
          <w:iCs/>
          <w:sz w:val="20"/>
          <w:szCs w:val="20"/>
        </w:rPr>
        <w:t>f new customers, increased revenue from existing customers and the continued growth of the market for a Growth Platform.</w:t>
      </w:r>
    </w:p>
    <w:p w:rsidR="00000000" w:rsidRDefault="00F20BDB">
      <w:pPr>
        <w:pStyle w:val="a3"/>
        <w:spacing w:before="120" w:beforeAutospacing="0" w:after="0" w:afterAutospacing="0"/>
        <w:ind w:firstLine="556"/>
        <w:rPr>
          <w:color w:val="000000"/>
          <w:sz w:val="20"/>
          <w:szCs w:val="20"/>
        </w:rPr>
      </w:pPr>
      <w:r>
        <w:rPr>
          <w:color w:val="000000"/>
          <w:sz w:val="20"/>
          <w:szCs w:val="20"/>
        </w:rPr>
        <w:t>We derive, and expect to continue to derive, a substantial portion of our revenue from the sale of subscriptions to our Growth Platform. The market for inbound marketing, sales and customer service products is still evolving, and competitive dynamics may c</w:t>
      </w:r>
      <w:r>
        <w:rPr>
          <w:color w:val="000000"/>
          <w:sz w:val="20"/>
          <w:szCs w:val="20"/>
        </w:rPr>
        <w:t>ause pricing levels to change as the market matures and as existing and new market participants introduce new types of point applications and different approaches to enable businesses to address their respective needs. As a result, we may be forced to redu</w:t>
      </w:r>
      <w:r>
        <w:rPr>
          <w:color w:val="000000"/>
          <w:sz w:val="20"/>
          <w:szCs w:val="20"/>
        </w:rPr>
        <w:t>ce the prices we charge for our platform and may be unable to renew existing customer agreements or enter into new customer agreements at the same prices and upon the same terms that we have historically. In addition, our growth strategy involves a scalabl</w:t>
      </w:r>
      <w:r>
        <w:rPr>
          <w:color w:val="000000"/>
          <w:sz w:val="20"/>
          <w:szCs w:val="20"/>
        </w:rPr>
        <w:t>e pricing model (including “freemium” versions of our products) intended to provide us with an opportunity to increase the value of our customer relationships over time as we expand their use of our platform, sell to other parts of their organizations, cro</w:t>
      </w:r>
      <w:r>
        <w:rPr>
          <w:color w:val="000000"/>
          <w:sz w:val="20"/>
          <w:szCs w:val="20"/>
        </w:rPr>
        <w:t xml:space="preserve">ss-sell our sales products to existing marketing product customers and vice versa through touchless or low touch in product purchases, and upsell additional offerings and features. If our cross-selling efforts are unsuccessful or if our existing customers </w:t>
      </w:r>
      <w:r>
        <w:rPr>
          <w:color w:val="000000"/>
          <w:sz w:val="20"/>
          <w:szCs w:val="20"/>
        </w:rPr>
        <w:t>do not expand their use of our platform or adopt additional offerings and features, our operating results may suffer.</w:t>
      </w:r>
    </w:p>
    <w:p w:rsidR="00000000" w:rsidRDefault="00F20BDB">
      <w:pPr>
        <w:pStyle w:val="a3"/>
        <w:spacing w:before="240" w:beforeAutospacing="0" w:after="0" w:afterAutospacing="0"/>
        <w:jc w:val="center"/>
        <w:rPr>
          <w:sz w:val="20"/>
          <w:szCs w:val="20"/>
        </w:rPr>
      </w:pPr>
      <w:r>
        <w:rPr>
          <w:sz w:val="20"/>
          <w:szCs w:val="20"/>
        </w:rPr>
        <w:t>31</w:t>
      </w:r>
    </w:p>
    <w:p w:rsidR="00000000" w:rsidRDefault="00F20BDB">
      <w:pPr>
        <w:rPr>
          <w:rFonts w:eastAsia="Times New Roman"/>
        </w:rPr>
      </w:pPr>
      <w:r>
        <w:rPr>
          <w:rFonts w:eastAsia="Times New Roman"/>
        </w:rPr>
        <w:pict>
          <v:rect id="_x0000_i1055"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360" w:beforeAutospacing="0" w:after="0" w:afterAutospacing="0"/>
        <w:rPr>
          <w:b/>
          <w:bCs/>
          <w:i/>
          <w:iCs/>
          <w:color w:val="000000"/>
          <w:sz w:val="20"/>
          <w:szCs w:val="20"/>
        </w:rPr>
      </w:pPr>
      <w:bookmarkStart w:id="45" w:name="_AEIOULastRenderedPageBreakAEIOU26"/>
      <w:bookmarkEnd w:id="45"/>
      <w:r>
        <w:rPr>
          <w:b/>
          <w:bCs/>
          <w:i/>
          <w:iCs/>
          <w:color w:val="000000"/>
          <w:sz w:val="20"/>
          <w:szCs w:val="20"/>
        </w:rPr>
        <w:t>Our subscription renewal rates may decrease, and any decrease could harm our future revenue and operating results.</w:t>
      </w:r>
    </w:p>
    <w:p w:rsidR="00000000" w:rsidRDefault="00F20BDB">
      <w:pPr>
        <w:pStyle w:val="a3"/>
        <w:spacing w:before="120" w:beforeAutospacing="0" w:after="0" w:afterAutospacing="0"/>
        <w:ind w:firstLine="556"/>
        <w:rPr>
          <w:color w:val="000000"/>
          <w:sz w:val="20"/>
          <w:szCs w:val="20"/>
        </w:rPr>
      </w:pPr>
      <w:r>
        <w:rPr>
          <w:color w:val="000000"/>
          <w:sz w:val="20"/>
          <w:szCs w:val="20"/>
        </w:rPr>
        <w:t>Our customers have no obligation to renew their subscriptions for our platform after the expi</w:t>
      </w:r>
      <w:r>
        <w:rPr>
          <w:color w:val="000000"/>
          <w:sz w:val="20"/>
          <w:szCs w:val="20"/>
        </w:rPr>
        <w:t xml:space="preserve">ration of their subscription periods, substantially all of which are one year or less. In addition, our customers may seek to renew for lower subscription amounts or for shorter contract lengths. Also, customers may choose not to renew their subscriptions </w:t>
      </w:r>
      <w:r>
        <w:rPr>
          <w:color w:val="000000"/>
          <w:sz w:val="20"/>
          <w:szCs w:val="20"/>
        </w:rPr>
        <w:t>for a variety of reasons. Our renewal rates may decline or fluctuate as a result of a number of factors, including limited customer resources, pricing changes, the prices of services offered by our competitors,</w:t>
      </w:r>
      <w:r>
        <w:rPr>
          <w:color w:val="000000"/>
          <w:sz w:val="19"/>
          <w:szCs w:val="19"/>
        </w:rPr>
        <w:t xml:space="preserve"> </w:t>
      </w:r>
      <w:r>
        <w:rPr>
          <w:color w:val="000000"/>
          <w:sz w:val="20"/>
          <w:szCs w:val="20"/>
        </w:rPr>
        <w:t xml:space="preserve">adoption and utilization of our platform and </w:t>
      </w:r>
      <w:r>
        <w:rPr>
          <w:color w:val="000000"/>
          <w:sz w:val="20"/>
          <w:szCs w:val="20"/>
        </w:rPr>
        <w:t xml:space="preserve">add-on applications by our customers, adoption of our new products, customer satisfaction with our platform, mergers and acquisitions affecting our customer base, reductions in our customers’ spending levels or declines in customer activity as a result of </w:t>
      </w:r>
      <w:r>
        <w:rPr>
          <w:color w:val="000000"/>
          <w:sz w:val="20"/>
          <w:szCs w:val="20"/>
        </w:rPr>
        <w:t>economic downturns or uncertainty in financial markets. If our customers do not renew their subscriptions for our platform or decrease the amount they spend with us, our revenue will decline and our business will suffer. In addition, a subscription model c</w:t>
      </w:r>
      <w:r>
        <w:rPr>
          <w:color w:val="000000"/>
          <w:sz w:val="20"/>
          <w:szCs w:val="20"/>
        </w:rPr>
        <w:t>reates certain risks related to the timing of revenue recognition and potential reductions in cash flows. A portion of the subscription-based revenue we report each quarter results from the recognition of deferred revenue relating to subscription agreement</w:t>
      </w:r>
      <w:r>
        <w:rPr>
          <w:color w:val="000000"/>
          <w:sz w:val="20"/>
          <w:szCs w:val="20"/>
        </w:rPr>
        <w:t>s entered into during previous quarters. A decline in new or renewed subscriptions in any period may not be immediately reflected in our reported financial results for that period, but may result in a decline in our revenue in future quarters. If we were t</w:t>
      </w:r>
      <w:r>
        <w:rPr>
          <w:color w:val="000000"/>
          <w:sz w:val="20"/>
          <w:szCs w:val="20"/>
        </w:rPr>
        <w:t xml:space="preserve">o experience significant downturns in subscription sales and renewal rates, our reported financial results might not reflect such downturns until future periods. </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We face significant competition from both established and new companies offering marketing, s</w:t>
      </w:r>
      <w:r>
        <w:rPr>
          <w:b/>
          <w:bCs/>
          <w:i/>
          <w:iCs/>
          <w:color w:val="000000"/>
          <w:sz w:val="20"/>
          <w:szCs w:val="20"/>
        </w:rPr>
        <w:t>ales and customer service software and other related applications, as well as internally developed software, which may harm our ability to add new customers, retain existing customers and grow our business.</w:t>
      </w:r>
    </w:p>
    <w:p w:rsidR="00000000" w:rsidRDefault="00F20BDB">
      <w:pPr>
        <w:pStyle w:val="a3"/>
        <w:spacing w:before="120" w:beforeAutospacing="0" w:after="0" w:afterAutospacing="0"/>
        <w:ind w:firstLine="556"/>
        <w:rPr>
          <w:color w:val="000000"/>
          <w:sz w:val="20"/>
          <w:szCs w:val="20"/>
        </w:rPr>
      </w:pPr>
      <w:r>
        <w:rPr>
          <w:color w:val="000000"/>
          <w:sz w:val="20"/>
          <w:szCs w:val="20"/>
        </w:rPr>
        <w:t>The marketing, sales and customer service softwar</w:t>
      </w:r>
      <w:r>
        <w:rPr>
          <w:color w:val="000000"/>
          <w:sz w:val="20"/>
          <w:szCs w:val="20"/>
        </w:rPr>
        <w:t xml:space="preserve">e market is evolving, highly competitive and significantly fragmented. With the introduction of new technologies and the potential entry of new competitors into the market, we expect competition to persist and intensify in the future, which could harm our </w:t>
      </w:r>
      <w:r>
        <w:rPr>
          <w:color w:val="000000"/>
          <w:sz w:val="20"/>
          <w:szCs w:val="20"/>
        </w:rPr>
        <w:t>ability to increase sales, maintain or increase renewals and maintain our prices.</w:t>
      </w:r>
    </w:p>
    <w:p w:rsidR="00000000" w:rsidRDefault="00F20BDB">
      <w:pPr>
        <w:pStyle w:val="a3"/>
        <w:spacing w:before="240" w:beforeAutospacing="0" w:after="0" w:afterAutospacing="0"/>
        <w:ind w:firstLine="556"/>
        <w:rPr>
          <w:color w:val="000000"/>
          <w:sz w:val="20"/>
          <w:szCs w:val="20"/>
        </w:rPr>
      </w:pPr>
      <w:r>
        <w:rPr>
          <w:color w:val="000000"/>
          <w:sz w:val="20"/>
          <w:szCs w:val="20"/>
        </w:rPr>
        <w:t>We face intense competition from other software companies that develop marketing, sales and customer service software and from marketing services companies that provide inter</w:t>
      </w:r>
      <w:r>
        <w:rPr>
          <w:color w:val="000000"/>
          <w:sz w:val="20"/>
          <w:szCs w:val="20"/>
        </w:rPr>
        <w:t>active marketing services. Competition could significantly impede our ability to sell subscriptions to our Growth Platform on terms favorable to us. Our current and potential competitors may develop and market new technologies that render our existing or f</w:t>
      </w:r>
      <w:r>
        <w:rPr>
          <w:color w:val="000000"/>
          <w:sz w:val="20"/>
          <w:szCs w:val="20"/>
        </w:rPr>
        <w:t>uture products less competitive, or obsolete. In addition, if these competitors develop products with similar or superior functionality to our platform, we may need to decrease the prices or accept less favorable terms for our platform subscriptions in ord</w:t>
      </w:r>
      <w:r>
        <w:rPr>
          <w:color w:val="000000"/>
          <w:sz w:val="20"/>
          <w:szCs w:val="20"/>
        </w:rPr>
        <w:t>er to remain competitive. If we are unable to maintain our pricing due to competitive pressures, our margins will be reduced and our operating results will be negatively affected.</w:t>
      </w:r>
    </w:p>
    <w:p w:rsidR="00000000" w:rsidRDefault="00F20BDB">
      <w:pPr>
        <w:pStyle w:val="a3"/>
        <w:spacing w:before="240" w:beforeAutospacing="0" w:after="0" w:afterAutospacing="0"/>
        <w:ind w:firstLine="556"/>
        <w:rPr>
          <w:color w:val="000000"/>
          <w:sz w:val="20"/>
          <w:szCs w:val="20"/>
        </w:rPr>
      </w:pPr>
      <w:r>
        <w:rPr>
          <w:color w:val="000000"/>
          <w:sz w:val="20"/>
          <w:szCs w:val="20"/>
        </w:rPr>
        <w:t>Our competitors include:</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cloud-based marketing automation providers;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email marketing software vendors;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sales force automation and CRM software vendors; and</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large-scale enterprise suites.</w:t>
            </w:r>
          </w:p>
        </w:tc>
      </w:tr>
    </w:tbl>
    <w:p w:rsidR="00000000" w:rsidRDefault="00F20BDB">
      <w:pPr>
        <w:pStyle w:val="a3"/>
        <w:spacing w:before="240" w:beforeAutospacing="0" w:after="0" w:afterAutospacing="0"/>
        <w:ind w:firstLine="556"/>
        <w:rPr>
          <w:color w:val="000000"/>
          <w:sz w:val="20"/>
          <w:szCs w:val="20"/>
        </w:rPr>
      </w:pPr>
      <w:r>
        <w:rPr>
          <w:color w:val="000000"/>
          <w:sz w:val="20"/>
          <w:szCs w:val="20"/>
        </w:rPr>
        <w:t xml:space="preserve">In addition, instead of using our platform, some prospective customers may </w:t>
      </w:r>
      <w:r>
        <w:rPr>
          <w:color w:val="000000"/>
          <w:sz w:val="20"/>
          <w:szCs w:val="20"/>
        </w:rPr>
        <w:t>elect to combine disparate point applications, such as content management, marketing automation, CRM, analytics and social media management. We expect that new competitors, such as enterprise software vendors that have traditionally focused on enterprise r</w:t>
      </w:r>
      <w:r>
        <w:rPr>
          <w:color w:val="000000"/>
          <w:sz w:val="20"/>
          <w:szCs w:val="20"/>
        </w:rPr>
        <w:t xml:space="preserve">esource planning or other applications supporting back office functions, will develop and introduce applications serving customer-facing and other front office functions. This development could have an adverse effect on our business, operating results and </w:t>
      </w:r>
      <w:r>
        <w:rPr>
          <w:color w:val="000000"/>
          <w:sz w:val="20"/>
          <w:szCs w:val="20"/>
        </w:rPr>
        <w:t>financial condition. In addition, sales force automation and CRM system vendors could acquire or develop applications that compete with our marketing software offerings. Some of these companies have acquired social media marketing and other marketing softw</w:t>
      </w:r>
      <w:r>
        <w:rPr>
          <w:color w:val="000000"/>
          <w:sz w:val="20"/>
          <w:szCs w:val="20"/>
        </w:rPr>
        <w:t>are providers to integrate with their broader offerings.</w:t>
      </w:r>
    </w:p>
    <w:p w:rsidR="00000000" w:rsidRDefault="00F20BDB">
      <w:pPr>
        <w:pStyle w:val="a3"/>
        <w:spacing w:before="240" w:beforeAutospacing="0" w:after="0" w:afterAutospacing="0"/>
        <w:ind w:firstLine="556"/>
        <w:rPr>
          <w:color w:val="000000"/>
          <w:sz w:val="20"/>
          <w:szCs w:val="20"/>
        </w:rPr>
      </w:pPr>
      <w:r>
        <w:rPr>
          <w:color w:val="000000"/>
          <w:sz w:val="20"/>
          <w:szCs w:val="20"/>
        </w:rPr>
        <w:t xml:space="preserve">Our current and potential competitors may have significantly more financial, technical, marketing and other resources than we have, be able to devote greater resources to the development, promotion, </w:t>
      </w:r>
      <w:r>
        <w:rPr>
          <w:color w:val="000000"/>
          <w:sz w:val="20"/>
          <w:szCs w:val="20"/>
        </w:rPr>
        <w:t>sale and support of their products and services, may have more extensive customer bases and broader customer relationships than we have, and may have longer operating histories and greater name recognition than we have. As a result, these competitors may r</w:t>
      </w:r>
      <w:r>
        <w:rPr>
          <w:color w:val="000000"/>
          <w:sz w:val="20"/>
          <w:szCs w:val="20"/>
        </w:rPr>
        <w:t>espond faster to new technologies and undertake more extensive marketing campaigns for their products. In a few cases, these vendors may also be able to offer marketing, sales and customer service software at little or no additional cost by bundling it wit</w:t>
      </w:r>
      <w:r>
        <w:rPr>
          <w:color w:val="000000"/>
          <w:sz w:val="20"/>
          <w:szCs w:val="20"/>
        </w:rPr>
        <w:t>h their existing suite of applications. To the extent any of our competitors has existing relationships with potential customers for either marketing software or other applications, those customers may be unwilling to purchase our platform because of their</w:t>
      </w:r>
      <w:r>
        <w:rPr>
          <w:color w:val="000000"/>
          <w:sz w:val="20"/>
          <w:szCs w:val="20"/>
        </w:rPr>
        <w:t xml:space="preserve"> existing relationships with our competitor. If we are unable to compete with such companies, the demand for our Growth Platform could substantially decline.</w:t>
      </w:r>
    </w:p>
    <w:p w:rsidR="00000000" w:rsidRDefault="00F20BDB">
      <w:pPr>
        <w:pStyle w:val="a3"/>
        <w:spacing w:before="240" w:beforeAutospacing="0" w:after="0" w:afterAutospacing="0"/>
        <w:jc w:val="center"/>
        <w:rPr>
          <w:sz w:val="20"/>
          <w:szCs w:val="20"/>
        </w:rPr>
      </w:pPr>
      <w:r>
        <w:rPr>
          <w:sz w:val="20"/>
          <w:szCs w:val="20"/>
        </w:rPr>
        <w:t>32</w:t>
      </w:r>
    </w:p>
    <w:p w:rsidR="00000000" w:rsidRDefault="00F20BDB">
      <w:pPr>
        <w:rPr>
          <w:rFonts w:eastAsia="Times New Roman"/>
        </w:rPr>
      </w:pPr>
      <w:r>
        <w:rPr>
          <w:rFonts w:eastAsia="Times New Roman"/>
        </w:rPr>
        <w:pict>
          <v:rect id="_x0000_i1056"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240" w:beforeAutospacing="0" w:after="0" w:afterAutospacing="0"/>
        <w:ind w:firstLine="556"/>
        <w:rPr>
          <w:color w:val="000000"/>
          <w:sz w:val="20"/>
          <w:szCs w:val="20"/>
        </w:rPr>
      </w:pPr>
      <w:bookmarkStart w:id="46" w:name="_AEIOULastRenderedPageBreakAEIOU27"/>
      <w:bookmarkEnd w:id="46"/>
      <w:r>
        <w:rPr>
          <w:color w:val="000000"/>
          <w:sz w:val="20"/>
          <w:szCs w:val="20"/>
        </w:rPr>
        <w:t>In addition, if one or more of our competitors were to merge or partner wi</w:t>
      </w:r>
      <w:r>
        <w:rPr>
          <w:color w:val="000000"/>
          <w:sz w:val="20"/>
          <w:szCs w:val="20"/>
        </w:rPr>
        <w:t>th another of our competitors, our ability to compete effectively could be adversely affected. Our competitors may also establish or strengthen cooperative relationships with our current or future strategic distribution and technology partners or other par</w:t>
      </w:r>
      <w:r>
        <w:rPr>
          <w:color w:val="000000"/>
          <w:sz w:val="20"/>
          <w:szCs w:val="20"/>
        </w:rPr>
        <w:t>ties with whom we have relationships, thereby limiting our ability to promote and implement our platform. We may not be able to compete successfully against current or future competitors, and competitive pressures may harm our business, operating results a</w:t>
      </w:r>
      <w:r>
        <w:rPr>
          <w:color w:val="000000"/>
          <w:sz w:val="20"/>
          <w:szCs w:val="20"/>
        </w:rPr>
        <w:t>nd financial condition.</w:t>
      </w:r>
    </w:p>
    <w:p w:rsidR="00000000" w:rsidRDefault="00F20BDB">
      <w:pPr>
        <w:pStyle w:val="a3"/>
        <w:spacing w:before="360" w:beforeAutospacing="0" w:after="0" w:afterAutospacing="0"/>
        <w:rPr>
          <w:b/>
          <w:bCs/>
          <w:i/>
          <w:iCs/>
          <w:sz w:val="20"/>
          <w:szCs w:val="20"/>
        </w:rPr>
      </w:pPr>
      <w:r>
        <w:rPr>
          <w:b/>
          <w:bCs/>
          <w:i/>
          <w:iCs/>
          <w:sz w:val="20"/>
          <w:szCs w:val="20"/>
        </w:rPr>
        <w:t>We have experienced rapid growth and organizational change in recent periods and expect continued future growth. If we fail to manage our growth effectively, we may be unable to execute our business plan, maintain high levels of ser</w:t>
      </w:r>
      <w:r>
        <w:rPr>
          <w:b/>
          <w:bCs/>
          <w:i/>
          <w:iCs/>
          <w:sz w:val="20"/>
          <w:szCs w:val="20"/>
        </w:rPr>
        <w:t>vice or address competitive challenges adequately.</w:t>
      </w:r>
    </w:p>
    <w:p w:rsidR="00000000" w:rsidRDefault="00F20BDB">
      <w:pPr>
        <w:pStyle w:val="a3"/>
        <w:spacing w:before="120" w:beforeAutospacing="0" w:after="0" w:afterAutospacing="0"/>
        <w:ind w:firstLine="556"/>
        <w:rPr>
          <w:color w:val="000000"/>
          <w:sz w:val="20"/>
          <w:szCs w:val="20"/>
        </w:rPr>
      </w:pPr>
      <w:r>
        <w:rPr>
          <w:color w:val="000000"/>
          <w:sz w:val="20"/>
          <w:szCs w:val="20"/>
        </w:rPr>
        <w:t>Our head count and operations have grown substantially. For example, we had 2,745 full-time employees as of March 31, 2019, as compared with 2,638 as of December 31, 2018 and we have opened 6 international</w:t>
      </w:r>
      <w:r>
        <w:rPr>
          <w:color w:val="000000"/>
          <w:sz w:val="20"/>
          <w:szCs w:val="20"/>
        </w:rPr>
        <w:t xml:space="preserve"> offices since 2013. We also plan to open additional international offices in the future. This growth has placed, and will continue to place, a significant strain on our management, administrative, operational and financial infrastructure. We anticipate fu</w:t>
      </w:r>
      <w:r>
        <w:rPr>
          <w:color w:val="000000"/>
          <w:sz w:val="20"/>
          <w:szCs w:val="20"/>
        </w:rPr>
        <w:t>rther growth will be required to address increases in our product offerings and continued expansion. Our success will depend in part upon our ability to recruit, hire, train, manage and integrate a significant number of qualified managers, technical person</w:t>
      </w:r>
      <w:r>
        <w:rPr>
          <w:color w:val="000000"/>
          <w:sz w:val="20"/>
          <w:szCs w:val="20"/>
        </w:rPr>
        <w:t>nel and employees in specialized roles within our company, including in technology, sales and marketing. If our new employees perform poorly, or if we are unsuccessful in recruiting, hiring, training, managing and integrating these new employees, or retain</w:t>
      </w:r>
      <w:r>
        <w:rPr>
          <w:color w:val="000000"/>
          <w:sz w:val="20"/>
          <w:szCs w:val="20"/>
        </w:rPr>
        <w:t>ing these or our existing employees, our business may suffer.</w:t>
      </w:r>
    </w:p>
    <w:p w:rsidR="00000000" w:rsidRDefault="00F20BDB">
      <w:pPr>
        <w:pStyle w:val="a3"/>
        <w:spacing w:before="240" w:beforeAutospacing="0" w:after="0" w:afterAutospacing="0"/>
        <w:ind w:firstLine="556"/>
        <w:rPr>
          <w:color w:val="000000"/>
          <w:sz w:val="20"/>
          <w:szCs w:val="20"/>
        </w:rPr>
      </w:pPr>
      <w:r>
        <w:rPr>
          <w:color w:val="000000"/>
          <w:sz w:val="20"/>
          <w:szCs w:val="20"/>
        </w:rPr>
        <w:t>In addition, to manage the expected continued growth of our head count, operations and geographic expansion, we will need to continue to improve our information technology infrastructure, operat</w:t>
      </w:r>
      <w:r>
        <w:rPr>
          <w:color w:val="000000"/>
          <w:sz w:val="20"/>
          <w:szCs w:val="20"/>
        </w:rPr>
        <w:t>ional, financial and management systems and procedures. Our anticipated additional head count and capital investments will increase our costs, which will make it more difficult for us to address any future revenue shortfalls by reducing expenses in the sho</w:t>
      </w:r>
      <w:r>
        <w:rPr>
          <w:color w:val="000000"/>
          <w:sz w:val="20"/>
          <w:szCs w:val="20"/>
        </w:rPr>
        <w:t>rt term. If we fail to successfully manage our growth, we will be unable to successfully execute our business plan, which could have a negative impact on our business, results of operations or financial condition.</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 xml:space="preserve">Failure to effectively develop and expand </w:t>
      </w:r>
      <w:r>
        <w:rPr>
          <w:b/>
          <w:bCs/>
          <w:i/>
          <w:iCs/>
          <w:color w:val="000000"/>
          <w:sz w:val="20"/>
          <w:szCs w:val="20"/>
        </w:rPr>
        <w:t>our marketing, sales and customer service capabilities could harm our ability to increase our customer base and achieve broader market acceptance of our platform.</w:t>
      </w:r>
    </w:p>
    <w:p w:rsidR="00000000" w:rsidRDefault="00F20BDB">
      <w:pPr>
        <w:pStyle w:val="a3"/>
        <w:spacing w:before="120" w:beforeAutospacing="0" w:after="0" w:afterAutospacing="0"/>
        <w:ind w:firstLine="556"/>
        <w:rPr>
          <w:color w:val="000000"/>
          <w:sz w:val="20"/>
          <w:szCs w:val="20"/>
        </w:rPr>
      </w:pPr>
      <w:r>
        <w:rPr>
          <w:color w:val="000000"/>
          <w:sz w:val="20"/>
          <w:szCs w:val="20"/>
        </w:rPr>
        <w:t xml:space="preserve">To increase Total Customers and achieve broader market acceptance of our Growth Platform, we </w:t>
      </w:r>
      <w:r>
        <w:rPr>
          <w:color w:val="000000"/>
          <w:sz w:val="20"/>
          <w:szCs w:val="20"/>
        </w:rPr>
        <w:t>will need to expand our marketing, sales and customer service operations, including our sales force and third-party channel partners. We will continue to dedicate significant resources to inbound sales and marketing programs. The effectiveness of our inbou</w:t>
      </w:r>
      <w:r>
        <w:rPr>
          <w:color w:val="000000"/>
          <w:sz w:val="20"/>
          <w:szCs w:val="20"/>
        </w:rPr>
        <w:t>nd sales and marketing and third-party channel partners has varied over time and may vary in the future and depends on our ability to maintain and improve our Growth Platform. All of these efforts will require us to invest significant financial and other r</w:t>
      </w:r>
      <w:r>
        <w:rPr>
          <w:color w:val="000000"/>
          <w:sz w:val="20"/>
          <w:szCs w:val="20"/>
        </w:rPr>
        <w:t>esources. Our business will be seriously harmed if our efforts do not generate a correspondingly significant increase in revenue. We may not achieve anticipated revenue growth from expanding our sales force if we are unable to hire, develop and retain tale</w:t>
      </w:r>
      <w:r>
        <w:rPr>
          <w:color w:val="000000"/>
          <w:sz w:val="20"/>
          <w:szCs w:val="20"/>
        </w:rPr>
        <w:t>nted sales personnel, if our new sales personnel are unable to achieve desired productivity levels in a reasonable period of time or if our sales and marketing programs are not effective.</w:t>
      </w:r>
    </w:p>
    <w:p w:rsidR="00000000" w:rsidRDefault="00F20BDB">
      <w:pPr>
        <w:pStyle w:val="a3"/>
        <w:spacing w:before="360" w:beforeAutospacing="0" w:after="0" w:afterAutospacing="0"/>
        <w:rPr>
          <w:b/>
          <w:bCs/>
          <w:i/>
          <w:iCs/>
          <w:sz w:val="20"/>
          <w:szCs w:val="20"/>
        </w:rPr>
      </w:pPr>
      <w:r>
        <w:rPr>
          <w:b/>
          <w:bCs/>
          <w:i/>
          <w:iCs/>
          <w:sz w:val="20"/>
          <w:szCs w:val="20"/>
        </w:rPr>
        <w:t>The rate of growth of our business depends on the continued particip</w:t>
      </w:r>
      <w:r>
        <w:rPr>
          <w:b/>
          <w:bCs/>
          <w:i/>
          <w:iCs/>
          <w:sz w:val="20"/>
          <w:szCs w:val="20"/>
        </w:rPr>
        <w:t>ation and level of service of our marketing agency and sales partners.</w:t>
      </w:r>
    </w:p>
    <w:p w:rsidR="00000000" w:rsidRDefault="00F20BDB">
      <w:pPr>
        <w:pStyle w:val="a3"/>
        <w:spacing w:before="120" w:beforeAutospacing="0" w:after="0" w:afterAutospacing="0"/>
        <w:ind w:firstLine="556"/>
        <w:rPr>
          <w:sz w:val="20"/>
          <w:szCs w:val="20"/>
        </w:rPr>
      </w:pPr>
      <w:r>
        <w:rPr>
          <w:sz w:val="20"/>
          <w:szCs w:val="20"/>
        </w:rPr>
        <w:t>We rely on our marketing agency and sales partners to provide certain services to our customers, as well as pursue sales of our Growth Platform to customers. To the extent we do not att</w:t>
      </w:r>
      <w:r>
        <w:rPr>
          <w:sz w:val="20"/>
          <w:szCs w:val="20"/>
        </w:rPr>
        <w:t>ract new marketing agency and sales partners, or existing or new marketing agency and sales partners do not refer a growing number of customers to us, our revenue and operating results would be harmed. In addition, if our marketing agency and sales partner</w:t>
      </w:r>
      <w:r>
        <w:rPr>
          <w:sz w:val="20"/>
          <w:szCs w:val="20"/>
        </w:rPr>
        <w:t>s do not continue to provide services to our customers, we would be required to provide such services ourselves either by expanding our internal team or engaging other third-party providers, which would increase our operating costs.</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If we cannot maintain o</w:t>
      </w:r>
      <w:r>
        <w:rPr>
          <w:b/>
          <w:bCs/>
          <w:i/>
          <w:iCs/>
          <w:color w:val="000000"/>
          <w:sz w:val="20"/>
          <w:szCs w:val="20"/>
        </w:rPr>
        <w:t>ur company culture as we grow, we could lose the innovation, teamwork, passion and focus on execution that we believe contribute to our success and our business may be harmed.</w:t>
      </w:r>
    </w:p>
    <w:p w:rsidR="00000000" w:rsidRDefault="00F20BDB">
      <w:pPr>
        <w:pStyle w:val="a3"/>
        <w:spacing w:before="120" w:beforeAutospacing="0" w:after="0" w:afterAutospacing="0"/>
        <w:ind w:firstLine="556"/>
        <w:rPr>
          <w:color w:val="000000"/>
          <w:sz w:val="20"/>
          <w:szCs w:val="20"/>
        </w:rPr>
      </w:pPr>
      <w:r>
        <w:rPr>
          <w:color w:val="000000"/>
          <w:sz w:val="20"/>
          <w:szCs w:val="20"/>
        </w:rPr>
        <w:t>We believe that a critical component to our success has been our company culture</w:t>
      </w:r>
      <w:r>
        <w:rPr>
          <w:color w:val="000000"/>
          <w:sz w:val="20"/>
          <w:szCs w:val="20"/>
        </w:rPr>
        <w:t>, which is based on transparency and personal autonomy. We have invested substantial time and resources in building our team within this company culture. Any failure to preserve our culture could negatively affect our ability to retain and recruit personne</w:t>
      </w:r>
      <w:r>
        <w:rPr>
          <w:color w:val="000000"/>
          <w:sz w:val="20"/>
          <w:szCs w:val="20"/>
        </w:rPr>
        <w:t>l and to effectively focus on and pursue our corporate objectives. As we grow as and continue to develop the infrastructure of a public company, we may find it difficult to maintain these important aspects of our company culture. If we fail to maintain our</w:t>
      </w:r>
      <w:r>
        <w:rPr>
          <w:color w:val="000000"/>
          <w:sz w:val="20"/>
          <w:szCs w:val="20"/>
        </w:rPr>
        <w:t xml:space="preserve"> company culture, our business may be adversely impacted.</w:t>
      </w:r>
    </w:p>
    <w:p w:rsidR="00000000" w:rsidRDefault="00F20BDB">
      <w:pPr>
        <w:pStyle w:val="a3"/>
        <w:spacing w:before="240" w:beforeAutospacing="0" w:after="0" w:afterAutospacing="0"/>
        <w:jc w:val="center"/>
        <w:rPr>
          <w:sz w:val="20"/>
          <w:szCs w:val="20"/>
        </w:rPr>
      </w:pPr>
      <w:r>
        <w:rPr>
          <w:sz w:val="20"/>
          <w:szCs w:val="20"/>
        </w:rPr>
        <w:t>33</w:t>
      </w:r>
    </w:p>
    <w:p w:rsidR="00000000" w:rsidRDefault="00F20BDB">
      <w:pPr>
        <w:rPr>
          <w:rFonts w:eastAsia="Times New Roman"/>
        </w:rPr>
      </w:pPr>
      <w:r>
        <w:rPr>
          <w:rFonts w:eastAsia="Times New Roman"/>
        </w:rPr>
        <w:pict>
          <v:rect id="_x0000_i1057"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360" w:beforeAutospacing="0" w:after="0" w:afterAutospacing="0"/>
        <w:rPr>
          <w:b/>
          <w:bCs/>
          <w:i/>
          <w:iCs/>
          <w:color w:val="000000"/>
          <w:sz w:val="20"/>
          <w:szCs w:val="20"/>
        </w:rPr>
      </w:pPr>
      <w:bookmarkStart w:id="47" w:name="_AEIOULastRenderedPageBreakAEIOU28"/>
      <w:bookmarkEnd w:id="47"/>
      <w:r>
        <w:rPr>
          <w:b/>
          <w:bCs/>
          <w:i/>
          <w:iCs/>
          <w:color w:val="000000"/>
          <w:sz w:val="20"/>
          <w:szCs w:val="20"/>
        </w:rPr>
        <w:t>If we fail to maintain our inbound thought leadership position, our business may suffer.</w:t>
      </w:r>
    </w:p>
    <w:p w:rsidR="00000000" w:rsidRDefault="00F20BDB">
      <w:pPr>
        <w:pStyle w:val="a3"/>
        <w:spacing w:before="120" w:beforeAutospacing="0" w:after="0" w:afterAutospacing="0"/>
        <w:ind w:firstLine="556"/>
        <w:rPr>
          <w:color w:val="000000"/>
          <w:sz w:val="20"/>
          <w:szCs w:val="20"/>
        </w:rPr>
      </w:pPr>
      <w:r>
        <w:rPr>
          <w:color w:val="000000"/>
          <w:sz w:val="20"/>
          <w:szCs w:val="20"/>
        </w:rPr>
        <w:t>We believe that maintaining our thought leadership positi</w:t>
      </w:r>
      <w:r>
        <w:rPr>
          <w:color w:val="000000"/>
          <w:sz w:val="20"/>
          <w:szCs w:val="20"/>
        </w:rPr>
        <w:t>on in inbound marketing, sales and services is an important element in attracting new customers. We devote significant resources to develop and maintain our thought leadership position, with a focus on identifying and interpreting emerging trends in the in</w:t>
      </w:r>
      <w:r>
        <w:rPr>
          <w:color w:val="000000"/>
          <w:sz w:val="20"/>
          <w:szCs w:val="20"/>
        </w:rPr>
        <w:t>bound experience, shaping and guiding industry dialog and creating and sharing the best inbound practices. Our activities related to developing and maintaining our thought leadership may not yield increased revenue, and even if they do, any increased reven</w:t>
      </w:r>
      <w:r>
        <w:rPr>
          <w:color w:val="000000"/>
          <w:sz w:val="20"/>
          <w:szCs w:val="20"/>
        </w:rPr>
        <w:t>ue may not offset the expenses we incurred in such effort. We rely upon the continued services of our management and employees with domain expertise with inbound marketing, sales and services, and the loss of any key employees in this area could harm our c</w:t>
      </w:r>
      <w:r>
        <w:rPr>
          <w:color w:val="000000"/>
          <w:sz w:val="20"/>
          <w:szCs w:val="20"/>
        </w:rPr>
        <w:t>ompetitive position and reputation. If we fail to successfully grow and maintain our thought leadership position, we may not attract enough new customers or retain our existing customers, and our business could suffer.</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If we fail to further enhance our bra</w:t>
      </w:r>
      <w:r>
        <w:rPr>
          <w:b/>
          <w:bCs/>
          <w:i/>
          <w:iCs/>
          <w:color w:val="000000"/>
          <w:sz w:val="20"/>
          <w:szCs w:val="20"/>
        </w:rPr>
        <w:t>nd and maintain our existing strong brand awareness, our ability to expand our customer base will be impaired and our financial condition may suffer.</w:t>
      </w:r>
    </w:p>
    <w:p w:rsidR="00000000" w:rsidRDefault="00F20BDB">
      <w:pPr>
        <w:pStyle w:val="a3"/>
        <w:spacing w:before="120" w:beforeAutospacing="0" w:after="0" w:afterAutospacing="0"/>
        <w:ind w:firstLine="556"/>
        <w:rPr>
          <w:color w:val="000000"/>
          <w:sz w:val="20"/>
          <w:szCs w:val="20"/>
        </w:rPr>
      </w:pPr>
      <w:r>
        <w:rPr>
          <w:color w:val="000000"/>
          <w:sz w:val="20"/>
          <w:szCs w:val="20"/>
        </w:rPr>
        <w:t xml:space="preserve">We believe that our development of the HubSpot brand is critical to achieving widespread awareness of our </w:t>
      </w:r>
      <w:r>
        <w:rPr>
          <w:color w:val="000000"/>
          <w:sz w:val="20"/>
          <w:szCs w:val="20"/>
        </w:rPr>
        <w:t>existing and future inbound experience solutions, and, as a result, is important to attracting new customers and maintaining existing customers. In the past, our efforts to build our brand have involved significant expenses, and we believe that this invest</w:t>
      </w:r>
      <w:r>
        <w:rPr>
          <w:color w:val="000000"/>
          <w:sz w:val="20"/>
          <w:szCs w:val="20"/>
        </w:rPr>
        <w:t>ment has resulted in strong brand recognition in the B2B market. Successful promotion and maintenance of our brands will depend largely on the effectiveness of our marketing efforts and on our ability to provide a reliable and useful Growth Platform at com</w:t>
      </w:r>
      <w:r>
        <w:rPr>
          <w:color w:val="000000"/>
          <w:sz w:val="20"/>
          <w:szCs w:val="20"/>
        </w:rPr>
        <w:t>petitive prices. Brand promotion activities may not yield increased revenue, and even if they do, any increased revenue may not offset the expenses we incurred in building our brand. If we fail to successfully promote and maintain our brand, our business c</w:t>
      </w:r>
      <w:r>
        <w:rPr>
          <w:color w:val="000000"/>
          <w:sz w:val="20"/>
          <w:szCs w:val="20"/>
        </w:rPr>
        <w:t>ould suffer.</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If we fail to adapt and respond effectively to rapidly changing technology, evolving industry standards and changing customer needs or requirements, our Growth Platform may become less competitive.</w:t>
      </w:r>
    </w:p>
    <w:p w:rsidR="00000000" w:rsidRDefault="00F20BDB">
      <w:pPr>
        <w:pStyle w:val="a3"/>
        <w:spacing w:before="120" w:beforeAutospacing="0" w:after="0" w:afterAutospacing="0"/>
        <w:ind w:firstLine="556"/>
        <w:rPr>
          <w:color w:val="000000"/>
          <w:sz w:val="20"/>
          <w:szCs w:val="20"/>
        </w:rPr>
      </w:pPr>
      <w:r>
        <w:rPr>
          <w:color w:val="000000"/>
          <w:sz w:val="20"/>
          <w:szCs w:val="20"/>
        </w:rPr>
        <w:t xml:space="preserve">Our future success depends on our ability to </w:t>
      </w:r>
      <w:r>
        <w:rPr>
          <w:color w:val="000000"/>
          <w:sz w:val="20"/>
          <w:szCs w:val="20"/>
        </w:rPr>
        <w:t>adapt and innovate our Growth Platform. To attract new customers and increase revenue from existing customers, we need to continue to enhance and improve our offerings to meet customer needs at prices that our customers are willing to pay. Such efforts wil</w:t>
      </w:r>
      <w:r>
        <w:rPr>
          <w:color w:val="000000"/>
          <w:sz w:val="20"/>
          <w:szCs w:val="20"/>
        </w:rPr>
        <w:t xml:space="preserve">l require adding new functionality and responding to technological advancements, which will increase our research and development costs. If we are unable to develop new applications that address our customers’ needs, or to enhance and improve our platform </w:t>
      </w:r>
      <w:r>
        <w:rPr>
          <w:color w:val="000000"/>
          <w:sz w:val="20"/>
          <w:szCs w:val="20"/>
        </w:rPr>
        <w:t>in a timely manner, we may not be able to maintain or increase market acceptance of our platform. Our ability to grow is also subject to the risk of future disruptive technologies. Access and use of our Growth Platform is provided via the cloud, which, its</w:t>
      </w:r>
      <w:r>
        <w:rPr>
          <w:color w:val="000000"/>
          <w:sz w:val="20"/>
          <w:szCs w:val="20"/>
        </w:rPr>
        <w:t xml:space="preserve">elf, was disruptive to the previous enterprise software model. If new technologies emerge that are able to deliver inbound marketing software and related applications at lower prices, more efficiently, more conveniently or more securely, such technologies </w:t>
      </w:r>
      <w:r>
        <w:rPr>
          <w:color w:val="000000"/>
          <w:sz w:val="20"/>
          <w:szCs w:val="20"/>
        </w:rPr>
        <w:t>could adversely affect our ability to compete.</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We rely on our management team and other key employees, and the loss of one or more key employees could harm our business.</w:t>
      </w:r>
    </w:p>
    <w:p w:rsidR="00000000" w:rsidRDefault="00F20BDB">
      <w:pPr>
        <w:pStyle w:val="a3"/>
        <w:spacing w:before="120" w:beforeAutospacing="0" w:after="0" w:afterAutospacing="0"/>
        <w:ind w:firstLine="556"/>
        <w:rPr>
          <w:color w:val="000000"/>
          <w:sz w:val="20"/>
          <w:szCs w:val="20"/>
        </w:rPr>
      </w:pPr>
      <w:r>
        <w:rPr>
          <w:color w:val="000000"/>
          <w:sz w:val="20"/>
          <w:szCs w:val="20"/>
        </w:rPr>
        <w:t>Our success and future growth depend upon the continued services of our management team, including our co-founders, Brian Halligan an</w:t>
      </w:r>
      <w:r>
        <w:rPr>
          <w:color w:val="000000"/>
          <w:sz w:val="20"/>
          <w:szCs w:val="20"/>
        </w:rPr>
        <w:t>d Dharmesh Shah, and other key employees in the areas of research and development, marketing, sales, services and general and administrative functions. From time to time, there may be changes in our management team resulting from the hiring or departure of</w:t>
      </w:r>
      <w:r>
        <w:rPr>
          <w:color w:val="000000"/>
          <w:sz w:val="20"/>
          <w:szCs w:val="20"/>
        </w:rPr>
        <w:t xml:space="preserve"> executives, which could disrupt our business. We also are dependent on the continued service of our existing software engineers and information technology personnel because of the complexity of our platform, technologies and infrastructure. We may termina</w:t>
      </w:r>
      <w:r>
        <w:rPr>
          <w:color w:val="000000"/>
          <w:sz w:val="20"/>
          <w:szCs w:val="20"/>
        </w:rPr>
        <w:t>te any employee’s employment at any time, with or without cause, and any employee may resign at any time, with or without cause. We do not have employment agreements with any of our key personnel. The loss of one or more of our key employees could harm our</w:t>
      </w:r>
      <w:r>
        <w:rPr>
          <w:color w:val="000000"/>
          <w:sz w:val="20"/>
          <w:szCs w:val="20"/>
        </w:rPr>
        <w:t xml:space="preserve"> business.</w:t>
      </w:r>
    </w:p>
    <w:p w:rsidR="00000000" w:rsidRDefault="00F20BDB">
      <w:pPr>
        <w:pStyle w:val="a3"/>
        <w:spacing w:before="240" w:beforeAutospacing="0" w:after="0" w:afterAutospacing="0"/>
        <w:jc w:val="center"/>
        <w:rPr>
          <w:sz w:val="20"/>
          <w:szCs w:val="20"/>
        </w:rPr>
      </w:pPr>
      <w:r>
        <w:rPr>
          <w:sz w:val="20"/>
          <w:szCs w:val="20"/>
        </w:rPr>
        <w:t>34</w:t>
      </w:r>
    </w:p>
    <w:p w:rsidR="00000000" w:rsidRDefault="00F20BDB">
      <w:pPr>
        <w:rPr>
          <w:rFonts w:eastAsia="Times New Roman"/>
        </w:rPr>
      </w:pPr>
      <w:r>
        <w:rPr>
          <w:rFonts w:eastAsia="Times New Roman"/>
        </w:rPr>
        <w:pict>
          <v:rect id="_x0000_i1058"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360" w:beforeAutospacing="0" w:after="0" w:afterAutospacing="0"/>
        <w:rPr>
          <w:b/>
          <w:bCs/>
          <w:i/>
          <w:iCs/>
          <w:color w:val="000000"/>
          <w:sz w:val="20"/>
          <w:szCs w:val="20"/>
        </w:rPr>
      </w:pPr>
      <w:bookmarkStart w:id="48" w:name="_AEIOULastRenderedPageBreakAEIOU29"/>
      <w:bookmarkEnd w:id="48"/>
      <w:r>
        <w:rPr>
          <w:b/>
          <w:bCs/>
          <w:i/>
          <w:iCs/>
          <w:color w:val="000000"/>
          <w:sz w:val="20"/>
          <w:szCs w:val="20"/>
        </w:rPr>
        <w:t>The failure to attract and retain additional qualified perso</w:t>
      </w:r>
      <w:r>
        <w:rPr>
          <w:b/>
          <w:bCs/>
          <w:i/>
          <w:iCs/>
          <w:color w:val="000000"/>
          <w:sz w:val="20"/>
          <w:szCs w:val="20"/>
        </w:rPr>
        <w:t>nnel could prevent us from executing our business strategy.</w:t>
      </w:r>
    </w:p>
    <w:p w:rsidR="00000000" w:rsidRDefault="00F20BDB">
      <w:pPr>
        <w:pStyle w:val="a3"/>
        <w:spacing w:before="120" w:beforeAutospacing="0" w:after="0" w:afterAutospacing="0"/>
        <w:ind w:firstLine="556"/>
        <w:rPr>
          <w:color w:val="000000"/>
          <w:sz w:val="20"/>
          <w:szCs w:val="20"/>
        </w:rPr>
      </w:pPr>
      <w:r>
        <w:rPr>
          <w:color w:val="000000"/>
          <w:sz w:val="20"/>
          <w:szCs w:val="20"/>
        </w:rPr>
        <w:t xml:space="preserve">To execute our business strategy, we must attract and retain highly qualified personnel. In particular, we compete with many other companies for software developers with high levels of experience </w:t>
      </w:r>
      <w:r>
        <w:rPr>
          <w:color w:val="000000"/>
          <w:sz w:val="20"/>
          <w:szCs w:val="20"/>
        </w:rPr>
        <w:t>in designing, developing and managing cloud-based software, as well as for skilled information technology, marketing, sales and operations professionals, and we may not be successful in attracting and retaining the professionals we need. Also, inbound sale</w:t>
      </w:r>
      <w:r>
        <w:rPr>
          <w:color w:val="000000"/>
          <w:sz w:val="20"/>
          <w:szCs w:val="20"/>
        </w:rPr>
        <w:t>s, marketing and services domain experts are very important to our success and are difficult to replace. We have from time to time in the past experienced, and we expect to continue to experience in the future, difficulty in hiring and difficulty in retain</w:t>
      </w:r>
      <w:r>
        <w:rPr>
          <w:color w:val="000000"/>
          <w:sz w:val="20"/>
          <w:szCs w:val="20"/>
        </w:rPr>
        <w:t xml:space="preserve">ing highly skilled employees with appropriate qualifications. In particular, we have experienced a competitive hiring environment in the Greater Boston area, where we are headquartered. Many of the companies with which we compete for experienced personnel </w:t>
      </w:r>
      <w:r>
        <w:rPr>
          <w:color w:val="000000"/>
          <w:sz w:val="20"/>
          <w:szCs w:val="20"/>
        </w:rPr>
        <w:t>have greater resources than we do. In addition, in making employment decisions, particularly in the software industry, job candidates often consider the value of the stock options or other equity incentives they are to receive in connection with their empl</w:t>
      </w:r>
      <w:r>
        <w:rPr>
          <w:color w:val="000000"/>
          <w:sz w:val="20"/>
          <w:szCs w:val="20"/>
        </w:rPr>
        <w:t>oyment. If the price of our stock declines, or experiences significant volatility, our ability to attract or retain key employees will be adversely affected. If we fail to attract new personnel or fail to retain and motivate our current personnel, our grow</w:t>
      </w:r>
      <w:r>
        <w:rPr>
          <w:color w:val="000000"/>
          <w:sz w:val="20"/>
          <w:szCs w:val="20"/>
        </w:rPr>
        <w:t>th prospects could be severely harmed.</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If we fail to offer high-quality customer support, our business and reputation may suffer.</w:t>
      </w:r>
    </w:p>
    <w:p w:rsidR="00000000" w:rsidRDefault="00F20BDB">
      <w:pPr>
        <w:pStyle w:val="a3"/>
        <w:spacing w:before="120" w:beforeAutospacing="0" w:after="0" w:afterAutospacing="0"/>
        <w:ind w:firstLine="556"/>
        <w:rPr>
          <w:color w:val="000000"/>
          <w:spacing w:val="-2"/>
          <w:sz w:val="20"/>
          <w:szCs w:val="20"/>
        </w:rPr>
      </w:pPr>
      <w:r>
        <w:rPr>
          <w:color w:val="000000"/>
          <w:spacing w:val="-2"/>
          <w:sz w:val="20"/>
          <w:szCs w:val="20"/>
        </w:rPr>
        <w:t>High-quality education, training and customer support are important for the successful marketing, sale and use of our Growth P</w:t>
      </w:r>
      <w:r>
        <w:rPr>
          <w:color w:val="000000"/>
          <w:spacing w:val="-2"/>
          <w:sz w:val="20"/>
          <w:szCs w:val="20"/>
        </w:rPr>
        <w:t>latform and for the renewal of existing customers. Providing this education, training and support requires that our personnel who manage our online training resource, HubSpot Academy, or provide customer support have specific inbound experience domain know</w:t>
      </w:r>
      <w:r>
        <w:rPr>
          <w:color w:val="000000"/>
          <w:spacing w:val="-2"/>
          <w:sz w:val="20"/>
          <w:szCs w:val="20"/>
        </w:rPr>
        <w:t>ledge and expertise, making it more difficult for us to hire qualified personnel and to scale up our support operations. The importance of high-quality customer support will increase as we expand our business and pursue new customers. If we do not help our</w:t>
      </w:r>
      <w:r>
        <w:rPr>
          <w:color w:val="000000"/>
          <w:spacing w:val="-2"/>
          <w:sz w:val="20"/>
          <w:szCs w:val="20"/>
        </w:rPr>
        <w:t xml:space="preserve"> customers use multiple applications within our Growth Platform and provide effective ongoing support, our ability to sell additional functionality and services to, or to retain, existing customers may suffer and our reputation with existing or potential c</w:t>
      </w:r>
      <w:r>
        <w:rPr>
          <w:color w:val="000000"/>
          <w:spacing w:val="-2"/>
          <w:sz w:val="20"/>
          <w:szCs w:val="20"/>
        </w:rPr>
        <w:t>ustomers may be harmed.</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We may not be able to scale our business quickly enough to meet our customers’ growing needs and if we are not able to grow efficiently, our operating results could be harmed.</w:t>
      </w:r>
    </w:p>
    <w:p w:rsidR="00000000" w:rsidRDefault="00F20BDB">
      <w:pPr>
        <w:pStyle w:val="a3"/>
        <w:spacing w:before="120" w:beforeAutospacing="0" w:after="0" w:afterAutospacing="0"/>
        <w:ind w:firstLine="556"/>
        <w:rPr>
          <w:color w:val="000000"/>
          <w:sz w:val="20"/>
          <w:szCs w:val="20"/>
        </w:rPr>
      </w:pPr>
      <w:r>
        <w:rPr>
          <w:color w:val="000000"/>
          <w:sz w:val="20"/>
          <w:szCs w:val="20"/>
        </w:rPr>
        <w:t>As usage of our Growth Platform grows and as customers u</w:t>
      </w:r>
      <w:r>
        <w:rPr>
          <w:color w:val="000000"/>
          <w:sz w:val="20"/>
          <w:szCs w:val="20"/>
        </w:rPr>
        <w:t>se our platform for additional inbound applications, such as sales and services, we will need to devote additional resources to improving our application architecture, integrating with third-party systems and maintaining infrastructure performance. In addi</w:t>
      </w:r>
      <w:r>
        <w:rPr>
          <w:color w:val="000000"/>
          <w:sz w:val="20"/>
          <w:szCs w:val="20"/>
        </w:rPr>
        <w:t>tion, we will need to appropriately scale our internal business systems and our services organization, including customer support and professional services, to serve our growing customer base, particularly as our customer demographics change over time. Any</w:t>
      </w:r>
      <w:r>
        <w:rPr>
          <w:color w:val="000000"/>
          <w:sz w:val="20"/>
          <w:szCs w:val="20"/>
        </w:rPr>
        <w:t xml:space="preserve"> failure of or delay in these efforts could cause impaired system performance and reduced customer satisfaction. These issues could reduce the attractiveness of our Growth Platform to customers, resulting in decreased sales to new customers, lower renewal </w:t>
      </w:r>
      <w:r>
        <w:rPr>
          <w:color w:val="000000"/>
          <w:sz w:val="20"/>
          <w:szCs w:val="20"/>
        </w:rPr>
        <w:t>rates by existing customers, the issuance of service credits, or requested refunds, which could impede our revenue growth and harm our reputation. Even if we are able to upgrade our systems and expand our staff, any such expansion will be expensive and com</w:t>
      </w:r>
      <w:r>
        <w:rPr>
          <w:color w:val="000000"/>
          <w:sz w:val="20"/>
          <w:szCs w:val="20"/>
        </w:rPr>
        <w:t>plex, requiring management’s time and attention. We could also face inefficiencies or operational failures as a result of our efforts to scale our infrastructure. Moreover, there are inherent risks associated with upgrading, improving and expanding our inf</w:t>
      </w:r>
      <w:r>
        <w:rPr>
          <w:color w:val="000000"/>
          <w:sz w:val="20"/>
          <w:szCs w:val="20"/>
        </w:rPr>
        <w:t>ormation technology systems. We cannot be sure that the expansion and improvements to our infrastructure and systems will be fully or effectively implemented on a timely basis, if at all. These efforts may reduce revenue and our margins and adversely affec</w:t>
      </w:r>
      <w:r>
        <w:rPr>
          <w:color w:val="000000"/>
          <w:sz w:val="20"/>
          <w:szCs w:val="20"/>
        </w:rPr>
        <w:t>t our financial results.</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Our ability to introduce new products and features is dependent on adequate research and development resources. If we do not adequately fund our research and development efforts, we may not be able to compete effectively and our bu</w:t>
      </w:r>
      <w:r>
        <w:rPr>
          <w:b/>
          <w:bCs/>
          <w:i/>
          <w:iCs/>
          <w:color w:val="000000"/>
          <w:sz w:val="20"/>
          <w:szCs w:val="20"/>
        </w:rPr>
        <w:t>siness and operating results may be harmed.</w:t>
      </w:r>
    </w:p>
    <w:p w:rsidR="00000000" w:rsidRDefault="00F20BDB">
      <w:pPr>
        <w:pStyle w:val="a3"/>
        <w:spacing w:before="120" w:beforeAutospacing="0" w:after="0" w:afterAutospacing="0"/>
        <w:ind w:firstLine="556"/>
        <w:rPr>
          <w:color w:val="000000"/>
          <w:sz w:val="20"/>
          <w:szCs w:val="20"/>
        </w:rPr>
      </w:pPr>
      <w:r>
        <w:rPr>
          <w:color w:val="000000"/>
          <w:sz w:val="20"/>
          <w:szCs w:val="20"/>
        </w:rPr>
        <w:t>To remain competitive, we must continue to develop new product offerings, applications, features and enhancements to our existing Growth Platform. Maintaining adequate research and development personnel and resou</w:t>
      </w:r>
      <w:r>
        <w:rPr>
          <w:color w:val="000000"/>
          <w:sz w:val="20"/>
          <w:szCs w:val="20"/>
        </w:rPr>
        <w:t>rces to meet the demands of the market is essential. If we are unable to develop our platform internally due to certain constraints, such as high employee turnover, lack of management ability or a lack of other research and development resources, we may mi</w:t>
      </w:r>
      <w:r>
        <w:rPr>
          <w:color w:val="000000"/>
          <w:sz w:val="20"/>
          <w:szCs w:val="20"/>
        </w:rPr>
        <w:t>ss market opportunities. Further, many of our competitors expend a considerably greater amount of funds on their research and development programs, and those that do not may be acquired by larger companies that would allocate greater resources to our compe</w:t>
      </w:r>
      <w:r>
        <w:rPr>
          <w:color w:val="000000"/>
          <w:sz w:val="20"/>
          <w:szCs w:val="20"/>
        </w:rPr>
        <w:t>titors’ research and development programs. Our failure to maintain adequate research and development resources or to compete effectively with the research and development programs of our competitors could materially adversely affect our business.</w:t>
      </w:r>
    </w:p>
    <w:p w:rsidR="00000000" w:rsidRDefault="00F20BDB">
      <w:pPr>
        <w:pStyle w:val="a3"/>
        <w:spacing w:before="240" w:beforeAutospacing="0" w:after="0" w:afterAutospacing="0"/>
        <w:jc w:val="center"/>
        <w:rPr>
          <w:sz w:val="20"/>
          <w:szCs w:val="20"/>
        </w:rPr>
      </w:pPr>
      <w:r>
        <w:rPr>
          <w:sz w:val="20"/>
          <w:szCs w:val="20"/>
        </w:rPr>
        <w:t>35</w:t>
      </w:r>
    </w:p>
    <w:p w:rsidR="00000000" w:rsidRDefault="00F20BDB">
      <w:pPr>
        <w:rPr>
          <w:rFonts w:eastAsia="Times New Roman"/>
        </w:rPr>
      </w:pPr>
      <w:r>
        <w:rPr>
          <w:rFonts w:eastAsia="Times New Roman"/>
        </w:rPr>
        <w:pict>
          <v:rect id="_x0000_i1059"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360" w:beforeAutospacing="0" w:after="0" w:afterAutospacing="0"/>
        <w:rPr>
          <w:b/>
          <w:bCs/>
          <w:i/>
          <w:iCs/>
          <w:color w:val="000000"/>
          <w:sz w:val="20"/>
          <w:szCs w:val="20"/>
        </w:rPr>
      </w:pPr>
      <w:bookmarkStart w:id="49" w:name="_AEIOULastRenderedPageBreakAEIOU30"/>
      <w:bookmarkEnd w:id="49"/>
      <w:r>
        <w:rPr>
          <w:b/>
          <w:bCs/>
          <w:i/>
          <w:iCs/>
          <w:color w:val="000000"/>
          <w:sz w:val="20"/>
          <w:szCs w:val="20"/>
        </w:rPr>
        <w:t>Changes in the sizes or types of businesses that purchase our platform or in the</w:t>
      </w:r>
      <w:r>
        <w:rPr>
          <w:b/>
          <w:bCs/>
          <w:i/>
          <w:iCs/>
          <w:color w:val="000000"/>
          <w:sz w:val="20"/>
          <w:szCs w:val="20"/>
        </w:rPr>
        <w:t xml:space="preserve"> applications within our Growth Platform purchased or used by our customers could negatively affect our operating results.</w:t>
      </w:r>
    </w:p>
    <w:p w:rsidR="00000000" w:rsidRDefault="00F20BDB">
      <w:pPr>
        <w:pStyle w:val="a3"/>
        <w:spacing w:before="120" w:beforeAutospacing="0" w:after="0" w:afterAutospacing="0"/>
        <w:ind w:firstLine="556"/>
        <w:rPr>
          <w:color w:val="000000"/>
          <w:sz w:val="20"/>
          <w:szCs w:val="20"/>
        </w:rPr>
      </w:pPr>
      <w:r>
        <w:rPr>
          <w:color w:val="000000"/>
          <w:sz w:val="20"/>
          <w:szCs w:val="20"/>
        </w:rPr>
        <w:t>Our strategy is to sell subscriptions to our Growth Platform to mid-sized businesses, but we have sold and will continue to sell to o</w:t>
      </w:r>
      <w:r>
        <w:rPr>
          <w:color w:val="000000"/>
          <w:sz w:val="20"/>
          <w:szCs w:val="20"/>
        </w:rPr>
        <w:t>rganizations ranging from small businesses to enterprises. Our gross margins can vary depending on numerous factors related to the implementation and use of our Growth Platform, including the sophistication and intensity of our customers’ use of our platfo</w:t>
      </w:r>
      <w:r>
        <w:rPr>
          <w:color w:val="000000"/>
          <w:sz w:val="20"/>
          <w:szCs w:val="20"/>
        </w:rPr>
        <w:t>rm and the level of professional services and support required by a customer. Sales to enterprise customers may entail longer sales cycles and more significant selling efforts. Selling to small businesses may involve greater credit risk and uncertainty. If</w:t>
      </w:r>
      <w:r>
        <w:rPr>
          <w:color w:val="000000"/>
          <w:sz w:val="20"/>
          <w:szCs w:val="20"/>
        </w:rPr>
        <w:t xml:space="preserve"> there are changes in the mix of businesses that purchase our platform or the mix of the product plans purchased by our customers, our gross margins could decrease and our operating results could be adversely affected.</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We have in the past completed acquisi</w:t>
      </w:r>
      <w:r>
        <w:rPr>
          <w:b/>
          <w:bCs/>
          <w:i/>
          <w:iCs/>
          <w:color w:val="000000"/>
          <w:sz w:val="20"/>
          <w:szCs w:val="20"/>
        </w:rPr>
        <w:t>tions and may acquire or invest in other companies or technologies in the future, which could divert management’s attention, fail to meet our expectations, result in additional dilution to our stockholders, increase expenses, disrupt our operations or harm</w:t>
      </w:r>
      <w:r>
        <w:rPr>
          <w:b/>
          <w:bCs/>
          <w:i/>
          <w:iCs/>
          <w:color w:val="000000"/>
          <w:sz w:val="20"/>
          <w:szCs w:val="20"/>
        </w:rPr>
        <w:t xml:space="preserve"> our operating results.</w:t>
      </w:r>
    </w:p>
    <w:p w:rsidR="00000000" w:rsidRDefault="00F20BDB">
      <w:pPr>
        <w:pStyle w:val="a3"/>
        <w:spacing w:before="120" w:beforeAutospacing="0" w:after="0" w:afterAutospacing="0"/>
        <w:ind w:firstLine="556"/>
        <w:rPr>
          <w:color w:val="000000"/>
          <w:sz w:val="20"/>
          <w:szCs w:val="20"/>
        </w:rPr>
      </w:pPr>
      <w:r>
        <w:rPr>
          <w:color w:val="000000"/>
          <w:sz w:val="20"/>
          <w:szCs w:val="20"/>
        </w:rPr>
        <w:t xml:space="preserve">We have in the past acquired, and we may in the future acquire or invest in, businesses, products or technologies that we believe could complement or expand our platform, enhance our technical capabilities or otherwise offer growth </w:t>
      </w:r>
      <w:r>
        <w:rPr>
          <w:color w:val="000000"/>
          <w:sz w:val="20"/>
          <w:szCs w:val="20"/>
        </w:rPr>
        <w:t>opportunities. We may not be able to fully realize the anticipated benefits of these or any future acquisitions. The pursuit of potential acquisitions may divert the attention of management and cause us to incur various expenses related to identifying, inv</w:t>
      </w:r>
      <w:r>
        <w:rPr>
          <w:color w:val="000000"/>
          <w:sz w:val="20"/>
          <w:szCs w:val="20"/>
        </w:rPr>
        <w:t>estigating and pursuing suitable acquisitions, whether or not they are consummated.</w:t>
      </w:r>
    </w:p>
    <w:p w:rsidR="00000000" w:rsidRDefault="00F20BDB">
      <w:pPr>
        <w:pStyle w:val="a3"/>
        <w:spacing w:before="240" w:beforeAutospacing="0" w:after="0" w:afterAutospacing="0"/>
        <w:ind w:firstLine="556"/>
        <w:rPr>
          <w:color w:val="000000"/>
          <w:sz w:val="20"/>
          <w:szCs w:val="20"/>
        </w:rPr>
      </w:pPr>
      <w:r>
        <w:rPr>
          <w:color w:val="000000"/>
          <w:sz w:val="20"/>
          <w:szCs w:val="20"/>
        </w:rPr>
        <w:t>There are inherent risks in integrating and managing acquisitions. If we acquire additional businesses, we may not be able to assimilate or integrate the acquired personnel</w:t>
      </w:r>
      <w:r>
        <w:rPr>
          <w:color w:val="000000"/>
          <w:sz w:val="20"/>
          <w:szCs w:val="20"/>
        </w:rPr>
        <w:t>, operations and technologies successfully or effectively manage the combined business following the acquisition and our management may be distracted from operating our business. We also may not achieve the anticipated benefits from the acquired business d</w:t>
      </w:r>
      <w:r>
        <w:rPr>
          <w:color w:val="000000"/>
          <w:sz w:val="20"/>
          <w:szCs w:val="20"/>
        </w:rPr>
        <w:t>ue to a number of factors, including: unanticipated costs or liabilities associated with the acquisition; incurrence of acquisition-related costs, which would be recognized as a current period expense; inability to generate sufficient revenue to offset acq</w:t>
      </w:r>
      <w:r>
        <w:rPr>
          <w:color w:val="000000"/>
          <w:sz w:val="20"/>
          <w:szCs w:val="20"/>
        </w:rPr>
        <w:t>uisition or investment costs; the inability to maintain relationships with customers and partners of the acquired business; the difficulty of incorporating acquired technology and rights into our platform and of maintaining quality and security standards c</w:t>
      </w:r>
      <w:r>
        <w:rPr>
          <w:color w:val="000000"/>
          <w:sz w:val="20"/>
          <w:szCs w:val="20"/>
        </w:rPr>
        <w:t>onsistent with our brand; delays in customer purchases due to uncertainty related to any acquisition; the need to integrate or implement additional controls, procedures and policies; challenges caused by distance, language and cultural differences; harm to</w:t>
      </w:r>
      <w:r>
        <w:rPr>
          <w:color w:val="000000"/>
          <w:sz w:val="20"/>
          <w:szCs w:val="20"/>
        </w:rPr>
        <w:t xml:space="preserve"> our existing business relationships with business partners and customers as a result of the acquisition; the potential loss of key employees; use of resources that are needed in other parts of our business and diversion of management and employee resource</w:t>
      </w:r>
      <w:r>
        <w:rPr>
          <w:color w:val="000000"/>
          <w:sz w:val="20"/>
          <w:szCs w:val="20"/>
        </w:rPr>
        <w:t xml:space="preserve">s; the inability to recognize acquired deferred revenue in accordance with our revenue recognition policies; and use of substantial portions of our available cash or the incurrence of debt to consummate the acquisition. Acquisitions also increase the risk </w:t>
      </w:r>
      <w:r>
        <w:rPr>
          <w:color w:val="000000"/>
          <w:sz w:val="20"/>
          <w:szCs w:val="20"/>
        </w:rPr>
        <w:t>of unforeseen legal liability, including for potential violations of applicable law or industry rules and regulations, arising from prior or ongoing acts or omissions by the acquired businesses which are not discovered by due diligence during the acquisiti</w:t>
      </w:r>
      <w:r>
        <w:rPr>
          <w:color w:val="000000"/>
          <w:sz w:val="20"/>
          <w:szCs w:val="20"/>
        </w:rPr>
        <w:t>on process. Generally, if an acquired business fails to meet our expectations, our operating results, business and financial condition may suffer. Acquisitions could also result in dilutive issuances of equity securities or the incurrence of debt, which co</w:t>
      </w:r>
      <w:r>
        <w:rPr>
          <w:color w:val="000000"/>
          <w:sz w:val="20"/>
          <w:szCs w:val="20"/>
        </w:rPr>
        <w:t>uld adversely affect our business, results of operations or financial condition.</w:t>
      </w:r>
    </w:p>
    <w:p w:rsidR="00000000" w:rsidRDefault="00F20BDB">
      <w:pPr>
        <w:pStyle w:val="a3"/>
        <w:spacing w:before="240" w:beforeAutospacing="0" w:after="0" w:afterAutospacing="0"/>
        <w:ind w:firstLine="556"/>
        <w:rPr>
          <w:color w:val="000000"/>
          <w:sz w:val="20"/>
          <w:szCs w:val="20"/>
        </w:rPr>
      </w:pPr>
      <w:r>
        <w:rPr>
          <w:color w:val="000000"/>
          <w:sz w:val="20"/>
          <w:szCs w:val="20"/>
        </w:rPr>
        <w:t>In addition, a significant portion of the purchase price of companies we acquire may be allocated to goodwill and other intangible assets, which must be assessed for impairmen</w:t>
      </w:r>
      <w:r>
        <w:rPr>
          <w:color w:val="000000"/>
          <w:sz w:val="20"/>
          <w:szCs w:val="20"/>
        </w:rPr>
        <w:t>t at least annually. If our acquisitions do not ultimately yield expected returns, we may be required to make charges to our operating results based on our impairment assessment process, which could harm our results of operations.</w:t>
      </w:r>
    </w:p>
    <w:p w:rsidR="00000000" w:rsidRDefault="00F20BDB">
      <w:pPr>
        <w:pStyle w:val="a3"/>
        <w:spacing w:before="360" w:beforeAutospacing="0" w:after="0" w:afterAutospacing="0"/>
        <w:rPr>
          <w:b/>
          <w:bCs/>
          <w:i/>
          <w:iCs/>
          <w:sz w:val="20"/>
          <w:szCs w:val="20"/>
        </w:rPr>
      </w:pPr>
      <w:r>
        <w:rPr>
          <w:b/>
          <w:bCs/>
          <w:i/>
          <w:iCs/>
          <w:sz w:val="20"/>
          <w:szCs w:val="20"/>
        </w:rPr>
        <w:t>Because our long-term growth strategy involves further expansion of our sales to customers outside the United States, our business will be susceptible to risks associated with international operations.</w:t>
      </w:r>
    </w:p>
    <w:p w:rsidR="00000000" w:rsidRDefault="00F20BDB">
      <w:pPr>
        <w:pStyle w:val="a3"/>
        <w:spacing w:before="120" w:beforeAutospacing="0" w:after="0" w:afterAutospacing="0"/>
        <w:ind w:firstLine="556"/>
        <w:rPr>
          <w:color w:val="000000"/>
          <w:sz w:val="20"/>
          <w:szCs w:val="20"/>
        </w:rPr>
      </w:pPr>
      <w:r>
        <w:rPr>
          <w:color w:val="000000"/>
          <w:sz w:val="20"/>
          <w:szCs w:val="20"/>
        </w:rPr>
        <w:t>A component of our growth strategy involves the furthe</w:t>
      </w:r>
      <w:r>
        <w:rPr>
          <w:color w:val="000000"/>
          <w:sz w:val="20"/>
          <w:szCs w:val="20"/>
        </w:rPr>
        <w:t>r expansion of our operations and customer base internationally. We have opened 6 international offices since 2013. We also plan to open additional offices in the future. These international offices focus primarily on sales, professional services and suppo</w:t>
      </w:r>
      <w:r>
        <w:rPr>
          <w:color w:val="000000"/>
          <w:sz w:val="20"/>
          <w:szCs w:val="20"/>
        </w:rPr>
        <w:t>rt. We also have a development team in Dublin, Ireland. Our current international operations and future initiatives will involve a variety of risks, including: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difficulties in maintaining our company culture with a dispersed and distant workforce;</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more stringent regulations relating to data security and the unauthorized use of, or access to, commercial and personal information, particularly in the European Union;</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unexpected changes in regulatory requirements, taxes or trade laws;</w:t>
            </w:r>
          </w:p>
        </w:tc>
      </w:tr>
    </w:tbl>
    <w:p w:rsidR="00000000" w:rsidRDefault="00F20BDB">
      <w:pPr>
        <w:pStyle w:val="a3"/>
        <w:spacing w:before="240" w:beforeAutospacing="0" w:after="0" w:afterAutospacing="0"/>
        <w:jc w:val="center"/>
        <w:rPr>
          <w:sz w:val="20"/>
          <w:szCs w:val="20"/>
        </w:rPr>
      </w:pPr>
      <w:r>
        <w:rPr>
          <w:sz w:val="20"/>
          <w:szCs w:val="20"/>
        </w:rPr>
        <w:t>36</w:t>
      </w:r>
    </w:p>
    <w:p w:rsidR="00000000" w:rsidRDefault="00F20BDB">
      <w:pPr>
        <w:rPr>
          <w:rFonts w:eastAsia="Times New Roman"/>
        </w:rPr>
      </w:pPr>
      <w:r>
        <w:rPr>
          <w:rFonts w:eastAsia="Times New Roman"/>
        </w:rPr>
        <w:pict>
          <v:rect id="_x0000_i1060"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bookmarkStart w:id="50" w:name="_AEIOULastRenderedPageBreakAEIOU31"/>
            <w:bookmarkEnd w:id="50"/>
            <w:r>
              <w:rPr>
                <w:color w:val="000000"/>
                <w:sz w:val="20"/>
                <w:szCs w:val="20"/>
              </w:rPr>
              <w:t>differing labor regulations, especially in the European Union, where labor laws are generally more advantageous to employees as compared to the United States, including deemed hourly wage and overtime regulations in these locations;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challenges inhere</w:t>
            </w:r>
            <w:r>
              <w:rPr>
                <w:color w:val="000000"/>
                <w:sz w:val="20"/>
                <w:szCs w:val="20"/>
              </w:rPr>
              <w:t>nt in efficiently managing an increased number of employees over large geographic distances, including the need to implement appropriate systems, policies, benefits and compliance programs;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difficulties in managing a business in new markets with dive</w:t>
            </w:r>
            <w:r>
              <w:rPr>
                <w:color w:val="000000"/>
                <w:sz w:val="20"/>
                <w:szCs w:val="20"/>
              </w:rPr>
              <w:t>rse cultures, languages, customs, legal systems, alternative dispute systems and regulatory systems;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currency exchange rate fluctuations and the resulting effect on our revenue and expenses, and the cost and risk of entering into hedging transactions</w:t>
            </w:r>
            <w:r>
              <w:rPr>
                <w:color w:val="000000"/>
                <w:sz w:val="20"/>
                <w:szCs w:val="20"/>
              </w:rPr>
              <w:t xml:space="preserve"> if we chose to do so in the future;</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global economic uncertainty caused by global political events, including the United Kingdom's vote in favor of existing the European Union, or Brexit, and similar geopolitical developments;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limitations on our ability to reinvest earnings from operati</w:t>
            </w:r>
            <w:r>
              <w:rPr>
                <w:color w:val="000000"/>
                <w:sz w:val="20"/>
                <w:szCs w:val="20"/>
              </w:rPr>
              <w:t>ons in one country to fund the capital needs of our operations in other countries;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limited or insufficient intellectual property protection;</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political instability or terrorist activities;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likelihood of potential or actual violations of do</w:t>
            </w:r>
            <w:r>
              <w:rPr>
                <w:color w:val="000000"/>
                <w:sz w:val="20"/>
                <w:szCs w:val="20"/>
              </w:rPr>
              <w:t>mestic and international anticorruption laws, such as the U.S. Foreign Corrupt Practices Act and the U.K. Bribery Act, or of U.S. and international export control and sanctions regulations, which likelihood may increase with an increase of sales or operati</w:t>
            </w:r>
            <w:r>
              <w:rPr>
                <w:color w:val="000000"/>
                <w:sz w:val="20"/>
                <w:szCs w:val="20"/>
              </w:rPr>
              <w:t>ons in foreign jurisdictions and operations in certain industries; and</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adverse tax burdens and foreign exchange controls that could make it difficult to repatriate earnings and cash.</w:t>
            </w:r>
          </w:p>
        </w:tc>
      </w:tr>
    </w:tbl>
    <w:p w:rsidR="00000000" w:rsidRDefault="00F20BDB">
      <w:pPr>
        <w:pStyle w:val="a3"/>
        <w:spacing w:before="240" w:beforeAutospacing="0" w:after="0" w:afterAutospacing="0"/>
        <w:ind w:firstLine="556"/>
        <w:rPr>
          <w:color w:val="000000"/>
          <w:sz w:val="20"/>
          <w:szCs w:val="20"/>
        </w:rPr>
      </w:pPr>
      <w:r>
        <w:rPr>
          <w:color w:val="000000"/>
          <w:sz w:val="20"/>
          <w:szCs w:val="20"/>
        </w:rPr>
        <w:t>Our limited experience in operating our business internationally increases the risk that any potential future expansion efforts that we may und</w:t>
      </w:r>
      <w:r>
        <w:rPr>
          <w:color w:val="000000"/>
          <w:sz w:val="20"/>
          <w:szCs w:val="20"/>
        </w:rPr>
        <w:t>ertake will not be successful. If we invest substantial time and resources to expand our international operations and are unable to do so successfully and in a timely manner, our business and operating results will suffer. We continue to implement policies</w:t>
      </w:r>
      <w:r>
        <w:rPr>
          <w:color w:val="000000"/>
          <w:sz w:val="20"/>
          <w:szCs w:val="20"/>
        </w:rPr>
        <w:t xml:space="preserve"> and procedures to facilitate our compliance with U.S. laws and regulations applicable to or arising from our international business. Inadequacies in our past or current compliance practices may increase the risk of inadvertent violations of such laws and </w:t>
      </w:r>
      <w:r>
        <w:rPr>
          <w:color w:val="000000"/>
          <w:sz w:val="20"/>
          <w:szCs w:val="20"/>
        </w:rPr>
        <w:t>regulations, which could lead to financial and other penalties that could damage our reputation and impose costs on us.</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Interruptions or delays in service from our third-party data center providers could impair our ability to deliver our platform to our cu</w:t>
      </w:r>
      <w:r>
        <w:rPr>
          <w:b/>
          <w:bCs/>
          <w:i/>
          <w:iCs/>
          <w:color w:val="000000"/>
          <w:sz w:val="20"/>
          <w:szCs w:val="20"/>
        </w:rPr>
        <w:t>stomers, resulting in customer dissatisfaction, damage to our reputation, loss of customers, limited growth and reduction in revenue.</w:t>
      </w:r>
    </w:p>
    <w:p w:rsidR="00000000" w:rsidRDefault="00F20BDB">
      <w:pPr>
        <w:pStyle w:val="a3"/>
        <w:spacing w:before="120" w:beforeAutospacing="0" w:after="0" w:afterAutospacing="0"/>
        <w:ind w:firstLine="556"/>
        <w:rPr>
          <w:color w:val="000000"/>
          <w:sz w:val="20"/>
          <w:szCs w:val="20"/>
        </w:rPr>
      </w:pPr>
      <w:r>
        <w:rPr>
          <w:color w:val="000000"/>
          <w:sz w:val="20"/>
          <w:szCs w:val="20"/>
        </w:rPr>
        <w:t>We currently serve the majority of our platform functions from third-party data center hosting facilities operated by Amaz</w:t>
      </w:r>
      <w:r>
        <w:rPr>
          <w:color w:val="000000"/>
          <w:sz w:val="20"/>
          <w:szCs w:val="20"/>
        </w:rPr>
        <w:t>on Web Services located in northern Virginia and Google Cloud Platform located in Frankfurt, Germany. In addition, we serve ancillary functions for our customers from third-party data center hosting facilities operated by Rackspace located in Dallas, Texas</w:t>
      </w:r>
      <w:r>
        <w:rPr>
          <w:color w:val="000000"/>
          <w:sz w:val="20"/>
          <w:szCs w:val="20"/>
        </w:rPr>
        <w:t xml:space="preserve">, with a backup facility in Chicago, Illinois. Our operations depend, in part, on our third-party facility providers’ abilities to protect these facilities against damage or interruption from natural disasters, such as earthquakes and hurricanes, power or </w:t>
      </w:r>
      <w:r>
        <w:rPr>
          <w:color w:val="000000"/>
          <w:sz w:val="20"/>
          <w:szCs w:val="20"/>
        </w:rPr>
        <w:t>telecommunications failures, criminal acts and similar events. In the event that any of our third-party facilities arrangements is terminated, or if there is a lapse of service or damage to a facility, we could experience interruptions in our platform as w</w:t>
      </w:r>
      <w:r>
        <w:rPr>
          <w:color w:val="000000"/>
          <w:sz w:val="20"/>
          <w:szCs w:val="20"/>
        </w:rPr>
        <w:t>ell as delays and additional expenses in arranging new facilities and services.</w:t>
      </w:r>
    </w:p>
    <w:p w:rsidR="00000000" w:rsidRDefault="00F20BDB">
      <w:pPr>
        <w:pStyle w:val="a3"/>
        <w:spacing w:before="240" w:beforeAutospacing="0" w:after="0" w:afterAutospacing="0"/>
        <w:ind w:firstLine="556"/>
        <w:rPr>
          <w:color w:val="000000"/>
          <w:sz w:val="20"/>
          <w:szCs w:val="20"/>
        </w:rPr>
      </w:pPr>
      <w:r>
        <w:rPr>
          <w:color w:val="000000"/>
          <w:sz w:val="20"/>
          <w:szCs w:val="20"/>
        </w:rPr>
        <w:t>Any damage to, or failure of, the systems of our third-party providers could result in interruptions to our platform. Despite precautions taken at our data centers, the occurre</w:t>
      </w:r>
      <w:r>
        <w:rPr>
          <w:color w:val="000000"/>
          <w:sz w:val="20"/>
          <w:szCs w:val="20"/>
        </w:rPr>
        <w:t>nce of spikes in usage volume, a natural disaster, such as earthquakes or hurricane, an act of terrorism, vandalism or sabotage, a decision to close a facility without adequate notice, or other unanticipated problems at a facility could result in lengthy i</w:t>
      </w:r>
      <w:r>
        <w:rPr>
          <w:color w:val="000000"/>
          <w:sz w:val="20"/>
          <w:szCs w:val="20"/>
        </w:rPr>
        <w:t>nterruptions in the availability of our on-demand software. Even with current and planned disaster recovery arrangements, our business could be harmed. Also, in the event of damage or interruption, our insurance policies may not adequately compensate us fo</w:t>
      </w:r>
      <w:r>
        <w:rPr>
          <w:color w:val="000000"/>
          <w:sz w:val="20"/>
          <w:szCs w:val="20"/>
        </w:rPr>
        <w:t>r any losses that we may incur. These factors in turn could further reduce our revenue, subject us to liability and cause us to issue credits or cause customers to fail to renew their subscriptions, any of which could materially adversely affect our busine</w:t>
      </w:r>
      <w:r>
        <w:rPr>
          <w:color w:val="000000"/>
          <w:sz w:val="20"/>
          <w:szCs w:val="20"/>
        </w:rPr>
        <w:t>ss.</w:t>
      </w:r>
    </w:p>
    <w:p w:rsidR="00000000" w:rsidRDefault="00F20BDB">
      <w:pPr>
        <w:pStyle w:val="a3"/>
        <w:spacing w:before="240" w:beforeAutospacing="0" w:after="0" w:afterAutospacing="0"/>
        <w:ind w:firstLine="556"/>
        <w:rPr>
          <w:sz w:val="20"/>
          <w:szCs w:val="20"/>
        </w:rPr>
      </w:pPr>
      <w:r>
        <w:rPr>
          <w:sz w:val="20"/>
          <w:szCs w:val="20"/>
        </w:rPr>
        <w:t> </w:t>
      </w:r>
    </w:p>
    <w:p w:rsidR="00000000" w:rsidRDefault="00F20BDB">
      <w:pPr>
        <w:pStyle w:val="a3"/>
        <w:spacing w:before="240" w:beforeAutospacing="0" w:after="0" w:afterAutospacing="0"/>
        <w:ind w:firstLine="556"/>
        <w:rPr>
          <w:sz w:val="20"/>
          <w:szCs w:val="20"/>
        </w:rPr>
      </w:pPr>
      <w:r>
        <w:rPr>
          <w:sz w:val="20"/>
          <w:szCs w:val="20"/>
        </w:rPr>
        <w:t> </w:t>
      </w:r>
    </w:p>
    <w:p w:rsidR="00000000" w:rsidRDefault="00F20BDB">
      <w:pPr>
        <w:pStyle w:val="a3"/>
        <w:spacing w:before="240" w:beforeAutospacing="0" w:after="0" w:afterAutospacing="0"/>
        <w:jc w:val="center"/>
        <w:rPr>
          <w:sz w:val="20"/>
          <w:szCs w:val="20"/>
        </w:rPr>
      </w:pPr>
      <w:r>
        <w:rPr>
          <w:sz w:val="20"/>
          <w:szCs w:val="20"/>
        </w:rPr>
        <w:t>37</w:t>
      </w:r>
    </w:p>
    <w:p w:rsidR="00000000" w:rsidRDefault="00F20BDB">
      <w:pPr>
        <w:rPr>
          <w:rFonts w:eastAsia="Times New Roman"/>
        </w:rPr>
      </w:pPr>
      <w:r>
        <w:rPr>
          <w:rFonts w:eastAsia="Times New Roman"/>
        </w:rPr>
        <w:pict>
          <v:rect id="_x0000_i1061"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360" w:beforeAutospacing="0" w:after="0" w:afterAutospacing="0"/>
        <w:rPr>
          <w:b/>
          <w:bCs/>
          <w:i/>
          <w:iCs/>
          <w:color w:val="000000"/>
          <w:sz w:val="20"/>
          <w:szCs w:val="20"/>
        </w:rPr>
      </w:pPr>
      <w:bookmarkStart w:id="51" w:name="_AEIOULastRenderedPageBreakAEIOU32"/>
      <w:bookmarkEnd w:id="51"/>
      <w:r>
        <w:rPr>
          <w:b/>
          <w:bCs/>
          <w:i/>
          <w:iCs/>
          <w:color w:val="000000"/>
          <w:sz w:val="20"/>
          <w:szCs w:val="20"/>
        </w:rPr>
        <w:t>If our Growth Platform has outages or fails due to defects or similar problems, and if we fail to correct any defect or other software problems, we could lose customers, become subject to service performance or warranty claims or incur significant costs.</w:t>
      </w:r>
    </w:p>
    <w:p w:rsidR="00000000" w:rsidRDefault="00F20BDB">
      <w:pPr>
        <w:pStyle w:val="a3"/>
        <w:spacing w:before="360" w:beforeAutospacing="0" w:after="0" w:afterAutospacing="0"/>
        <w:ind w:firstLine="816"/>
        <w:rPr>
          <w:color w:val="000000"/>
          <w:sz w:val="20"/>
          <w:szCs w:val="20"/>
        </w:rPr>
      </w:pPr>
      <w:r>
        <w:rPr>
          <w:color w:val="000000"/>
          <w:sz w:val="20"/>
          <w:szCs w:val="20"/>
        </w:rPr>
        <w:t>O</w:t>
      </w:r>
      <w:r>
        <w:rPr>
          <w:color w:val="000000"/>
          <w:sz w:val="20"/>
          <w:szCs w:val="20"/>
        </w:rPr>
        <w:t>ur platform and its underlying infrastructure are inherently complex and may contain material defects or errors. We release modifications, updates, bug fixes and other changes to our software several times per day, without traditional human-performed quali</w:t>
      </w:r>
      <w:r>
        <w:rPr>
          <w:color w:val="000000"/>
          <w:sz w:val="20"/>
          <w:szCs w:val="20"/>
        </w:rPr>
        <w:t>ty control reviews for each release. We have from time to time found defects in our software and may discover additional defects in the future. We may not be able to detect and correct defects or errors before customers begin to use our platform or its app</w:t>
      </w:r>
      <w:r>
        <w:rPr>
          <w:color w:val="000000"/>
          <w:sz w:val="20"/>
          <w:szCs w:val="20"/>
        </w:rPr>
        <w:t>lications. Consequently, we or our customers may discover defects or errors after our platform has been implemented. For example, we recently had a product outage due to the failure of one of the infrastructure systems that supports multiple parts of our p</w:t>
      </w:r>
      <w:r>
        <w:rPr>
          <w:color w:val="000000"/>
          <w:sz w:val="20"/>
          <w:szCs w:val="20"/>
        </w:rPr>
        <w:t>latform.  Although no data from prior to the outage was lost, our customers experienced disruptions in using our platform during the outage.  Defects or errors could result in product outages and could also cause inaccuracies in the data we collect and pro</w:t>
      </w:r>
      <w:r>
        <w:rPr>
          <w:color w:val="000000"/>
          <w:sz w:val="20"/>
          <w:szCs w:val="20"/>
        </w:rPr>
        <w:t>cess for our customers, or even the loss, damage or inadvertent release of such confidential data. We implement bug fixes and upgrades as part of our regular system maintenance, which may lead to system downtime. Even if we are able to implement the bug fi</w:t>
      </w:r>
      <w:r>
        <w:rPr>
          <w:color w:val="000000"/>
          <w:sz w:val="20"/>
          <w:szCs w:val="20"/>
        </w:rPr>
        <w:t>xes and upgrades in a timely manner, any history of product outages, defects or inaccuracies in the data we collect for our customers, or the loss, damage or inadvertent release of confidential data could cause our reputation to be harmed, and customers ma</w:t>
      </w:r>
      <w:r>
        <w:rPr>
          <w:color w:val="000000"/>
          <w:sz w:val="20"/>
          <w:szCs w:val="20"/>
        </w:rPr>
        <w:t>y elect not to purchase or renew their agreements with us. Furthermore, these issues could subject us to service performance credits (whether offered by us or required by contract), warranty claims or increased insurance costs. The costs associated with pr</w:t>
      </w:r>
      <w:r>
        <w:rPr>
          <w:color w:val="000000"/>
          <w:sz w:val="20"/>
          <w:szCs w:val="20"/>
        </w:rPr>
        <w:t>oduct outages, any material defects or errors in our platform or other performance problems may be substantial and could materially adversely affect our operating results.</w:t>
      </w:r>
    </w:p>
    <w:p w:rsidR="00000000" w:rsidRDefault="00F20BDB">
      <w:pPr>
        <w:pStyle w:val="a3"/>
        <w:spacing w:before="120" w:beforeAutospacing="0" w:after="0" w:afterAutospacing="0"/>
        <w:ind w:firstLine="556"/>
        <w:rPr>
          <w:color w:val="000000"/>
          <w:sz w:val="20"/>
          <w:szCs w:val="20"/>
        </w:rPr>
      </w:pPr>
      <w:r>
        <w:rPr>
          <w:color w:val="000000"/>
          <w:sz w:val="20"/>
          <w:szCs w:val="20"/>
        </w:rPr>
        <w:t>In addition, third-party apps and features on our Growth Platform may not meet the same quality standards that we apply to our own development efforts and, to the extent they contain bugs, vulnerabilities or defects, they may create disruptions in our cust</w:t>
      </w:r>
      <w:r>
        <w:rPr>
          <w:color w:val="000000"/>
          <w:sz w:val="20"/>
          <w:szCs w:val="20"/>
        </w:rPr>
        <w:t>omers’ use of our products, lead to data loss, unauthorized access to customer data, damage our brand and reputation and affect the continued use of our products, any of which could harm our business, results of operations and financial condition.</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We are d</w:t>
      </w:r>
      <w:r>
        <w:rPr>
          <w:b/>
          <w:bCs/>
          <w:i/>
          <w:iCs/>
          <w:color w:val="000000"/>
          <w:sz w:val="20"/>
          <w:szCs w:val="20"/>
        </w:rPr>
        <w:t>ependent on the continued availability of third-party data hosting and transmission services.</w:t>
      </w:r>
    </w:p>
    <w:p w:rsidR="00000000" w:rsidRDefault="00F20BDB">
      <w:pPr>
        <w:pStyle w:val="a3"/>
        <w:spacing w:before="120" w:beforeAutospacing="0" w:after="0" w:afterAutospacing="0"/>
        <w:ind w:firstLine="556"/>
        <w:rPr>
          <w:color w:val="000000"/>
          <w:sz w:val="20"/>
          <w:szCs w:val="20"/>
        </w:rPr>
      </w:pPr>
      <w:r>
        <w:rPr>
          <w:color w:val="000000"/>
          <w:sz w:val="20"/>
          <w:szCs w:val="20"/>
        </w:rPr>
        <w:t xml:space="preserve">A significant portion of our operating cost is from our third-party data hosting and transmission services. If the costs for such services increase due to vendor </w:t>
      </w:r>
      <w:r>
        <w:rPr>
          <w:color w:val="000000"/>
          <w:sz w:val="20"/>
          <w:szCs w:val="20"/>
        </w:rPr>
        <w:t>consolidation, regulation, contract renegotiation, or otherwise, we may not be able to increase the fees for our Growth Platform or services to cover the changes. As a result, our operating results may be significantly worse than forecasted.</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If we do not o</w:t>
      </w:r>
      <w:r>
        <w:rPr>
          <w:b/>
          <w:bCs/>
          <w:i/>
          <w:iCs/>
          <w:color w:val="000000"/>
          <w:sz w:val="20"/>
          <w:szCs w:val="20"/>
        </w:rPr>
        <w:t>r cannot maintain the compatibility of our Growth Platform with third-party applications that our customers use in their businesses, our revenue will decline.</w:t>
      </w:r>
    </w:p>
    <w:p w:rsidR="00000000" w:rsidRDefault="00F20BDB">
      <w:pPr>
        <w:pStyle w:val="a3"/>
        <w:spacing w:before="120" w:beforeAutospacing="0" w:after="0" w:afterAutospacing="0"/>
        <w:ind w:firstLine="556"/>
        <w:rPr>
          <w:color w:val="000000"/>
          <w:sz w:val="20"/>
          <w:szCs w:val="20"/>
        </w:rPr>
      </w:pPr>
      <w:r>
        <w:rPr>
          <w:color w:val="000000"/>
          <w:sz w:val="20"/>
          <w:szCs w:val="20"/>
        </w:rPr>
        <w:t>A significant percentage of our customers choose to integrate our platform with certain capabilit</w:t>
      </w:r>
      <w:r>
        <w:rPr>
          <w:color w:val="000000"/>
          <w:sz w:val="20"/>
          <w:szCs w:val="20"/>
        </w:rPr>
        <w:t>ies provided by third-party application providers using application programming interfaces, or APIs, published by these providers. The functionality and popularity of our Growth Platform depends, in part, on our ability to integrate our platform with third</w:t>
      </w:r>
      <w:r>
        <w:rPr>
          <w:color w:val="000000"/>
          <w:sz w:val="20"/>
          <w:szCs w:val="20"/>
        </w:rPr>
        <w:t>-party applications and platforms, including CRM, CMS, e-commerce, call center, analytics and social media sites that our customers use and from which they obtain data. Third-party providers of applications and APIs may change the features of their applica</w:t>
      </w:r>
      <w:r>
        <w:rPr>
          <w:color w:val="000000"/>
          <w:sz w:val="20"/>
          <w:szCs w:val="20"/>
        </w:rPr>
        <w:t>tions and platforms, restrict our access to their applications and platforms or alter the terms governing use of their applications and APIs and access to those applications and platforms in an adverse manner. Such changes could functionally limit or termi</w:t>
      </w:r>
      <w:r>
        <w:rPr>
          <w:color w:val="000000"/>
          <w:sz w:val="20"/>
          <w:szCs w:val="20"/>
        </w:rPr>
        <w:t>nate our ability to use these third-party applications and platforms in conjunction with our platform, which could negatively impact our offerings and harm our business. If we fail to integrate our platform with new third-party applications and platforms t</w:t>
      </w:r>
      <w:r>
        <w:rPr>
          <w:color w:val="000000"/>
          <w:sz w:val="20"/>
          <w:szCs w:val="20"/>
        </w:rPr>
        <w:t>hat our customers use for marketing, sales or services purposes, we may not be able to offer the functionality that our customers need, which would negatively impact our ability to generate revenue and adversely impact our business.</w:t>
      </w:r>
    </w:p>
    <w:p w:rsidR="00000000" w:rsidRDefault="00F20BDB">
      <w:pPr>
        <w:pStyle w:val="a3"/>
        <w:spacing w:before="240" w:beforeAutospacing="0" w:after="0" w:afterAutospacing="0"/>
        <w:jc w:val="center"/>
        <w:rPr>
          <w:sz w:val="20"/>
          <w:szCs w:val="20"/>
        </w:rPr>
      </w:pPr>
      <w:r>
        <w:rPr>
          <w:sz w:val="20"/>
          <w:szCs w:val="20"/>
        </w:rPr>
        <w:t>38</w:t>
      </w:r>
    </w:p>
    <w:p w:rsidR="00000000" w:rsidRDefault="00F20BDB">
      <w:pPr>
        <w:rPr>
          <w:rFonts w:eastAsia="Times New Roman"/>
        </w:rPr>
      </w:pPr>
      <w:r>
        <w:rPr>
          <w:rFonts w:eastAsia="Times New Roman"/>
        </w:rPr>
        <w:pict>
          <v:rect id="_x0000_i1062"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360" w:beforeAutospacing="0" w:after="0" w:afterAutospacing="0"/>
        <w:rPr>
          <w:b/>
          <w:bCs/>
          <w:i/>
          <w:iCs/>
          <w:color w:val="000000"/>
          <w:sz w:val="20"/>
          <w:szCs w:val="20"/>
        </w:rPr>
      </w:pPr>
      <w:bookmarkStart w:id="52" w:name="_AEIOULastRenderedPageBreakAEIOU33"/>
      <w:bookmarkEnd w:id="52"/>
      <w:r>
        <w:rPr>
          <w:b/>
          <w:bCs/>
          <w:i/>
          <w:iCs/>
          <w:color w:val="000000"/>
          <w:sz w:val="20"/>
          <w:szCs w:val="20"/>
        </w:rPr>
        <w:t xml:space="preserve">We rely on data provided by third parties, the loss of which could limit the functionality of </w:t>
      </w:r>
      <w:r>
        <w:rPr>
          <w:b/>
          <w:bCs/>
          <w:i/>
          <w:iCs/>
          <w:color w:val="000000"/>
          <w:sz w:val="20"/>
          <w:szCs w:val="20"/>
        </w:rPr>
        <w:t>our platform and disrupt our business.</w:t>
      </w:r>
    </w:p>
    <w:p w:rsidR="00000000" w:rsidRDefault="00F20BDB">
      <w:pPr>
        <w:pStyle w:val="a3"/>
        <w:spacing w:before="120" w:beforeAutospacing="0" w:after="0" w:afterAutospacing="0"/>
        <w:ind w:firstLine="556"/>
        <w:rPr>
          <w:color w:val="000000"/>
          <w:sz w:val="20"/>
          <w:szCs w:val="20"/>
        </w:rPr>
      </w:pPr>
      <w:r>
        <w:rPr>
          <w:color w:val="000000"/>
          <w:sz w:val="20"/>
          <w:szCs w:val="20"/>
        </w:rPr>
        <w:t xml:space="preserve">Select functionality of our Growth Platform depends on our ability to deliver data, including search engine results and social media updates, provided by unaffiliated third parties, such as Facebook, Google, LinkedIn </w:t>
      </w:r>
      <w:r>
        <w:rPr>
          <w:color w:val="000000"/>
          <w:sz w:val="20"/>
          <w:szCs w:val="20"/>
        </w:rPr>
        <w:t xml:space="preserve">and Twitter. Some of this data is provided to us pursuant to third-party data sharing policies and terms of use, under data sharing agreements by third-party providers or by customer consent. In the future, any of these third parties could change its data </w:t>
      </w:r>
      <w:r>
        <w:rPr>
          <w:color w:val="000000"/>
          <w:sz w:val="20"/>
          <w:szCs w:val="20"/>
        </w:rPr>
        <w:t>sharing policies, including making them more restrictive, or alter its algorithms that determine the placement, display, and accessibility of search results and social media updates, any of which could result in the loss of, or significant impairment to, o</w:t>
      </w:r>
      <w:r>
        <w:rPr>
          <w:color w:val="000000"/>
          <w:sz w:val="20"/>
          <w:szCs w:val="20"/>
        </w:rPr>
        <w:t xml:space="preserve">ur ability to collect and provide useful data to our customers. These third parties could also interpret our, or our service providers’, data collection policies or practices as being inconsistent with their policies, which could result in the loss of our </w:t>
      </w:r>
      <w:r>
        <w:rPr>
          <w:color w:val="000000"/>
          <w:sz w:val="20"/>
          <w:szCs w:val="20"/>
        </w:rPr>
        <w:t>ability to collect this data for our customers. Any such changes could impair our ability to deliver data to our customers and could adversely impact select functionality of our platform, impairing the return on investment that our customers derive from us</w:t>
      </w:r>
      <w:r>
        <w:rPr>
          <w:color w:val="000000"/>
          <w:sz w:val="20"/>
          <w:szCs w:val="20"/>
        </w:rPr>
        <w:t>ing our solution, as well as adversely affecting our business and our ability to generate revenue.</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Privacy concerns and end users’ acceptance of Internet behavior tracking may limit the applicability, use and adoption of our Growth Platform.</w:t>
      </w:r>
    </w:p>
    <w:p w:rsidR="00000000" w:rsidRDefault="00F20BDB">
      <w:pPr>
        <w:pStyle w:val="a3"/>
        <w:spacing w:before="120" w:beforeAutospacing="0" w:after="0" w:afterAutospacing="0"/>
        <w:ind w:firstLine="556"/>
        <w:rPr>
          <w:color w:val="000000"/>
          <w:sz w:val="20"/>
          <w:szCs w:val="20"/>
        </w:rPr>
      </w:pPr>
      <w:r>
        <w:rPr>
          <w:color w:val="000000"/>
          <w:sz w:val="20"/>
          <w:szCs w:val="20"/>
        </w:rPr>
        <w:t>Privacy concer</w:t>
      </w:r>
      <w:r>
        <w:rPr>
          <w:color w:val="000000"/>
          <w:sz w:val="20"/>
          <w:szCs w:val="20"/>
        </w:rPr>
        <w:t xml:space="preserve">ns may cause end users to resist providing the personal data necessary to allow our customers to use our platform effectively. We have implemented various features intended to enable our customers to better protect end user privacy, but these measures may </w:t>
      </w:r>
      <w:r>
        <w:rPr>
          <w:color w:val="000000"/>
          <w:sz w:val="20"/>
          <w:szCs w:val="20"/>
        </w:rPr>
        <w:t>not alleviate all potential privacy concerns and threats. Even the perception of privacy concerns, whether or not valid, may inhibit market adoption of our platform, especially in certain industries that rely on sensitive personal information. Privacy advo</w:t>
      </w:r>
      <w:r>
        <w:rPr>
          <w:color w:val="000000"/>
          <w:sz w:val="20"/>
          <w:szCs w:val="20"/>
        </w:rPr>
        <w:t>cacy groups and the technology and other industries are considering various new, additional or different self-regulatory standards that may place additional burdens on us. The costs of compliance with, and other burdens imposed by these groups’ policies an</w:t>
      </w:r>
      <w:r>
        <w:rPr>
          <w:color w:val="000000"/>
          <w:sz w:val="20"/>
          <w:szCs w:val="20"/>
        </w:rPr>
        <w:t>d actions may limit the use and adoption of our Growth Platform and reduce overall demand for it, or lead to significant fines, penalties or liabilities for any noncompliance or loss of any such action.</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We are subject to governmental regulation and other l</w:t>
      </w:r>
      <w:r>
        <w:rPr>
          <w:b/>
          <w:bCs/>
          <w:i/>
          <w:iCs/>
          <w:color w:val="000000"/>
          <w:sz w:val="20"/>
          <w:szCs w:val="20"/>
        </w:rPr>
        <w:t>egal obligations, particularly related to privacy, data protection and information security, and our actual or perceived failure to comply with such obligations could harm our business. Compliance with such laws could also impair our efforts to maintain an</w:t>
      </w:r>
      <w:r>
        <w:rPr>
          <w:b/>
          <w:bCs/>
          <w:i/>
          <w:iCs/>
          <w:color w:val="000000"/>
          <w:sz w:val="20"/>
          <w:szCs w:val="20"/>
        </w:rPr>
        <w:t>d expand our customer base, and thereby decrease our revenue.</w:t>
      </w:r>
    </w:p>
    <w:p w:rsidR="00000000" w:rsidRDefault="00F20BDB">
      <w:pPr>
        <w:pStyle w:val="a3"/>
        <w:spacing w:before="120" w:beforeAutospacing="0" w:after="0" w:afterAutospacing="0"/>
        <w:ind w:firstLine="556"/>
        <w:rPr>
          <w:color w:val="000000"/>
          <w:sz w:val="20"/>
          <w:szCs w:val="20"/>
        </w:rPr>
      </w:pPr>
      <w:r>
        <w:rPr>
          <w:color w:val="000000"/>
          <w:sz w:val="20"/>
          <w:szCs w:val="20"/>
        </w:rPr>
        <w:t>Our handling of data is subject to a variety of laws and regulations, including regulation by various government agencies, including the U.S. Federal Trade Commission, or FTC, and various state,</w:t>
      </w:r>
      <w:r>
        <w:rPr>
          <w:color w:val="000000"/>
          <w:sz w:val="20"/>
          <w:szCs w:val="20"/>
        </w:rPr>
        <w:t xml:space="preserve"> local and foreign agencies. We collect personally identifiable information and other data from our customers and leads. We also handle personally identifiable information about our customers’ customers. We use this information to provide services to our c</w:t>
      </w:r>
      <w:r>
        <w:rPr>
          <w:color w:val="000000"/>
          <w:sz w:val="20"/>
          <w:szCs w:val="20"/>
        </w:rPr>
        <w:t>ustomers, to support, expand and improve our business. We may also share customers’ personally identifiable information with third parties as authorized by the customer or as described in our privacy policy.</w:t>
      </w:r>
    </w:p>
    <w:p w:rsidR="00000000" w:rsidRDefault="00F20BDB">
      <w:pPr>
        <w:pStyle w:val="a3"/>
        <w:spacing w:before="240" w:beforeAutospacing="0" w:after="0" w:afterAutospacing="0"/>
        <w:ind w:firstLine="556"/>
        <w:rPr>
          <w:color w:val="000000"/>
          <w:sz w:val="20"/>
          <w:szCs w:val="20"/>
        </w:rPr>
      </w:pPr>
      <w:r>
        <w:rPr>
          <w:color w:val="000000"/>
          <w:sz w:val="20"/>
          <w:szCs w:val="20"/>
        </w:rPr>
        <w:t>The U.S. federal and various state and foreign g</w:t>
      </w:r>
      <w:r>
        <w:rPr>
          <w:color w:val="000000"/>
          <w:sz w:val="20"/>
          <w:szCs w:val="20"/>
        </w:rPr>
        <w:t xml:space="preserve">overnments have adopted or proposed limitations on the collection, distribution, use and storage of personal information of individuals. In the United States, the FTC and many state attorneys general are applying federal and state consumer protection laws </w:t>
      </w:r>
      <w:r>
        <w:rPr>
          <w:color w:val="000000"/>
          <w:sz w:val="20"/>
          <w:szCs w:val="20"/>
        </w:rPr>
        <w:t>as imposing standards for the online collection, use and dissemination of data. However, these obligations may be interpreted and applied in a manner that is inconsistent from one jurisdiction to another and may conflict with other requirements or our prac</w:t>
      </w:r>
      <w:r>
        <w:rPr>
          <w:color w:val="000000"/>
          <w:sz w:val="20"/>
          <w:szCs w:val="20"/>
        </w:rPr>
        <w:t>tices. Any failure or perceived failure by us to comply with privacy or security laws, policies, legal obligations or industry standards or any security incident that results in the unauthorized release or transfer of personally identifiable information or</w:t>
      </w:r>
      <w:r>
        <w:rPr>
          <w:color w:val="000000"/>
          <w:sz w:val="20"/>
          <w:szCs w:val="20"/>
        </w:rPr>
        <w:t xml:space="preserve"> other customer data may result in governmental enforcement actions, litigation, fines and penalties and/or adverse publicity, and could cause our customers to lose trust in us, which could have an adverse effect on our reputation and business.</w:t>
      </w:r>
    </w:p>
    <w:p w:rsidR="00000000" w:rsidRDefault="00F20BDB">
      <w:pPr>
        <w:pStyle w:val="a3"/>
        <w:spacing w:before="240" w:beforeAutospacing="0" w:after="0" w:afterAutospacing="0"/>
        <w:ind w:firstLine="556"/>
        <w:rPr>
          <w:color w:val="000000"/>
          <w:sz w:val="20"/>
          <w:szCs w:val="20"/>
        </w:rPr>
      </w:pPr>
      <w:r>
        <w:rPr>
          <w:color w:val="000000"/>
          <w:sz w:val="20"/>
          <w:szCs w:val="20"/>
        </w:rPr>
        <w:t>Laws and re</w:t>
      </w:r>
      <w:r>
        <w:rPr>
          <w:color w:val="000000"/>
          <w:sz w:val="20"/>
          <w:szCs w:val="20"/>
        </w:rPr>
        <w:t>gulations concerning privacy, data protection and information security are evolving, and changes to such laws and regulations could require us to change features of our platform or restrict our customers’ ability to collect and use email addresses, page vi</w:t>
      </w:r>
      <w:r>
        <w:rPr>
          <w:color w:val="000000"/>
          <w:sz w:val="20"/>
          <w:szCs w:val="20"/>
        </w:rPr>
        <w:t>ewing data and personal information, which may reduce demand for our platform. Our failure to comply with federal, state and international data privacy laws and regulations could harm our ability to successfully operate our business and pursue our business</w:t>
      </w:r>
      <w:r>
        <w:rPr>
          <w:color w:val="000000"/>
          <w:sz w:val="20"/>
          <w:szCs w:val="20"/>
        </w:rPr>
        <w:t xml:space="preserve"> goals. For example, California recently enacted the California Consumer Privacy Act, or CCPA, that will, among other things, require covered companies to provide new disclosures to California consumers and afford such consumers new abilities to opt-out of</w:t>
      </w:r>
      <w:r>
        <w:rPr>
          <w:color w:val="000000"/>
          <w:sz w:val="20"/>
          <w:szCs w:val="20"/>
        </w:rPr>
        <w:t xml:space="preserve"> certain sales of personal information, when it goes into effect on January 1, 2020. The CCPA recently was amended, and it is possible that it will be amended again before it goes into effect. We cannot yet predict the impact of the CCPA on our business or</w:t>
      </w:r>
      <w:r>
        <w:rPr>
          <w:color w:val="000000"/>
          <w:sz w:val="20"/>
          <w:szCs w:val="20"/>
        </w:rPr>
        <w:t xml:space="preserve"> operations, but it may require us to modify our data processing practices and policies and to incur substantial costs and expenses in an effort to comply.</w:t>
      </w:r>
    </w:p>
    <w:p w:rsidR="00000000" w:rsidRDefault="00F20BDB">
      <w:pPr>
        <w:pStyle w:val="a3"/>
        <w:spacing w:before="240" w:beforeAutospacing="0" w:after="0" w:afterAutospacing="0"/>
        <w:ind w:firstLine="556"/>
        <w:rPr>
          <w:color w:val="000000"/>
          <w:sz w:val="20"/>
          <w:szCs w:val="20"/>
        </w:rPr>
      </w:pPr>
      <w:bookmarkStart w:id="53" w:name="_AEIOULastRenderedPageBreakAEIOU34"/>
      <w:bookmarkEnd w:id="53"/>
      <w:r>
        <w:rPr>
          <w:color w:val="000000"/>
          <w:sz w:val="20"/>
          <w:szCs w:val="20"/>
        </w:rPr>
        <w:t>In addition, several foreign countries and governmental bodies, including the European Union and Can</w:t>
      </w:r>
      <w:r>
        <w:rPr>
          <w:color w:val="000000"/>
          <w:sz w:val="20"/>
          <w:szCs w:val="20"/>
        </w:rPr>
        <w:t xml:space="preserve">ada, have regulations dealing with the collection and use of personal information obtained from their residents, which are often more restrictive than those in the United States. Laws and regulations in these jurisdictions apply broadly to the collection, </w:t>
      </w:r>
      <w:r>
        <w:rPr>
          <w:color w:val="000000"/>
          <w:sz w:val="20"/>
          <w:szCs w:val="20"/>
        </w:rPr>
        <w:t xml:space="preserve">use, storage, disclosure and security of personal information that identifies or may be used to identify an individual. Within the European Union, legislators have adopted the General Data Protection Regulation, or GDPR, which became effective in May 2018 </w:t>
      </w:r>
      <w:r>
        <w:rPr>
          <w:color w:val="000000"/>
          <w:sz w:val="20"/>
          <w:szCs w:val="20"/>
        </w:rPr>
        <w:t>which may impose additional obligations and risk upon our business and which may increase substantially the penalties to which we could be subject in the event of any non-</w:t>
      </w:r>
    </w:p>
    <w:p w:rsidR="00000000" w:rsidRDefault="00F20BDB">
      <w:pPr>
        <w:pStyle w:val="a3"/>
        <w:spacing w:before="240" w:beforeAutospacing="0" w:after="0" w:afterAutospacing="0"/>
        <w:jc w:val="center"/>
        <w:rPr>
          <w:sz w:val="20"/>
          <w:szCs w:val="20"/>
        </w:rPr>
      </w:pPr>
      <w:r>
        <w:rPr>
          <w:sz w:val="20"/>
          <w:szCs w:val="20"/>
        </w:rPr>
        <w:t>39</w:t>
      </w:r>
    </w:p>
    <w:p w:rsidR="00000000" w:rsidRDefault="00F20BDB">
      <w:pPr>
        <w:rPr>
          <w:rFonts w:eastAsia="Times New Roman"/>
        </w:rPr>
      </w:pPr>
      <w:r>
        <w:rPr>
          <w:rFonts w:eastAsia="Times New Roman"/>
        </w:rPr>
        <w:pict>
          <v:rect id="_x0000_i1063"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240" w:beforeAutospacing="0" w:after="0" w:afterAutospacing="0"/>
        <w:rPr>
          <w:color w:val="000000"/>
          <w:sz w:val="20"/>
          <w:szCs w:val="20"/>
        </w:rPr>
      </w:pPr>
      <w:r>
        <w:rPr>
          <w:color w:val="000000"/>
          <w:sz w:val="20"/>
          <w:szCs w:val="20"/>
        </w:rPr>
        <w:t>compliance. In addition, Brexit could also lead to further legislative and regulatory changes. It remains unclear how the United Kingdom data protection l</w:t>
      </w:r>
      <w:r>
        <w:rPr>
          <w:color w:val="000000"/>
          <w:sz w:val="20"/>
          <w:szCs w:val="20"/>
        </w:rPr>
        <w:t>aws or regulations will develop in the medium to longer term and how data transfers to and from the United Kingdom will be regulated.  We may incur substantial expense in complying with the new obligations to be imposed by the GDPR and we may be required t</w:t>
      </w:r>
      <w:r>
        <w:rPr>
          <w:color w:val="000000"/>
          <w:sz w:val="20"/>
          <w:szCs w:val="20"/>
        </w:rPr>
        <w:t>o make significant changes in our business operations, all of which may adversely affect our revenues and our business overall.</w:t>
      </w:r>
    </w:p>
    <w:p w:rsidR="00000000" w:rsidRDefault="00F20BDB">
      <w:pPr>
        <w:pStyle w:val="a3"/>
        <w:spacing w:before="240" w:beforeAutospacing="0" w:after="0" w:afterAutospacing="0"/>
        <w:ind w:firstLine="556"/>
        <w:rPr>
          <w:sz w:val="20"/>
          <w:szCs w:val="20"/>
        </w:rPr>
      </w:pPr>
      <w:r>
        <w:rPr>
          <w:sz w:val="20"/>
          <w:szCs w:val="20"/>
        </w:rPr>
        <w:t>On May 23, 2016, the European Parliament adopted a resolution and on July 8, 2016 the European Member State representatives approved the final version of the EU-US Privacy Shield as a successor to the Safe Harbor framework. As of August 1, 2016, interested</w:t>
      </w:r>
      <w:r>
        <w:rPr>
          <w:sz w:val="20"/>
          <w:szCs w:val="20"/>
        </w:rPr>
        <w:t xml:space="preserve"> companies have been permitted to register for the program. We are currently certified to the EU-US Privacy Shield. There continue to be concerns about whether the EU-US Privacy Shield will face additional challenges. Until the remaining legal uncertaintie</w:t>
      </w:r>
      <w:r>
        <w:rPr>
          <w:sz w:val="20"/>
          <w:szCs w:val="20"/>
        </w:rPr>
        <w:t>s regarding the future of the EU-US Privacy Shield are settled, we will continue to face uncertainty as to whether our efforts to comply with our obligations under European privacy laws will be sufficient. If we are investigated by a European data protecti</w:t>
      </w:r>
      <w:r>
        <w:rPr>
          <w:sz w:val="20"/>
          <w:szCs w:val="20"/>
        </w:rPr>
        <w:t>on authority, we may face fines and other penalties. Any such investigation or charges by European data protection authorities could have a negative effect on our existing business and on our ability to attract and retain new customers.</w:t>
      </w:r>
    </w:p>
    <w:p w:rsidR="00000000" w:rsidRDefault="00F20BDB">
      <w:pPr>
        <w:pStyle w:val="a3"/>
        <w:spacing w:before="240" w:beforeAutospacing="0" w:after="0" w:afterAutospacing="0"/>
        <w:ind w:firstLine="556"/>
        <w:rPr>
          <w:sz w:val="20"/>
          <w:szCs w:val="20"/>
        </w:rPr>
      </w:pPr>
      <w:r>
        <w:rPr>
          <w:sz w:val="20"/>
          <w:szCs w:val="20"/>
        </w:rPr>
        <w:t>We may also experie</w:t>
      </w:r>
      <w:r>
        <w:rPr>
          <w:sz w:val="20"/>
          <w:szCs w:val="20"/>
        </w:rPr>
        <w:t>nce hesitancy, reluctance, or refusal by European or multi-national customers to continue to use our services due to the potential risk exposure to such customers as a result of the ECJ ruling in Case C-362/14 and the current data protection obligations im</w:t>
      </w:r>
      <w:r>
        <w:rPr>
          <w:sz w:val="20"/>
          <w:szCs w:val="20"/>
        </w:rPr>
        <w:t>posed on them by certain data protection authorities. Such customers may also view any alternative approaches to compliance as being too costly, too burdensome, too legally uncertain or otherwise objectionable and therefore decide not to do business with u</w:t>
      </w:r>
      <w:r>
        <w:rPr>
          <w:sz w:val="20"/>
          <w:szCs w:val="20"/>
        </w:rPr>
        <w:t>s. For example, some of our customers or potential customers in the EU may require their vendors to host all personal data within the EU and may decide to do business with one of our competitors who hosts personal data within the EU instead of doing busine</w:t>
      </w:r>
      <w:r>
        <w:rPr>
          <w:sz w:val="20"/>
          <w:szCs w:val="20"/>
        </w:rPr>
        <w:t>ss with us.</w:t>
      </w:r>
    </w:p>
    <w:p w:rsidR="00000000" w:rsidRDefault="00F20BDB">
      <w:pPr>
        <w:pStyle w:val="a3"/>
        <w:spacing w:before="240" w:beforeAutospacing="0" w:after="0" w:afterAutospacing="0"/>
        <w:ind w:firstLine="556"/>
        <w:rPr>
          <w:sz w:val="20"/>
          <w:szCs w:val="20"/>
        </w:rPr>
      </w:pPr>
      <w:r>
        <w:rPr>
          <w:sz w:val="20"/>
          <w:szCs w:val="20"/>
        </w:rPr>
        <w:t>We and our customers are at risk of enforcement actions taken by certain EU data protection authorities until such point in time that we may be able to ensure that all transfers of personal data to us from the EEA are conducted in compliance wi</w:t>
      </w:r>
      <w:r>
        <w:rPr>
          <w:sz w:val="20"/>
          <w:szCs w:val="20"/>
        </w:rPr>
        <w:t>th all applicable regulatory obligations, the guidance of data protection authorities, and evolving best practices. We may find it necessary to establish systems to maintain personal data originating from the EU in the EEA, which may involve substantial ex</w:t>
      </w:r>
      <w:r>
        <w:rPr>
          <w:sz w:val="20"/>
          <w:szCs w:val="20"/>
        </w:rPr>
        <w:t xml:space="preserve">pense and may cause us to need to divert resources from other aspects of our business, all of which may adversely affect our business. </w:t>
      </w:r>
    </w:p>
    <w:p w:rsidR="00000000" w:rsidRDefault="00F20BDB">
      <w:pPr>
        <w:pStyle w:val="a3"/>
        <w:spacing w:before="240" w:beforeAutospacing="0" w:after="0" w:afterAutospacing="0"/>
        <w:ind w:firstLine="556"/>
        <w:rPr>
          <w:color w:val="000000"/>
          <w:sz w:val="20"/>
          <w:szCs w:val="20"/>
        </w:rPr>
      </w:pPr>
      <w:r>
        <w:rPr>
          <w:color w:val="000000"/>
          <w:sz w:val="20"/>
          <w:szCs w:val="20"/>
        </w:rPr>
        <w:t>In addition, if our privacy or data security measures fail to comply with current or future laws and regulations, we may</w:t>
      </w:r>
      <w:r>
        <w:rPr>
          <w:color w:val="000000"/>
          <w:sz w:val="20"/>
          <w:szCs w:val="20"/>
        </w:rPr>
        <w:t xml:space="preserve"> be subject to claims, legal proceedings or other actions by individuals or governmental authorities based on privacy or data protection regulations and our commitments to customers or others, as well as negative publicity and a potential loss of business.</w:t>
      </w:r>
      <w:r>
        <w:rPr>
          <w:color w:val="000000"/>
          <w:sz w:val="20"/>
          <w:szCs w:val="20"/>
        </w:rPr>
        <w:t> Moreover, if future laws and regulations limit our subscribers’ ability to use and share personal information or our ability to store, process and share personal information, demand for our solutions could decrease, our costs could increase, and our busin</w:t>
      </w:r>
      <w:r>
        <w:rPr>
          <w:color w:val="000000"/>
          <w:sz w:val="20"/>
          <w:szCs w:val="20"/>
        </w:rPr>
        <w:t>ess, results of operations and financial condition could be harmed.</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If our or our customers’ security measures are compromised or unauthorized access to data of our customers or their customers is otherwise obtained, our Growth Platform may be perceived as</w:t>
      </w:r>
      <w:r>
        <w:rPr>
          <w:b/>
          <w:bCs/>
          <w:i/>
          <w:iCs/>
          <w:color w:val="000000"/>
          <w:sz w:val="20"/>
          <w:szCs w:val="20"/>
        </w:rPr>
        <w:t xml:space="preserve"> not being secure, our customers may be harmed and may curtail or cease their use of our platform, our reputation may be damaged and we may incur significant liabilities.</w:t>
      </w:r>
    </w:p>
    <w:p w:rsidR="00000000" w:rsidRDefault="00F20BDB">
      <w:pPr>
        <w:pStyle w:val="a3"/>
        <w:spacing w:before="120" w:beforeAutospacing="0" w:after="0" w:afterAutospacing="0"/>
        <w:ind w:firstLine="556"/>
        <w:rPr>
          <w:color w:val="000000"/>
          <w:sz w:val="20"/>
          <w:szCs w:val="20"/>
        </w:rPr>
      </w:pPr>
      <w:r>
        <w:rPr>
          <w:color w:val="000000"/>
          <w:sz w:val="20"/>
          <w:szCs w:val="20"/>
        </w:rPr>
        <w:t>Our operations involve the storage and transmission of data of our customers and thei</w:t>
      </w:r>
      <w:r>
        <w:rPr>
          <w:color w:val="000000"/>
          <w:sz w:val="20"/>
          <w:szCs w:val="20"/>
        </w:rPr>
        <w:t>r customers, including personally identifiable information. Our storage is typically the sole source of record for portions of our customers’ businesses and end user data, such as initial contact information and online interactions. Security incidents coul</w:t>
      </w:r>
      <w:r>
        <w:rPr>
          <w:color w:val="000000"/>
          <w:sz w:val="20"/>
          <w:szCs w:val="20"/>
        </w:rPr>
        <w:t>d result in unauthorized access to, loss of or unauthorized disclosure of this information, litigation, indemnity obligations and other possible liabilities, as well as negative publicity, which could damage our reputation, impair our sales and harm our cu</w:t>
      </w:r>
      <w:r>
        <w:rPr>
          <w:color w:val="000000"/>
          <w:sz w:val="20"/>
          <w:szCs w:val="20"/>
        </w:rPr>
        <w:t>stomers and our business. Cyber-attacks and other malicious Internet-based activity continue to increase generally, and cloud-based platform providers of marketing services have been targeted. If our security measures are compromised as a result of third-p</w:t>
      </w:r>
      <w:r>
        <w:rPr>
          <w:color w:val="000000"/>
          <w:sz w:val="20"/>
          <w:szCs w:val="20"/>
        </w:rPr>
        <w:t>arty action, employee or customer error, malfeasance, stolen or fraudulently obtained log-in credentials or otherwise, our reputation could be damaged, our business may be harmed and we could incur significant liability. If third parties with whom we work,</w:t>
      </w:r>
      <w:r>
        <w:rPr>
          <w:color w:val="000000"/>
          <w:sz w:val="20"/>
          <w:szCs w:val="20"/>
        </w:rPr>
        <w:t xml:space="preserve"> such as vendors or developers, violate applicable laws, our security policies or our acceptable use policy, such violations may also put our customers’ information at risk and could in turn have an adverse effect on our business. In addition, if the secur</w:t>
      </w:r>
      <w:r>
        <w:rPr>
          <w:color w:val="000000"/>
          <w:sz w:val="20"/>
          <w:szCs w:val="20"/>
        </w:rPr>
        <w:t>ity measures of our customers are compromised, even without any actual compromise of our own systems, we may face negative publicity or reputational harm if our customers or anyone else incorrectly attributes the blame for such security breaches to us or o</w:t>
      </w:r>
      <w:r>
        <w:rPr>
          <w:color w:val="000000"/>
          <w:sz w:val="20"/>
          <w:szCs w:val="20"/>
        </w:rPr>
        <w:t xml:space="preserve">ur systems. We may be unable to anticipate or prevent techniques used to obtain unauthorized access or to sabotage systems because they change frequently and generally are not detected until after an incident has occurred. As we increase our customer base </w:t>
      </w:r>
      <w:r>
        <w:rPr>
          <w:color w:val="000000"/>
          <w:sz w:val="20"/>
          <w:szCs w:val="20"/>
        </w:rPr>
        <w:t>and our brand becomes more widely known and recognized, we may become more of a target for third parties seeking to compromise our security systems or gain unauthorized access to our customers’ data. Additionally, we provide extensive access to our databas</w:t>
      </w:r>
      <w:r>
        <w:rPr>
          <w:color w:val="000000"/>
          <w:sz w:val="20"/>
          <w:szCs w:val="20"/>
        </w:rPr>
        <w:t>e, which stores our customer data, to our development team to facilitate our rapid pace of product development. If such access or our own operations cause the loss, damage or destruction of our customers’ business data, their sales, lead generation, suppor</w:t>
      </w:r>
      <w:r>
        <w:rPr>
          <w:color w:val="000000"/>
          <w:sz w:val="20"/>
          <w:szCs w:val="20"/>
        </w:rPr>
        <w:t>t and other business operations may be permanently harmed. As a result, our customers may bring claims against us for lost profits and other damages.</w:t>
      </w:r>
    </w:p>
    <w:p w:rsidR="00000000" w:rsidRDefault="00F20BDB">
      <w:pPr>
        <w:pStyle w:val="a3"/>
        <w:spacing w:before="240" w:beforeAutospacing="0" w:after="0" w:afterAutospacing="0"/>
        <w:jc w:val="center"/>
        <w:rPr>
          <w:sz w:val="20"/>
          <w:szCs w:val="20"/>
        </w:rPr>
      </w:pPr>
      <w:r>
        <w:rPr>
          <w:sz w:val="20"/>
          <w:szCs w:val="20"/>
        </w:rPr>
        <w:t>40</w:t>
      </w:r>
    </w:p>
    <w:p w:rsidR="00000000" w:rsidRDefault="00F20BDB">
      <w:pPr>
        <w:rPr>
          <w:rFonts w:eastAsia="Times New Roman"/>
        </w:rPr>
      </w:pPr>
      <w:r>
        <w:rPr>
          <w:rFonts w:eastAsia="Times New Roman"/>
        </w:rPr>
        <w:pict>
          <v:rect id="_x0000_i1064"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240" w:beforeAutospacing="0" w:after="0" w:afterAutospacing="0"/>
        <w:ind w:firstLine="556"/>
        <w:rPr>
          <w:color w:val="000000"/>
          <w:sz w:val="20"/>
          <w:szCs w:val="20"/>
        </w:rPr>
      </w:pPr>
      <w:bookmarkStart w:id="54" w:name="_AEIOULastRenderedPageBreakAEIOU35"/>
      <w:bookmarkEnd w:id="54"/>
      <w:r>
        <w:rPr>
          <w:color w:val="000000"/>
          <w:sz w:val="20"/>
          <w:szCs w:val="20"/>
        </w:rPr>
        <w:t>Many governments have enacted laws requiring companies to notify individuals of data security incidents or unauthorized transfers involving certain types of personal data. In addition, some of our customers contractually require notification of any data se</w:t>
      </w:r>
      <w:r>
        <w:rPr>
          <w:color w:val="000000"/>
          <w:sz w:val="20"/>
          <w:szCs w:val="20"/>
        </w:rPr>
        <w:t>curity compromise. Security compromises experienced by our competitors, by our customers or by us may lead to public disclosures, which may lead to widespread negative publicity. Any security compromise in our industry, whether actual or perceived, could h</w:t>
      </w:r>
      <w:r>
        <w:rPr>
          <w:color w:val="000000"/>
          <w:sz w:val="20"/>
          <w:szCs w:val="20"/>
        </w:rPr>
        <w:t>arm our reputation, erode customer confidence in the effectiveness of our security measures, negatively impact our ability to attract new customers, cause existing customers to elect not to renew their subscriptions or subject us to third-party lawsuits, r</w:t>
      </w:r>
      <w:r>
        <w:rPr>
          <w:color w:val="000000"/>
          <w:sz w:val="20"/>
          <w:szCs w:val="20"/>
        </w:rPr>
        <w:t>egulatory fines or other action or liability, which could materially and adversely affect our business and operating results.</w:t>
      </w:r>
    </w:p>
    <w:p w:rsidR="00000000" w:rsidRDefault="00F20BDB">
      <w:pPr>
        <w:pStyle w:val="a3"/>
        <w:spacing w:before="240" w:beforeAutospacing="0" w:after="0" w:afterAutospacing="0"/>
        <w:ind w:firstLine="556"/>
        <w:rPr>
          <w:color w:val="000000"/>
          <w:sz w:val="20"/>
          <w:szCs w:val="20"/>
        </w:rPr>
      </w:pPr>
      <w:r>
        <w:rPr>
          <w:color w:val="000000"/>
          <w:sz w:val="20"/>
          <w:szCs w:val="20"/>
        </w:rPr>
        <w:t>There can be no assurance that any limitations of liability provisions in our contracts for a security breach would be enforceable</w:t>
      </w:r>
      <w:r>
        <w:rPr>
          <w:color w:val="000000"/>
          <w:sz w:val="20"/>
          <w:szCs w:val="20"/>
        </w:rPr>
        <w:t xml:space="preserve"> or adequate or would otherwise protect us from any such liabilities or damages with respect to any particular claim. We also cannot be sure that our existing general liability insurance coverage and coverage for errors or omissions will continue to be ava</w:t>
      </w:r>
      <w:r>
        <w:rPr>
          <w:color w:val="000000"/>
          <w:sz w:val="20"/>
          <w:szCs w:val="20"/>
        </w:rPr>
        <w:t>ilable on acceptable terms or will be available in sufficient amounts to cover one or more large claims, or that the insurer will not deny coverage as to any future claim. The successful assertion of one or more large claims against us that exceed availabl</w:t>
      </w:r>
      <w:r>
        <w:rPr>
          <w:color w:val="000000"/>
          <w:sz w:val="20"/>
          <w:szCs w:val="20"/>
        </w:rPr>
        <w:t>e insurance coverage, or the occurrence of changes in our insurance policies, including premium increases or the imposition of large deductible or co-insurance requirements, could have a material adverse effect on our business, financial condition and oper</w:t>
      </w:r>
      <w:r>
        <w:rPr>
          <w:color w:val="000000"/>
          <w:sz w:val="20"/>
          <w:szCs w:val="20"/>
        </w:rPr>
        <w:t>ating results.</w:t>
      </w:r>
    </w:p>
    <w:p w:rsidR="00000000" w:rsidRDefault="00F20BDB">
      <w:pPr>
        <w:pStyle w:val="a3"/>
        <w:spacing w:before="360" w:beforeAutospacing="0" w:after="0" w:afterAutospacing="0"/>
        <w:rPr>
          <w:b/>
          <w:bCs/>
          <w:sz w:val="20"/>
          <w:szCs w:val="20"/>
        </w:rPr>
      </w:pPr>
      <w:r>
        <w:rPr>
          <w:b/>
          <w:bCs/>
          <w:sz w:val="20"/>
          <w:szCs w:val="20"/>
        </w:rPr>
        <w:t>Risks Related to Intellectual Property</w:t>
      </w:r>
    </w:p>
    <w:p w:rsidR="00000000" w:rsidRDefault="00F20BDB">
      <w:pPr>
        <w:pStyle w:val="a3"/>
        <w:spacing w:before="120" w:beforeAutospacing="0" w:after="0" w:afterAutospacing="0"/>
        <w:rPr>
          <w:b/>
          <w:bCs/>
          <w:i/>
          <w:iCs/>
          <w:color w:val="000000"/>
          <w:sz w:val="20"/>
          <w:szCs w:val="20"/>
        </w:rPr>
      </w:pPr>
      <w:r>
        <w:rPr>
          <w:b/>
          <w:bCs/>
          <w:i/>
          <w:iCs/>
          <w:color w:val="000000"/>
          <w:sz w:val="20"/>
          <w:szCs w:val="20"/>
        </w:rPr>
        <w:t>Our business may suffer if it is alleged or determined that our technology infringes the intellectual property rights of others.</w:t>
      </w:r>
    </w:p>
    <w:p w:rsidR="00000000" w:rsidRDefault="00F20BDB">
      <w:pPr>
        <w:pStyle w:val="a3"/>
        <w:spacing w:before="120" w:beforeAutospacing="0" w:after="0" w:afterAutospacing="0"/>
        <w:ind w:firstLine="556"/>
        <w:rPr>
          <w:color w:val="000000"/>
          <w:sz w:val="20"/>
          <w:szCs w:val="20"/>
        </w:rPr>
      </w:pPr>
      <w:r>
        <w:rPr>
          <w:color w:val="000000"/>
          <w:sz w:val="20"/>
          <w:szCs w:val="20"/>
        </w:rPr>
        <w:t>The software industry is characterized by the existence of a large number</w:t>
      </w:r>
      <w:r>
        <w:rPr>
          <w:color w:val="000000"/>
          <w:sz w:val="20"/>
          <w:szCs w:val="20"/>
        </w:rPr>
        <w:t xml:space="preserve"> of patents, copyrights, trademarks, trade secrets and other intellectual and proprietary rights. Companies in the software industry, including those in marketing software, are often required to defend against litigation claims based on allegations of infr</w:t>
      </w:r>
      <w:r>
        <w:rPr>
          <w:color w:val="000000"/>
          <w:sz w:val="20"/>
          <w:szCs w:val="20"/>
        </w:rPr>
        <w:t>ingement or other violations of intellectual property rights. Many of our competitors and other industry participants have been issued patents and/or have filed patent applications and may assert patent or other intellectual property rights within the indu</w:t>
      </w:r>
      <w:r>
        <w:rPr>
          <w:color w:val="000000"/>
          <w:sz w:val="20"/>
          <w:szCs w:val="20"/>
        </w:rPr>
        <w:t>stry. Moreover, in recent years, individuals and groups that are non-practicing entities, commonly referred to as “patent trolls,” have purchased patents and other intellectual property assets for the purpose of making claims of infringement in order to ex</w:t>
      </w:r>
      <w:r>
        <w:rPr>
          <w:color w:val="000000"/>
          <w:sz w:val="20"/>
          <w:szCs w:val="20"/>
        </w:rPr>
        <w:t>tract settlements. From time to time, we may receive threatening letters or notices or may be the subject of claims that our services and/or platform and underlying technology infringe or violate the intellectual property rights of others. Responding to su</w:t>
      </w:r>
      <w:r>
        <w:rPr>
          <w:color w:val="000000"/>
          <w:sz w:val="20"/>
          <w:szCs w:val="20"/>
        </w:rPr>
        <w:t>ch claims, regardless of their merit, can be time consuming, costly to defend in litigation, divert management’s attention and resources, damage our reputation and brand and cause us to incur significant expenses. Our technologies may not be able to withst</w:t>
      </w:r>
      <w:r>
        <w:rPr>
          <w:color w:val="000000"/>
          <w:sz w:val="20"/>
          <w:szCs w:val="20"/>
        </w:rPr>
        <w:t>and any third-party claims or rights against their use. Claims of intellectual property infringement might require us to redesign our application, delay releases, enter into costly settlement or license agreements or pay costly damage awards, or face a tem</w:t>
      </w:r>
      <w:r>
        <w:rPr>
          <w:color w:val="000000"/>
          <w:sz w:val="20"/>
          <w:szCs w:val="20"/>
        </w:rPr>
        <w:t>porary or permanent injunction prohibiting us from marketing or selling our platform. If we cannot or do not license the infringed technology on reasonable terms or at all, or substitute similar technology from another source, our revenue and operating res</w:t>
      </w:r>
      <w:r>
        <w:rPr>
          <w:color w:val="000000"/>
          <w:sz w:val="20"/>
          <w:szCs w:val="20"/>
        </w:rPr>
        <w:t>ults could be adversely impacted. Additionally, our customers may not purchase our Growth Platform if they are concerned that they may infringe third-party intellectual property rights. The occurrence of any of these events may have a material adverse effe</w:t>
      </w:r>
      <w:r>
        <w:rPr>
          <w:color w:val="000000"/>
          <w:sz w:val="20"/>
          <w:szCs w:val="20"/>
        </w:rPr>
        <w:t>ct on our business.</w:t>
      </w:r>
    </w:p>
    <w:p w:rsidR="00000000" w:rsidRDefault="00F20BDB">
      <w:pPr>
        <w:pStyle w:val="a3"/>
        <w:spacing w:before="240" w:beforeAutospacing="0" w:after="0" w:afterAutospacing="0"/>
        <w:ind w:firstLine="556"/>
        <w:rPr>
          <w:color w:val="000000"/>
          <w:sz w:val="20"/>
          <w:szCs w:val="20"/>
        </w:rPr>
      </w:pPr>
      <w:r>
        <w:rPr>
          <w:color w:val="000000"/>
          <w:sz w:val="20"/>
          <w:szCs w:val="20"/>
        </w:rPr>
        <w:t>In our subscription agreements with our customers, we generally do not agree to indemnify our customers against any losses or costs incurred in connection with claims by a third party alleging that a customer’s use of our services or pl</w:t>
      </w:r>
      <w:r>
        <w:rPr>
          <w:color w:val="000000"/>
          <w:sz w:val="20"/>
          <w:szCs w:val="20"/>
        </w:rPr>
        <w:t>atform infringes the intellectual property rights of the third party. There can be no assurance, however, that customers will not assert a common law indemnity claim or that any existing limitations of liability provisions in our contracts would be enforce</w:t>
      </w:r>
      <w:r>
        <w:rPr>
          <w:color w:val="000000"/>
          <w:sz w:val="20"/>
          <w:szCs w:val="20"/>
        </w:rPr>
        <w:t>able or adequate, or would otherwise protect us from any such liabilities or damages with respect to any particular claim. Our customers who are accused of intellectual property infringement may in the future seek indemnification from us under common law o</w:t>
      </w:r>
      <w:r>
        <w:rPr>
          <w:color w:val="000000"/>
          <w:sz w:val="20"/>
          <w:szCs w:val="20"/>
        </w:rPr>
        <w:t>r other legal theories. If such claims are successful, or if we are required to indemnify or defend our customers from these or other claims, these matters could be disruptive to our business and management and have a material adverse effect on our busines</w:t>
      </w:r>
      <w:r>
        <w:rPr>
          <w:color w:val="000000"/>
          <w:sz w:val="20"/>
          <w:szCs w:val="20"/>
        </w:rPr>
        <w:t>s, operating results and financial condition.</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 xml:space="preserve">If we fail to adequately protect our proprietary rights, in the United States and abroad, our competitive position could be impaired and we may lose valuable assets, experience reduced revenue and incur costly </w:t>
      </w:r>
      <w:r>
        <w:rPr>
          <w:b/>
          <w:bCs/>
          <w:i/>
          <w:iCs/>
          <w:color w:val="000000"/>
          <w:sz w:val="20"/>
          <w:szCs w:val="20"/>
        </w:rPr>
        <w:t>litigation to protect our rights.</w:t>
      </w:r>
    </w:p>
    <w:p w:rsidR="00000000" w:rsidRDefault="00F20BDB">
      <w:pPr>
        <w:pStyle w:val="a3"/>
        <w:spacing w:before="120" w:beforeAutospacing="0" w:after="0" w:afterAutospacing="0"/>
        <w:ind w:firstLine="556"/>
        <w:rPr>
          <w:color w:val="000000"/>
          <w:sz w:val="20"/>
          <w:szCs w:val="20"/>
        </w:rPr>
      </w:pPr>
      <w:bookmarkStart w:id="55" w:name="_AEIOULastRenderedPageBreakAEIOU36"/>
      <w:bookmarkEnd w:id="55"/>
      <w:r>
        <w:rPr>
          <w:color w:val="000000"/>
          <w:sz w:val="20"/>
          <w:szCs w:val="20"/>
        </w:rPr>
        <w:t xml:space="preserve">Our success is dependent, in part, upon protecting our proprietary technology. We rely on a combination of copyrights, trademarks, service marks, trade secret laws and contractual restrictions to establish and protect our </w:t>
      </w:r>
      <w:r>
        <w:rPr>
          <w:color w:val="000000"/>
          <w:sz w:val="20"/>
          <w:szCs w:val="20"/>
        </w:rPr>
        <w:t>proprietary rights in our products and services. However, the steps we take to protect our intellectual property may be inadequate. We will not be able to protect our intellectual property if we are unable to enforce our rights or if we do not detect unaut</w:t>
      </w:r>
      <w:r>
        <w:rPr>
          <w:color w:val="000000"/>
          <w:sz w:val="20"/>
          <w:szCs w:val="20"/>
        </w:rPr>
        <w:t>horized use of our intellectual property. Any of our trademarks or other intellectual property rights may be challenged by others or invalidated through administrative process or litigation. Furthermore, legal standards relating to the validity, enforceabi</w:t>
      </w:r>
      <w:r>
        <w:rPr>
          <w:color w:val="000000"/>
          <w:sz w:val="20"/>
          <w:szCs w:val="20"/>
        </w:rPr>
        <w:t xml:space="preserve">lity and scope of protection of intellectual property rights are uncertain. Despite our precautions, it may be possible for unauthorized third parties to copy our technology and use information that we regard as proprietary to create products and services </w:t>
      </w:r>
      <w:r>
        <w:rPr>
          <w:color w:val="000000"/>
          <w:sz w:val="20"/>
          <w:szCs w:val="20"/>
        </w:rPr>
        <w:t>that compete with ours. Some license provisions protecting against unauthorized use, copying, transfer and disclosure of our offerings may be unenforceable under the laws of certain jurisdictions and foreign countries. In addition, the laws of some countri</w:t>
      </w:r>
      <w:r>
        <w:rPr>
          <w:color w:val="000000"/>
          <w:sz w:val="20"/>
          <w:szCs w:val="20"/>
        </w:rPr>
        <w:t xml:space="preserve">es do not protect proprietary rights to the same extent as the laws of the United </w:t>
      </w:r>
    </w:p>
    <w:p w:rsidR="00000000" w:rsidRDefault="00F20BDB">
      <w:pPr>
        <w:pStyle w:val="a3"/>
        <w:spacing w:before="240" w:beforeAutospacing="0" w:after="0" w:afterAutospacing="0"/>
        <w:jc w:val="center"/>
        <w:rPr>
          <w:sz w:val="20"/>
          <w:szCs w:val="20"/>
        </w:rPr>
      </w:pPr>
      <w:r>
        <w:rPr>
          <w:sz w:val="20"/>
          <w:szCs w:val="20"/>
        </w:rPr>
        <w:t>41</w:t>
      </w:r>
    </w:p>
    <w:p w:rsidR="00000000" w:rsidRDefault="00F20BDB">
      <w:pPr>
        <w:rPr>
          <w:rFonts w:eastAsia="Times New Roman"/>
        </w:rPr>
      </w:pPr>
      <w:r>
        <w:rPr>
          <w:rFonts w:eastAsia="Times New Roman"/>
        </w:rPr>
        <w:pict>
          <v:rect id="_x0000_i1065"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120" w:beforeAutospacing="0" w:after="0" w:afterAutospacing="0"/>
        <w:rPr>
          <w:color w:val="000000"/>
          <w:sz w:val="20"/>
          <w:szCs w:val="20"/>
        </w:rPr>
      </w:pPr>
      <w:r>
        <w:rPr>
          <w:color w:val="000000"/>
          <w:sz w:val="20"/>
          <w:szCs w:val="20"/>
        </w:rPr>
        <w:t>States. To the extent we expand our internationa</w:t>
      </w:r>
      <w:r>
        <w:rPr>
          <w:color w:val="000000"/>
          <w:sz w:val="20"/>
          <w:szCs w:val="20"/>
        </w:rPr>
        <w:t>l activities, our exposure to unauthorized copying and use of our technology and proprietary information may increase.</w:t>
      </w:r>
    </w:p>
    <w:p w:rsidR="00000000" w:rsidRDefault="00F20BDB">
      <w:pPr>
        <w:pStyle w:val="a3"/>
        <w:spacing w:before="240" w:beforeAutospacing="0" w:after="0" w:afterAutospacing="0"/>
        <w:ind w:firstLine="556"/>
        <w:rPr>
          <w:color w:val="000000"/>
          <w:sz w:val="20"/>
          <w:szCs w:val="20"/>
        </w:rPr>
      </w:pPr>
      <w:r>
        <w:rPr>
          <w:color w:val="000000"/>
          <w:sz w:val="20"/>
          <w:szCs w:val="20"/>
        </w:rPr>
        <w:t>We enter into confidentiality and invention assignment agreements with our employees and consultants and enter into confidentiality agree</w:t>
      </w:r>
      <w:r>
        <w:rPr>
          <w:color w:val="000000"/>
          <w:sz w:val="20"/>
          <w:szCs w:val="20"/>
        </w:rPr>
        <w:t>ments with the parties with whom we have strategic relationships and business alliances. No assurance can be given that these agreements will be effective in controlling access to and distribution of our products and proprietary information. Further, these</w:t>
      </w:r>
      <w:r>
        <w:rPr>
          <w:color w:val="000000"/>
          <w:sz w:val="20"/>
          <w:szCs w:val="20"/>
        </w:rPr>
        <w:t xml:space="preserve"> agreements may not prevent our competitors from independently developing technologies that are substantially equivalent or superior to our platform and offerings.</w:t>
      </w:r>
    </w:p>
    <w:p w:rsidR="00000000" w:rsidRDefault="00F20BDB">
      <w:pPr>
        <w:pStyle w:val="a3"/>
        <w:spacing w:before="240" w:beforeAutospacing="0" w:after="0" w:afterAutospacing="0"/>
        <w:ind w:firstLine="556"/>
        <w:rPr>
          <w:color w:val="000000"/>
          <w:sz w:val="20"/>
          <w:szCs w:val="20"/>
        </w:rPr>
      </w:pPr>
      <w:r>
        <w:rPr>
          <w:color w:val="000000"/>
          <w:sz w:val="20"/>
          <w:szCs w:val="20"/>
        </w:rPr>
        <w:t>We may be required to spend significant resources to monitor and protect our intellectual pr</w:t>
      </w:r>
      <w:r>
        <w:rPr>
          <w:color w:val="000000"/>
          <w:sz w:val="20"/>
          <w:szCs w:val="20"/>
        </w:rPr>
        <w:t xml:space="preserve">operty rights. Litigation may be necessary in the future to enforce our intellectual property rights and to protect our trade secrets. Such litigation could be costly, time consuming and distracting to management and could result in the impairment or loss </w:t>
      </w:r>
      <w:r>
        <w:rPr>
          <w:color w:val="000000"/>
          <w:sz w:val="20"/>
          <w:szCs w:val="20"/>
        </w:rPr>
        <w:t>of portions of our intellectual property. Furthermore, our efforts to enforce our intellectual property rights may be met with defenses, counterclaims and countersuits attacking the validity and enforceability of our intellectual property rights. Our inabi</w:t>
      </w:r>
      <w:r>
        <w:rPr>
          <w:color w:val="000000"/>
          <w:sz w:val="20"/>
          <w:szCs w:val="20"/>
        </w:rPr>
        <w:t>lity to protect our proprietary technology against unauthorized copying or use, as well as any costly litigation, could delay further sales or the implementation of our platform and offerings, impair the functionality of our platform and offerings, delay i</w:t>
      </w:r>
      <w:r>
        <w:rPr>
          <w:color w:val="000000"/>
          <w:sz w:val="20"/>
          <w:szCs w:val="20"/>
        </w:rPr>
        <w:t>ntroductions of new features or enhancements, result in our substituting inferior or more costly technologies into our platform and offerings, or injure our reputation.</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Our use of “open source” software could negatively affect our ability to offer our plat</w:t>
      </w:r>
      <w:r>
        <w:rPr>
          <w:b/>
          <w:bCs/>
          <w:i/>
          <w:iCs/>
          <w:color w:val="000000"/>
          <w:sz w:val="20"/>
          <w:szCs w:val="20"/>
        </w:rPr>
        <w:t>form and subject us to possible litigation.</w:t>
      </w:r>
    </w:p>
    <w:p w:rsidR="00000000" w:rsidRDefault="00F20BDB">
      <w:pPr>
        <w:pStyle w:val="a3"/>
        <w:spacing w:before="120" w:beforeAutospacing="0" w:after="0" w:afterAutospacing="0"/>
        <w:ind w:firstLine="556"/>
        <w:rPr>
          <w:color w:val="000000"/>
          <w:sz w:val="20"/>
          <w:szCs w:val="20"/>
        </w:rPr>
      </w:pPr>
      <w:r>
        <w:rPr>
          <w:color w:val="000000"/>
          <w:sz w:val="20"/>
          <w:szCs w:val="20"/>
        </w:rPr>
        <w:t>A substantial portion of our cloud-based platform incorporates so-called “open source” software, and we may incorporate additional open source software in the future. Open source software is generally freely acce</w:t>
      </w:r>
      <w:r>
        <w:rPr>
          <w:color w:val="000000"/>
          <w:sz w:val="20"/>
          <w:szCs w:val="20"/>
        </w:rPr>
        <w:t>ssible, usable and modifiable. Certain open source licenses may, in certain circumstances, require us to offer the components of our platform that incorporate the open source software for no cost, that we make available source code for modifications or der</w:t>
      </w:r>
      <w:r>
        <w:rPr>
          <w:color w:val="000000"/>
          <w:sz w:val="20"/>
          <w:szCs w:val="20"/>
        </w:rPr>
        <w:t>ivative works we create based upon, incorporating or using the open source software and that we license such modifications or derivative works under the terms of the particular open source license. If an author or other third party that distributes open so</w:t>
      </w:r>
      <w:r>
        <w:rPr>
          <w:color w:val="000000"/>
          <w:sz w:val="20"/>
          <w:szCs w:val="20"/>
        </w:rPr>
        <w:t>urce software we use were to allege that we had not complied with the conditions of one or more of these licenses, we could be required to incur significant legal expenses defending against such allegations and could be subject to significant damages, incl</w:t>
      </w:r>
      <w:r>
        <w:rPr>
          <w:color w:val="000000"/>
          <w:sz w:val="20"/>
          <w:szCs w:val="20"/>
        </w:rPr>
        <w:t>uding being enjoined from the offering of the components of our platform that contained the open source software and being required to comply with the foregoing conditions, which could disrupt our ability to offer the affected software. We could also be su</w:t>
      </w:r>
      <w:r>
        <w:rPr>
          <w:color w:val="000000"/>
          <w:sz w:val="20"/>
          <w:szCs w:val="20"/>
        </w:rPr>
        <w:t>bject to suits by parties claiming ownership of what we believe to be open source software. Litigation could be costly for us to defend, have a negative effect on our operating results and financial condition and require us to devote additional research an</w:t>
      </w:r>
      <w:r>
        <w:rPr>
          <w:color w:val="000000"/>
          <w:sz w:val="20"/>
          <w:szCs w:val="20"/>
        </w:rPr>
        <w:t>d development resources to change our products.</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Weakened global economic conditions may harm our industry, business and results of operations.</w:t>
      </w:r>
    </w:p>
    <w:p w:rsidR="00000000" w:rsidRDefault="00F20BDB">
      <w:pPr>
        <w:pStyle w:val="a3"/>
        <w:spacing w:before="120" w:beforeAutospacing="0" w:after="0" w:afterAutospacing="0"/>
        <w:ind w:firstLine="556"/>
        <w:rPr>
          <w:color w:val="000000"/>
          <w:sz w:val="20"/>
          <w:szCs w:val="20"/>
        </w:rPr>
      </w:pPr>
      <w:r>
        <w:rPr>
          <w:color w:val="000000"/>
          <w:sz w:val="20"/>
          <w:szCs w:val="20"/>
        </w:rPr>
        <w:t>Our overall performance depends in part on worldwide economic conditions. Global financial developments and downt</w:t>
      </w:r>
      <w:r>
        <w:rPr>
          <w:color w:val="000000"/>
          <w:sz w:val="20"/>
          <w:szCs w:val="20"/>
        </w:rPr>
        <w:t>urns seemingly unrelated to us or the software industry may harm us. The United States and other key international economies have been affected from time to time by falling demand for a variety of goods and services, restricted credit, poor liquidity, redu</w:t>
      </w:r>
      <w:r>
        <w:rPr>
          <w:color w:val="000000"/>
          <w:sz w:val="20"/>
          <w:szCs w:val="20"/>
        </w:rPr>
        <w:t>ced corporate profitability, volatility in credit, equity and foreign exchange markets, bankruptcies, and overall uncertainty with respect to the economy, including with respect to tariff and trade issues. In particular, the economies of countries in Europ</w:t>
      </w:r>
      <w:r>
        <w:rPr>
          <w:color w:val="000000"/>
          <w:sz w:val="20"/>
          <w:szCs w:val="20"/>
        </w:rPr>
        <w:t>e have been experiencing weakness associated with high sovereign debt levels, weakness in the banking sector and uncertainty over the future of the Euro zone, including instability surrounding Brexit. We have operations, as well as current and potential ne</w:t>
      </w:r>
      <w:r>
        <w:rPr>
          <w:color w:val="000000"/>
          <w:sz w:val="20"/>
          <w:szCs w:val="20"/>
        </w:rPr>
        <w:t>w customers, throughout most of Europe. If economic conditions in Europe and other key markets for our platform continue to remain uncertain or deteriorate further, it could adversely affect our customers’ ability or willingness to subscribe to our platfor</w:t>
      </w:r>
      <w:r>
        <w:rPr>
          <w:color w:val="000000"/>
          <w:sz w:val="20"/>
          <w:szCs w:val="20"/>
        </w:rPr>
        <w:t>m, delay prospective customers’ purchasing decisions, reduce the value or duration of their subscriptions or affect renewal rates, all of which could harm our operating results.</w:t>
      </w:r>
    </w:p>
    <w:p w:rsidR="00000000" w:rsidRDefault="00F20BDB">
      <w:pPr>
        <w:pStyle w:val="a3"/>
        <w:spacing w:before="360" w:beforeAutospacing="0" w:after="0" w:afterAutospacing="0"/>
        <w:rPr>
          <w:b/>
          <w:bCs/>
          <w:sz w:val="20"/>
          <w:szCs w:val="20"/>
        </w:rPr>
      </w:pPr>
      <w:r>
        <w:rPr>
          <w:b/>
          <w:bCs/>
          <w:sz w:val="20"/>
          <w:szCs w:val="20"/>
        </w:rPr>
        <w:t>Risks Related to Government Regulation and Taxation</w:t>
      </w:r>
    </w:p>
    <w:p w:rsidR="00000000" w:rsidRDefault="00F20BDB">
      <w:pPr>
        <w:pStyle w:val="a3"/>
        <w:spacing w:before="0" w:beforeAutospacing="0" w:after="0" w:afterAutospacing="0"/>
        <w:rPr>
          <w:b/>
          <w:bCs/>
          <w:sz w:val="12"/>
          <w:szCs w:val="12"/>
        </w:rPr>
      </w:pPr>
      <w:r>
        <w:rPr>
          <w:b/>
          <w:bCs/>
          <w:sz w:val="12"/>
          <w:szCs w:val="12"/>
        </w:rPr>
        <w:t> </w:t>
      </w:r>
    </w:p>
    <w:p w:rsidR="00000000" w:rsidRDefault="00F20BDB">
      <w:pPr>
        <w:pStyle w:val="a3"/>
        <w:spacing w:before="0" w:beforeAutospacing="0" w:after="0" w:afterAutospacing="0"/>
        <w:rPr>
          <w:b/>
          <w:bCs/>
          <w:i/>
          <w:iCs/>
          <w:color w:val="000000"/>
          <w:sz w:val="20"/>
          <w:szCs w:val="20"/>
        </w:rPr>
      </w:pPr>
      <w:r>
        <w:rPr>
          <w:b/>
          <w:bCs/>
          <w:i/>
          <w:iCs/>
          <w:color w:val="000000"/>
          <w:sz w:val="20"/>
          <w:szCs w:val="20"/>
        </w:rPr>
        <w:t>We could face liability,</w:t>
      </w:r>
      <w:r>
        <w:rPr>
          <w:b/>
          <w:bCs/>
          <w:i/>
          <w:iCs/>
          <w:color w:val="000000"/>
          <w:sz w:val="20"/>
          <w:szCs w:val="20"/>
        </w:rPr>
        <w:t xml:space="preserve"> or our reputation might be harmed, as a result of the activities of our customers, the content of their websites or the data they store on our servers.</w:t>
      </w:r>
    </w:p>
    <w:p w:rsidR="00000000" w:rsidRDefault="00F20BDB">
      <w:pPr>
        <w:pStyle w:val="a3"/>
        <w:spacing w:before="120" w:beforeAutospacing="0" w:after="0" w:afterAutospacing="0"/>
        <w:ind w:firstLine="556"/>
        <w:rPr>
          <w:color w:val="000000"/>
          <w:sz w:val="20"/>
          <w:szCs w:val="20"/>
        </w:rPr>
      </w:pPr>
      <w:r>
        <w:rPr>
          <w:color w:val="000000"/>
          <w:sz w:val="20"/>
          <w:szCs w:val="20"/>
        </w:rPr>
        <w:t xml:space="preserve">As a provider of a cloud-based inbound marketing, sales and customer service software platform, we may </w:t>
      </w:r>
      <w:r>
        <w:rPr>
          <w:color w:val="000000"/>
          <w:sz w:val="20"/>
          <w:szCs w:val="20"/>
        </w:rPr>
        <w:t xml:space="preserve">be subject to potential liability for the activities of our customers on or in connection with the data they store on our servers. Although our customer terms of use prohibit illegal use of our services by our customers and permit us to take down websites </w:t>
      </w:r>
      <w:r>
        <w:rPr>
          <w:color w:val="000000"/>
          <w:sz w:val="20"/>
          <w:szCs w:val="20"/>
        </w:rPr>
        <w:t>or take other appropriate actions for illegal use, customers may nonetheless engage in prohibited activities or upload or store content with us in violation of applicable law or the customer’s own policies, which could subject us to liability or harm our r</w:t>
      </w:r>
      <w:r>
        <w:rPr>
          <w:color w:val="000000"/>
          <w:sz w:val="20"/>
          <w:szCs w:val="20"/>
        </w:rPr>
        <w:t>eputation. Furthermore, customers may upload, store, or use content on our Growth Platform that may be violate our policy on acceptable use which prohibits content that is threatening, abusive, harassing, deceptive, false, misleading, vulgar, obscene, or i</w:t>
      </w:r>
      <w:r>
        <w:rPr>
          <w:color w:val="000000"/>
          <w:sz w:val="20"/>
          <w:szCs w:val="20"/>
        </w:rPr>
        <w:t>ndecent. While such content may not be illegal, use of our Growth Platform for such content could harm our reputation resulting in a loss of business.</w:t>
      </w:r>
    </w:p>
    <w:p w:rsidR="00000000" w:rsidRDefault="00F20BDB">
      <w:pPr>
        <w:pStyle w:val="a3"/>
        <w:spacing w:before="240" w:beforeAutospacing="0" w:after="0" w:afterAutospacing="0"/>
        <w:jc w:val="center"/>
        <w:rPr>
          <w:sz w:val="20"/>
          <w:szCs w:val="20"/>
        </w:rPr>
      </w:pPr>
      <w:r>
        <w:rPr>
          <w:sz w:val="20"/>
          <w:szCs w:val="20"/>
        </w:rPr>
        <w:t>42</w:t>
      </w:r>
    </w:p>
    <w:p w:rsidR="00000000" w:rsidRDefault="00F20BDB">
      <w:pPr>
        <w:rPr>
          <w:rFonts w:eastAsia="Times New Roman"/>
        </w:rPr>
      </w:pPr>
      <w:r>
        <w:rPr>
          <w:rFonts w:eastAsia="Times New Roman"/>
        </w:rPr>
        <w:pict>
          <v:rect id="_x0000_i1066"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240" w:beforeAutospacing="0" w:after="0" w:afterAutospacing="0"/>
        <w:ind w:firstLine="556"/>
        <w:rPr>
          <w:color w:val="000000"/>
          <w:sz w:val="20"/>
          <w:szCs w:val="20"/>
        </w:rPr>
      </w:pPr>
      <w:bookmarkStart w:id="56" w:name="_AEIOULastRenderedPageBreakAEIOU37"/>
      <w:bookmarkEnd w:id="56"/>
      <w:r>
        <w:rPr>
          <w:color w:val="000000"/>
          <w:sz w:val="20"/>
          <w:szCs w:val="20"/>
        </w:rPr>
        <w:t>Several U.S. federal statutes may apply to us with respect to various customer activities: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The Digital Millennium Copyright Act of 1998, or DMCA, provides recourse for owne</w:t>
            </w:r>
            <w:r>
              <w:rPr>
                <w:color w:val="000000"/>
                <w:sz w:val="20"/>
                <w:szCs w:val="20"/>
              </w:rPr>
              <w:t>rs of copyrighted material who believe that their rights under U.S. copyright law have been infringed on the Internet. Under the DMCA, based on our current business activity as an Internet service provider that does not own or control website content poste</w:t>
            </w:r>
            <w:r>
              <w:rPr>
                <w:color w:val="000000"/>
                <w:sz w:val="20"/>
                <w:szCs w:val="20"/>
              </w:rPr>
              <w:t>d by our customers, we generally are not liable for infringing content posted by our customers or other third parties, provided that we follow the procedures for handling copyright infringement claims set forth in the DMCA. Generally, if we receive a prope</w:t>
            </w:r>
            <w:r>
              <w:rPr>
                <w:color w:val="000000"/>
                <w:sz w:val="20"/>
                <w:szCs w:val="20"/>
              </w:rPr>
              <w:t>r notice from, or on behalf, of a copyright owner alleging infringement of copyrighted material located on websites we host, and we fail to expeditiously remove or disable access to the allegedly infringing material or otherwise fail to meet the requiremen</w:t>
            </w:r>
            <w:r>
              <w:rPr>
                <w:color w:val="000000"/>
                <w:sz w:val="20"/>
                <w:szCs w:val="20"/>
              </w:rPr>
              <w:t>ts of the safe harbor provided by the DMCA, the copyright owner may seek to impose liability on us. Technical mistakes in complying with the detailed DMCA take-down procedures could subject us to liability for copyright infringement.</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The Communications Decency Act of 1996, or CDA, generally protects online service providers, such as us, from liability for certain activities of their customers, such as the posting of defamatory or obscene content, unless the online service provider is p</w:t>
            </w:r>
            <w:r>
              <w:rPr>
                <w:color w:val="000000"/>
                <w:sz w:val="20"/>
                <w:szCs w:val="20"/>
              </w:rPr>
              <w:t>articipating in the unlawful conduct. Under the CDA, we are generally not responsible for the customer-created content hosted on our servers. Consequently, we do not monitor hosted websites or prescreen the content placed by our customers on their sites. H</w:t>
            </w:r>
            <w:r>
              <w:rPr>
                <w:color w:val="000000"/>
                <w:sz w:val="20"/>
                <w:szCs w:val="20"/>
              </w:rPr>
              <w:t>owever, there have been various Congressional efforts to restrict the scope of the protections available to online platforms under Section 230 of the CDA, and our current protections from liability for third-party content in the United States could decreas</w:t>
            </w:r>
            <w:r>
              <w:rPr>
                <w:color w:val="000000"/>
                <w:sz w:val="20"/>
                <w:szCs w:val="20"/>
              </w:rPr>
              <w:t>e or change. In addition, the CDA does not apply in foreign jurisdictions and we may nonetheless be brought into disputes between our customers and third parties which would require us to devote management time and resources to resolve such matters and any</w:t>
            </w:r>
            <w:r>
              <w:rPr>
                <w:color w:val="000000"/>
                <w:sz w:val="20"/>
                <w:szCs w:val="20"/>
              </w:rPr>
              <w:t xml:space="preserve"> publicity from such matters could also have an adverse effect on our reputation and therefore our business.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 xml:space="preserve">In addition to the CDA, the Securing the Protection of our Enduring and Established Constitutional Heritage Act, or the SPEECH Act, provides </w:t>
            </w:r>
            <w:r>
              <w:rPr>
                <w:color w:val="000000"/>
                <w:sz w:val="20"/>
                <w:szCs w:val="20"/>
              </w:rPr>
              <w:t>a statutory exception to the enforcement by a U.S. court of a foreign judgment for defamation under certain circumstances. Generally, the exception applies if the defamation law applied in the foreign court did not provide at least as much protection for f</w:t>
            </w:r>
            <w:r>
              <w:rPr>
                <w:color w:val="000000"/>
                <w:sz w:val="20"/>
                <w:szCs w:val="20"/>
              </w:rPr>
              <w:t>reedom of speech and press as would be provided by the First Amendment of the U.S. Constitution or by the constitution and law of the state in which the U.S. court is located, or if no finding of defamation would be supported under the First Amendment of t</w:t>
            </w:r>
            <w:r>
              <w:rPr>
                <w:color w:val="000000"/>
                <w:sz w:val="20"/>
                <w:szCs w:val="20"/>
              </w:rPr>
              <w:t>he U.S. Constitution or under the constitution and law of the state in which the U.S. court is located. Although the SPEECH Act may protect us from the enforcement of foreign judgments in the United States, it does not affect the enforceability of the judg</w:t>
            </w:r>
            <w:r>
              <w:rPr>
                <w:color w:val="000000"/>
                <w:sz w:val="20"/>
                <w:szCs w:val="20"/>
              </w:rPr>
              <w:t>ment in the foreign country that issued the judgment. Given our international presence, we may therefore, nonetheless, have to defend against or comply with any foreign judgments made against us, which could take up substantial management time and resource</w:t>
            </w:r>
            <w:r>
              <w:rPr>
                <w:color w:val="000000"/>
                <w:sz w:val="20"/>
                <w:szCs w:val="20"/>
              </w:rPr>
              <w:t>s and damage our reputation.</w:t>
            </w:r>
          </w:p>
        </w:tc>
      </w:tr>
    </w:tbl>
    <w:p w:rsidR="00000000" w:rsidRDefault="00F20BDB">
      <w:pPr>
        <w:pStyle w:val="a3"/>
        <w:spacing w:before="240" w:beforeAutospacing="0" w:after="0" w:afterAutospacing="0"/>
        <w:ind w:firstLine="556"/>
        <w:rPr>
          <w:color w:val="000000"/>
          <w:sz w:val="20"/>
          <w:szCs w:val="20"/>
        </w:rPr>
      </w:pPr>
      <w:r>
        <w:rPr>
          <w:color w:val="000000"/>
          <w:sz w:val="20"/>
          <w:szCs w:val="20"/>
        </w:rPr>
        <w:t xml:space="preserve">Although these statutes and case law in the United States have generally shielded us from liability for customer activities to date, court rulings in pending or future litigation may narrow the scope of protection afforded us </w:t>
      </w:r>
      <w:r>
        <w:rPr>
          <w:color w:val="000000"/>
          <w:sz w:val="20"/>
          <w:szCs w:val="20"/>
        </w:rPr>
        <w:t>under these laws. In addition, laws governing these activities are unsettled in many international jurisdictions, or may prove difficult or impossible for us to comply with in some international jurisdictions. Also, notwithstanding the exculpatory language</w:t>
      </w:r>
      <w:r>
        <w:rPr>
          <w:color w:val="000000"/>
          <w:sz w:val="20"/>
          <w:szCs w:val="20"/>
        </w:rPr>
        <w:t xml:space="preserve"> of these bodies of law, we may become involved in complaints and lawsuits which, even if ultimately resolved in our favor, add cost to our doing business and may divert management’s time and attention. Finally, other existing bodies of law, including the </w:t>
      </w:r>
      <w:r>
        <w:rPr>
          <w:color w:val="000000"/>
          <w:sz w:val="20"/>
          <w:szCs w:val="20"/>
        </w:rPr>
        <w:t>criminal laws of various states, may be deemed to apply or new statutes or regulations may be adopted in the future, any of which could expose us to further liability and increase our costs of doing business.</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 xml:space="preserve">We may be subject to additional obligations to </w:t>
      </w:r>
      <w:r>
        <w:rPr>
          <w:b/>
          <w:bCs/>
          <w:i/>
          <w:iCs/>
          <w:color w:val="000000"/>
          <w:sz w:val="20"/>
          <w:szCs w:val="20"/>
        </w:rPr>
        <w:t>collect and remit sales tax and other taxes, and we may be subject to tax liability for past sales, which could harm our business.</w:t>
      </w:r>
    </w:p>
    <w:p w:rsidR="00000000" w:rsidRDefault="00F20BDB">
      <w:pPr>
        <w:pStyle w:val="a3"/>
        <w:spacing w:before="120" w:beforeAutospacing="0" w:after="0" w:afterAutospacing="0"/>
        <w:ind w:firstLine="556"/>
        <w:rPr>
          <w:color w:val="000000"/>
          <w:sz w:val="20"/>
          <w:szCs w:val="20"/>
        </w:rPr>
      </w:pPr>
      <w:r>
        <w:rPr>
          <w:color w:val="000000"/>
          <w:sz w:val="20"/>
          <w:szCs w:val="20"/>
        </w:rPr>
        <w:t>State, local and foreign jurisdictions have differing rules and regulations governing sales, use, value added and other taxes</w:t>
      </w:r>
      <w:r>
        <w:rPr>
          <w:color w:val="000000"/>
          <w:sz w:val="20"/>
          <w:szCs w:val="20"/>
        </w:rPr>
        <w:t>, and these rules and regulations are subject to varying interpretations that may change over time. In particular, the applicability of such taxes to our Growth Platform in various jurisdictions is unclear. Further, these jurisdictions’ rules regarding tax</w:t>
      </w:r>
      <w:r>
        <w:rPr>
          <w:color w:val="000000"/>
          <w:sz w:val="20"/>
          <w:szCs w:val="20"/>
        </w:rPr>
        <w:t xml:space="preserve"> nexus are complex and vary significantly. As a result, we could face the possibility of tax assessments and audits, and our liability for these taxes and associated penalties could exceed our original estimates. A successful assertion that we should be co</w:t>
      </w:r>
      <w:r>
        <w:rPr>
          <w:color w:val="000000"/>
          <w:sz w:val="20"/>
          <w:szCs w:val="20"/>
        </w:rPr>
        <w:t>llecting additional sales, use, value added or other taxes in those jurisdictions where we have not historically done so and do not accrue for such taxes could result in substantial tax liabilities and related penalties for past sales, discourage customers</w:t>
      </w:r>
      <w:r>
        <w:rPr>
          <w:color w:val="000000"/>
          <w:sz w:val="20"/>
          <w:szCs w:val="20"/>
        </w:rPr>
        <w:t xml:space="preserve"> from purchasing our application or otherwise harm our business and operating results.</w:t>
      </w:r>
    </w:p>
    <w:p w:rsidR="00000000" w:rsidRDefault="00F20BDB">
      <w:pPr>
        <w:pStyle w:val="a3"/>
        <w:spacing w:before="240" w:beforeAutospacing="0" w:after="0" w:afterAutospacing="0"/>
        <w:jc w:val="center"/>
        <w:rPr>
          <w:sz w:val="20"/>
          <w:szCs w:val="20"/>
        </w:rPr>
      </w:pPr>
      <w:r>
        <w:rPr>
          <w:sz w:val="20"/>
          <w:szCs w:val="20"/>
        </w:rPr>
        <w:t>43</w:t>
      </w:r>
    </w:p>
    <w:p w:rsidR="00000000" w:rsidRDefault="00F20BDB">
      <w:pPr>
        <w:rPr>
          <w:rFonts w:eastAsia="Times New Roman"/>
        </w:rPr>
      </w:pPr>
      <w:r>
        <w:rPr>
          <w:rFonts w:eastAsia="Times New Roman"/>
        </w:rPr>
        <w:pict>
          <v:rect id="_x0000_i1067"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360" w:beforeAutospacing="0" w:after="0" w:afterAutospacing="0"/>
        <w:rPr>
          <w:b/>
          <w:bCs/>
          <w:i/>
          <w:iCs/>
          <w:color w:val="000000"/>
          <w:sz w:val="20"/>
          <w:szCs w:val="20"/>
        </w:rPr>
      </w:pPr>
      <w:bookmarkStart w:id="57" w:name="_AEIOULastRenderedPageBreakAEIOU38"/>
      <w:bookmarkEnd w:id="57"/>
      <w:r>
        <w:rPr>
          <w:b/>
          <w:bCs/>
          <w:i/>
          <w:iCs/>
          <w:color w:val="000000"/>
          <w:sz w:val="20"/>
          <w:szCs w:val="20"/>
        </w:rPr>
        <w:t>Changes in tax laws or regulations that are applied adversely to us or our customers could increase the costs of our Growth Platform and adversely impact our business.</w:t>
      </w:r>
    </w:p>
    <w:p w:rsidR="00000000" w:rsidRDefault="00F20BDB">
      <w:pPr>
        <w:pStyle w:val="a3"/>
        <w:spacing w:before="120" w:beforeAutospacing="0" w:after="0" w:afterAutospacing="0"/>
        <w:ind w:firstLine="556"/>
        <w:rPr>
          <w:color w:val="000000"/>
          <w:sz w:val="20"/>
          <w:szCs w:val="20"/>
        </w:rPr>
      </w:pPr>
      <w:r>
        <w:rPr>
          <w:color w:val="000000"/>
          <w:sz w:val="20"/>
          <w:szCs w:val="20"/>
        </w:rPr>
        <w:t>New income, sales, use or other tax laws, statutes, rules, regulations or ordinances cou</w:t>
      </w:r>
      <w:r>
        <w:rPr>
          <w:color w:val="000000"/>
          <w:sz w:val="20"/>
          <w:szCs w:val="20"/>
        </w:rPr>
        <w:t>ld be enacted at any time. Any new taxes could adversely affect our domestic and international business operations, and our business and financial performance. Further, existing tax laws, statutes, rules, regulations or ordinances could be interpreted, cha</w:t>
      </w:r>
      <w:r>
        <w:rPr>
          <w:color w:val="000000"/>
          <w:sz w:val="20"/>
          <w:szCs w:val="20"/>
        </w:rPr>
        <w:t>nged, modified or applied adversely to us. These events could require us or our customers to pay additional tax amounts on a prospective or retroactive basis, as well as require us or our customers to pay fines and/or penalties and interest for past amount</w:t>
      </w:r>
      <w:r>
        <w:rPr>
          <w:color w:val="000000"/>
          <w:sz w:val="20"/>
          <w:szCs w:val="20"/>
        </w:rPr>
        <w:t>s deemed to be due. If we raise our prices to offset the costs of these changes, existing and potential future customers may elect not to continue or purchase our Growth Platform in the future. Additionally, new, changed, modified or newly interpreted or a</w:t>
      </w:r>
      <w:r>
        <w:rPr>
          <w:color w:val="000000"/>
          <w:sz w:val="20"/>
          <w:szCs w:val="20"/>
        </w:rPr>
        <w:t>pplied tax laws could increase our customers’ and our compliance, operating and other costs, as well as the costs of our platform. Any or all of these events could adversely impact our business and financial performance.</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We are a multinational organization</w:t>
      </w:r>
      <w:r>
        <w:rPr>
          <w:b/>
          <w:bCs/>
          <w:i/>
          <w:iCs/>
          <w:color w:val="000000"/>
          <w:sz w:val="20"/>
          <w:szCs w:val="20"/>
        </w:rPr>
        <w:t xml:space="preserve"> faced with increasingly complex tax issues in many jurisdictions, and we could be obligated to pay additional taxes in various jurisdictions.</w:t>
      </w:r>
    </w:p>
    <w:p w:rsidR="00000000" w:rsidRDefault="00F20BDB">
      <w:pPr>
        <w:pStyle w:val="a3"/>
        <w:spacing w:before="120" w:beforeAutospacing="0" w:after="0" w:afterAutospacing="0"/>
        <w:ind w:firstLine="556"/>
        <w:rPr>
          <w:color w:val="000000"/>
          <w:sz w:val="20"/>
          <w:szCs w:val="20"/>
        </w:rPr>
      </w:pPr>
      <w:r>
        <w:rPr>
          <w:color w:val="000000"/>
          <w:sz w:val="20"/>
          <w:szCs w:val="20"/>
        </w:rPr>
        <w:t>As a multinational organization, we may be subject to taxation in several jurisdictions around the world with inc</w:t>
      </w:r>
      <w:r>
        <w:rPr>
          <w:color w:val="000000"/>
          <w:sz w:val="20"/>
          <w:szCs w:val="20"/>
        </w:rPr>
        <w:t>reasingly complex tax laws, the application of which can be uncertain. The amount of taxes we pay in these jurisdictions could increase substantially as a result of changes in the applicable tax principles, including increased tax rates, new tax laws or re</w:t>
      </w:r>
      <w:r>
        <w:rPr>
          <w:color w:val="000000"/>
          <w:sz w:val="20"/>
          <w:szCs w:val="20"/>
        </w:rPr>
        <w:t>vised interpretations of existing tax laws and precedents, which could have a material adverse effect on our liquidity and operating results. Changes in tax laws, such as tax reform in the United States or changes in tax laws resulting from the Organizatio</w:t>
      </w:r>
      <w:r>
        <w:rPr>
          <w:color w:val="000000"/>
          <w:sz w:val="20"/>
          <w:szCs w:val="20"/>
        </w:rPr>
        <w:t>n for Economic Co-operation and Development’s multi-jurisdictional plan of action to address “base erosion and profit shifting,” could impact our effective tax rate. In addition, the authorities in these jurisdictions could review our tax returns and impos</w:t>
      </w:r>
      <w:r>
        <w:rPr>
          <w:color w:val="000000"/>
          <w:sz w:val="20"/>
          <w:szCs w:val="20"/>
        </w:rPr>
        <w:t>e additional tax, interest and penalties, and the authorities could claim that various withholding requirements apply to us or our subsidiaries or assert that benefits of tax treaties are not available to us or our subsidiaries, any of which could have a m</w:t>
      </w:r>
      <w:r>
        <w:rPr>
          <w:color w:val="000000"/>
          <w:sz w:val="20"/>
          <w:szCs w:val="20"/>
        </w:rPr>
        <w:t>aterial impact on us and the results of our operations.</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Failure to comply with laws and regulations could harm our business.</w:t>
      </w:r>
    </w:p>
    <w:p w:rsidR="00000000" w:rsidRDefault="00F20BDB">
      <w:pPr>
        <w:pStyle w:val="a3"/>
        <w:spacing w:before="120" w:beforeAutospacing="0" w:after="0" w:afterAutospacing="0"/>
        <w:ind w:firstLine="556"/>
        <w:rPr>
          <w:color w:val="000000"/>
          <w:sz w:val="20"/>
          <w:szCs w:val="20"/>
        </w:rPr>
      </w:pPr>
      <w:r>
        <w:rPr>
          <w:color w:val="000000"/>
          <w:sz w:val="20"/>
          <w:szCs w:val="20"/>
        </w:rPr>
        <w:t>Our business is subject to regulation by various federal, state, local and foreign governmental agencies, including agencies respon</w:t>
      </w:r>
      <w:r>
        <w:rPr>
          <w:color w:val="000000"/>
          <w:sz w:val="20"/>
          <w:szCs w:val="20"/>
        </w:rPr>
        <w:t>sible for monitoring and enforcing employment and labor laws, workplace safety, environmental laws, consumer protection laws, anti-bribery laws, import/export controls, federal securities laws and tax laws and regulations. In certain jurisdictions, these r</w:t>
      </w:r>
      <w:r>
        <w:rPr>
          <w:color w:val="000000"/>
          <w:sz w:val="20"/>
          <w:szCs w:val="20"/>
        </w:rPr>
        <w:t>egulatory requirements may be more stringent than those in the United States. Noncompliance with applicable regulations or requirements could subject us to investigations, sanctions, mandatory recalls, enforcement actions, disgorgement of profits, fines, d</w:t>
      </w:r>
      <w:r>
        <w:rPr>
          <w:color w:val="000000"/>
          <w:sz w:val="20"/>
          <w:szCs w:val="20"/>
        </w:rPr>
        <w:t>amages, civil and criminal penalties or injunctions.</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We may not be able to utilize a significant portion of our net operating loss carryforwards, which could adversely affect our profitability.</w:t>
      </w:r>
    </w:p>
    <w:p w:rsidR="00000000" w:rsidRDefault="00F20BDB">
      <w:pPr>
        <w:pStyle w:val="a3"/>
        <w:spacing w:before="120" w:beforeAutospacing="0" w:after="0" w:afterAutospacing="0"/>
        <w:ind w:firstLine="556"/>
        <w:rPr>
          <w:color w:val="000000"/>
          <w:sz w:val="20"/>
          <w:szCs w:val="20"/>
        </w:rPr>
      </w:pPr>
      <w:r>
        <w:rPr>
          <w:color w:val="000000"/>
          <w:sz w:val="20"/>
          <w:szCs w:val="20"/>
        </w:rPr>
        <w:t>As of December 31, 2018, we had federal and state net operatin</w:t>
      </w:r>
      <w:r>
        <w:rPr>
          <w:color w:val="000000"/>
          <w:sz w:val="20"/>
          <w:szCs w:val="20"/>
        </w:rPr>
        <w:t>g loss carryforwards due to prior period losses, which, if not utilized, will begin to expire in 2027 for federal purposes and begin to expire in 2023 for state purposes. These net operating loss carryforwards could expire unused and be unavailable to offs</w:t>
      </w:r>
      <w:r>
        <w:rPr>
          <w:color w:val="000000"/>
          <w:sz w:val="20"/>
          <w:szCs w:val="20"/>
        </w:rPr>
        <w:t>et future income tax liabilities, which could adversely affect our profitability. In addition, under Section 382 of the Internal Revenue Code of 1986, as amended, which we refer to as the Code, our ability to utilize net operating loss carryforwards or oth</w:t>
      </w:r>
      <w:r>
        <w:rPr>
          <w:color w:val="000000"/>
          <w:sz w:val="20"/>
          <w:szCs w:val="20"/>
        </w:rPr>
        <w:t>er tax attributes, such as research tax credits, in any taxable year may be further limited if we experience an ownership change. A Section 382 ownership change generally occurs if one or more stockholders or groups of stockholders who own at least 5% of o</w:t>
      </w:r>
      <w:r>
        <w:rPr>
          <w:color w:val="000000"/>
          <w:sz w:val="20"/>
          <w:szCs w:val="20"/>
        </w:rPr>
        <w:t>ur stock increase their ownership by more than 50 percentage points over their lowest ownership percentage within a rolling three-year period. Similar rules may apply under state tax laws. Future issuances of our stock could cause an ownership change. It i</w:t>
      </w:r>
      <w:r>
        <w:rPr>
          <w:color w:val="000000"/>
          <w:sz w:val="20"/>
          <w:szCs w:val="20"/>
        </w:rPr>
        <w:t>s possible that an ownership change in connection with a future offering, or any future ownership change, could have a material effect on the use of our net operating loss carryforwards or other tax attributes, which could adversely affect our profitabilit</w:t>
      </w:r>
      <w:r>
        <w:rPr>
          <w:color w:val="000000"/>
          <w:sz w:val="20"/>
          <w:szCs w:val="20"/>
        </w:rPr>
        <w:t xml:space="preserve">y. Net operating loss carryforwards incurred for periods beginning on or after January 1, 2018 would not expire unused as a result of these limitations because they can be carried forward indefinitely. </w:t>
      </w:r>
    </w:p>
    <w:p w:rsidR="00000000" w:rsidRDefault="00F20BDB">
      <w:pPr>
        <w:pStyle w:val="a3"/>
        <w:spacing w:before="240" w:beforeAutospacing="0" w:after="0" w:afterAutospacing="0"/>
        <w:jc w:val="center"/>
        <w:rPr>
          <w:sz w:val="20"/>
          <w:szCs w:val="20"/>
        </w:rPr>
      </w:pPr>
      <w:r>
        <w:rPr>
          <w:sz w:val="20"/>
          <w:szCs w:val="20"/>
        </w:rPr>
        <w:t>44</w:t>
      </w:r>
    </w:p>
    <w:p w:rsidR="00000000" w:rsidRDefault="00F20BDB">
      <w:pPr>
        <w:rPr>
          <w:rFonts w:eastAsia="Times New Roman"/>
        </w:rPr>
      </w:pPr>
      <w:r>
        <w:rPr>
          <w:rFonts w:eastAsia="Times New Roman"/>
        </w:rPr>
        <w:pict>
          <v:rect id="_x0000_i1068"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360" w:beforeAutospacing="0" w:after="0" w:afterAutospacing="0"/>
        <w:rPr>
          <w:b/>
          <w:bCs/>
          <w:i/>
          <w:iCs/>
          <w:color w:val="000000"/>
          <w:sz w:val="20"/>
          <w:szCs w:val="20"/>
        </w:rPr>
      </w:pPr>
      <w:bookmarkStart w:id="58" w:name="_AEIOULastRenderedPageBreakAEIOU39"/>
      <w:bookmarkEnd w:id="58"/>
      <w:r>
        <w:rPr>
          <w:b/>
          <w:bCs/>
          <w:i/>
          <w:iCs/>
          <w:color w:val="000000"/>
          <w:sz w:val="20"/>
          <w:szCs w:val="20"/>
        </w:rPr>
        <w:t>The standards that private entities use to regulate the use of email have in the past interfered with, and may in the future</w:t>
      </w:r>
      <w:r>
        <w:rPr>
          <w:b/>
          <w:bCs/>
          <w:i/>
          <w:iCs/>
          <w:color w:val="000000"/>
          <w:sz w:val="20"/>
          <w:szCs w:val="20"/>
        </w:rPr>
        <w:t xml:space="preserve"> interfere with, the effectiveness of our Growth Platform and our ability to conduct business.</w:t>
      </w:r>
    </w:p>
    <w:p w:rsidR="00000000" w:rsidRDefault="00F20BDB">
      <w:pPr>
        <w:pStyle w:val="a3"/>
        <w:spacing w:before="120" w:beforeAutospacing="0" w:after="0" w:afterAutospacing="0"/>
        <w:ind w:firstLine="556"/>
        <w:rPr>
          <w:color w:val="000000"/>
          <w:sz w:val="20"/>
          <w:szCs w:val="20"/>
        </w:rPr>
      </w:pPr>
      <w:r>
        <w:rPr>
          <w:color w:val="000000"/>
          <w:sz w:val="20"/>
          <w:szCs w:val="20"/>
        </w:rPr>
        <w:t>Our customers rely on email to communicate with their existing or prospective customers. Various private entities attempt to regulate the use of email for commer</w:t>
      </w:r>
      <w:r>
        <w:rPr>
          <w:color w:val="000000"/>
          <w:sz w:val="20"/>
          <w:szCs w:val="20"/>
        </w:rPr>
        <w:t>cial solicitation. These entities often advocate standards of conduct or practice that significantly exceed current legal requirements and classify certain email solicitations that comply with current legal requirements as spam. Some of these entities main</w:t>
      </w:r>
      <w:r>
        <w:rPr>
          <w:color w:val="000000"/>
          <w:sz w:val="20"/>
          <w:szCs w:val="20"/>
        </w:rPr>
        <w:t>tain “blacklists” of companies and individuals, and the websites, internet service providers and internet protocol addresses associated with those entities or individuals that do not adhere to those standards of conduct or practices for commercial email so</w:t>
      </w:r>
      <w:r>
        <w:rPr>
          <w:color w:val="000000"/>
          <w:sz w:val="20"/>
          <w:szCs w:val="20"/>
        </w:rPr>
        <w:t>licitations that the blacklisting entity believes are appropriate. If a company’s internet protocol addresses are listed by a blacklisting entity, emails sent from those addresses may be blocked if they are sent to any internet domain or internet address t</w:t>
      </w:r>
      <w:r>
        <w:rPr>
          <w:color w:val="000000"/>
          <w:sz w:val="20"/>
          <w:szCs w:val="20"/>
        </w:rPr>
        <w:t>hat subscribes to the blacklisting entity’s service or purchases its blacklist.</w:t>
      </w:r>
    </w:p>
    <w:p w:rsidR="00000000" w:rsidRDefault="00F20BDB">
      <w:pPr>
        <w:pStyle w:val="a3"/>
        <w:spacing w:before="240" w:beforeAutospacing="0" w:after="0" w:afterAutospacing="0"/>
        <w:ind w:firstLine="556"/>
        <w:rPr>
          <w:color w:val="000000"/>
          <w:sz w:val="20"/>
          <w:szCs w:val="20"/>
        </w:rPr>
      </w:pPr>
      <w:r>
        <w:rPr>
          <w:color w:val="000000"/>
          <w:sz w:val="20"/>
          <w:szCs w:val="20"/>
        </w:rPr>
        <w:t>From time to time, some of our internet protocol addresses may become listed with one or more blacklisting entities due to the messaging practices of our customers. There can b</w:t>
      </w:r>
      <w:r>
        <w:rPr>
          <w:color w:val="000000"/>
          <w:sz w:val="20"/>
          <w:szCs w:val="20"/>
        </w:rPr>
        <w:t>e no guarantee that we will be able to successfully remove ourselves from those lists. Blacklisting of this type could interfere with our ability to market our Growth Platform and services and communicate with our customers and, because we fulfill email de</w:t>
      </w:r>
      <w:r>
        <w:rPr>
          <w:color w:val="000000"/>
          <w:sz w:val="20"/>
          <w:szCs w:val="20"/>
        </w:rPr>
        <w:t>livery on behalf of our customers, could undermine the effectiveness of our customers’ email marketing campaigns, all of which could have a material negative impact on our business and results of operations.</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Existing federal, state and foreign laws regulat</w:t>
      </w:r>
      <w:r>
        <w:rPr>
          <w:b/>
          <w:bCs/>
          <w:i/>
          <w:iCs/>
          <w:color w:val="000000"/>
          <w:sz w:val="20"/>
          <w:szCs w:val="20"/>
        </w:rPr>
        <w:t>e Internet tracking software, the senders of commercial emails and text messages, website owners and other activities, and could impact the use of our Growth Platform and potentially subject us to regulatory enforcement or private litigation.</w:t>
      </w:r>
    </w:p>
    <w:p w:rsidR="00000000" w:rsidRDefault="00F20BDB">
      <w:pPr>
        <w:pStyle w:val="a3"/>
        <w:spacing w:before="120" w:beforeAutospacing="0" w:after="0" w:afterAutospacing="0"/>
        <w:ind w:firstLine="556"/>
        <w:rPr>
          <w:color w:val="000000"/>
          <w:sz w:val="20"/>
          <w:szCs w:val="20"/>
        </w:rPr>
      </w:pPr>
      <w:r>
        <w:rPr>
          <w:color w:val="000000"/>
          <w:sz w:val="20"/>
          <w:szCs w:val="20"/>
        </w:rPr>
        <w:t>Certain aspec</w:t>
      </w:r>
      <w:r>
        <w:rPr>
          <w:color w:val="000000"/>
          <w:sz w:val="20"/>
          <w:szCs w:val="20"/>
        </w:rPr>
        <w:t>ts of how our customers utilize our platform are subject to regulations in the United States, European Union and elsewhere. In recent years, U.S. and European lawmakers and regulators have expressed concern over the use of third-party cookies or web beacon</w:t>
      </w:r>
      <w:r>
        <w:rPr>
          <w:color w:val="000000"/>
          <w:sz w:val="20"/>
          <w:szCs w:val="20"/>
        </w:rPr>
        <w:t>s for online behavioral advertising, and legislation adopted recently in the European Union requires informed consent for the placement of a cookie on a user’s device. Regulation of cookies and web beacons may lead to restrictions on our activities, such a</w:t>
      </w:r>
      <w:r>
        <w:rPr>
          <w:color w:val="000000"/>
          <w:sz w:val="20"/>
          <w:szCs w:val="20"/>
        </w:rPr>
        <w:t>s efforts to understand users’ Internet usage. New and expanding “Do Not Track” regulations have recently been enacted or proposed that protect users’ right to choose whether or not to be tracked online. These regulations seek, among other things, to allow</w:t>
      </w:r>
      <w:r>
        <w:rPr>
          <w:color w:val="000000"/>
          <w:sz w:val="20"/>
          <w:szCs w:val="20"/>
        </w:rPr>
        <w:t xml:space="preserve"> end users to have greater control over the use of private information collected online, to forbid the collection or use of online information, to demand a business to comply with their choice to opt out of such collection or use, and to place limits upon </w:t>
      </w:r>
      <w:r>
        <w:rPr>
          <w:color w:val="000000"/>
          <w:sz w:val="20"/>
          <w:szCs w:val="20"/>
        </w:rPr>
        <w:t>the disclosure of information to third party websites. These policies could have a significant impact on the operation of our Growth Platform and could impair our attractiveness to customers, which would harm our business.</w:t>
      </w:r>
    </w:p>
    <w:p w:rsidR="00000000" w:rsidRDefault="00F20BDB">
      <w:pPr>
        <w:pStyle w:val="a3"/>
        <w:spacing w:before="240" w:beforeAutospacing="0" w:after="0" w:afterAutospacing="0"/>
        <w:ind w:firstLine="556"/>
        <w:rPr>
          <w:color w:val="000000"/>
          <w:sz w:val="20"/>
          <w:szCs w:val="20"/>
        </w:rPr>
      </w:pPr>
      <w:r>
        <w:rPr>
          <w:color w:val="000000"/>
          <w:sz w:val="20"/>
          <w:szCs w:val="20"/>
        </w:rPr>
        <w:t>Many of our customers and potenti</w:t>
      </w:r>
      <w:r>
        <w:rPr>
          <w:color w:val="000000"/>
          <w:sz w:val="20"/>
          <w:szCs w:val="20"/>
        </w:rPr>
        <w:t>al customers in the healthcare, financial services and other industries are subject to substantial regulation regarding their collection, use and protection of data and may be the subject of further regulation in the future. Accordingly, these laws or sign</w:t>
      </w:r>
      <w:r>
        <w:rPr>
          <w:color w:val="000000"/>
          <w:sz w:val="20"/>
          <w:szCs w:val="20"/>
        </w:rPr>
        <w:t>ificant new laws or regulations or changes in, or repeals of, existing laws, regulations or governmental policy may change the way these customers do business and may require us to implement additional features or offer additional contractual terms to sati</w:t>
      </w:r>
      <w:r>
        <w:rPr>
          <w:color w:val="000000"/>
          <w:sz w:val="20"/>
          <w:szCs w:val="20"/>
        </w:rPr>
        <w:t>sfy customer and regulatory requirements, or could cause the demand for and sales of our Growth Platform to decrease and adversely impact our financial results.</w:t>
      </w:r>
    </w:p>
    <w:p w:rsidR="00000000" w:rsidRDefault="00F20BDB">
      <w:pPr>
        <w:pStyle w:val="a3"/>
        <w:spacing w:before="240" w:beforeAutospacing="0" w:after="0" w:afterAutospacing="0"/>
        <w:ind w:firstLine="556"/>
        <w:rPr>
          <w:color w:val="000000"/>
          <w:sz w:val="20"/>
          <w:szCs w:val="20"/>
        </w:rPr>
      </w:pPr>
      <w:r>
        <w:rPr>
          <w:color w:val="000000"/>
          <w:sz w:val="20"/>
          <w:szCs w:val="20"/>
        </w:rPr>
        <w:t>In addition, the Controlling the Assault of Non-Solicited Pornography and Marketing Act of 2003</w:t>
      </w:r>
      <w:r>
        <w:rPr>
          <w:color w:val="000000"/>
          <w:sz w:val="20"/>
          <w:szCs w:val="20"/>
        </w:rPr>
        <w:t>, or the CAN-SPAM Act, establishes certain requirements for commercial email messages and specifies penalties for the transmission of commercial email messages that are intended to deceive the recipient as to source or content. The CAN-SPAM Act, among othe</w:t>
      </w:r>
      <w:r>
        <w:rPr>
          <w:color w:val="000000"/>
          <w:sz w:val="20"/>
          <w:szCs w:val="20"/>
        </w:rPr>
        <w:t>r things, obligates the sender of commercial emails to provide recipients with the ability to opt out of receiving future commercial emails from the sender. The ability of our customers’ message recipients to opt out of receiving commercial emails may mini</w:t>
      </w:r>
      <w:r>
        <w:rPr>
          <w:color w:val="000000"/>
          <w:sz w:val="20"/>
          <w:szCs w:val="20"/>
        </w:rPr>
        <w:t>mize the effectiveness of the email components of our Growth Platform. In addition, certain states and foreign jurisdictions, such as Australia, Canada and the European Union, have enacted laws that regulate sending email, and some of these laws are more r</w:t>
      </w:r>
      <w:r>
        <w:rPr>
          <w:color w:val="000000"/>
          <w:sz w:val="20"/>
          <w:szCs w:val="20"/>
        </w:rPr>
        <w:t>estrictive than U.S. laws. For example, some foreign laws prohibit sending unsolicited email unless the recipient has provided the sender advance consent to receipt of such email, or in other words has “opted-in” to receiving it. A requirement that recipie</w:t>
      </w:r>
      <w:r>
        <w:rPr>
          <w:color w:val="000000"/>
          <w:sz w:val="20"/>
          <w:szCs w:val="20"/>
        </w:rPr>
        <w:t>nts opt into, or the ability of recipients to opt out of, receiving commercial emails may minimize the effectiveness of our platform.</w:t>
      </w:r>
    </w:p>
    <w:p w:rsidR="00000000" w:rsidRDefault="00F20BDB">
      <w:pPr>
        <w:pStyle w:val="a3"/>
        <w:spacing w:before="240" w:beforeAutospacing="0" w:after="0" w:afterAutospacing="0"/>
        <w:ind w:firstLine="556"/>
        <w:rPr>
          <w:color w:val="000000"/>
          <w:sz w:val="20"/>
          <w:szCs w:val="20"/>
        </w:rPr>
      </w:pPr>
      <w:bookmarkStart w:id="59" w:name="_AEIOULastRenderedPageBreakAEIOU40"/>
      <w:bookmarkEnd w:id="59"/>
      <w:r>
        <w:rPr>
          <w:color w:val="000000"/>
          <w:sz w:val="20"/>
          <w:szCs w:val="20"/>
        </w:rPr>
        <w:t>While these laws and regulations generally govern our customers’ use of our platform, we may be subject to certain laws as</w:t>
      </w:r>
      <w:r>
        <w:rPr>
          <w:color w:val="000000"/>
          <w:sz w:val="20"/>
          <w:szCs w:val="20"/>
        </w:rPr>
        <w:t xml:space="preserve"> a data processor on behalf of, or as a business associate of, our customers. For example, laws and regulations governing the collection, use and disclosure of personal information include, in the United States, rules and regulations promulgated under the </w:t>
      </w:r>
      <w:r>
        <w:rPr>
          <w:color w:val="000000"/>
          <w:sz w:val="20"/>
          <w:szCs w:val="20"/>
        </w:rPr>
        <w:t xml:space="preserve">authority of the Federal Trade Commission, the Health Insurance Portability and Accountability Act of 1996, the Gramm-Leach-Bliley Act of 1999 and state breach notification laws, and internationally, the Data Protection Directive in the European Union and </w:t>
      </w:r>
      <w:r>
        <w:rPr>
          <w:color w:val="000000"/>
          <w:sz w:val="20"/>
          <w:szCs w:val="20"/>
        </w:rPr>
        <w:t xml:space="preserve">the Federal Data Protection Act in Germany. If we were found to be in violation of any of these laws or regulations as a result of government enforcement or private litigation, we could be subjected to civil and criminal sanctions, including both monetary </w:t>
      </w:r>
      <w:r>
        <w:rPr>
          <w:color w:val="000000"/>
          <w:sz w:val="20"/>
          <w:szCs w:val="20"/>
        </w:rPr>
        <w:t xml:space="preserve">fines and injunctive </w:t>
      </w:r>
    </w:p>
    <w:p w:rsidR="00000000" w:rsidRDefault="00F20BDB">
      <w:pPr>
        <w:pStyle w:val="a3"/>
        <w:spacing w:before="240" w:beforeAutospacing="0" w:after="0" w:afterAutospacing="0"/>
        <w:jc w:val="center"/>
        <w:rPr>
          <w:sz w:val="20"/>
          <w:szCs w:val="20"/>
        </w:rPr>
      </w:pPr>
      <w:r>
        <w:rPr>
          <w:sz w:val="20"/>
          <w:szCs w:val="20"/>
        </w:rPr>
        <w:t>45</w:t>
      </w:r>
    </w:p>
    <w:p w:rsidR="00000000" w:rsidRDefault="00F20BDB">
      <w:pPr>
        <w:rPr>
          <w:rFonts w:eastAsia="Times New Roman"/>
        </w:rPr>
      </w:pPr>
      <w:r>
        <w:rPr>
          <w:rFonts w:eastAsia="Times New Roman"/>
        </w:rPr>
        <w:pict>
          <v:rect id="_x0000_i1069"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240" w:beforeAutospacing="0" w:after="0" w:afterAutospacing="0"/>
        <w:rPr>
          <w:color w:val="000000"/>
          <w:sz w:val="20"/>
          <w:szCs w:val="20"/>
        </w:rPr>
      </w:pPr>
      <w:r>
        <w:rPr>
          <w:color w:val="000000"/>
          <w:sz w:val="20"/>
          <w:szCs w:val="20"/>
        </w:rPr>
        <w:t>action that could force us to change our business practices, all of which could adversely affect our financial performance and significantly harm our reputation and our business.</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We are subject to governmental export controls and economic sanctions laws th</w:t>
      </w:r>
      <w:r>
        <w:rPr>
          <w:b/>
          <w:bCs/>
          <w:i/>
          <w:iCs/>
          <w:color w:val="000000"/>
          <w:sz w:val="20"/>
          <w:szCs w:val="20"/>
        </w:rPr>
        <w:t>at could impair our ability to compete in international markets and subject us to liability if we are not in full compliance with applicable laws.</w:t>
      </w:r>
    </w:p>
    <w:p w:rsidR="00000000" w:rsidRDefault="00F20BDB">
      <w:pPr>
        <w:pStyle w:val="a3"/>
        <w:spacing w:before="120" w:beforeAutospacing="0" w:after="0" w:afterAutospacing="0"/>
        <w:ind w:firstLine="556"/>
        <w:rPr>
          <w:color w:val="000000"/>
          <w:sz w:val="20"/>
          <w:szCs w:val="20"/>
        </w:rPr>
      </w:pPr>
      <w:r>
        <w:rPr>
          <w:color w:val="000000"/>
          <w:sz w:val="20"/>
          <w:szCs w:val="20"/>
        </w:rPr>
        <w:t>Our business activities are subject to various restrictions under U.S. export controls and trade and economic</w:t>
      </w:r>
      <w:r>
        <w:rPr>
          <w:color w:val="000000"/>
          <w:sz w:val="20"/>
          <w:szCs w:val="20"/>
        </w:rPr>
        <w:t xml:space="preserve"> sanctions laws, including the U.S. Commerce Department’s Export Administration Regulations and economic and trade sanctions regulations maintained by the U.S. Treasury Department’s Office of Foreign Assets Control. If we fail to comply with these laws and</w:t>
      </w:r>
      <w:r>
        <w:rPr>
          <w:color w:val="000000"/>
          <w:sz w:val="20"/>
          <w:szCs w:val="20"/>
        </w:rPr>
        <w:t xml:space="preserve"> regulations, we and certain of our employees could be subject to civil or criminal penalties and reputational harm. Obtaining the necessary authorizations, including any required license, for a particular transaction may be time-consuming, is not guarante</w:t>
      </w:r>
      <w:r>
        <w:rPr>
          <w:color w:val="000000"/>
          <w:sz w:val="20"/>
          <w:szCs w:val="20"/>
        </w:rPr>
        <w:t>ed, and may result in the delay or loss of sales opportunities. Furthermore, U.S. export control laws and economic sanctions laws prohibit certain transactions with U.S. embargoed or sanctioned countries, governments, persons and entities. Although we take</w:t>
      </w:r>
      <w:r>
        <w:rPr>
          <w:color w:val="000000"/>
          <w:sz w:val="20"/>
          <w:szCs w:val="20"/>
        </w:rPr>
        <w:t xml:space="preserve"> precautions to prevent transactions with U.S. sanction targets, the possibility exists that we could inadvertently provide our solutions to persons prohibited by U.S. sanctions. This could result in negative consequences to us, including government invest</w:t>
      </w:r>
      <w:r>
        <w:rPr>
          <w:color w:val="000000"/>
          <w:sz w:val="20"/>
          <w:szCs w:val="20"/>
        </w:rPr>
        <w:t>igations, penalties and reputational harm.</w:t>
      </w:r>
    </w:p>
    <w:p w:rsidR="00000000" w:rsidRDefault="00F20BDB">
      <w:pPr>
        <w:pStyle w:val="a3"/>
        <w:spacing w:before="360" w:beforeAutospacing="0" w:after="0" w:afterAutospacing="0"/>
        <w:rPr>
          <w:b/>
          <w:bCs/>
          <w:sz w:val="20"/>
          <w:szCs w:val="20"/>
        </w:rPr>
      </w:pPr>
      <w:r>
        <w:rPr>
          <w:b/>
          <w:bCs/>
          <w:sz w:val="20"/>
          <w:szCs w:val="20"/>
        </w:rPr>
        <w:t>Risks Related to Our Operating Results and Financial Condition</w:t>
      </w:r>
    </w:p>
    <w:p w:rsidR="00000000" w:rsidRDefault="00F20BDB">
      <w:pPr>
        <w:pStyle w:val="a3"/>
        <w:spacing w:before="120" w:beforeAutospacing="0" w:after="0" w:afterAutospacing="0"/>
        <w:rPr>
          <w:b/>
          <w:bCs/>
          <w:i/>
          <w:iCs/>
          <w:color w:val="000000"/>
          <w:sz w:val="20"/>
          <w:szCs w:val="20"/>
        </w:rPr>
      </w:pPr>
      <w:r>
        <w:rPr>
          <w:b/>
          <w:bCs/>
          <w:i/>
          <w:iCs/>
          <w:color w:val="000000"/>
          <w:sz w:val="20"/>
          <w:szCs w:val="20"/>
        </w:rPr>
        <w:t xml:space="preserve">We may experience quarterly fluctuations in our operating results due to a number of factors, which makes our future results difficult to predict and </w:t>
      </w:r>
      <w:r>
        <w:rPr>
          <w:b/>
          <w:bCs/>
          <w:i/>
          <w:iCs/>
          <w:color w:val="000000"/>
          <w:sz w:val="20"/>
          <w:szCs w:val="20"/>
        </w:rPr>
        <w:t>could cause our operating results to fall below expectations or our guidance.</w:t>
      </w:r>
    </w:p>
    <w:p w:rsidR="00000000" w:rsidRDefault="00F20BDB">
      <w:pPr>
        <w:pStyle w:val="a3"/>
        <w:spacing w:before="120" w:beforeAutospacing="0" w:after="0" w:afterAutospacing="0"/>
        <w:ind w:firstLine="556"/>
        <w:rPr>
          <w:color w:val="000000"/>
          <w:sz w:val="20"/>
          <w:szCs w:val="20"/>
        </w:rPr>
      </w:pPr>
      <w:r>
        <w:rPr>
          <w:color w:val="000000"/>
          <w:sz w:val="20"/>
          <w:szCs w:val="20"/>
        </w:rPr>
        <w:t xml:space="preserve">Our quarterly operating results have fluctuated in the past and are expected to fluctuate in the future due to a variety of factors, many of which are outside of our control. As </w:t>
      </w:r>
      <w:r>
        <w:rPr>
          <w:color w:val="000000"/>
          <w:sz w:val="20"/>
          <w:szCs w:val="20"/>
        </w:rPr>
        <w:t>a result, our past results may not be indicative of our future performance, and comparing our operating results on a period-to-period basis may not be meaningful. In addition to the other risks described in this Annual Report on Form 10-K, factors that may</w:t>
      </w:r>
      <w:r>
        <w:rPr>
          <w:color w:val="000000"/>
          <w:sz w:val="20"/>
          <w:szCs w:val="20"/>
        </w:rPr>
        <w:t xml:space="preserve"> affect our quarterly operating results include the following: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changes in spending on marketing, sales and customer service software by our current or prospective customers;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pricing our Growth Platform subscriptions effectively so that we are able to attract and retain customers without compromising our profitability;</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attracting new customers for our marketing, sales and customer service software, increasing our existing customers’ use of our platform and providing our customers with excellent customer support;</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customer renewal rates and the amounts for which agre</w:t>
            </w:r>
            <w:r>
              <w:rPr>
                <w:color w:val="000000"/>
                <w:sz w:val="20"/>
                <w:szCs w:val="20"/>
              </w:rPr>
              <w:t>ements are renewed;</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global awareness of our thought leadership and brand;</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changes in the competitive dynamics of our market, including consolidation among competitors or customers and the introduction of new products or product enhancements;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changes to the commission plans, quotas and other compensation-related metrics for our sales representatives;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the amount and timing of payment for operating expenses, particularly research and development, sales and marketing expenses and employee benefit expenses;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the amount and timing of costs associated with recruiting, training and integrating new employ</w:t>
            </w:r>
            <w:r>
              <w:rPr>
                <w:color w:val="000000"/>
                <w:sz w:val="20"/>
                <w:szCs w:val="20"/>
              </w:rPr>
              <w:t>ees while maintaining our company culture;</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our ability to manage our existing business and future growth, including increases in the number of customers on our platform and the introduction and adoption of our Growth Platform in new markets outside o</w:t>
            </w:r>
            <w:r>
              <w:rPr>
                <w:color w:val="000000"/>
                <w:sz w:val="20"/>
                <w:szCs w:val="20"/>
              </w:rPr>
              <w:t>f the United States;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unforeseen costs and expenses related to the expansion of our business, operations and infrastructure, including disruptions in our hosting network infrastructure and privacy and data security;</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foreign currency exchange rat</w:t>
            </w:r>
            <w:r>
              <w:rPr>
                <w:color w:val="000000"/>
                <w:sz w:val="20"/>
                <w:szCs w:val="20"/>
              </w:rPr>
              <w:t>e fluctuations; and</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general economic and political conditions in our domestic and international markets.</w:t>
            </w:r>
          </w:p>
        </w:tc>
      </w:tr>
    </w:tbl>
    <w:p w:rsidR="00000000" w:rsidRDefault="00F20BDB">
      <w:pPr>
        <w:pStyle w:val="a3"/>
        <w:spacing w:before="240" w:beforeAutospacing="0" w:after="0" w:afterAutospacing="0"/>
        <w:ind w:firstLine="556"/>
        <w:rPr>
          <w:color w:val="000000"/>
          <w:sz w:val="20"/>
          <w:szCs w:val="20"/>
        </w:rPr>
      </w:pPr>
      <w:r>
        <w:rPr>
          <w:color w:val="000000"/>
          <w:sz w:val="20"/>
          <w:szCs w:val="20"/>
        </w:rPr>
        <w:t>We may not be able to accurately forecast the amount and mix of future subscriptions, revenue and expenses and, as a result, our operating results may fall below our estimates or the expectations of public market analysts and investors. If our revenue or o</w:t>
      </w:r>
      <w:r>
        <w:rPr>
          <w:color w:val="000000"/>
          <w:sz w:val="20"/>
          <w:szCs w:val="20"/>
        </w:rPr>
        <w:t>perating results fall below the expectations of investors or securities analysts, or below any guidance we may provide, the price of our common stock could decline.</w:t>
      </w:r>
    </w:p>
    <w:p w:rsidR="00000000" w:rsidRDefault="00F20BDB">
      <w:pPr>
        <w:pStyle w:val="a3"/>
        <w:spacing w:before="240" w:beforeAutospacing="0" w:after="0" w:afterAutospacing="0"/>
        <w:jc w:val="center"/>
        <w:rPr>
          <w:sz w:val="20"/>
          <w:szCs w:val="20"/>
        </w:rPr>
      </w:pPr>
      <w:r>
        <w:rPr>
          <w:sz w:val="20"/>
          <w:szCs w:val="20"/>
        </w:rPr>
        <w:t>46</w:t>
      </w:r>
    </w:p>
    <w:p w:rsidR="00000000" w:rsidRDefault="00F20BDB">
      <w:pPr>
        <w:rPr>
          <w:rFonts w:eastAsia="Times New Roman"/>
        </w:rPr>
      </w:pPr>
      <w:r>
        <w:rPr>
          <w:rFonts w:eastAsia="Times New Roman"/>
        </w:rPr>
        <w:pict>
          <v:rect id="_x0000_i1070"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360" w:beforeAutospacing="0" w:after="0" w:afterAutospacing="0"/>
        <w:rPr>
          <w:b/>
          <w:bCs/>
          <w:i/>
          <w:iCs/>
          <w:color w:val="000000"/>
          <w:sz w:val="20"/>
          <w:szCs w:val="20"/>
        </w:rPr>
      </w:pPr>
      <w:bookmarkStart w:id="60" w:name="_AEIOULastRenderedPageBreakAEIOU41"/>
      <w:bookmarkEnd w:id="60"/>
      <w:r>
        <w:rPr>
          <w:b/>
          <w:bCs/>
          <w:i/>
          <w:iCs/>
          <w:color w:val="000000"/>
          <w:sz w:val="20"/>
          <w:szCs w:val="20"/>
        </w:rPr>
        <w:t>If we do not accurately predict subscription renewal rates or otherwise fail to forecast our revenue accurately, or if we fail to match our expenditures with corr</w:t>
      </w:r>
      <w:r>
        <w:rPr>
          <w:b/>
          <w:bCs/>
          <w:i/>
          <w:iCs/>
          <w:color w:val="000000"/>
          <w:sz w:val="20"/>
          <w:szCs w:val="20"/>
        </w:rPr>
        <w:t>esponding revenue, our operating results could be adversely affected.</w:t>
      </w:r>
    </w:p>
    <w:p w:rsidR="00000000" w:rsidRDefault="00F20BDB">
      <w:pPr>
        <w:pStyle w:val="a3"/>
        <w:spacing w:before="120" w:beforeAutospacing="0" w:after="0" w:afterAutospacing="0"/>
        <w:ind w:firstLine="556"/>
        <w:rPr>
          <w:color w:val="000000"/>
          <w:sz w:val="20"/>
          <w:szCs w:val="20"/>
        </w:rPr>
      </w:pPr>
      <w:r>
        <w:rPr>
          <w:color w:val="000000"/>
          <w:sz w:val="20"/>
          <w:szCs w:val="20"/>
        </w:rPr>
        <w:t>Because our recent growth has resulted in the rapid expansion of our business, we do not have a long history upon which to base forecasts of renewal rates with customers or future operat</w:t>
      </w:r>
      <w:r>
        <w:rPr>
          <w:color w:val="000000"/>
          <w:sz w:val="20"/>
          <w:szCs w:val="20"/>
        </w:rPr>
        <w:t>ing revenue. As a result, our operating results in future reporting periods may be significantly below the expectations of the public market, equity research analysts or investors, which could harm the price of our common stock.</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Because we generally recogn</w:t>
      </w:r>
      <w:r>
        <w:rPr>
          <w:b/>
          <w:bCs/>
          <w:i/>
          <w:iCs/>
          <w:color w:val="000000"/>
          <w:sz w:val="20"/>
          <w:szCs w:val="20"/>
        </w:rPr>
        <w:t>ize revenue from subscriptions ratably over the term of the agreement, near term changes in sales may not be reflected immediately in our operating results.</w:t>
      </w:r>
    </w:p>
    <w:p w:rsidR="00000000" w:rsidRDefault="00F20BDB">
      <w:pPr>
        <w:pStyle w:val="a3"/>
        <w:spacing w:before="120" w:beforeAutospacing="0" w:after="0" w:afterAutospacing="0"/>
        <w:ind w:firstLine="556"/>
        <w:rPr>
          <w:color w:val="000000"/>
          <w:sz w:val="20"/>
          <w:szCs w:val="20"/>
        </w:rPr>
      </w:pPr>
      <w:r>
        <w:rPr>
          <w:color w:val="000000"/>
          <w:sz w:val="20"/>
          <w:szCs w:val="20"/>
        </w:rPr>
        <w:t>We offer our Growth Platform primarily through a mix of monthly, quarterly and single-year subscrip</w:t>
      </w:r>
      <w:r>
        <w:rPr>
          <w:color w:val="000000"/>
          <w:sz w:val="20"/>
          <w:szCs w:val="20"/>
        </w:rPr>
        <w:t xml:space="preserve">tion agreements and generally recognize revenue ratably over the related subscription period. As a result, much of the revenue we report in each quarter is derived from agreements entered into during prior months, quarters or years. In addition, we do not </w:t>
      </w:r>
      <w:r>
        <w:rPr>
          <w:color w:val="000000"/>
          <w:sz w:val="20"/>
          <w:szCs w:val="20"/>
        </w:rPr>
        <w:t>record deferred revenue beyond amounts invoiced as a liability on our balance sheet. A decline in new or renewed subscriptions or marketing solutions agreements in any one quarter is not likely to be reflected immediately in our revenue results for that qu</w:t>
      </w:r>
      <w:r>
        <w:rPr>
          <w:color w:val="000000"/>
          <w:sz w:val="20"/>
          <w:szCs w:val="20"/>
        </w:rPr>
        <w:t>arter. Such declines, however, would negatively affect our revenue and deferred revenue balances in future periods, and the effect of significant downturns in sales and market acceptance of our platform, and potential changes in our rate of renewals, may n</w:t>
      </w:r>
      <w:r>
        <w:rPr>
          <w:color w:val="000000"/>
          <w:sz w:val="20"/>
          <w:szCs w:val="20"/>
        </w:rPr>
        <w:t>ot be fully reflected in our results of operations until future periods. Our subscription model also makes it difficult for us to rapidly increase our total revenue and deferred revenue balance through additional sales in any period, as revenue from new cu</w:t>
      </w:r>
      <w:r>
        <w:rPr>
          <w:color w:val="000000"/>
          <w:sz w:val="20"/>
          <w:szCs w:val="20"/>
        </w:rPr>
        <w:t>stomers must be recognized over the applicable subscription term.</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Servicing our debt may require a significant amount of cash.  We may not have sufficient cash flow from our business to pay our indebtedness, and we may not have the ability to raise the fun</w:t>
      </w:r>
      <w:r>
        <w:rPr>
          <w:b/>
          <w:bCs/>
          <w:i/>
          <w:iCs/>
          <w:color w:val="000000"/>
          <w:sz w:val="20"/>
          <w:szCs w:val="20"/>
        </w:rPr>
        <w:t>ds necessary to settle for cash conversions of the 2022 Notes or to repurchase the 2022 Notes for cash upon a fundamental change, which could adversely affect our business and results of operations.</w:t>
      </w:r>
    </w:p>
    <w:p w:rsidR="00000000" w:rsidRDefault="00F20BDB">
      <w:pPr>
        <w:pStyle w:val="a3"/>
        <w:spacing w:before="120" w:beforeAutospacing="0" w:after="0" w:afterAutospacing="0"/>
        <w:ind w:firstLine="556"/>
        <w:rPr>
          <w:color w:val="000000"/>
          <w:sz w:val="20"/>
          <w:szCs w:val="20"/>
        </w:rPr>
      </w:pPr>
      <w:r>
        <w:rPr>
          <w:color w:val="000000"/>
          <w:sz w:val="20"/>
          <w:szCs w:val="20"/>
        </w:rPr>
        <w:t>We incurred indebtedness in the aggregate principal amoun</w:t>
      </w:r>
      <w:r>
        <w:rPr>
          <w:color w:val="000000"/>
          <w:sz w:val="20"/>
          <w:szCs w:val="20"/>
        </w:rPr>
        <w:t>t of $400.0 million in connection with the issuance of our 0.25% convertible senior notes due June 1, 2022 (the “2022 Notes”). Our ability to make scheduled payments of the principal of, to pay interest on or to refinance our indebtedness, including the 20</w:t>
      </w:r>
      <w:r>
        <w:rPr>
          <w:color w:val="000000"/>
          <w:sz w:val="20"/>
          <w:szCs w:val="20"/>
        </w:rPr>
        <w:t>22 Notes, depends on our future performance, which is subject to economic, financial, competitive and other factors beyond our control. Our business may not continue to generate cash flow from operations in the future sufficient to service our debt and mak</w:t>
      </w:r>
      <w:r>
        <w:rPr>
          <w:color w:val="000000"/>
          <w:sz w:val="20"/>
          <w:szCs w:val="20"/>
        </w:rPr>
        <w:t>e necessary capital expenditures. If we are unable to generate such cash flow, we may be required to adopt one or more alternatives, such as selling assets, restructuring debt or obtaining additional debt financing or equity capital on terms that may be on</w:t>
      </w:r>
      <w:r>
        <w:rPr>
          <w:color w:val="000000"/>
          <w:sz w:val="20"/>
          <w:szCs w:val="20"/>
        </w:rPr>
        <w:t>erous or highly dilutive. Our ability to refinance any future indebtedness will depend on the capital markets and our financial condition at such time. We may not be able to engage in any of these activities or engage in these activities on desirable terms</w:t>
      </w:r>
      <w:r>
        <w:rPr>
          <w:color w:val="000000"/>
          <w:sz w:val="20"/>
          <w:szCs w:val="20"/>
        </w:rPr>
        <w:t>, which could result in a default on our debt obligations. In addition, any of our future debt agreements may contain restrictive covenants that may prohibit us from adopting any of these alternatives. Our failure to comply with these covenants could resul</w:t>
      </w:r>
      <w:r>
        <w:rPr>
          <w:color w:val="000000"/>
          <w:sz w:val="20"/>
          <w:szCs w:val="20"/>
        </w:rPr>
        <w:t>t in an event of default which, if not cured or waived, could result in the acceleration of our debt.</w:t>
      </w:r>
    </w:p>
    <w:p w:rsidR="00000000" w:rsidRDefault="00F20BDB">
      <w:pPr>
        <w:pStyle w:val="a3"/>
        <w:spacing w:before="240" w:beforeAutospacing="0" w:after="0" w:afterAutospacing="0"/>
        <w:ind w:firstLine="556"/>
        <w:rPr>
          <w:color w:val="000000"/>
          <w:sz w:val="20"/>
          <w:szCs w:val="20"/>
        </w:rPr>
      </w:pPr>
      <w:r>
        <w:rPr>
          <w:color w:val="000000"/>
          <w:sz w:val="20"/>
          <w:szCs w:val="20"/>
        </w:rPr>
        <w:t>In addition, holders of the 2022 Notes have the right to require us to repurchase their 2022 Notes upon the occurrence of a fundamental change at a fundamental change repurchase price equal to 100% of the principal amount of the 2022 Notes to be repurchase</w:t>
      </w:r>
      <w:r>
        <w:rPr>
          <w:color w:val="000000"/>
          <w:sz w:val="20"/>
          <w:szCs w:val="20"/>
        </w:rPr>
        <w:t>d, plus accrued and unpaid interest, if any.  Upon conversion of the 2022 Notes, unless we elect to deliver solely shares of our common stock to settle such conversion (other than paying cash in lieu of delivering any fractional share), we will be required</w:t>
      </w:r>
      <w:r>
        <w:rPr>
          <w:color w:val="000000"/>
          <w:sz w:val="20"/>
          <w:szCs w:val="20"/>
        </w:rPr>
        <w:t xml:space="preserve"> to make cash payments in respect of the 2022 Notes being converted.  We may not have enough available cash or be able to obtain financing at the time we are required to make repurchases of 2022 Notes surrendered therefor or 2022 Notes being converted. In </w:t>
      </w:r>
      <w:r>
        <w:rPr>
          <w:color w:val="000000"/>
          <w:sz w:val="20"/>
          <w:szCs w:val="20"/>
        </w:rPr>
        <w:t xml:space="preserve">addition, our ability to repurchase the 2022 Notes or to pay cash upon conversions of the 2022 Notes may be limited by law, by regulatory authority or by agreements governing our future indebtedness. Our failure to repurchase 2022 Notes at a time when the </w:t>
      </w:r>
      <w:r>
        <w:rPr>
          <w:color w:val="000000"/>
          <w:sz w:val="20"/>
          <w:szCs w:val="20"/>
        </w:rPr>
        <w:t>repurchase is required by the indenture governing the notes or to pay any cash payable on future conversions of the 2022 Notes as required by such indenture would constitute a default under such indenture. A default under the indenture or the fundamental c</w:t>
      </w:r>
      <w:r>
        <w:rPr>
          <w:color w:val="000000"/>
          <w:sz w:val="20"/>
          <w:szCs w:val="20"/>
        </w:rPr>
        <w:t>hange itself could also lead to a default under agreements governing our future indebtedness. If the repayment of the related indebtedness were to be accelerated after any applicable notice or grace periods, we may not have sufficient funds to repay the in</w:t>
      </w:r>
      <w:r>
        <w:rPr>
          <w:color w:val="000000"/>
          <w:sz w:val="20"/>
          <w:szCs w:val="20"/>
        </w:rPr>
        <w:t>debtedness and repurchase the 2022 Notes or make cash payments upon conversions thereof.</w:t>
      </w:r>
    </w:p>
    <w:p w:rsidR="00000000" w:rsidRDefault="00F20BDB">
      <w:pPr>
        <w:pStyle w:val="a3"/>
        <w:spacing w:before="240" w:beforeAutospacing="0" w:after="0" w:afterAutospacing="0"/>
        <w:ind w:firstLine="556"/>
        <w:rPr>
          <w:color w:val="000000"/>
          <w:sz w:val="20"/>
          <w:szCs w:val="20"/>
        </w:rPr>
      </w:pPr>
      <w:r>
        <w:rPr>
          <w:color w:val="000000"/>
          <w:sz w:val="20"/>
          <w:szCs w:val="20"/>
        </w:rPr>
        <w:t>In addition, our indebtedness, combined with our other financial obligations and contractual commitments, could have other important consequences.  For example, it cou</w:t>
      </w:r>
      <w:r>
        <w:rPr>
          <w:color w:val="000000"/>
          <w:sz w:val="20"/>
          <w:szCs w:val="20"/>
        </w:rPr>
        <w:t>ld:</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make us more vulnerable to adverse changes in general U.S. and worldwide economic, industry and competitive conditions and adverse changes in government regulation;</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limit our flexibility in planning for, or reacting to, changes in our busines</w:t>
            </w:r>
            <w:r>
              <w:rPr>
                <w:color w:val="000000"/>
                <w:sz w:val="20"/>
                <w:szCs w:val="20"/>
              </w:rPr>
              <w:t>s and our industry;</w:t>
            </w:r>
          </w:p>
        </w:tc>
      </w:tr>
    </w:tbl>
    <w:p w:rsidR="00000000" w:rsidRDefault="00F20BDB">
      <w:pPr>
        <w:pStyle w:val="a3"/>
        <w:spacing w:before="240" w:beforeAutospacing="0" w:after="0" w:afterAutospacing="0"/>
        <w:jc w:val="center"/>
        <w:rPr>
          <w:sz w:val="20"/>
          <w:szCs w:val="20"/>
        </w:rPr>
      </w:pPr>
      <w:r>
        <w:rPr>
          <w:sz w:val="20"/>
          <w:szCs w:val="20"/>
        </w:rPr>
        <w:t>47</w:t>
      </w:r>
    </w:p>
    <w:p w:rsidR="00000000" w:rsidRDefault="00F20BDB">
      <w:pPr>
        <w:rPr>
          <w:rFonts w:eastAsia="Times New Roman"/>
        </w:rPr>
      </w:pPr>
      <w:r>
        <w:rPr>
          <w:rFonts w:eastAsia="Times New Roman"/>
        </w:rPr>
        <w:pict>
          <v:rect id="_x0000_i1071"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bookmarkStart w:id="61" w:name="_AEIOULastRenderedPageBreakAEIOU42"/>
            <w:bookmarkEnd w:id="61"/>
            <w:r>
              <w:rPr>
                <w:color w:val="000000"/>
                <w:sz w:val="20"/>
                <w:szCs w:val="20"/>
              </w:rPr>
              <w:t>place us at a disadvantage compared to our competitors who have less debt; and</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limit our ability to borrow additional amounts to fund acquisitions, for working capital and for other general corporate purposes.</w:t>
            </w:r>
          </w:p>
        </w:tc>
      </w:tr>
    </w:tbl>
    <w:p w:rsidR="00000000" w:rsidRDefault="00F20BDB">
      <w:pPr>
        <w:pStyle w:val="a3"/>
        <w:spacing w:before="240" w:beforeAutospacing="0" w:after="0" w:afterAutospacing="0"/>
        <w:ind w:firstLine="556"/>
        <w:rPr>
          <w:color w:val="000000"/>
          <w:sz w:val="20"/>
          <w:szCs w:val="20"/>
        </w:rPr>
      </w:pPr>
      <w:r>
        <w:rPr>
          <w:color w:val="000000"/>
          <w:sz w:val="20"/>
          <w:szCs w:val="20"/>
        </w:rPr>
        <w:t>Any of these factors could materially and adversely affect our business, financial condition and results of operations. In a</w:t>
      </w:r>
      <w:r>
        <w:rPr>
          <w:color w:val="000000"/>
          <w:sz w:val="20"/>
          <w:szCs w:val="20"/>
        </w:rPr>
        <w:t>ddition, if we incur additional indebtedness, the risks related to our business and our ability to service or repay our indebtedness would increase.</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The conditional conversion feature of the 2022 Notes, if triggered, may adversely affect our financial cond</w:t>
      </w:r>
      <w:r>
        <w:rPr>
          <w:b/>
          <w:bCs/>
          <w:i/>
          <w:iCs/>
          <w:color w:val="000000"/>
          <w:sz w:val="20"/>
          <w:szCs w:val="20"/>
        </w:rPr>
        <w:t>ition and operating results.</w:t>
      </w:r>
    </w:p>
    <w:p w:rsidR="00000000" w:rsidRDefault="00F20BDB">
      <w:pPr>
        <w:pStyle w:val="a3"/>
        <w:spacing w:before="120" w:beforeAutospacing="0" w:after="0" w:afterAutospacing="0"/>
        <w:ind w:firstLine="556"/>
        <w:rPr>
          <w:color w:val="000000"/>
          <w:sz w:val="20"/>
          <w:szCs w:val="20"/>
        </w:rPr>
      </w:pPr>
      <w:r>
        <w:rPr>
          <w:color w:val="000000"/>
          <w:sz w:val="20"/>
          <w:szCs w:val="20"/>
        </w:rPr>
        <w:t>In the event the conditional conversion feature of the 2022 Notes is triggered, holders of 2022 Notes will be entitled to convert the 2022 Notes at any time during specified periods at their option. Because the last reported sa</w:t>
      </w:r>
      <w:r>
        <w:rPr>
          <w:color w:val="000000"/>
          <w:sz w:val="20"/>
          <w:szCs w:val="20"/>
        </w:rPr>
        <w:t>le price of our common stock for at least 20 trading days during the period of 30 consecutive trading days ending on the last trading day of the calendar quarter ended December 31, 2018 was equal to or greater than 130% of the applicable conversion price o</w:t>
      </w:r>
      <w:r>
        <w:rPr>
          <w:color w:val="000000"/>
          <w:sz w:val="20"/>
          <w:szCs w:val="20"/>
        </w:rPr>
        <w:t xml:space="preserve">n each applicable trading day, the 2022 Notes are convertible at the option of the holders thereof during the calendar quarter ending March 31, 2019. As of February 8, 2019, no holders have converted or indicated their intention to convert the 2022 Notes. </w:t>
      </w:r>
      <w:r>
        <w:rPr>
          <w:color w:val="000000"/>
          <w:sz w:val="20"/>
          <w:szCs w:val="20"/>
        </w:rPr>
        <w:t xml:space="preserve">Whether the 2022 Notes will be convertible following such calendar quarter will depend on the continued satisfaction of this condition or another conversion condition in the future. If one or more holders elect to convert their 2022 Notes, unless we elect </w:t>
      </w:r>
      <w:r>
        <w:rPr>
          <w:color w:val="000000"/>
          <w:sz w:val="20"/>
          <w:szCs w:val="20"/>
        </w:rPr>
        <w:t>to satisfy our conversion obligation by delivering solely shares of our common stock (other than paying cash in lieu of delivering any fractional share), we would be required to settle a portion or all of our conversion obligation through the payment of ca</w:t>
      </w:r>
      <w:r>
        <w:rPr>
          <w:color w:val="000000"/>
          <w:sz w:val="20"/>
          <w:szCs w:val="20"/>
        </w:rPr>
        <w:t>sh, which could adversely affect our liquidity. In addition, even if holders do not elect to convert their 2022 Notes, we could be required under applicable accounting rules to reclassify all or a portion of the outstanding principal of the 2022 Notes as a</w:t>
      </w:r>
      <w:r>
        <w:rPr>
          <w:color w:val="000000"/>
          <w:sz w:val="20"/>
          <w:szCs w:val="20"/>
        </w:rPr>
        <w:t xml:space="preserve"> current rather than long-term liability, which would result in a material reduction of our net working capital.</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 xml:space="preserve">The accounting method for convertible debt securities that may be settled in cash, such as the 2022 Notes, could have a material effect on our </w:t>
      </w:r>
      <w:r>
        <w:rPr>
          <w:b/>
          <w:bCs/>
          <w:i/>
          <w:iCs/>
          <w:color w:val="000000"/>
          <w:sz w:val="20"/>
          <w:szCs w:val="20"/>
        </w:rPr>
        <w:t>reported financial results.</w:t>
      </w:r>
    </w:p>
    <w:p w:rsidR="00000000" w:rsidRDefault="00F20BDB">
      <w:pPr>
        <w:pStyle w:val="a3"/>
        <w:spacing w:before="120" w:beforeAutospacing="0" w:after="0" w:afterAutospacing="0"/>
        <w:ind w:firstLine="556"/>
        <w:rPr>
          <w:color w:val="000000"/>
          <w:sz w:val="20"/>
          <w:szCs w:val="20"/>
        </w:rPr>
      </w:pPr>
      <w:r>
        <w:rPr>
          <w:color w:val="000000"/>
          <w:sz w:val="20"/>
          <w:szCs w:val="20"/>
        </w:rPr>
        <w:t xml:space="preserve">Under Financial Accounting Standards Board Accounting Standards Codification 470-20, </w:t>
      </w:r>
      <w:r>
        <w:rPr>
          <w:i/>
          <w:iCs/>
          <w:color w:val="000000"/>
          <w:sz w:val="20"/>
          <w:szCs w:val="20"/>
        </w:rPr>
        <w:t>Debt with Conversion and Other Options</w:t>
      </w:r>
      <w:r>
        <w:rPr>
          <w:color w:val="000000"/>
          <w:sz w:val="20"/>
          <w:szCs w:val="20"/>
        </w:rPr>
        <w:t>, which we refer to as ASC 470-20, an entity must separately account for the liability and equity compone</w:t>
      </w:r>
      <w:r>
        <w:rPr>
          <w:color w:val="000000"/>
          <w:sz w:val="20"/>
          <w:szCs w:val="20"/>
        </w:rPr>
        <w:t>nts of convertible debt instruments (such as the 2022 Notes) that may be settled entirely or partially in cash upon conversion in a manner that reflects the issuer’s economic interest cost. ASC 470-20 requires the value of the conversion option of the 2022</w:t>
      </w:r>
      <w:r>
        <w:rPr>
          <w:color w:val="000000"/>
          <w:sz w:val="20"/>
          <w:szCs w:val="20"/>
        </w:rPr>
        <w:t xml:space="preserve"> Notes, representing the equity component, to be recorded as additional paid-in capital within stockholders’ equity in our consolidated balance sheet and as a discount to the 2022 Notes, which reduces their initial carrying value. The carrying value of the</w:t>
      </w:r>
      <w:r>
        <w:rPr>
          <w:color w:val="000000"/>
          <w:sz w:val="20"/>
          <w:szCs w:val="20"/>
        </w:rPr>
        <w:t xml:space="preserve"> 2022 Notes, net of the discount recorded, will be accreted up to the principal amount of the 2022 Notes from the issuance date until maturity, which will result in non-cash charges to interest expense in our consolidated statement of operations. According</w:t>
      </w:r>
      <w:r>
        <w:rPr>
          <w:color w:val="000000"/>
          <w:sz w:val="20"/>
          <w:szCs w:val="20"/>
        </w:rPr>
        <w:t xml:space="preserve">ly, we will report lower net income or higher net loss in our financial results because ASC 470-20 requires interest to include both the current period’s accretion of the debt discount and the instrument’s coupon interest, which could adversely affect our </w:t>
      </w:r>
      <w:r>
        <w:rPr>
          <w:color w:val="000000"/>
          <w:sz w:val="20"/>
          <w:szCs w:val="20"/>
        </w:rPr>
        <w:t xml:space="preserve">reported or future financial results, the trading price of our common stock and the trading price of the 2022 Notes.   </w:t>
      </w:r>
    </w:p>
    <w:p w:rsidR="00000000" w:rsidRDefault="00F20BDB">
      <w:pPr>
        <w:pStyle w:val="a3"/>
        <w:spacing w:before="240" w:beforeAutospacing="0" w:after="0" w:afterAutospacing="0"/>
        <w:ind w:firstLine="556"/>
        <w:rPr>
          <w:color w:val="000000"/>
          <w:sz w:val="20"/>
          <w:szCs w:val="20"/>
        </w:rPr>
      </w:pPr>
      <w:r>
        <w:rPr>
          <w:color w:val="000000"/>
          <w:sz w:val="20"/>
          <w:szCs w:val="20"/>
        </w:rPr>
        <w:t>In addition, under certain circumstances, convertible debt instruments (such as the 2022 Notes) that may be settled entirely or partly i</w:t>
      </w:r>
      <w:r>
        <w:rPr>
          <w:color w:val="000000"/>
          <w:sz w:val="20"/>
          <w:szCs w:val="20"/>
        </w:rPr>
        <w:t>n cash are currently accounted for utilizing the treasury stock method, the effect of which is that the shares issuable upon conversion of the 2022 Notes are not included in the calculation of diluted earnings per share except to the extent that the conver</w:t>
      </w:r>
      <w:r>
        <w:rPr>
          <w:color w:val="000000"/>
          <w:sz w:val="20"/>
          <w:szCs w:val="20"/>
        </w:rPr>
        <w:t>sion value of the 2022 Notes exceeds their principal amount. Under the treasury stock method, for diluted earnings per share purposes, the transaction is accounted for as if the number of shares of common stock that would be necessary to settle such excess</w:t>
      </w:r>
      <w:r>
        <w:rPr>
          <w:color w:val="000000"/>
          <w:sz w:val="20"/>
          <w:szCs w:val="20"/>
        </w:rPr>
        <w:t>, if we elected to settle such excess in shares, are issued. We cannot be sure that the accounting standards in the future will continue to permit the use of the treasury stock method. If we are unable to use the treasury stock method in accounting for the</w:t>
      </w:r>
      <w:r>
        <w:rPr>
          <w:color w:val="000000"/>
          <w:sz w:val="20"/>
          <w:szCs w:val="20"/>
        </w:rPr>
        <w:t xml:space="preserve"> shares issuable upon conversion of the 2022 Notes, then our diluted earnings per share would be adversely affected.</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We are exposed to fluctuations in currency exchange rates.</w:t>
      </w:r>
    </w:p>
    <w:p w:rsidR="00000000" w:rsidRDefault="00F20BDB">
      <w:pPr>
        <w:pStyle w:val="a3"/>
        <w:spacing w:before="120" w:beforeAutospacing="0" w:after="0" w:afterAutospacing="0"/>
        <w:ind w:firstLine="556"/>
        <w:rPr>
          <w:color w:val="000000"/>
          <w:sz w:val="20"/>
          <w:szCs w:val="20"/>
        </w:rPr>
      </w:pPr>
      <w:bookmarkStart w:id="62" w:name="_AEIOULastRenderedPageBreakAEIOU43"/>
      <w:bookmarkEnd w:id="62"/>
      <w:r>
        <w:rPr>
          <w:color w:val="000000"/>
          <w:sz w:val="20"/>
          <w:szCs w:val="20"/>
        </w:rPr>
        <w:t>We face exposure to movements in currency exchange rates, which may cause our re</w:t>
      </w:r>
      <w:r>
        <w:rPr>
          <w:color w:val="000000"/>
          <w:sz w:val="20"/>
          <w:szCs w:val="20"/>
        </w:rPr>
        <w:t>venue and operating results to differ materially from expectations. As we have expanded our international operations our exposure exchange rate fluctuations has increased, in particular with respect to the Euro, British Pound Sterling, Australian Dollar, S</w:t>
      </w:r>
      <w:r>
        <w:rPr>
          <w:color w:val="000000"/>
          <w:sz w:val="20"/>
          <w:szCs w:val="20"/>
        </w:rPr>
        <w:t>ingapore Dollar, Japanese Yen and Colombian Peso. As exchange rates vary, revenue, cost of revenue, operating expenses and other operating results, when re-measured, may differ materially from expectations. In addition, our operating results are subject to</w:t>
      </w:r>
      <w:r>
        <w:rPr>
          <w:color w:val="000000"/>
          <w:sz w:val="20"/>
          <w:szCs w:val="20"/>
        </w:rPr>
        <w:t xml:space="preserve"> fluctuation if our mix of U.S. and foreign currency denominated transactions and expenses changes in the future. Furthermore, global political events, including Brexit and similar geopolitical developments, fluctuating commodity prices and trade tariff de</w:t>
      </w:r>
      <w:r>
        <w:rPr>
          <w:color w:val="000000"/>
          <w:sz w:val="20"/>
          <w:szCs w:val="20"/>
        </w:rPr>
        <w:t xml:space="preserve">velopments, have caused global economic </w:t>
      </w:r>
    </w:p>
    <w:p w:rsidR="00000000" w:rsidRDefault="00F20BDB">
      <w:pPr>
        <w:pStyle w:val="a3"/>
        <w:spacing w:before="240" w:beforeAutospacing="0" w:after="0" w:afterAutospacing="0"/>
        <w:jc w:val="center"/>
        <w:rPr>
          <w:sz w:val="20"/>
          <w:szCs w:val="20"/>
        </w:rPr>
      </w:pPr>
      <w:r>
        <w:rPr>
          <w:sz w:val="20"/>
          <w:szCs w:val="20"/>
        </w:rPr>
        <w:t>48</w:t>
      </w:r>
    </w:p>
    <w:p w:rsidR="00000000" w:rsidRDefault="00F20BDB">
      <w:pPr>
        <w:rPr>
          <w:rFonts w:eastAsia="Times New Roman"/>
        </w:rPr>
      </w:pPr>
      <w:r>
        <w:rPr>
          <w:rFonts w:eastAsia="Times New Roman"/>
        </w:rPr>
        <w:pict>
          <v:rect id="_x0000_i1072"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120" w:beforeAutospacing="0" w:after="0" w:afterAutospacing="0"/>
        <w:rPr>
          <w:color w:val="000000"/>
          <w:sz w:val="20"/>
          <w:szCs w:val="20"/>
        </w:rPr>
      </w:pPr>
      <w:r>
        <w:rPr>
          <w:color w:val="000000"/>
          <w:sz w:val="20"/>
          <w:szCs w:val="20"/>
        </w:rPr>
        <w:t>uncertainty, which could amplify the volatility of currency fluctuations. Such volatility, even when it increases our revenues or decreases our expenses, impacts our ability to predict our future results and earnings accurately. Although we may apply certa</w:t>
      </w:r>
      <w:r>
        <w:rPr>
          <w:color w:val="000000"/>
          <w:sz w:val="20"/>
          <w:szCs w:val="20"/>
        </w:rPr>
        <w:t>in strategies to mitigate foreign currency risk, these strategies might not eliminate our exposure to foreign exchange rate fluctuations and would involve costs and risks of their own, such as ongoing management time and expertise, external costs to implem</w:t>
      </w:r>
      <w:r>
        <w:rPr>
          <w:color w:val="000000"/>
          <w:sz w:val="20"/>
          <w:szCs w:val="20"/>
        </w:rPr>
        <w:t>ent the strategies and potential accounting implications. Additionally, as we anticipate growing our business further outside of the United States, the effects of movements in currency exchange rates will increase as our transaction volume outside of the U</w:t>
      </w:r>
      <w:r>
        <w:rPr>
          <w:color w:val="000000"/>
          <w:sz w:val="20"/>
          <w:szCs w:val="20"/>
        </w:rPr>
        <w:t>nited States increases.</w:t>
      </w:r>
    </w:p>
    <w:p w:rsidR="00000000" w:rsidRDefault="00F20BDB">
      <w:pPr>
        <w:pStyle w:val="a3"/>
        <w:spacing w:before="360" w:beforeAutospacing="0" w:after="0" w:afterAutospacing="0"/>
        <w:rPr>
          <w:b/>
          <w:bCs/>
          <w:sz w:val="20"/>
          <w:szCs w:val="20"/>
        </w:rPr>
      </w:pPr>
      <w:r>
        <w:rPr>
          <w:b/>
          <w:bCs/>
          <w:sz w:val="20"/>
          <w:szCs w:val="20"/>
        </w:rPr>
        <w:t>Risks Related to Our Common Stock</w:t>
      </w:r>
    </w:p>
    <w:p w:rsidR="00000000" w:rsidRDefault="00F20BDB">
      <w:pPr>
        <w:pStyle w:val="a3"/>
        <w:spacing w:before="120" w:beforeAutospacing="0" w:after="0" w:afterAutospacing="0"/>
        <w:rPr>
          <w:b/>
          <w:bCs/>
          <w:i/>
          <w:iCs/>
          <w:sz w:val="20"/>
          <w:szCs w:val="20"/>
        </w:rPr>
      </w:pPr>
      <w:r>
        <w:rPr>
          <w:b/>
          <w:bCs/>
          <w:i/>
          <w:iCs/>
          <w:sz w:val="20"/>
          <w:szCs w:val="20"/>
        </w:rPr>
        <w:t>Our stock price may be volatile and you may be unable to sell your shares at or above the price you purchased them.</w:t>
      </w:r>
    </w:p>
    <w:p w:rsidR="00000000" w:rsidRDefault="00F20BDB">
      <w:pPr>
        <w:pStyle w:val="a3"/>
        <w:spacing w:before="120" w:beforeAutospacing="0" w:after="0" w:afterAutospacing="0"/>
        <w:ind w:firstLine="556"/>
        <w:rPr>
          <w:sz w:val="20"/>
          <w:szCs w:val="20"/>
        </w:rPr>
      </w:pPr>
      <w:r>
        <w:rPr>
          <w:sz w:val="20"/>
          <w:szCs w:val="20"/>
        </w:rPr>
        <w:t xml:space="preserve">The trading prices of the securities of technology companies, including providers </w:t>
      </w:r>
      <w:r>
        <w:rPr>
          <w:sz w:val="20"/>
          <w:szCs w:val="20"/>
        </w:rPr>
        <w:t xml:space="preserve">of software via the cloud-based model, have been highly volatile. Since shares of our common stock were sold in our initial public offering in October 2014 at a price of $25.00 per share, our stock price has ranged </w:t>
      </w:r>
      <w:r>
        <w:rPr>
          <w:color w:val="000000"/>
          <w:sz w:val="20"/>
          <w:szCs w:val="20"/>
        </w:rPr>
        <w:t>from $25.79 to $180.00</w:t>
      </w:r>
      <w:r>
        <w:rPr>
          <w:sz w:val="20"/>
          <w:szCs w:val="20"/>
        </w:rPr>
        <w:t>, through March 31,</w:t>
      </w:r>
      <w:r>
        <w:rPr>
          <w:sz w:val="20"/>
          <w:szCs w:val="20"/>
        </w:rPr>
        <w:t xml:space="preserve"> 2019. The market price of our common stock may fluctuate significantly in response to numerous factors, many of which are beyond our control, including: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actual or anticipated fluctuations in our revenue and other operating results, including as a resu</w:t>
            </w:r>
            <w:r>
              <w:rPr>
                <w:sz w:val="20"/>
                <w:szCs w:val="20"/>
              </w:rPr>
              <w:t>lt of the addition or loss of any number of customers;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announcements by us or our competitors of significant technical innovations, acquisitions, strategic partnerships, joint ventures or capital commitments;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the financial projections we may pr</w:t>
            </w:r>
            <w:r>
              <w:rPr>
                <w:sz w:val="20"/>
                <w:szCs w:val="20"/>
              </w:rPr>
              <w:t>ovide to the public, any changes in these projections or our failure to meet these projections;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failure of securities analysts to initiate or maintain coverage of us, changes in ratings and financial estimates and the publication of other news by any securities analysts who follow our company, or our failure to meet these estimates or the expectation</w:t>
            </w:r>
            <w:r>
              <w:rPr>
                <w:sz w:val="20"/>
                <w:szCs w:val="20"/>
              </w:rPr>
              <w:t>s of investors;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changes in operating performance and stock market valuations of cloud-based software or other technology companies, or those in our industry in particular;</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 xml:space="preserve">price and volume fluctuations in the trading of our common stock and in </w:t>
            </w:r>
            <w:r>
              <w:rPr>
                <w:sz w:val="20"/>
                <w:szCs w:val="20"/>
              </w:rPr>
              <w:t>the overall stock market, including as a result of trends in the economy as a whole;</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sales of large blocks of our common stock or the dilutive effect of our 2022 Notes or any other equity or equity-linked financings;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 xml:space="preserve">new laws or regulations or </w:t>
            </w:r>
            <w:r>
              <w:rPr>
                <w:sz w:val="20"/>
                <w:szCs w:val="20"/>
              </w:rPr>
              <w:t>new interpretations of existing laws or regulations applicable to our business or industry, including data privacy and data security;</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lawsuits threatened or filed against us;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changes in key personnel; and</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sz w:val="20"/>
                <w:szCs w:val="20"/>
              </w:rPr>
            </w:pPr>
            <w:r>
              <w:rPr>
                <w:sz w:val="20"/>
                <w:szCs w:val="20"/>
              </w:rPr>
              <w:t> </w:t>
            </w:r>
          </w:p>
        </w:tc>
        <w:tc>
          <w:tcPr>
            <w:tcW w:w="227" w:type="pct"/>
            <w:noWrap/>
            <w:hideMark/>
          </w:tcPr>
          <w:p w:rsidR="00000000" w:rsidRDefault="00F20BDB">
            <w:pPr>
              <w:pStyle w:val="a3"/>
              <w:spacing w:before="120" w:beforeAutospacing="0" w:after="0" w:afterAutospacing="0"/>
              <w:rPr>
                <w:sz w:val="20"/>
                <w:szCs w:val="20"/>
              </w:rPr>
            </w:pPr>
            <w:r>
              <w:rPr>
                <w:sz w:val="20"/>
                <w:szCs w:val="20"/>
              </w:rPr>
              <w:t>•</w:t>
            </w:r>
          </w:p>
        </w:tc>
        <w:tc>
          <w:tcPr>
            <w:tcW w:w="0" w:type="auto"/>
            <w:hideMark/>
          </w:tcPr>
          <w:p w:rsidR="00000000" w:rsidRDefault="00F20BDB">
            <w:pPr>
              <w:pStyle w:val="a3"/>
              <w:spacing w:before="120" w:beforeAutospacing="0" w:after="0" w:afterAutospacing="0"/>
              <w:rPr>
                <w:sz w:val="20"/>
                <w:szCs w:val="20"/>
              </w:rPr>
            </w:pPr>
            <w:r>
              <w:rPr>
                <w:sz w:val="20"/>
                <w:szCs w:val="20"/>
              </w:rPr>
              <w:t>other events or factors, including changes in general economic, industry and market conditions and trends.</w:t>
            </w:r>
          </w:p>
        </w:tc>
      </w:tr>
    </w:tbl>
    <w:p w:rsidR="00000000" w:rsidRDefault="00F20BDB">
      <w:pPr>
        <w:pStyle w:val="a3"/>
        <w:spacing w:before="240" w:beforeAutospacing="0" w:after="0" w:afterAutospacing="0"/>
        <w:ind w:firstLine="556"/>
        <w:rPr>
          <w:sz w:val="20"/>
          <w:szCs w:val="20"/>
        </w:rPr>
      </w:pPr>
      <w:r>
        <w:rPr>
          <w:sz w:val="20"/>
          <w:szCs w:val="20"/>
        </w:rPr>
        <w:t>In addition, the stock markets have experienced extreme price and volume fluctuations that have affected and continue to affect the market prices of</w:t>
      </w:r>
      <w:r>
        <w:rPr>
          <w:sz w:val="20"/>
          <w:szCs w:val="20"/>
        </w:rPr>
        <w:t xml:space="preserve"> equity securities of many technology companies. Stock prices of many technology companies have fluctuated in a manner unrelated or disproportionate to the operating performance of those companies.</w:t>
      </w:r>
    </w:p>
    <w:p w:rsidR="00000000" w:rsidRDefault="00F20BDB">
      <w:pPr>
        <w:pStyle w:val="a3"/>
        <w:spacing w:before="240" w:beforeAutospacing="0" w:after="0" w:afterAutospacing="0"/>
        <w:ind w:firstLine="556"/>
        <w:rPr>
          <w:sz w:val="20"/>
          <w:szCs w:val="20"/>
        </w:rPr>
      </w:pPr>
      <w:r>
        <w:rPr>
          <w:sz w:val="20"/>
          <w:szCs w:val="20"/>
        </w:rPr>
        <w:t>In the past, stockholders have instituted securities class</w:t>
      </w:r>
      <w:r>
        <w:rPr>
          <w:sz w:val="20"/>
          <w:szCs w:val="20"/>
        </w:rPr>
        <w:t xml:space="preserve"> action litigation following periods of market volatility. If we were to become involved in securities litigation, it could subject us to substantial costs, divert resources and the attention of management from our business and adversely affect our busines</w:t>
      </w:r>
      <w:r>
        <w:rPr>
          <w:sz w:val="20"/>
          <w:szCs w:val="20"/>
        </w:rPr>
        <w:t>s.</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 xml:space="preserve">If we fail to maintain an effective system of disclosure controls and internal control over financial reporting, our ability to produce timely and accurate financial statements or comply with applicable regulations could be impaired. </w:t>
      </w:r>
    </w:p>
    <w:p w:rsidR="00000000" w:rsidRDefault="00F20BDB">
      <w:pPr>
        <w:pStyle w:val="a3"/>
        <w:spacing w:before="120" w:beforeAutospacing="0" w:after="0" w:afterAutospacing="0"/>
        <w:ind w:firstLine="556"/>
        <w:rPr>
          <w:color w:val="000000"/>
          <w:sz w:val="20"/>
          <w:szCs w:val="20"/>
        </w:rPr>
      </w:pPr>
      <w:r>
        <w:rPr>
          <w:color w:val="000000"/>
          <w:sz w:val="20"/>
          <w:szCs w:val="20"/>
        </w:rPr>
        <w:t>As a public compan</w:t>
      </w:r>
      <w:r>
        <w:rPr>
          <w:color w:val="000000"/>
          <w:sz w:val="20"/>
          <w:szCs w:val="20"/>
        </w:rPr>
        <w:t>y we are subject to the reporting requirements of the Securities Exchange Act of 1934, as amended, or the Exchange Act, the Sarbanes-Oxley Act of 2002, or the Sarbanes-Oxley Act, the Dodd-Frank Wall Street Reform and Consumer Protection Act, or the Dodd-Fr</w:t>
      </w:r>
      <w:r>
        <w:rPr>
          <w:color w:val="000000"/>
          <w:sz w:val="20"/>
          <w:szCs w:val="20"/>
        </w:rPr>
        <w:t xml:space="preserve">ank Act, and the rules and regulations of the New York Stock Exchange, or NYSE. We expect that compliance with these rules and regulations will continue to increase our legal, accounting and financial compliance costs, make some activities more difficult, </w:t>
      </w:r>
      <w:r>
        <w:rPr>
          <w:color w:val="000000"/>
          <w:sz w:val="20"/>
          <w:szCs w:val="20"/>
        </w:rPr>
        <w:t>time consuming and costly, and place significant strain on our personnel, systems and resources.</w:t>
      </w:r>
    </w:p>
    <w:p w:rsidR="00000000" w:rsidRDefault="00F20BDB">
      <w:pPr>
        <w:pStyle w:val="a3"/>
        <w:spacing w:before="240" w:beforeAutospacing="0" w:after="0" w:afterAutospacing="0"/>
        <w:jc w:val="center"/>
        <w:rPr>
          <w:sz w:val="20"/>
          <w:szCs w:val="20"/>
        </w:rPr>
      </w:pPr>
      <w:r>
        <w:rPr>
          <w:sz w:val="20"/>
          <w:szCs w:val="20"/>
        </w:rPr>
        <w:t>49</w:t>
      </w:r>
    </w:p>
    <w:p w:rsidR="00000000" w:rsidRDefault="00F20BDB">
      <w:pPr>
        <w:rPr>
          <w:rFonts w:eastAsia="Times New Roman"/>
        </w:rPr>
      </w:pPr>
      <w:r>
        <w:rPr>
          <w:rFonts w:eastAsia="Times New Roman"/>
        </w:rPr>
        <w:pict>
          <v:rect id="_x0000_i1073"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240" w:beforeAutospacing="0" w:after="0" w:afterAutospacing="0"/>
        <w:ind w:firstLine="556"/>
        <w:rPr>
          <w:color w:val="000000"/>
          <w:sz w:val="20"/>
          <w:szCs w:val="20"/>
        </w:rPr>
      </w:pPr>
      <w:bookmarkStart w:id="63" w:name="_AEIOULastRenderedPageBreakAEIOU44"/>
      <w:bookmarkEnd w:id="63"/>
      <w:r>
        <w:rPr>
          <w:color w:val="000000"/>
          <w:sz w:val="20"/>
          <w:szCs w:val="20"/>
        </w:rPr>
        <w:t>The Sarbanes-Oxley Act requires, among other things, that we assess the ef</w:t>
      </w:r>
      <w:r>
        <w:rPr>
          <w:color w:val="000000"/>
          <w:sz w:val="20"/>
          <w:szCs w:val="20"/>
        </w:rPr>
        <w:t>fectiveness of our internal control over financial reporting annually and the effectiveness of our disclosure controls and procedures quarterly. In particular, Section 404 of the Sarbanes-Oxley Act, or Section 404, requires us to perform system and process</w:t>
      </w:r>
      <w:r>
        <w:rPr>
          <w:color w:val="000000"/>
          <w:sz w:val="20"/>
          <w:szCs w:val="20"/>
        </w:rPr>
        <w:t xml:space="preserve"> evaluation and testing of our internal control over financial reporting to allow management to report on, and our independent registered public accounting firm to attest to, the effectiveness of our internal control over financial reporting. Our complianc</w:t>
      </w:r>
      <w:r>
        <w:rPr>
          <w:color w:val="000000"/>
          <w:sz w:val="20"/>
          <w:szCs w:val="20"/>
        </w:rPr>
        <w:t>e with applicable provisions of Section 404 requires that we incur substantial accounting expense and expend significant management time on compliance-related issues as we implement additional corporate governance practices and comply with reporting requir</w:t>
      </w:r>
      <w:r>
        <w:rPr>
          <w:color w:val="000000"/>
          <w:sz w:val="20"/>
          <w:szCs w:val="20"/>
        </w:rPr>
        <w:t xml:space="preserve">ements. Moreover, if we are not able to comply with the requirements of Section 404 applicable to us in a timely manner, or if we or our independent registered public accounting firm identifies deficiencies in our internal control over financial reporting </w:t>
      </w:r>
      <w:r>
        <w:rPr>
          <w:color w:val="000000"/>
          <w:sz w:val="20"/>
          <w:szCs w:val="20"/>
        </w:rPr>
        <w:t xml:space="preserve">that are deemed to be material weaknesses, the market price of our stock could decline and we could be subject to sanctions or investigations by the SEC or other regulatory authorities, which would require additional financial and management resources. </w:t>
      </w:r>
    </w:p>
    <w:p w:rsidR="00000000" w:rsidRDefault="00F20BDB">
      <w:pPr>
        <w:pStyle w:val="a3"/>
        <w:spacing w:before="240" w:beforeAutospacing="0" w:after="0" w:afterAutospacing="0"/>
        <w:ind w:firstLine="556"/>
        <w:rPr>
          <w:color w:val="000000"/>
          <w:sz w:val="20"/>
          <w:szCs w:val="20"/>
        </w:rPr>
      </w:pPr>
      <w:r>
        <w:rPr>
          <w:color w:val="000000"/>
          <w:sz w:val="20"/>
          <w:szCs w:val="20"/>
        </w:rPr>
        <w:t>Fu</w:t>
      </w:r>
      <w:r>
        <w:rPr>
          <w:color w:val="000000"/>
          <w:sz w:val="20"/>
          <w:szCs w:val="20"/>
        </w:rPr>
        <w:t xml:space="preserve">rthermore, investor perceptions of our company may suffer if deficiencies are found, and this could cause a decline in the market price of our stock. Irrespective of compliance with Section 404, any failure of our internal control over financial reporting </w:t>
      </w:r>
      <w:r>
        <w:rPr>
          <w:color w:val="000000"/>
          <w:sz w:val="20"/>
          <w:szCs w:val="20"/>
        </w:rPr>
        <w:t>could have a material adverse effect on our stated operating results and harm our reputation. If we are unable to implement these requirements effectively or efficiently, it could harm our operations, financial reporting, or financial results and could res</w:t>
      </w:r>
      <w:r>
        <w:rPr>
          <w:color w:val="000000"/>
          <w:sz w:val="20"/>
          <w:szCs w:val="20"/>
        </w:rPr>
        <w:t>ult in an adverse opinion on our internal controls from our independent registered public accounting firm.</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Our ability to raise capital in the future may be limited, and our failure to raise capital when needed could prevent us from growing.</w:t>
      </w:r>
    </w:p>
    <w:p w:rsidR="00000000" w:rsidRDefault="00F20BDB">
      <w:pPr>
        <w:pStyle w:val="a3"/>
        <w:spacing w:before="120" w:beforeAutospacing="0" w:after="0" w:afterAutospacing="0"/>
        <w:ind w:firstLine="556"/>
        <w:rPr>
          <w:color w:val="000000"/>
          <w:sz w:val="20"/>
          <w:szCs w:val="20"/>
        </w:rPr>
      </w:pPr>
      <w:r>
        <w:rPr>
          <w:color w:val="000000"/>
          <w:sz w:val="20"/>
          <w:szCs w:val="20"/>
        </w:rPr>
        <w:t>Our business a</w:t>
      </w:r>
      <w:r>
        <w:rPr>
          <w:color w:val="000000"/>
          <w:sz w:val="20"/>
          <w:szCs w:val="20"/>
        </w:rPr>
        <w:t>nd operations may consume resources faster than we anticipate. In the future, we may need to raise additional funds to invest in future growth opportunities. Additional financing may not be available on favorable terms, if at all. If adequate funds are not</w:t>
      </w:r>
      <w:r>
        <w:rPr>
          <w:color w:val="000000"/>
          <w:sz w:val="20"/>
          <w:szCs w:val="20"/>
        </w:rPr>
        <w:t xml:space="preserve"> available on acceptable terms, we may be unable to invest in future growth opportunities, which could seriously harm our business and operating results. If we incur debt, the debt holders would have rights senior to common stockholders to make claims on o</w:t>
      </w:r>
      <w:r>
        <w:rPr>
          <w:color w:val="000000"/>
          <w:sz w:val="20"/>
          <w:szCs w:val="20"/>
        </w:rPr>
        <w:t>ur assets, and the terms of any debt could restrict our operations, including our ability to pay dividends on our common stock. Furthermore, if we issue equity securities, stockholders will experience dilution, and the new equity securities could have righ</w:t>
      </w:r>
      <w:r>
        <w:rPr>
          <w:color w:val="000000"/>
          <w:sz w:val="20"/>
          <w:szCs w:val="20"/>
        </w:rPr>
        <w:t>ts senior to those of our common stock. The 2022 Notes are and any additional equity or equity-linked financings would be dilutive to our stockholders. Because our decision to issue securities in any future offering will depend on market conditions and oth</w:t>
      </w:r>
      <w:r>
        <w:rPr>
          <w:color w:val="000000"/>
          <w:sz w:val="20"/>
          <w:szCs w:val="20"/>
        </w:rPr>
        <w:t>er factors beyond our control, we cannot predict or estimate the amount, timing or nature of our future offerings. As a result, our stockholders bear the risk of our future securities offerings reducing the market price of our common stock and diluting the</w:t>
      </w:r>
      <w:r>
        <w:rPr>
          <w:color w:val="000000"/>
          <w:sz w:val="20"/>
          <w:szCs w:val="20"/>
        </w:rPr>
        <w:t>ir interest.</w:t>
      </w:r>
    </w:p>
    <w:p w:rsidR="00000000" w:rsidRDefault="00F20BDB">
      <w:pPr>
        <w:pStyle w:val="a3"/>
        <w:spacing w:before="360" w:beforeAutospacing="0" w:after="0" w:afterAutospacing="0"/>
        <w:rPr>
          <w:b/>
          <w:bCs/>
          <w:i/>
          <w:iCs/>
          <w:color w:val="000000"/>
          <w:sz w:val="20"/>
          <w:szCs w:val="20"/>
        </w:rPr>
      </w:pPr>
      <w:r>
        <w:rPr>
          <w:b/>
          <w:bCs/>
          <w:i/>
          <w:iCs/>
          <w:color w:val="000000"/>
          <w:sz w:val="20"/>
          <w:szCs w:val="20"/>
        </w:rPr>
        <w:t>Anti-takeover provisions in our charter documents and Delaware law may delay or prevent an acquisition of our company.</w:t>
      </w:r>
    </w:p>
    <w:p w:rsidR="00000000" w:rsidRDefault="00F20BDB">
      <w:pPr>
        <w:pStyle w:val="a3"/>
        <w:spacing w:before="120" w:beforeAutospacing="0" w:after="0" w:afterAutospacing="0"/>
        <w:ind w:firstLine="556"/>
        <w:rPr>
          <w:color w:val="000000"/>
          <w:sz w:val="20"/>
          <w:szCs w:val="20"/>
        </w:rPr>
      </w:pPr>
      <w:r>
        <w:rPr>
          <w:color w:val="000000"/>
          <w:sz w:val="20"/>
          <w:szCs w:val="20"/>
        </w:rPr>
        <w:t xml:space="preserve">Our amended and restated certificate of incorporation, amended and restated bylaws and Delaware law contain provisions that </w:t>
      </w:r>
      <w:r>
        <w:rPr>
          <w:color w:val="000000"/>
          <w:sz w:val="20"/>
          <w:szCs w:val="20"/>
        </w:rPr>
        <w:t>may have the effect of delaying or preventing a change in control of us or changes in our management. Our amended and restated certificate of incorporation and bylaws include provisions that:</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authorize “blank check” preferred stock, which could be issu</w:t>
            </w:r>
            <w:r>
              <w:rPr>
                <w:color w:val="000000"/>
                <w:sz w:val="20"/>
                <w:szCs w:val="20"/>
              </w:rPr>
              <w:t>ed by the board without stockholder approval and may contain voting, liquidation, dividend and other rights superior to our common stock;</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provide for a classified board of directors whose members serve staggered three-year terms;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specify that special meetings of our stockholders can be called only by our board of directors, the chairperson of the board, the chief executive officer or t</w:t>
            </w:r>
            <w:r>
              <w:rPr>
                <w:color w:val="000000"/>
                <w:sz w:val="20"/>
                <w:szCs w:val="20"/>
              </w:rPr>
              <w:t>he president;</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prohibit stockholder action by written consent;</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 xml:space="preserve">establish an advance notice procedure for stockholder approvals to be brought before an annual meeting of our stockholders, including proposed nominations of persons for election to </w:t>
            </w:r>
            <w:r>
              <w:rPr>
                <w:color w:val="000000"/>
                <w:sz w:val="20"/>
                <w:szCs w:val="20"/>
              </w:rPr>
              <w:t>our board of directors;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provide that our directors may be removed only for cause;</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provide that vacancies on our board of directors may be filled only by a majority of directors then in office, even though less than a quorum;</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specify that no stockholder is permitted to cumulate votes at any election of directors;</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authorize ou</w:t>
            </w:r>
            <w:r>
              <w:rPr>
                <w:color w:val="000000"/>
                <w:sz w:val="20"/>
                <w:szCs w:val="20"/>
              </w:rPr>
              <w:t>r board of directors to modify, alter or repeal our amended and restated bylaws; and</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F20BDB">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F20BDB">
            <w:pPr>
              <w:pStyle w:val="a3"/>
              <w:spacing w:before="120" w:beforeAutospacing="0" w:after="0" w:afterAutospacing="0"/>
              <w:rPr>
                <w:color w:val="000000"/>
                <w:sz w:val="20"/>
                <w:szCs w:val="20"/>
              </w:rPr>
            </w:pPr>
            <w:r>
              <w:rPr>
                <w:color w:val="000000"/>
                <w:sz w:val="20"/>
                <w:szCs w:val="20"/>
              </w:rPr>
              <w:t>require supermajority votes of the holders of our common stock to amend specified provisions of our charter documents.</w:t>
            </w:r>
          </w:p>
        </w:tc>
      </w:tr>
    </w:tbl>
    <w:p w:rsidR="00000000" w:rsidRDefault="00F20BDB">
      <w:pPr>
        <w:pStyle w:val="a3"/>
        <w:spacing w:before="240" w:beforeAutospacing="0" w:after="0" w:afterAutospacing="0"/>
        <w:jc w:val="center"/>
        <w:rPr>
          <w:sz w:val="20"/>
          <w:szCs w:val="20"/>
        </w:rPr>
      </w:pPr>
      <w:r>
        <w:rPr>
          <w:sz w:val="20"/>
          <w:szCs w:val="20"/>
        </w:rPr>
        <w:t>50</w:t>
      </w:r>
    </w:p>
    <w:p w:rsidR="00000000" w:rsidRDefault="00F20BDB">
      <w:pPr>
        <w:rPr>
          <w:rFonts w:eastAsia="Times New Roman"/>
        </w:rPr>
      </w:pPr>
      <w:r>
        <w:rPr>
          <w:rFonts w:eastAsia="Times New Roman"/>
        </w:rPr>
        <w:pict>
          <v:rect id="_x0000_i1074"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240" w:beforeAutospacing="0" w:after="0" w:afterAutospacing="0"/>
        <w:ind w:firstLine="556"/>
        <w:rPr>
          <w:color w:val="000000"/>
          <w:sz w:val="20"/>
          <w:szCs w:val="20"/>
        </w:rPr>
      </w:pPr>
      <w:bookmarkStart w:id="64" w:name="_AEIOULastRenderedPageBreakAEIOU45"/>
      <w:bookmarkEnd w:id="64"/>
      <w:r>
        <w:rPr>
          <w:color w:val="000000"/>
          <w:sz w:val="20"/>
          <w:szCs w:val="20"/>
        </w:rPr>
        <w:t>These provisions, alone or together, could delay or prevent hostile takeovers and changes in control or changes in our management.</w:t>
      </w:r>
    </w:p>
    <w:p w:rsidR="00000000" w:rsidRDefault="00F20BDB">
      <w:pPr>
        <w:pStyle w:val="a3"/>
        <w:spacing w:before="240" w:beforeAutospacing="0" w:after="0" w:afterAutospacing="0"/>
        <w:ind w:firstLine="556"/>
        <w:rPr>
          <w:color w:val="000000"/>
          <w:sz w:val="20"/>
          <w:szCs w:val="20"/>
        </w:rPr>
      </w:pPr>
      <w:r>
        <w:rPr>
          <w:color w:val="000000"/>
          <w:sz w:val="20"/>
          <w:szCs w:val="20"/>
        </w:rPr>
        <w:t>In addition, because we are incorporated in Delaware, we are governed by the provisions of Section 203 of the Delaware Genera</w:t>
      </w:r>
      <w:r>
        <w:rPr>
          <w:color w:val="000000"/>
          <w:sz w:val="20"/>
          <w:szCs w:val="20"/>
        </w:rPr>
        <w:t>l Corporation Law, which limits the ability of stockholders owning in excess of 15% of our outstanding voting stock to merge or combine with us in certain circumstances.</w:t>
      </w:r>
    </w:p>
    <w:p w:rsidR="00000000" w:rsidRDefault="00F20BDB">
      <w:pPr>
        <w:pStyle w:val="a3"/>
        <w:spacing w:before="240" w:beforeAutospacing="0" w:after="0" w:afterAutospacing="0"/>
        <w:ind w:firstLine="556"/>
        <w:rPr>
          <w:color w:val="000000"/>
          <w:sz w:val="20"/>
          <w:szCs w:val="20"/>
        </w:rPr>
      </w:pPr>
      <w:r>
        <w:rPr>
          <w:color w:val="000000"/>
          <w:sz w:val="20"/>
          <w:szCs w:val="20"/>
        </w:rPr>
        <w:t xml:space="preserve">Any provision of our amended and restated certificate of incorporation or amended and </w:t>
      </w:r>
      <w:r>
        <w:rPr>
          <w:color w:val="000000"/>
          <w:sz w:val="20"/>
          <w:szCs w:val="20"/>
        </w:rPr>
        <w:t>restated bylaws or Delaware law that has the effect of delaying or deterring a change in control could limit the opportunity for our stockholders to receive a premium for their shares of our common stock, and could also affect the price that some investors</w:t>
      </w:r>
      <w:r>
        <w:rPr>
          <w:color w:val="000000"/>
          <w:sz w:val="20"/>
          <w:szCs w:val="20"/>
        </w:rPr>
        <w:t xml:space="preserve"> are willing to pay for our common stock.</w:t>
      </w:r>
    </w:p>
    <w:p w:rsidR="00000000" w:rsidRDefault="00F20BDB">
      <w:pPr>
        <w:pStyle w:val="a3"/>
        <w:spacing w:before="120" w:beforeAutospacing="0" w:after="0" w:afterAutospacing="0"/>
        <w:ind w:firstLine="556"/>
        <w:rPr>
          <w:sz w:val="20"/>
          <w:szCs w:val="20"/>
        </w:rPr>
      </w:pPr>
      <w:r>
        <w:rPr>
          <w:sz w:val="20"/>
          <w:szCs w:val="20"/>
        </w:rPr>
        <w:t> </w:t>
      </w:r>
    </w:p>
    <w:p w:rsidR="00000000" w:rsidRDefault="00F20BDB">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tc>
          <w:tcPr>
            <w:tcW w:w="453" w:type="pct"/>
            <w:noWrap/>
            <w:hideMark/>
          </w:tcPr>
          <w:p w:rsidR="00000000" w:rsidRDefault="00F20BDB">
            <w:pPr>
              <w:pStyle w:val="a3"/>
              <w:spacing w:before="0" w:beforeAutospacing="0" w:after="0" w:afterAutospacing="0"/>
              <w:rPr>
                <w:b/>
                <w:bCs/>
                <w:sz w:val="20"/>
                <w:szCs w:val="20"/>
              </w:rPr>
            </w:pPr>
            <w:r>
              <w:rPr>
                <w:b/>
                <w:bCs/>
                <w:sz w:val="20"/>
                <w:szCs w:val="20"/>
              </w:rPr>
              <w:t>Item 2.</w:t>
            </w:r>
          </w:p>
        </w:tc>
        <w:tc>
          <w:tcPr>
            <w:tcW w:w="0" w:type="auto"/>
            <w:hideMark/>
          </w:tcPr>
          <w:p w:rsidR="00000000" w:rsidRDefault="00F20BDB">
            <w:pPr>
              <w:pStyle w:val="a3"/>
              <w:spacing w:before="0" w:beforeAutospacing="0" w:after="0" w:afterAutospacing="0"/>
              <w:rPr>
                <w:b/>
                <w:bCs/>
                <w:sz w:val="20"/>
                <w:szCs w:val="20"/>
              </w:rPr>
            </w:pPr>
            <w:bookmarkStart w:id="65" w:name="ITEM_2_UNREGISTERED_SALES_EQUITY_SECURIT"/>
            <w:bookmarkEnd w:id="65"/>
            <w:r>
              <w:rPr>
                <w:b/>
                <w:bCs/>
                <w:sz w:val="20"/>
                <w:szCs w:val="20"/>
              </w:rPr>
              <w:t>Unregistered Sales of Equity Securities and Use of Proceeds</w:t>
            </w:r>
          </w:p>
        </w:tc>
      </w:tr>
    </w:tbl>
    <w:p w:rsidR="00000000" w:rsidRDefault="00F20BDB">
      <w:pPr>
        <w:pStyle w:val="a3"/>
        <w:spacing w:before="120" w:beforeAutospacing="0" w:after="0" w:afterAutospacing="0"/>
        <w:ind w:firstLine="556"/>
        <w:rPr>
          <w:sz w:val="20"/>
          <w:szCs w:val="20"/>
        </w:rPr>
      </w:pPr>
      <w:r>
        <w:rPr>
          <w:sz w:val="20"/>
          <w:szCs w:val="20"/>
        </w:rPr>
        <w:t>None.</w:t>
      </w:r>
    </w:p>
    <w:p w:rsidR="00000000" w:rsidRDefault="00F20BDB">
      <w:pPr>
        <w:pStyle w:val="a3"/>
        <w:spacing w:before="0" w:beforeAutospacing="0" w:after="0" w:afterAutospacing="0"/>
        <w:rPr>
          <w:sz w:val="18"/>
          <w:szCs w:val="18"/>
        </w:rPr>
      </w:pPr>
      <w:r>
        <w:rPr>
          <w:sz w:val="18"/>
          <w:szCs w:val="18"/>
        </w:rPr>
        <w:t> </w:t>
      </w:r>
    </w:p>
    <w:p w:rsidR="00000000" w:rsidRDefault="00F20BDB">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tc>
          <w:tcPr>
            <w:tcW w:w="453" w:type="pct"/>
            <w:noWrap/>
            <w:hideMark/>
          </w:tcPr>
          <w:p w:rsidR="00000000" w:rsidRDefault="00F20BDB">
            <w:pPr>
              <w:pStyle w:val="a3"/>
              <w:spacing w:before="0" w:beforeAutospacing="0" w:after="0" w:afterAutospacing="0"/>
              <w:rPr>
                <w:b/>
                <w:bCs/>
                <w:sz w:val="20"/>
                <w:szCs w:val="20"/>
              </w:rPr>
            </w:pPr>
            <w:r>
              <w:rPr>
                <w:b/>
                <w:bCs/>
                <w:sz w:val="20"/>
                <w:szCs w:val="20"/>
              </w:rPr>
              <w:t>Item 3.</w:t>
            </w:r>
          </w:p>
        </w:tc>
        <w:tc>
          <w:tcPr>
            <w:tcW w:w="0" w:type="auto"/>
            <w:hideMark/>
          </w:tcPr>
          <w:p w:rsidR="00000000" w:rsidRDefault="00F20BDB">
            <w:pPr>
              <w:pStyle w:val="a3"/>
              <w:spacing w:before="0" w:beforeAutospacing="0" w:after="0" w:afterAutospacing="0"/>
              <w:rPr>
                <w:b/>
                <w:bCs/>
                <w:sz w:val="20"/>
                <w:szCs w:val="20"/>
              </w:rPr>
            </w:pPr>
            <w:bookmarkStart w:id="66" w:name="ITEM_3_DEFAULTS_ON_SENIOR_SECURITIES"/>
            <w:bookmarkEnd w:id="66"/>
            <w:r>
              <w:rPr>
                <w:b/>
                <w:bCs/>
                <w:sz w:val="20"/>
                <w:szCs w:val="20"/>
              </w:rPr>
              <w:t>Defaults on Senior Securities</w:t>
            </w:r>
          </w:p>
        </w:tc>
      </w:tr>
    </w:tbl>
    <w:p w:rsidR="00000000" w:rsidRDefault="00F20BDB">
      <w:pPr>
        <w:pStyle w:val="a3"/>
        <w:spacing w:before="120" w:beforeAutospacing="0" w:after="0" w:afterAutospacing="0"/>
        <w:ind w:firstLine="556"/>
        <w:rPr>
          <w:sz w:val="20"/>
          <w:szCs w:val="20"/>
        </w:rPr>
      </w:pPr>
      <w:r>
        <w:rPr>
          <w:sz w:val="20"/>
          <w:szCs w:val="20"/>
        </w:rPr>
        <w:t>None.</w:t>
      </w:r>
    </w:p>
    <w:p w:rsidR="00000000" w:rsidRDefault="00F20BDB">
      <w:pPr>
        <w:pStyle w:val="a3"/>
        <w:spacing w:before="0" w:beforeAutospacing="0" w:after="0" w:afterAutospacing="0"/>
        <w:rPr>
          <w:sz w:val="18"/>
          <w:szCs w:val="18"/>
        </w:rPr>
      </w:pPr>
      <w:r>
        <w:rPr>
          <w:sz w:val="18"/>
          <w:szCs w:val="18"/>
        </w:rPr>
        <w:t> </w:t>
      </w:r>
    </w:p>
    <w:p w:rsidR="00000000" w:rsidRDefault="00F20BDB">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tc>
          <w:tcPr>
            <w:tcW w:w="453" w:type="pct"/>
            <w:noWrap/>
            <w:hideMark/>
          </w:tcPr>
          <w:p w:rsidR="00000000" w:rsidRDefault="00F20BDB">
            <w:pPr>
              <w:pStyle w:val="a3"/>
              <w:spacing w:before="0" w:beforeAutospacing="0" w:after="0" w:afterAutospacing="0"/>
              <w:rPr>
                <w:b/>
                <w:bCs/>
                <w:sz w:val="20"/>
                <w:szCs w:val="20"/>
              </w:rPr>
            </w:pPr>
            <w:r>
              <w:rPr>
                <w:b/>
                <w:bCs/>
                <w:sz w:val="20"/>
                <w:szCs w:val="20"/>
              </w:rPr>
              <w:t>Item 4.</w:t>
            </w:r>
          </w:p>
        </w:tc>
        <w:tc>
          <w:tcPr>
            <w:tcW w:w="0" w:type="auto"/>
            <w:hideMark/>
          </w:tcPr>
          <w:p w:rsidR="00000000" w:rsidRDefault="00F20BDB">
            <w:pPr>
              <w:pStyle w:val="a3"/>
              <w:spacing w:before="0" w:beforeAutospacing="0" w:after="0" w:afterAutospacing="0"/>
              <w:rPr>
                <w:b/>
                <w:bCs/>
                <w:sz w:val="20"/>
                <w:szCs w:val="20"/>
              </w:rPr>
            </w:pPr>
            <w:bookmarkStart w:id="67" w:name="ITEM_4_MINE_SAFETY_DISCLOSURES"/>
            <w:r>
              <w:rPr>
                <w:b/>
                <w:bCs/>
                <w:sz w:val="20"/>
                <w:szCs w:val="20"/>
              </w:rPr>
              <w:t xml:space="preserve">Mine </w:t>
            </w:r>
            <w:bookmarkEnd w:id="67"/>
            <w:r>
              <w:rPr>
                <w:b/>
                <w:bCs/>
                <w:sz w:val="20"/>
                <w:szCs w:val="20"/>
              </w:rPr>
              <w:t>Safety Disclosures</w:t>
            </w:r>
          </w:p>
        </w:tc>
      </w:tr>
    </w:tbl>
    <w:p w:rsidR="00000000" w:rsidRDefault="00F20BDB">
      <w:pPr>
        <w:pStyle w:val="a3"/>
        <w:spacing w:before="120" w:beforeAutospacing="0" w:after="0" w:afterAutospacing="0"/>
        <w:ind w:firstLine="556"/>
        <w:rPr>
          <w:sz w:val="20"/>
          <w:szCs w:val="20"/>
        </w:rPr>
      </w:pPr>
      <w:r>
        <w:rPr>
          <w:sz w:val="20"/>
          <w:szCs w:val="20"/>
        </w:rPr>
        <w:t>Not Applicable.</w:t>
      </w:r>
    </w:p>
    <w:p w:rsidR="00000000" w:rsidRDefault="00F20BDB">
      <w:pPr>
        <w:pStyle w:val="a3"/>
        <w:spacing w:before="0" w:beforeAutospacing="0" w:after="0" w:afterAutospacing="0"/>
        <w:rPr>
          <w:sz w:val="18"/>
          <w:szCs w:val="18"/>
        </w:rPr>
      </w:pPr>
      <w:r>
        <w:rPr>
          <w:sz w:val="18"/>
          <w:szCs w:val="18"/>
        </w:rPr>
        <w:t> </w:t>
      </w:r>
    </w:p>
    <w:p w:rsidR="00000000" w:rsidRDefault="00F20BDB">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tc>
          <w:tcPr>
            <w:tcW w:w="453" w:type="pct"/>
            <w:noWrap/>
            <w:hideMark/>
          </w:tcPr>
          <w:p w:rsidR="00000000" w:rsidRDefault="00F20BDB">
            <w:pPr>
              <w:pStyle w:val="a3"/>
              <w:spacing w:before="0" w:beforeAutospacing="0" w:after="0" w:afterAutospacing="0"/>
              <w:rPr>
                <w:b/>
                <w:bCs/>
                <w:sz w:val="20"/>
                <w:szCs w:val="20"/>
              </w:rPr>
            </w:pPr>
            <w:r>
              <w:rPr>
                <w:b/>
                <w:bCs/>
                <w:sz w:val="20"/>
                <w:szCs w:val="20"/>
              </w:rPr>
              <w:t>Item 5.</w:t>
            </w:r>
          </w:p>
        </w:tc>
        <w:tc>
          <w:tcPr>
            <w:tcW w:w="0" w:type="auto"/>
            <w:hideMark/>
          </w:tcPr>
          <w:p w:rsidR="00000000" w:rsidRDefault="00F20BDB">
            <w:pPr>
              <w:pStyle w:val="a3"/>
              <w:spacing w:before="0" w:beforeAutospacing="0" w:after="0" w:afterAutospacing="0"/>
              <w:rPr>
                <w:b/>
                <w:bCs/>
                <w:sz w:val="20"/>
                <w:szCs w:val="20"/>
              </w:rPr>
            </w:pPr>
            <w:bookmarkStart w:id="68" w:name="ITEM_5_OR_INFORMATION"/>
            <w:bookmarkEnd w:id="68"/>
            <w:r>
              <w:rPr>
                <w:b/>
                <w:bCs/>
                <w:sz w:val="20"/>
                <w:szCs w:val="20"/>
              </w:rPr>
              <w:t>Other Information</w:t>
            </w:r>
          </w:p>
        </w:tc>
      </w:tr>
    </w:tbl>
    <w:p w:rsidR="00000000" w:rsidRDefault="00F20BDB">
      <w:pPr>
        <w:pStyle w:val="a3"/>
        <w:spacing w:before="120" w:beforeAutospacing="0" w:after="0" w:afterAutospacing="0"/>
        <w:ind w:firstLine="556"/>
        <w:rPr>
          <w:sz w:val="20"/>
          <w:szCs w:val="20"/>
        </w:rPr>
      </w:pPr>
      <w:r>
        <w:rPr>
          <w:sz w:val="20"/>
          <w:szCs w:val="20"/>
        </w:rPr>
        <w:t>None.</w:t>
      </w:r>
    </w:p>
    <w:p w:rsidR="00000000" w:rsidRDefault="00F20BDB">
      <w:pPr>
        <w:pStyle w:val="a3"/>
        <w:spacing w:before="0" w:beforeAutospacing="0" w:after="0" w:afterAutospacing="0"/>
        <w:rPr>
          <w:sz w:val="18"/>
          <w:szCs w:val="18"/>
        </w:rPr>
      </w:pPr>
      <w:r>
        <w:rPr>
          <w:sz w:val="18"/>
          <w:szCs w:val="18"/>
        </w:rPr>
        <w:t> </w:t>
      </w:r>
    </w:p>
    <w:p w:rsidR="00000000" w:rsidRDefault="00F20BDB">
      <w:pPr>
        <w:pStyle w:val="a3"/>
        <w:spacing w:before="0" w:beforeAutospacing="0" w:after="0" w:afterAutospacing="0"/>
        <w:rPr>
          <w:sz w:val="18"/>
          <w:szCs w:val="18"/>
        </w:rPr>
      </w:pPr>
      <w:r>
        <w:rPr>
          <w:sz w:val="18"/>
          <w:szCs w:val="18"/>
        </w:rPr>
        <w:t> </w:t>
      </w:r>
    </w:p>
    <w:p w:rsidR="00000000" w:rsidRDefault="00F20BDB">
      <w:pPr>
        <w:pStyle w:val="a3"/>
        <w:spacing w:before="240" w:beforeAutospacing="0" w:after="0" w:afterAutospacing="0"/>
        <w:jc w:val="center"/>
        <w:rPr>
          <w:sz w:val="20"/>
          <w:szCs w:val="20"/>
        </w:rPr>
      </w:pPr>
      <w:r>
        <w:rPr>
          <w:sz w:val="20"/>
          <w:szCs w:val="20"/>
        </w:rPr>
        <w:t>51</w:t>
      </w:r>
    </w:p>
    <w:p w:rsidR="00000000" w:rsidRDefault="00F20BDB">
      <w:pPr>
        <w:rPr>
          <w:rFonts w:eastAsia="Times New Roman"/>
        </w:rPr>
      </w:pPr>
      <w:r>
        <w:rPr>
          <w:rFonts w:eastAsia="Times New Roman"/>
        </w:rPr>
        <w:pict>
          <v:rect id="_x0000_i1075"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c>
          <w:tcPr>
            <w:tcW w:w="453" w:type="pct"/>
            <w:noWrap/>
            <w:hideMark/>
          </w:tcPr>
          <w:p w:rsidR="00000000" w:rsidRDefault="00F20BDB">
            <w:pPr>
              <w:pStyle w:val="a3"/>
              <w:spacing w:before="0" w:beforeAutospacing="0" w:after="0" w:afterAutospacing="0"/>
              <w:rPr>
                <w:b/>
                <w:bCs/>
                <w:sz w:val="20"/>
                <w:szCs w:val="20"/>
              </w:rPr>
            </w:pPr>
            <w:r>
              <w:rPr>
                <w:b/>
                <w:bCs/>
                <w:sz w:val="20"/>
                <w:szCs w:val="20"/>
              </w:rPr>
              <w:t>Item 6.</w:t>
            </w:r>
          </w:p>
        </w:tc>
        <w:tc>
          <w:tcPr>
            <w:tcW w:w="0" w:type="auto"/>
            <w:hideMark/>
          </w:tcPr>
          <w:p w:rsidR="00000000" w:rsidRDefault="00F20BDB">
            <w:pPr>
              <w:pStyle w:val="a3"/>
              <w:spacing w:before="0" w:beforeAutospacing="0" w:after="0" w:afterAutospacing="0"/>
              <w:rPr>
                <w:b/>
                <w:bCs/>
                <w:sz w:val="20"/>
                <w:szCs w:val="20"/>
              </w:rPr>
            </w:pPr>
            <w:bookmarkStart w:id="69" w:name="ITEM_6_EXHIBITS"/>
            <w:bookmarkStart w:id="70" w:name="_AEIOULastRenderedPageBreakAEIOU46"/>
            <w:bookmarkEnd w:id="69"/>
            <w:bookmarkEnd w:id="70"/>
            <w:r>
              <w:rPr>
                <w:b/>
                <w:bCs/>
                <w:sz w:val="20"/>
                <w:szCs w:val="20"/>
              </w:rPr>
              <w:t>Exhibits</w:t>
            </w:r>
          </w:p>
        </w:tc>
      </w:tr>
    </w:tbl>
    <w:p w:rsidR="00000000" w:rsidRDefault="00F20BDB">
      <w:pPr>
        <w:pStyle w:val="a3"/>
        <w:spacing w:before="120" w:beforeAutospacing="0" w:after="0" w:afterAutospacing="0"/>
        <w:ind w:firstLine="556"/>
        <w:rPr>
          <w:sz w:val="20"/>
          <w:szCs w:val="20"/>
        </w:rPr>
      </w:pPr>
      <w:r>
        <w:rPr>
          <w:sz w:val="20"/>
          <w:szCs w:val="20"/>
        </w:rPr>
        <w:t>The exhibits listed belo</w:t>
      </w:r>
      <w:r>
        <w:rPr>
          <w:sz w:val="20"/>
          <w:szCs w:val="20"/>
        </w:rPr>
        <w:t>w are filed or incorporated by reference into this Report.</w:t>
      </w:r>
    </w:p>
    <w:p w:rsidR="00000000" w:rsidRDefault="00F20BDB">
      <w:pPr>
        <w:pStyle w:val="a3"/>
        <w:spacing w:before="12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750"/>
        <w:gridCol w:w="159"/>
        <w:gridCol w:w="7397"/>
      </w:tblGrid>
      <w:tr w:rsidR="00000000">
        <w:trPr>
          <w:divId w:val="347412502"/>
          <w:jc w:val="center"/>
        </w:trPr>
        <w:tc>
          <w:tcPr>
            <w:tcW w:w="347" w:type="pct"/>
            <w:vAlign w:val="bottom"/>
            <w:hideMark/>
          </w:tcPr>
          <w:p w:rsidR="00000000" w:rsidRDefault="00F20BDB">
            <w:pPr>
              <w:pStyle w:val="a3"/>
              <w:spacing w:before="0" w:beforeAutospacing="0" w:after="0" w:afterAutospacing="0"/>
              <w:jc w:val="center"/>
              <w:rPr>
                <w:b/>
                <w:bCs/>
                <w:sz w:val="16"/>
                <w:szCs w:val="16"/>
              </w:rPr>
            </w:pPr>
            <w:r>
              <w:rPr>
                <w:b/>
                <w:bCs/>
                <w:sz w:val="16"/>
                <w:szCs w:val="16"/>
              </w:rPr>
              <w:t>Exhibit</w:t>
            </w:r>
          </w:p>
          <w:p w:rsidR="00000000" w:rsidRDefault="00F20BDB">
            <w:pPr>
              <w:pStyle w:val="a3"/>
              <w:spacing w:before="0" w:beforeAutospacing="0" w:after="0" w:afterAutospacing="0"/>
              <w:jc w:val="center"/>
              <w:rPr>
                <w:b/>
                <w:bCs/>
                <w:sz w:val="16"/>
                <w:szCs w:val="16"/>
              </w:rPr>
            </w:pPr>
            <w:r>
              <w:rPr>
                <w:b/>
                <w:bCs/>
                <w:sz w:val="16"/>
                <w:szCs w:val="16"/>
              </w:rPr>
              <w:t>Number</w:t>
            </w:r>
          </w:p>
        </w:tc>
        <w:tc>
          <w:tcPr>
            <w:tcW w:w="148" w:type="pct"/>
            <w:vAlign w:val="bottom"/>
            <w:hideMark/>
          </w:tcPr>
          <w:p w:rsidR="00000000" w:rsidRDefault="00F20BDB">
            <w:pPr>
              <w:pStyle w:val="a3"/>
              <w:spacing w:before="0" w:beforeAutospacing="0" w:after="0" w:afterAutospacing="0"/>
              <w:rPr>
                <w:sz w:val="16"/>
                <w:szCs w:val="16"/>
              </w:rPr>
            </w:pPr>
            <w:r>
              <w:rPr>
                <w:sz w:val="16"/>
                <w:szCs w:val="16"/>
              </w:rPr>
              <w:t> </w:t>
            </w:r>
          </w:p>
        </w:tc>
        <w:tc>
          <w:tcPr>
            <w:tcW w:w="4505" w:type="pct"/>
            <w:vAlign w:val="bottom"/>
            <w:hideMark/>
          </w:tcPr>
          <w:p w:rsidR="00000000" w:rsidRDefault="00F20BDB">
            <w:pPr>
              <w:pStyle w:val="a3"/>
              <w:spacing w:before="0" w:beforeAutospacing="0" w:after="0" w:afterAutospacing="0"/>
              <w:jc w:val="center"/>
              <w:rPr>
                <w:b/>
                <w:bCs/>
                <w:sz w:val="16"/>
                <w:szCs w:val="16"/>
              </w:rPr>
            </w:pPr>
            <w:r>
              <w:rPr>
                <w:b/>
                <w:bCs/>
                <w:sz w:val="16"/>
                <w:szCs w:val="16"/>
              </w:rPr>
              <w:t>Exhibit Title</w:t>
            </w:r>
          </w:p>
        </w:tc>
      </w:tr>
      <w:tr w:rsidR="00000000">
        <w:trPr>
          <w:divId w:val="347412502"/>
          <w:trHeight w:val="86"/>
          <w:jc w:val="center"/>
        </w:trPr>
        <w:tc>
          <w:tcPr>
            <w:tcW w:w="347" w:type="pct"/>
            <w:vAlign w:val="bottom"/>
            <w:hideMark/>
          </w:tcPr>
          <w:p w:rsidR="00000000" w:rsidRDefault="00F20BDB">
            <w:pPr>
              <w:pStyle w:val="a3"/>
              <w:spacing w:before="0" w:beforeAutospacing="0" w:after="0" w:afterAutospacing="0"/>
              <w:rPr>
                <w:sz w:val="12"/>
                <w:szCs w:val="12"/>
              </w:rPr>
            </w:pPr>
            <w:r>
              <w:rPr>
                <w:sz w:val="12"/>
                <w:szCs w:val="12"/>
              </w:rPr>
              <w:t> </w:t>
            </w:r>
          </w:p>
        </w:tc>
        <w:tc>
          <w:tcPr>
            <w:tcW w:w="148" w:type="pct"/>
            <w:vAlign w:val="bottom"/>
            <w:hideMark/>
          </w:tcPr>
          <w:p w:rsidR="00000000" w:rsidRDefault="00F20BDB">
            <w:pPr>
              <w:pStyle w:val="a3"/>
              <w:spacing w:before="0" w:beforeAutospacing="0" w:after="0" w:afterAutospacing="0"/>
              <w:rPr>
                <w:sz w:val="12"/>
                <w:szCs w:val="12"/>
              </w:rPr>
            </w:pPr>
            <w:r>
              <w:rPr>
                <w:sz w:val="12"/>
                <w:szCs w:val="12"/>
              </w:rPr>
              <w:t> </w:t>
            </w:r>
          </w:p>
        </w:tc>
        <w:tc>
          <w:tcPr>
            <w:tcW w:w="4505" w:type="pct"/>
            <w:vAlign w:val="bottom"/>
            <w:hideMark/>
          </w:tcPr>
          <w:p w:rsidR="00000000" w:rsidRDefault="00F20BDB">
            <w:pPr>
              <w:pStyle w:val="a3"/>
              <w:spacing w:before="0" w:beforeAutospacing="0" w:after="0" w:afterAutospacing="0"/>
              <w:rPr>
                <w:sz w:val="12"/>
                <w:szCs w:val="12"/>
              </w:rPr>
            </w:pPr>
            <w:r>
              <w:rPr>
                <w:sz w:val="12"/>
                <w:szCs w:val="12"/>
              </w:rPr>
              <w:t> </w:t>
            </w:r>
          </w:p>
        </w:tc>
      </w:tr>
      <w:tr w:rsidR="00000000">
        <w:trPr>
          <w:divId w:val="347412502"/>
          <w:jc w:val="center"/>
        </w:trPr>
        <w:tc>
          <w:tcPr>
            <w:tcW w:w="347" w:type="pct"/>
            <w:hideMark/>
          </w:tcPr>
          <w:p w:rsidR="00000000" w:rsidRDefault="00F20BDB">
            <w:pPr>
              <w:pStyle w:val="a3"/>
              <w:spacing w:before="0" w:beforeAutospacing="0" w:after="0" w:afterAutospacing="0"/>
              <w:rPr>
                <w:sz w:val="20"/>
                <w:szCs w:val="20"/>
              </w:rPr>
            </w:pPr>
            <w:r>
              <w:rPr>
                <w:sz w:val="20"/>
                <w:szCs w:val="20"/>
              </w:rPr>
              <w:t>    1.1(1)</w:t>
            </w:r>
          </w:p>
        </w:tc>
        <w:tc>
          <w:tcPr>
            <w:tcW w:w="148" w:type="pct"/>
            <w:vAlign w:val="bottom"/>
            <w:hideMark/>
          </w:tcPr>
          <w:p w:rsidR="00000000" w:rsidRDefault="00F20BDB">
            <w:pPr>
              <w:pStyle w:val="a3"/>
              <w:spacing w:before="0" w:beforeAutospacing="0" w:after="0" w:afterAutospacing="0"/>
              <w:rPr>
                <w:sz w:val="20"/>
                <w:szCs w:val="20"/>
              </w:rPr>
            </w:pPr>
            <w:r>
              <w:rPr>
                <w:sz w:val="20"/>
                <w:szCs w:val="20"/>
              </w:rPr>
              <w:t> </w:t>
            </w:r>
          </w:p>
        </w:tc>
        <w:tc>
          <w:tcPr>
            <w:tcW w:w="4505" w:type="pct"/>
            <w:vAlign w:val="bottom"/>
            <w:hideMark/>
          </w:tcPr>
          <w:p w:rsidR="00000000" w:rsidRDefault="00F20BDB">
            <w:pPr>
              <w:pStyle w:val="a3"/>
              <w:spacing w:before="0" w:beforeAutospacing="0" w:after="0" w:afterAutospacing="0"/>
              <w:rPr>
                <w:sz w:val="20"/>
                <w:szCs w:val="20"/>
              </w:rPr>
            </w:pPr>
            <w:hyperlink r:id="rId4" w:history="1">
              <w:r>
                <w:rPr>
                  <w:rStyle w:val="a4"/>
                  <w:sz w:val="20"/>
                  <w:szCs w:val="20"/>
                  <w:shd w:val="clear" w:color="auto" w:fill="FFFFFF"/>
                </w:rPr>
                <w:t>Underwriting Agreement, dated as of February 13, 2019, among HubSpot, Inc. and Morgan Stanley &amp; Co. LLC.</w:t>
              </w:r>
            </w:hyperlink>
          </w:p>
        </w:tc>
      </w:tr>
      <w:tr w:rsidR="00000000">
        <w:trPr>
          <w:divId w:val="347412502"/>
          <w:jc w:val="center"/>
        </w:trPr>
        <w:tc>
          <w:tcPr>
            <w:tcW w:w="347" w:type="pct"/>
            <w:hideMark/>
          </w:tcPr>
          <w:p w:rsidR="00000000" w:rsidRDefault="00F20BDB">
            <w:pPr>
              <w:pStyle w:val="a3"/>
              <w:spacing w:before="0" w:beforeAutospacing="0" w:after="0" w:afterAutospacing="0"/>
              <w:rPr>
                <w:sz w:val="20"/>
                <w:szCs w:val="20"/>
              </w:rPr>
            </w:pPr>
            <w:r>
              <w:rPr>
                <w:sz w:val="20"/>
                <w:szCs w:val="20"/>
              </w:rPr>
              <w:t> </w:t>
            </w:r>
          </w:p>
        </w:tc>
        <w:tc>
          <w:tcPr>
            <w:tcW w:w="148" w:type="pct"/>
            <w:vAlign w:val="bottom"/>
            <w:hideMark/>
          </w:tcPr>
          <w:p w:rsidR="00000000" w:rsidRDefault="00F20BDB">
            <w:pPr>
              <w:pStyle w:val="a3"/>
              <w:spacing w:before="0" w:beforeAutospacing="0" w:after="0" w:afterAutospacing="0"/>
              <w:rPr>
                <w:sz w:val="20"/>
                <w:szCs w:val="20"/>
              </w:rPr>
            </w:pPr>
            <w:r>
              <w:rPr>
                <w:sz w:val="20"/>
                <w:szCs w:val="20"/>
              </w:rPr>
              <w:t> </w:t>
            </w:r>
          </w:p>
        </w:tc>
        <w:tc>
          <w:tcPr>
            <w:tcW w:w="4505" w:type="pct"/>
            <w:vAlign w:val="bottom"/>
            <w:hideMark/>
          </w:tcPr>
          <w:p w:rsidR="00000000" w:rsidRDefault="00F20BDB">
            <w:pPr>
              <w:pStyle w:val="a3"/>
              <w:spacing w:before="0" w:beforeAutospacing="0" w:after="0" w:afterAutospacing="0"/>
              <w:rPr>
                <w:sz w:val="20"/>
                <w:szCs w:val="20"/>
              </w:rPr>
            </w:pPr>
            <w:r>
              <w:rPr>
                <w:sz w:val="20"/>
                <w:szCs w:val="20"/>
              </w:rPr>
              <w:t> </w:t>
            </w:r>
          </w:p>
        </w:tc>
      </w:tr>
      <w:tr w:rsidR="00000000">
        <w:trPr>
          <w:divId w:val="347412502"/>
          <w:jc w:val="center"/>
        </w:trPr>
        <w:tc>
          <w:tcPr>
            <w:tcW w:w="347" w:type="pct"/>
            <w:hideMark/>
          </w:tcPr>
          <w:p w:rsidR="00000000" w:rsidRDefault="00F20BDB">
            <w:pPr>
              <w:pStyle w:val="a3"/>
              <w:spacing w:before="0" w:beforeAutospacing="0" w:after="0" w:afterAutospacing="0"/>
              <w:rPr>
                <w:sz w:val="20"/>
                <w:szCs w:val="20"/>
              </w:rPr>
            </w:pPr>
            <w:r>
              <w:rPr>
                <w:sz w:val="20"/>
                <w:szCs w:val="20"/>
              </w:rPr>
              <w:t>    3.1(2)</w:t>
            </w:r>
          </w:p>
        </w:tc>
        <w:tc>
          <w:tcPr>
            <w:tcW w:w="148" w:type="pct"/>
            <w:vAlign w:val="bottom"/>
            <w:hideMark/>
          </w:tcPr>
          <w:p w:rsidR="00000000" w:rsidRDefault="00F20BDB">
            <w:pPr>
              <w:pStyle w:val="a3"/>
              <w:spacing w:before="0" w:beforeAutospacing="0" w:after="0" w:afterAutospacing="0"/>
              <w:rPr>
                <w:sz w:val="20"/>
                <w:szCs w:val="20"/>
              </w:rPr>
            </w:pPr>
            <w:r>
              <w:rPr>
                <w:sz w:val="20"/>
                <w:szCs w:val="20"/>
              </w:rPr>
              <w:t> </w:t>
            </w:r>
          </w:p>
        </w:tc>
        <w:tc>
          <w:tcPr>
            <w:tcW w:w="4505" w:type="pct"/>
            <w:vAlign w:val="bottom"/>
            <w:hideMark/>
          </w:tcPr>
          <w:p w:rsidR="00000000" w:rsidRDefault="00F20BDB">
            <w:pPr>
              <w:pStyle w:val="a3"/>
              <w:spacing w:before="0" w:beforeAutospacing="0" w:after="0" w:afterAutospacing="0"/>
              <w:rPr>
                <w:sz w:val="20"/>
                <w:szCs w:val="20"/>
              </w:rPr>
            </w:pPr>
            <w:hyperlink r:id="rId5" w:history="1">
              <w:r>
                <w:rPr>
                  <w:rStyle w:val="a4"/>
                  <w:sz w:val="20"/>
                  <w:szCs w:val="20"/>
                </w:rPr>
                <w:t>Amended and Restated Certificate of Incorporation of the Registrant</w:t>
              </w:r>
            </w:hyperlink>
          </w:p>
        </w:tc>
      </w:tr>
      <w:tr w:rsidR="00000000">
        <w:trPr>
          <w:divId w:val="347412502"/>
          <w:trHeight w:val="86"/>
          <w:jc w:val="center"/>
        </w:trPr>
        <w:tc>
          <w:tcPr>
            <w:tcW w:w="347" w:type="pct"/>
            <w:hideMark/>
          </w:tcPr>
          <w:p w:rsidR="00000000" w:rsidRDefault="00F20BDB">
            <w:pPr>
              <w:pStyle w:val="a3"/>
              <w:spacing w:before="0" w:beforeAutospacing="0" w:after="0" w:afterAutospacing="0"/>
              <w:rPr>
                <w:sz w:val="12"/>
                <w:szCs w:val="12"/>
              </w:rPr>
            </w:pPr>
            <w:r>
              <w:rPr>
                <w:sz w:val="12"/>
                <w:szCs w:val="12"/>
              </w:rPr>
              <w:t> </w:t>
            </w:r>
          </w:p>
        </w:tc>
        <w:tc>
          <w:tcPr>
            <w:tcW w:w="148" w:type="pct"/>
            <w:vAlign w:val="bottom"/>
            <w:hideMark/>
          </w:tcPr>
          <w:p w:rsidR="00000000" w:rsidRDefault="00F20BDB">
            <w:pPr>
              <w:pStyle w:val="a3"/>
              <w:spacing w:before="0" w:beforeAutospacing="0" w:after="0" w:afterAutospacing="0"/>
              <w:rPr>
                <w:sz w:val="12"/>
                <w:szCs w:val="12"/>
              </w:rPr>
            </w:pPr>
            <w:r>
              <w:rPr>
                <w:sz w:val="12"/>
                <w:szCs w:val="12"/>
              </w:rPr>
              <w:t> </w:t>
            </w:r>
          </w:p>
        </w:tc>
        <w:tc>
          <w:tcPr>
            <w:tcW w:w="4505" w:type="pct"/>
            <w:vAlign w:val="bottom"/>
            <w:hideMark/>
          </w:tcPr>
          <w:p w:rsidR="00000000" w:rsidRDefault="00F20BDB">
            <w:pPr>
              <w:pStyle w:val="a3"/>
              <w:spacing w:before="0" w:beforeAutospacing="0" w:after="0" w:afterAutospacing="0"/>
              <w:rPr>
                <w:sz w:val="12"/>
                <w:szCs w:val="12"/>
              </w:rPr>
            </w:pPr>
            <w:r>
              <w:rPr>
                <w:sz w:val="12"/>
                <w:szCs w:val="12"/>
              </w:rPr>
              <w:t> </w:t>
            </w:r>
          </w:p>
        </w:tc>
      </w:tr>
      <w:tr w:rsidR="00000000">
        <w:trPr>
          <w:divId w:val="347412502"/>
          <w:jc w:val="center"/>
        </w:trPr>
        <w:tc>
          <w:tcPr>
            <w:tcW w:w="347" w:type="pct"/>
            <w:hideMark/>
          </w:tcPr>
          <w:p w:rsidR="00000000" w:rsidRDefault="00F20BDB">
            <w:pPr>
              <w:pStyle w:val="a3"/>
              <w:spacing w:before="0" w:beforeAutospacing="0" w:after="0" w:afterAutospacing="0"/>
              <w:rPr>
                <w:sz w:val="20"/>
                <w:szCs w:val="20"/>
              </w:rPr>
            </w:pPr>
            <w:r>
              <w:rPr>
                <w:sz w:val="20"/>
                <w:szCs w:val="20"/>
              </w:rPr>
              <w:t>    3.2(3)</w:t>
            </w:r>
          </w:p>
        </w:tc>
        <w:tc>
          <w:tcPr>
            <w:tcW w:w="148" w:type="pct"/>
            <w:vAlign w:val="bottom"/>
            <w:hideMark/>
          </w:tcPr>
          <w:p w:rsidR="00000000" w:rsidRDefault="00F20BDB">
            <w:pPr>
              <w:pStyle w:val="a3"/>
              <w:spacing w:before="0" w:beforeAutospacing="0" w:after="0" w:afterAutospacing="0"/>
              <w:rPr>
                <w:sz w:val="20"/>
                <w:szCs w:val="20"/>
              </w:rPr>
            </w:pPr>
            <w:r>
              <w:rPr>
                <w:sz w:val="20"/>
                <w:szCs w:val="20"/>
              </w:rPr>
              <w:t> </w:t>
            </w:r>
          </w:p>
        </w:tc>
        <w:tc>
          <w:tcPr>
            <w:tcW w:w="4505" w:type="pct"/>
            <w:vAlign w:val="bottom"/>
            <w:hideMark/>
          </w:tcPr>
          <w:p w:rsidR="00000000" w:rsidRDefault="00F20BDB">
            <w:pPr>
              <w:pStyle w:val="a3"/>
              <w:spacing w:before="0" w:beforeAutospacing="0" w:after="0" w:afterAutospacing="0"/>
              <w:rPr>
                <w:sz w:val="20"/>
                <w:szCs w:val="20"/>
              </w:rPr>
            </w:pPr>
            <w:hyperlink r:id="rId6" w:history="1">
              <w:r>
                <w:rPr>
                  <w:rStyle w:val="a4"/>
                  <w:sz w:val="20"/>
                  <w:szCs w:val="20"/>
                </w:rPr>
                <w:t>Second Amended and Restated Bylaws of the Registrant</w:t>
              </w:r>
            </w:hyperlink>
          </w:p>
        </w:tc>
      </w:tr>
      <w:tr w:rsidR="00000000">
        <w:trPr>
          <w:divId w:val="347412502"/>
          <w:trHeight w:val="153"/>
          <w:jc w:val="center"/>
        </w:trPr>
        <w:tc>
          <w:tcPr>
            <w:tcW w:w="347" w:type="pct"/>
            <w:hideMark/>
          </w:tcPr>
          <w:p w:rsidR="00000000" w:rsidRDefault="00F20BDB">
            <w:pPr>
              <w:pStyle w:val="a3"/>
              <w:spacing w:before="0" w:beforeAutospacing="0" w:after="0" w:afterAutospacing="0"/>
              <w:rPr>
                <w:sz w:val="20"/>
                <w:szCs w:val="20"/>
              </w:rPr>
            </w:pPr>
            <w:r>
              <w:rPr>
                <w:sz w:val="20"/>
                <w:szCs w:val="20"/>
              </w:rPr>
              <w:t> </w:t>
            </w:r>
          </w:p>
        </w:tc>
        <w:tc>
          <w:tcPr>
            <w:tcW w:w="148" w:type="pct"/>
            <w:vAlign w:val="bottom"/>
            <w:hideMark/>
          </w:tcPr>
          <w:p w:rsidR="00000000" w:rsidRDefault="00F20BDB">
            <w:pPr>
              <w:pStyle w:val="a3"/>
              <w:spacing w:before="0" w:beforeAutospacing="0" w:after="0" w:afterAutospacing="0"/>
              <w:rPr>
                <w:sz w:val="20"/>
                <w:szCs w:val="20"/>
              </w:rPr>
            </w:pPr>
            <w:r>
              <w:rPr>
                <w:sz w:val="20"/>
                <w:szCs w:val="20"/>
              </w:rPr>
              <w:t> </w:t>
            </w:r>
          </w:p>
        </w:tc>
        <w:tc>
          <w:tcPr>
            <w:tcW w:w="4505" w:type="pct"/>
            <w:vAlign w:val="bottom"/>
            <w:hideMark/>
          </w:tcPr>
          <w:p w:rsidR="00000000" w:rsidRDefault="00F20BDB">
            <w:pPr>
              <w:pStyle w:val="a3"/>
              <w:spacing w:before="0" w:beforeAutospacing="0" w:after="0" w:afterAutospacing="0"/>
              <w:rPr>
                <w:sz w:val="20"/>
                <w:szCs w:val="20"/>
              </w:rPr>
            </w:pPr>
            <w:r>
              <w:rPr>
                <w:sz w:val="20"/>
                <w:szCs w:val="20"/>
              </w:rPr>
              <w:t> </w:t>
            </w:r>
          </w:p>
        </w:tc>
      </w:tr>
      <w:tr w:rsidR="00000000">
        <w:trPr>
          <w:divId w:val="347412502"/>
          <w:jc w:val="center"/>
        </w:trPr>
        <w:tc>
          <w:tcPr>
            <w:tcW w:w="347" w:type="pct"/>
            <w:hideMark/>
          </w:tcPr>
          <w:p w:rsidR="00000000" w:rsidRDefault="00F20BDB">
            <w:pPr>
              <w:pStyle w:val="a3"/>
              <w:spacing w:before="0" w:beforeAutospacing="0" w:after="0" w:afterAutospacing="0"/>
              <w:rPr>
                <w:sz w:val="20"/>
                <w:szCs w:val="20"/>
              </w:rPr>
            </w:pPr>
            <w:r>
              <w:rPr>
                <w:sz w:val="20"/>
                <w:szCs w:val="20"/>
              </w:rPr>
              <w:t>    4.1(4)</w:t>
            </w:r>
          </w:p>
        </w:tc>
        <w:tc>
          <w:tcPr>
            <w:tcW w:w="148" w:type="pct"/>
            <w:vAlign w:val="bottom"/>
            <w:hideMark/>
          </w:tcPr>
          <w:p w:rsidR="00000000" w:rsidRDefault="00F20BDB">
            <w:pPr>
              <w:pStyle w:val="a3"/>
              <w:spacing w:before="0" w:beforeAutospacing="0" w:after="0" w:afterAutospacing="0"/>
              <w:rPr>
                <w:sz w:val="20"/>
                <w:szCs w:val="20"/>
              </w:rPr>
            </w:pPr>
            <w:r>
              <w:rPr>
                <w:sz w:val="20"/>
                <w:szCs w:val="20"/>
              </w:rPr>
              <w:t> </w:t>
            </w:r>
          </w:p>
        </w:tc>
        <w:tc>
          <w:tcPr>
            <w:tcW w:w="4505" w:type="pct"/>
            <w:vAlign w:val="bottom"/>
            <w:hideMark/>
          </w:tcPr>
          <w:p w:rsidR="00000000" w:rsidRDefault="00F20BDB">
            <w:pPr>
              <w:pStyle w:val="a3"/>
              <w:spacing w:before="0" w:beforeAutospacing="0" w:after="0" w:afterAutospacing="0"/>
              <w:rPr>
                <w:sz w:val="20"/>
                <w:szCs w:val="20"/>
              </w:rPr>
            </w:pPr>
            <w:hyperlink r:id="rId7" w:history="1">
              <w:r>
                <w:rPr>
                  <w:rStyle w:val="a4"/>
                  <w:sz w:val="20"/>
                  <w:szCs w:val="20"/>
                </w:rPr>
                <w:t>Form of Common Stock certificate of the Registrant</w:t>
              </w:r>
            </w:hyperlink>
          </w:p>
        </w:tc>
      </w:tr>
      <w:tr w:rsidR="00000000">
        <w:trPr>
          <w:divId w:val="347412502"/>
          <w:trHeight w:val="86"/>
          <w:jc w:val="center"/>
        </w:trPr>
        <w:tc>
          <w:tcPr>
            <w:tcW w:w="347" w:type="pct"/>
            <w:hideMark/>
          </w:tcPr>
          <w:p w:rsidR="00000000" w:rsidRDefault="00F20BDB">
            <w:pPr>
              <w:pStyle w:val="a3"/>
              <w:spacing w:before="0" w:beforeAutospacing="0" w:after="0" w:afterAutospacing="0"/>
              <w:rPr>
                <w:sz w:val="12"/>
                <w:szCs w:val="12"/>
              </w:rPr>
            </w:pPr>
            <w:r>
              <w:rPr>
                <w:sz w:val="12"/>
                <w:szCs w:val="12"/>
              </w:rPr>
              <w:t> </w:t>
            </w:r>
          </w:p>
        </w:tc>
        <w:tc>
          <w:tcPr>
            <w:tcW w:w="148" w:type="pct"/>
            <w:vAlign w:val="bottom"/>
            <w:hideMark/>
          </w:tcPr>
          <w:p w:rsidR="00000000" w:rsidRDefault="00F20BDB">
            <w:pPr>
              <w:pStyle w:val="a3"/>
              <w:spacing w:before="0" w:beforeAutospacing="0" w:after="0" w:afterAutospacing="0"/>
              <w:rPr>
                <w:sz w:val="12"/>
                <w:szCs w:val="12"/>
              </w:rPr>
            </w:pPr>
            <w:r>
              <w:rPr>
                <w:sz w:val="12"/>
                <w:szCs w:val="12"/>
              </w:rPr>
              <w:t> </w:t>
            </w:r>
          </w:p>
        </w:tc>
        <w:tc>
          <w:tcPr>
            <w:tcW w:w="4505" w:type="pct"/>
            <w:vAlign w:val="bottom"/>
            <w:hideMark/>
          </w:tcPr>
          <w:p w:rsidR="00000000" w:rsidRDefault="00F20BDB">
            <w:pPr>
              <w:pStyle w:val="a3"/>
              <w:spacing w:before="0" w:beforeAutospacing="0" w:after="0" w:afterAutospacing="0"/>
              <w:rPr>
                <w:sz w:val="12"/>
                <w:szCs w:val="12"/>
              </w:rPr>
            </w:pPr>
            <w:r>
              <w:rPr>
                <w:sz w:val="12"/>
                <w:szCs w:val="12"/>
              </w:rPr>
              <w:t> </w:t>
            </w:r>
          </w:p>
        </w:tc>
      </w:tr>
      <w:tr w:rsidR="00000000">
        <w:trPr>
          <w:divId w:val="347412502"/>
          <w:jc w:val="center"/>
        </w:trPr>
        <w:tc>
          <w:tcPr>
            <w:tcW w:w="347" w:type="pct"/>
            <w:hideMark/>
          </w:tcPr>
          <w:p w:rsidR="00000000" w:rsidRDefault="00F20BDB">
            <w:pPr>
              <w:pStyle w:val="a3"/>
              <w:spacing w:before="0" w:beforeAutospacing="0" w:after="0" w:afterAutospacing="0"/>
              <w:rPr>
                <w:sz w:val="20"/>
                <w:szCs w:val="20"/>
              </w:rPr>
            </w:pPr>
            <w:r>
              <w:rPr>
                <w:sz w:val="20"/>
                <w:szCs w:val="20"/>
              </w:rPr>
              <w:t>   10.1(5)</w:t>
            </w:r>
          </w:p>
        </w:tc>
        <w:tc>
          <w:tcPr>
            <w:tcW w:w="148" w:type="pct"/>
            <w:vAlign w:val="bottom"/>
            <w:hideMark/>
          </w:tcPr>
          <w:p w:rsidR="00000000" w:rsidRDefault="00F20BDB">
            <w:pPr>
              <w:pStyle w:val="a3"/>
              <w:spacing w:before="0" w:beforeAutospacing="0" w:after="0" w:afterAutospacing="0"/>
              <w:rPr>
                <w:sz w:val="20"/>
                <w:szCs w:val="20"/>
              </w:rPr>
            </w:pPr>
            <w:r>
              <w:rPr>
                <w:sz w:val="20"/>
                <w:szCs w:val="20"/>
              </w:rPr>
              <w:t> </w:t>
            </w:r>
          </w:p>
        </w:tc>
        <w:tc>
          <w:tcPr>
            <w:tcW w:w="4505" w:type="pct"/>
            <w:vAlign w:val="bottom"/>
            <w:hideMark/>
          </w:tcPr>
          <w:p w:rsidR="00000000" w:rsidRDefault="00F20BDB">
            <w:pPr>
              <w:pStyle w:val="a3"/>
              <w:spacing w:before="0" w:beforeAutospacing="0" w:after="0" w:afterAutospacing="0"/>
              <w:rPr>
                <w:sz w:val="20"/>
                <w:szCs w:val="20"/>
              </w:rPr>
            </w:pPr>
            <w:hyperlink r:id="rId8" w:history="1">
              <w:r>
                <w:rPr>
                  <w:rStyle w:val="a4"/>
                  <w:sz w:val="20"/>
                  <w:szCs w:val="20"/>
                </w:rPr>
                <w:t>Fourth</w:t>
              </w:r>
              <w:r>
                <w:rPr>
                  <w:rStyle w:val="a4"/>
                  <w:sz w:val="20"/>
                  <w:szCs w:val="20"/>
                  <w:shd w:val="clear" w:color="auto" w:fill="FFFFFF"/>
                </w:rPr>
                <w:t xml:space="preserve"> Amendment to Lease dated April 19, 2019 between One Canal Park Massachusetts, LLC and HubSpot, Inc.</w:t>
              </w:r>
            </w:hyperlink>
          </w:p>
        </w:tc>
      </w:tr>
      <w:tr w:rsidR="00000000">
        <w:trPr>
          <w:divId w:val="347412502"/>
          <w:jc w:val="center"/>
        </w:trPr>
        <w:tc>
          <w:tcPr>
            <w:tcW w:w="347" w:type="pct"/>
            <w:hideMark/>
          </w:tcPr>
          <w:p w:rsidR="00000000" w:rsidRDefault="00F20BDB">
            <w:pPr>
              <w:pStyle w:val="a3"/>
              <w:spacing w:before="0" w:beforeAutospacing="0" w:after="0" w:afterAutospacing="0"/>
              <w:rPr>
                <w:sz w:val="20"/>
                <w:szCs w:val="20"/>
              </w:rPr>
            </w:pPr>
            <w:r>
              <w:rPr>
                <w:sz w:val="20"/>
                <w:szCs w:val="20"/>
              </w:rPr>
              <w:t> </w:t>
            </w:r>
          </w:p>
        </w:tc>
        <w:tc>
          <w:tcPr>
            <w:tcW w:w="148" w:type="pct"/>
            <w:vAlign w:val="bottom"/>
            <w:hideMark/>
          </w:tcPr>
          <w:p w:rsidR="00000000" w:rsidRDefault="00F20BDB">
            <w:pPr>
              <w:pStyle w:val="a3"/>
              <w:spacing w:before="0" w:beforeAutospacing="0" w:after="0" w:afterAutospacing="0"/>
              <w:rPr>
                <w:sz w:val="20"/>
                <w:szCs w:val="20"/>
              </w:rPr>
            </w:pPr>
            <w:r>
              <w:rPr>
                <w:sz w:val="20"/>
                <w:szCs w:val="20"/>
              </w:rPr>
              <w:t> </w:t>
            </w:r>
          </w:p>
        </w:tc>
        <w:tc>
          <w:tcPr>
            <w:tcW w:w="4505" w:type="pct"/>
            <w:vAlign w:val="bottom"/>
            <w:hideMark/>
          </w:tcPr>
          <w:p w:rsidR="00000000" w:rsidRDefault="00F20BDB">
            <w:pPr>
              <w:pStyle w:val="a3"/>
              <w:spacing w:before="0" w:beforeAutospacing="0" w:after="0" w:afterAutospacing="0"/>
              <w:rPr>
                <w:sz w:val="20"/>
                <w:szCs w:val="20"/>
              </w:rPr>
            </w:pPr>
            <w:r>
              <w:rPr>
                <w:sz w:val="20"/>
                <w:szCs w:val="20"/>
              </w:rPr>
              <w:t> </w:t>
            </w:r>
          </w:p>
        </w:tc>
      </w:tr>
      <w:tr w:rsidR="00000000">
        <w:trPr>
          <w:divId w:val="347412502"/>
          <w:jc w:val="center"/>
        </w:trPr>
        <w:tc>
          <w:tcPr>
            <w:tcW w:w="347" w:type="pct"/>
            <w:hideMark/>
          </w:tcPr>
          <w:p w:rsidR="00000000" w:rsidRDefault="00F20BDB">
            <w:pPr>
              <w:pStyle w:val="a3"/>
              <w:spacing w:before="0" w:beforeAutospacing="0" w:after="0" w:afterAutospacing="0"/>
              <w:rPr>
                <w:sz w:val="20"/>
                <w:szCs w:val="20"/>
              </w:rPr>
            </w:pPr>
            <w:r>
              <w:rPr>
                <w:sz w:val="20"/>
                <w:szCs w:val="20"/>
              </w:rPr>
              <w:t>  31.1(5)</w:t>
            </w:r>
          </w:p>
        </w:tc>
        <w:tc>
          <w:tcPr>
            <w:tcW w:w="148" w:type="pct"/>
            <w:vAlign w:val="bottom"/>
            <w:hideMark/>
          </w:tcPr>
          <w:p w:rsidR="00000000" w:rsidRDefault="00F20BDB">
            <w:pPr>
              <w:pStyle w:val="a3"/>
              <w:spacing w:before="0" w:beforeAutospacing="0" w:after="0" w:afterAutospacing="0"/>
              <w:rPr>
                <w:sz w:val="20"/>
                <w:szCs w:val="20"/>
              </w:rPr>
            </w:pPr>
            <w:r>
              <w:rPr>
                <w:sz w:val="20"/>
                <w:szCs w:val="20"/>
              </w:rPr>
              <w:t> </w:t>
            </w:r>
          </w:p>
        </w:tc>
        <w:tc>
          <w:tcPr>
            <w:tcW w:w="4505" w:type="pct"/>
            <w:vAlign w:val="bottom"/>
            <w:hideMark/>
          </w:tcPr>
          <w:p w:rsidR="00000000" w:rsidRDefault="00F20BDB">
            <w:pPr>
              <w:pStyle w:val="a3"/>
              <w:spacing w:before="0" w:beforeAutospacing="0" w:after="0" w:afterAutospacing="0"/>
              <w:rPr>
                <w:sz w:val="20"/>
                <w:szCs w:val="20"/>
              </w:rPr>
            </w:pPr>
            <w:hyperlink r:id="rId9" w:history="1">
              <w:r>
                <w:rPr>
                  <w:rStyle w:val="a4"/>
                  <w:sz w:val="20"/>
                  <w:szCs w:val="20"/>
                </w:rPr>
                <w:t>Certification of Principal Executive Officer pursuant to Rule 13a-14(a) or Rule 15d-14(a) of the Securities Exchange Act of 1934, as amended</w:t>
              </w:r>
            </w:hyperlink>
          </w:p>
        </w:tc>
      </w:tr>
      <w:tr w:rsidR="00000000">
        <w:trPr>
          <w:divId w:val="347412502"/>
          <w:trHeight w:val="86"/>
          <w:jc w:val="center"/>
        </w:trPr>
        <w:tc>
          <w:tcPr>
            <w:tcW w:w="347" w:type="pct"/>
            <w:hideMark/>
          </w:tcPr>
          <w:p w:rsidR="00000000" w:rsidRDefault="00F20BDB">
            <w:pPr>
              <w:pStyle w:val="a3"/>
              <w:spacing w:before="0" w:beforeAutospacing="0" w:after="0" w:afterAutospacing="0"/>
              <w:rPr>
                <w:sz w:val="12"/>
                <w:szCs w:val="12"/>
              </w:rPr>
            </w:pPr>
            <w:r>
              <w:rPr>
                <w:sz w:val="12"/>
                <w:szCs w:val="12"/>
              </w:rPr>
              <w:t> </w:t>
            </w:r>
          </w:p>
        </w:tc>
        <w:tc>
          <w:tcPr>
            <w:tcW w:w="148" w:type="pct"/>
            <w:vAlign w:val="bottom"/>
            <w:hideMark/>
          </w:tcPr>
          <w:p w:rsidR="00000000" w:rsidRDefault="00F20BDB">
            <w:pPr>
              <w:pStyle w:val="a3"/>
              <w:spacing w:before="0" w:beforeAutospacing="0" w:after="0" w:afterAutospacing="0"/>
              <w:rPr>
                <w:sz w:val="12"/>
                <w:szCs w:val="12"/>
              </w:rPr>
            </w:pPr>
            <w:r>
              <w:rPr>
                <w:sz w:val="12"/>
                <w:szCs w:val="12"/>
              </w:rPr>
              <w:t> </w:t>
            </w:r>
          </w:p>
        </w:tc>
        <w:tc>
          <w:tcPr>
            <w:tcW w:w="4505" w:type="pct"/>
            <w:vAlign w:val="bottom"/>
            <w:hideMark/>
          </w:tcPr>
          <w:p w:rsidR="00000000" w:rsidRDefault="00F20BDB">
            <w:pPr>
              <w:pStyle w:val="a3"/>
              <w:spacing w:before="0" w:beforeAutospacing="0" w:after="0" w:afterAutospacing="0"/>
              <w:rPr>
                <w:sz w:val="12"/>
                <w:szCs w:val="12"/>
              </w:rPr>
            </w:pPr>
            <w:r>
              <w:rPr>
                <w:sz w:val="12"/>
                <w:szCs w:val="12"/>
              </w:rPr>
              <w:t> </w:t>
            </w:r>
          </w:p>
        </w:tc>
      </w:tr>
      <w:tr w:rsidR="00000000">
        <w:trPr>
          <w:divId w:val="347412502"/>
          <w:jc w:val="center"/>
        </w:trPr>
        <w:tc>
          <w:tcPr>
            <w:tcW w:w="347" w:type="pct"/>
            <w:hideMark/>
          </w:tcPr>
          <w:p w:rsidR="00000000" w:rsidRDefault="00F20BDB">
            <w:pPr>
              <w:pStyle w:val="a3"/>
              <w:spacing w:before="0" w:beforeAutospacing="0" w:after="0" w:afterAutospacing="0"/>
              <w:rPr>
                <w:sz w:val="20"/>
                <w:szCs w:val="20"/>
              </w:rPr>
            </w:pPr>
            <w:r>
              <w:rPr>
                <w:sz w:val="20"/>
                <w:szCs w:val="20"/>
              </w:rPr>
              <w:t>  31.2(5)</w:t>
            </w:r>
          </w:p>
        </w:tc>
        <w:tc>
          <w:tcPr>
            <w:tcW w:w="148" w:type="pct"/>
            <w:vAlign w:val="bottom"/>
            <w:hideMark/>
          </w:tcPr>
          <w:p w:rsidR="00000000" w:rsidRDefault="00F20BDB">
            <w:pPr>
              <w:pStyle w:val="a3"/>
              <w:spacing w:before="0" w:beforeAutospacing="0" w:after="0" w:afterAutospacing="0"/>
              <w:rPr>
                <w:sz w:val="20"/>
                <w:szCs w:val="20"/>
              </w:rPr>
            </w:pPr>
            <w:r>
              <w:rPr>
                <w:sz w:val="20"/>
                <w:szCs w:val="20"/>
              </w:rPr>
              <w:t> </w:t>
            </w:r>
          </w:p>
        </w:tc>
        <w:tc>
          <w:tcPr>
            <w:tcW w:w="4505" w:type="pct"/>
            <w:vAlign w:val="bottom"/>
            <w:hideMark/>
          </w:tcPr>
          <w:p w:rsidR="00000000" w:rsidRDefault="00F20BDB">
            <w:pPr>
              <w:pStyle w:val="a3"/>
              <w:spacing w:before="0" w:beforeAutospacing="0" w:after="0" w:afterAutospacing="0"/>
              <w:rPr>
                <w:sz w:val="20"/>
                <w:szCs w:val="20"/>
              </w:rPr>
            </w:pPr>
            <w:hyperlink r:id="rId10" w:history="1">
              <w:r>
                <w:rPr>
                  <w:rStyle w:val="a4"/>
                  <w:sz w:val="20"/>
                  <w:szCs w:val="20"/>
                </w:rPr>
                <w:t>Certification of Principal Fi</w:t>
              </w:r>
              <w:r>
                <w:rPr>
                  <w:rStyle w:val="a4"/>
                  <w:sz w:val="20"/>
                  <w:szCs w:val="20"/>
                </w:rPr>
                <w:t>nancial Officer pursuant to Rule 13a-14(a) or Rule 15d-14(a) of the Securities Exchange Act of 1934, as amended</w:t>
              </w:r>
            </w:hyperlink>
          </w:p>
        </w:tc>
      </w:tr>
      <w:tr w:rsidR="00000000">
        <w:trPr>
          <w:divId w:val="347412502"/>
          <w:trHeight w:val="86"/>
          <w:jc w:val="center"/>
        </w:trPr>
        <w:tc>
          <w:tcPr>
            <w:tcW w:w="347" w:type="pct"/>
            <w:hideMark/>
          </w:tcPr>
          <w:p w:rsidR="00000000" w:rsidRDefault="00F20BDB">
            <w:pPr>
              <w:pStyle w:val="a3"/>
              <w:spacing w:before="0" w:beforeAutospacing="0" w:after="0" w:afterAutospacing="0"/>
              <w:rPr>
                <w:sz w:val="12"/>
                <w:szCs w:val="12"/>
              </w:rPr>
            </w:pPr>
            <w:r>
              <w:rPr>
                <w:sz w:val="12"/>
                <w:szCs w:val="12"/>
              </w:rPr>
              <w:t> </w:t>
            </w:r>
          </w:p>
        </w:tc>
        <w:tc>
          <w:tcPr>
            <w:tcW w:w="148" w:type="pct"/>
            <w:vAlign w:val="bottom"/>
            <w:hideMark/>
          </w:tcPr>
          <w:p w:rsidR="00000000" w:rsidRDefault="00F20BDB">
            <w:pPr>
              <w:pStyle w:val="a3"/>
              <w:spacing w:before="0" w:beforeAutospacing="0" w:after="0" w:afterAutospacing="0"/>
              <w:rPr>
                <w:sz w:val="12"/>
                <w:szCs w:val="12"/>
              </w:rPr>
            </w:pPr>
            <w:r>
              <w:rPr>
                <w:sz w:val="12"/>
                <w:szCs w:val="12"/>
              </w:rPr>
              <w:t> </w:t>
            </w:r>
          </w:p>
        </w:tc>
        <w:tc>
          <w:tcPr>
            <w:tcW w:w="4505" w:type="pct"/>
            <w:vAlign w:val="bottom"/>
            <w:hideMark/>
          </w:tcPr>
          <w:p w:rsidR="00000000" w:rsidRDefault="00F20BDB">
            <w:pPr>
              <w:pStyle w:val="a3"/>
              <w:spacing w:before="0" w:beforeAutospacing="0" w:after="0" w:afterAutospacing="0"/>
              <w:rPr>
                <w:sz w:val="12"/>
                <w:szCs w:val="12"/>
              </w:rPr>
            </w:pPr>
            <w:r>
              <w:rPr>
                <w:sz w:val="12"/>
                <w:szCs w:val="12"/>
              </w:rPr>
              <w:t> </w:t>
            </w:r>
          </w:p>
        </w:tc>
      </w:tr>
      <w:tr w:rsidR="00000000">
        <w:trPr>
          <w:divId w:val="347412502"/>
          <w:jc w:val="center"/>
        </w:trPr>
        <w:tc>
          <w:tcPr>
            <w:tcW w:w="347" w:type="pct"/>
            <w:hideMark/>
          </w:tcPr>
          <w:p w:rsidR="00000000" w:rsidRDefault="00F20BDB">
            <w:pPr>
              <w:pStyle w:val="a3"/>
              <w:spacing w:before="0" w:beforeAutospacing="0" w:after="0" w:afterAutospacing="0"/>
              <w:rPr>
                <w:sz w:val="20"/>
                <w:szCs w:val="20"/>
              </w:rPr>
            </w:pPr>
            <w:r>
              <w:rPr>
                <w:sz w:val="20"/>
                <w:szCs w:val="20"/>
              </w:rPr>
              <w:t>   32.1*</w:t>
            </w:r>
          </w:p>
        </w:tc>
        <w:tc>
          <w:tcPr>
            <w:tcW w:w="148" w:type="pct"/>
            <w:vAlign w:val="bottom"/>
            <w:hideMark/>
          </w:tcPr>
          <w:p w:rsidR="00000000" w:rsidRDefault="00F20BDB">
            <w:pPr>
              <w:pStyle w:val="a3"/>
              <w:spacing w:before="0" w:beforeAutospacing="0" w:after="0" w:afterAutospacing="0"/>
              <w:rPr>
                <w:sz w:val="20"/>
                <w:szCs w:val="20"/>
              </w:rPr>
            </w:pPr>
            <w:r>
              <w:rPr>
                <w:sz w:val="20"/>
                <w:szCs w:val="20"/>
              </w:rPr>
              <w:t> </w:t>
            </w:r>
          </w:p>
        </w:tc>
        <w:tc>
          <w:tcPr>
            <w:tcW w:w="4505" w:type="pct"/>
            <w:vAlign w:val="bottom"/>
            <w:hideMark/>
          </w:tcPr>
          <w:p w:rsidR="00000000" w:rsidRDefault="00F20BDB">
            <w:pPr>
              <w:pStyle w:val="a3"/>
              <w:spacing w:before="0" w:beforeAutospacing="0" w:after="0" w:afterAutospacing="0"/>
              <w:rPr>
                <w:sz w:val="20"/>
                <w:szCs w:val="20"/>
              </w:rPr>
            </w:pPr>
            <w:hyperlink r:id="rId11" w:history="1">
              <w:r>
                <w:rPr>
                  <w:rStyle w:val="a4"/>
                  <w:sz w:val="20"/>
                  <w:szCs w:val="20"/>
                </w:rPr>
                <w:t>Certification of Principal Executive Officer and Principal Financial Officer pursuant to Sec</w:t>
              </w:r>
              <w:r>
                <w:rPr>
                  <w:rStyle w:val="a4"/>
                  <w:sz w:val="20"/>
                  <w:szCs w:val="20"/>
                </w:rPr>
                <w:t>tion 906 of the Sarbanes-Oxley Act</w:t>
              </w:r>
            </w:hyperlink>
          </w:p>
        </w:tc>
      </w:tr>
      <w:tr w:rsidR="00000000">
        <w:trPr>
          <w:divId w:val="347412502"/>
          <w:trHeight w:val="86"/>
          <w:jc w:val="center"/>
        </w:trPr>
        <w:tc>
          <w:tcPr>
            <w:tcW w:w="347" w:type="pct"/>
            <w:hideMark/>
          </w:tcPr>
          <w:p w:rsidR="00000000" w:rsidRDefault="00F20BDB">
            <w:pPr>
              <w:pStyle w:val="a3"/>
              <w:spacing w:before="0" w:beforeAutospacing="0" w:after="0" w:afterAutospacing="0"/>
              <w:rPr>
                <w:sz w:val="12"/>
                <w:szCs w:val="12"/>
              </w:rPr>
            </w:pPr>
            <w:r>
              <w:rPr>
                <w:sz w:val="12"/>
                <w:szCs w:val="12"/>
              </w:rPr>
              <w:t> </w:t>
            </w:r>
          </w:p>
        </w:tc>
        <w:tc>
          <w:tcPr>
            <w:tcW w:w="148" w:type="pct"/>
            <w:vAlign w:val="bottom"/>
            <w:hideMark/>
          </w:tcPr>
          <w:p w:rsidR="00000000" w:rsidRDefault="00F20BDB">
            <w:pPr>
              <w:pStyle w:val="a3"/>
              <w:spacing w:before="0" w:beforeAutospacing="0" w:after="0" w:afterAutospacing="0"/>
              <w:rPr>
                <w:sz w:val="12"/>
                <w:szCs w:val="12"/>
              </w:rPr>
            </w:pPr>
            <w:r>
              <w:rPr>
                <w:sz w:val="12"/>
                <w:szCs w:val="12"/>
              </w:rPr>
              <w:t> </w:t>
            </w:r>
          </w:p>
        </w:tc>
        <w:tc>
          <w:tcPr>
            <w:tcW w:w="4505" w:type="pct"/>
            <w:vAlign w:val="bottom"/>
            <w:hideMark/>
          </w:tcPr>
          <w:p w:rsidR="00000000" w:rsidRDefault="00F20BDB">
            <w:pPr>
              <w:pStyle w:val="a3"/>
              <w:spacing w:before="0" w:beforeAutospacing="0" w:after="0" w:afterAutospacing="0"/>
              <w:rPr>
                <w:sz w:val="12"/>
                <w:szCs w:val="12"/>
              </w:rPr>
            </w:pPr>
            <w:r>
              <w:rPr>
                <w:sz w:val="12"/>
                <w:szCs w:val="12"/>
              </w:rPr>
              <w:t> </w:t>
            </w:r>
          </w:p>
        </w:tc>
      </w:tr>
      <w:tr w:rsidR="00000000">
        <w:trPr>
          <w:divId w:val="347412502"/>
          <w:jc w:val="center"/>
        </w:trPr>
        <w:tc>
          <w:tcPr>
            <w:tcW w:w="347" w:type="pct"/>
            <w:hideMark/>
          </w:tcPr>
          <w:p w:rsidR="00000000" w:rsidRDefault="00F20BDB">
            <w:pPr>
              <w:pStyle w:val="a3"/>
              <w:spacing w:before="0" w:beforeAutospacing="0" w:after="0" w:afterAutospacing="0"/>
              <w:rPr>
                <w:sz w:val="20"/>
                <w:szCs w:val="20"/>
              </w:rPr>
            </w:pPr>
            <w:r>
              <w:rPr>
                <w:sz w:val="20"/>
                <w:szCs w:val="20"/>
              </w:rPr>
              <w:t>101.INS</w:t>
            </w:r>
          </w:p>
        </w:tc>
        <w:tc>
          <w:tcPr>
            <w:tcW w:w="148" w:type="pct"/>
            <w:vAlign w:val="bottom"/>
            <w:hideMark/>
          </w:tcPr>
          <w:p w:rsidR="00000000" w:rsidRDefault="00F20BDB">
            <w:pPr>
              <w:pStyle w:val="a3"/>
              <w:spacing w:before="0" w:beforeAutospacing="0" w:after="0" w:afterAutospacing="0"/>
              <w:rPr>
                <w:sz w:val="20"/>
                <w:szCs w:val="20"/>
              </w:rPr>
            </w:pPr>
            <w:r>
              <w:rPr>
                <w:sz w:val="20"/>
                <w:szCs w:val="20"/>
              </w:rPr>
              <w:t> </w:t>
            </w:r>
          </w:p>
        </w:tc>
        <w:tc>
          <w:tcPr>
            <w:tcW w:w="4505" w:type="pct"/>
            <w:vAlign w:val="bottom"/>
            <w:hideMark/>
          </w:tcPr>
          <w:p w:rsidR="00000000" w:rsidRDefault="00F20BDB">
            <w:pPr>
              <w:pStyle w:val="a3"/>
              <w:spacing w:before="0" w:beforeAutospacing="0" w:after="0" w:afterAutospacing="0"/>
              <w:rPr>
                <w:sz w:val="20"/>
                <w:szCs w:val="20"/>
              </w:rPr>
            </w:pPr>
            <w:r>
              <w:rPr>
                <w:sz w:val="20"/>
                <w:szCs w:val="20"/>
              </w:rPr>
              <w:t>XBRL Instance Document</w:t>
            </w:r>
          </w:p>
        </w:tc>
      </w:tr>
      <w:tr w:rsidR="00000000">
        <w:trPr>
          <w:divId w:val="347412502"/>
          <w:trHeight w:val="86"/>
          <w:jc w:val="center"/>
        </w:trPr>
        <w:tc>
          <w:tcPr>
            <w:tcW w:w="347" w:type="pct"/>
            <w:hideMark/>
          </w:tcPr>
          <w:p w:rsidR="00000000" w:rsidRDefault="00F20BDB">
            <w:pPr>
              <w:pStyle w:val="a3"/>
              <w:spacing w:before="0" w:beforeAutospacing="0" w:after="0" w:afterAutospacing="0"/>
              <w:rPr>
                <w:sz w:val="12"/>
                <w:szCs w:val="12"/>
              </w:rPr>
            </w:pPr>
            <w:r>
              <w:rPr>
                <w:sz w:val="12"/>
                <w:szCs w:val="12"/>
              </w:rPr>
              <w:t> </w:t>
            </w:r>
          </w:p>
        </w:tc>
        <w:tc>
          <w:tcPr>
            <w:tcW w:w="148" w:type="pct"/>
            <w:vAlign w:val="bottom"/>
            <w:hideMark/>
          </w:tcPr>
          <w:p w:rsidR="00000000" w:rsidRDefault="00F20BDB">
            <w:pPr>
              <w:pStyle w:val="a3"/>
              <w:spacing w:before="0" w:beforeAutospacing="0" w:after="0" w:afterAutospacing="0"/>
              <w:rPr>
                <w:sz w:val="12"/>
                <w:szCs w:val="12"/>
              </w:rPr>
            </w:pPr>
            <w:r>
              <w:rPr>
                <w:sz w:val="12"/>
                <w:szCs w:val="12"/>
              </w:rPr>
              <w:t> </w:t>
            </w:r>
          </w:p>
        </w:tc>
        <w:tc>
          <w:tcPr>
            <w:tcW w:w="4505" w:type="pct"/>
            <w:vAlign w:val="bottom"/>
            <w:hideMark/>
          </w:tcPr>
          <w:p w:rsidR="00000000" w:rsidRDefault="00F20BDB">
            <w:pPr>
              <w:pStyle w:val="a3"/>
              <w:spacing w:before="0" w:beforeAutospacing="0" w:after="0" w:afterAutospacing="0"/>
              <w:rPr>
                <w:sz w:val="12"/>
                <w:szCs w:val="12"/>
              </w:rPr>
            </w:pPr>
            <w:r>
              <w:rPr>
                <w:sz w:val="12"/>
                <w:szCs w:val="12"/>
              </w:rPr>
              <w:t> </w:t>
            </w:r>
          </w:p>
        </w:tc>
      </w:tr>
      <w:tr w:rsidR="00000000">
        <w:trPr>
          <w:divId w:val="347412502"/>
          <w:jc w:val="center"/>
        </w:trPr>
        <w:tc>
          <w:tcPr>
            <w:tcW w:w="347" w:type="pct"/>
            <w:hideMark/>
          </w:tcPr>
          <w:p w:rsidR="00000000" w:rsidRDefault="00F20BDB">
            <w:pPr>
              <w:pStyle w:val="a3"/>
              <w:spacing w:before="0" w:beforeAutospacing="0" w:after="0" w:afterAutospacing="0"/>
              <w:rPr>
                <w:sz w:val="20"/>
                <w:szCs w:val="20"/>
              </w:rPr>
            </w:pPr>
            <w:r>
              <w:rPr>
                <w:sz w:val="20"/>
                <w:szCs w:val="20"/>
              </w:rPr>
              <w:t>101.SCH</w:t>
            </w:r>
          </w:p>
        </w:tc>
        <w:tc>
          <w:tcPr>
            <w:tcW w:w="148" w:type="pct"/>
            <w:vAlign w:val="bottom"/>
            <w:hideMark/>
          </w:tcPr>
          <w:p w:rsidR="00000000" w:rsidRDefault="00F20BDB">
            <w:pPr>
              <w:pStyle w:val="a3"/>
              <w:spacing w:before="0" w:beforeAutospacing="0" w:after="0" w:afterAutospacing="0"/>
              <w:rPr>
                <w:sz w:val="20"/>
                <w:szCs w:val="20"/>
              </w:rPr>
            </w:pPr>
            <w:r>
              <w:rPr>
                <w:sz w:val="20"/>
                <w:szCs w:val="20"/>
              </w:rPr>
              <w:t> </w:t>
            </w:r>
          </w:p>
        </w:tc>
        <w:tc>
          <w:tcPr>
            <w:tcW w:w="4505" w:type="pct"/>
            <w:vAlign w:val="bottom"/>
            <w:hideMark/>
          </w:tcPr>
          <w:p w:rsidR="00000000" w:rsidRDefault="00F20BDB">
            <w:pPr>
              <w:pStyle w:val="a3"/>
              <w:spacing w:before="0" w:beforeAutospacing="0" w:after="0" w:afterAutospacing="0"/>
              <w:rPr>
                <w:sz w:val="20"/>
                <w:szCs w:val="20"/>
              </w:rPr>
            </w:pPr>
            <w:r>
              <w:rPr>
                <w:sz w:val="20"/>
                <w:szCs w:val="20"/>
              </w:rPr>
              <w:t>XBRL Taxonomy Extension Schema Document</w:t>
            </w:r>
          </w:p>
        </w:tc>
      </w:tr>
      <w:tr w:rsidR="00000000">
        <w:trPr>
          <w:divId w:val="347412502"/>
          <w:trHeight w:val="86"/>
          <w:jc w:val="center"/>
        </w:trPr>
        <w:tc>
          <w:tcPr>
            <w:tcW w:w="347" w:type="pct"/>
            <w:hideMark/>
          </w:tcPr>
          <w:p w:rsidR="00000000" w:rsidRDefault="00F20BDB">
            <w:pPr>
              <w:pStyle w:val="a3"/>
              <w:spacing w:before="0" w:beforeAutospacing="0" w:after="0" w:afterAutospacing="0"/>
              <w:rPr>
                <w:sz w:val="12"/>
                <w:szCs w:val="12"/>
              </w:rPr>
            </w:pPr>
            <w:r>
              <w:rPr>
                <w:sz w:val="12"/>
                <w:szCs w:val="12"/>
              </w:rPr>
              <w:t> </w:t>
            </w:r>
          </w:p>
        </w:tc>
        <w:tc>
          <w:tcPr>
            <w:tcW w:w="148" w:type="pct"/>
            <w:vAlign w:val="bottom"/>
            <w:hideMark/>
          </w:tcPr>
          <w:p w:rsidR="00000000" w:rsidRDefault="00F20BDB">
            <w:pPr>
              <w:pStyle w:val="a3"/>
              <w:spacing w:before="0" w:beforeAutospacing="0" w:after="0" w:afterAutospacing="0"/>
              <w:rPr>
                <w:sz w:val="12"/>
                <w:szCs w:val="12"/>
              </w:rPr>
            </w:pPr>
            <w:r>
              <w:rPr>
                <w:sz w:val="12"/>
                <w:szCs w:val="12"/>
              </w:rPr>
              <w:t> </w:t>
            </w:r>
          </w:p>
        </w:tc>
        <w:tc>
          <w:tcPr>
            <w:tcW w:w="4505" w:type="pct"/>
            <w:vAlign w:val="bottom"/>
            <w:hideMark/>
          </w:tcPr>
          <w:p w:rsidR="00000000" w:rsidRDefault="00F20BDB">
            <w:pPr>
              <w:pStyle w:val="a3"/>
              <w:spacing w:before="0" w:beforeAutospacing="0" w:after="0" w:afterAutospacing="0"/>
              <w:rPr>
                <w:sz w:val="12"/>
                <w:szCs w:val="12"/>
              </w:rPr>
            </w:pPr>
            <w:r>
              <w:rPr>
                <w:sz w:val="12"/>
                <w:szCs w:val="12"/>
              </w:rPr>
              <w:t> </w:t>
            </w:r>
          </w:p>
        </w:tc>
      </w:tr>
      <w:tr w:rsidR="00000000">
        <w:trPr>
          <w:divId w:val="347412502"/>
          <w:jc w:val="center"/>
        </w:trPr>
        <w:tc>
          <w:tcPr>
            <w:tcW w:w="347" w:type="pct"/>
            <w:hideMark/>
          </w:tcPr>
          <w:p w:rsidR="00000000" w:rsidRDefault="00F20BDB">
            <w:pPr>
              <w:pStyle w:val="a3"/>
              <w:spacing w:before="0" w:beforeAutospacing="0" w:after="0" w:afterAutospacing="0"/>
              <w:rPr>
                <w:sz w:val="20"/>
                <w:szCs w:val="20"/>
              </w:rPr>
            </w:pPr>
            <w:r>
              <w:rPr>
                <w:sz w:val="20"/>
                <w:szCs w:val="20"/>
              </w:rPr>
              <w:t>101.CAL</w:t>
            </w:r>
          </w:p>
        </w:tc>
        <w:tc>
          <w:tcPr>
            <w:tcW w:w="148" w:type="pct"/>
            <w:vAlign w:val="bottom"/>
            <w:hideMark/>
          </w:tcPr>
          <w:p w:rsidR="00000000" w:rsidRDefault="00F20BDB">
            <w:pPr>
              <w:pStyle w:val="a3"/>
              <w:spacing w:before="0" w:beforeAutospacing="0" w:after="0" w:afterAutospacing="0"/>
              <w:rPr>
                <w:sz w:val="20"/>
                <w:szCs w:val="20"/>
              </w:rPr>
            </w:pPr>
            <w:r>
              <w:rPr>
                <w:sz w:val="20"/>
                <w:szCs w:val="20"/>
              </w:rPr>
              <w:t> </w:t>
            </w:r>
          </w:p>
        </w:tc>
        <w:tc>
          <w:tcPr>
            <w:tcW w:w="4505" w:type="pct"/>
            <w:vAlign w:val="bottom"/>
            <w:hideMark/>
          </w:tcPr>
          <w:p w:rsidR="00000000" w:rsidRDefault="00F20BDB">
            <w:pPr>
              <w:pStyle w:val="a3"/>
              <w:spacing w:before="0" w:beforeAutospacing="0" w:after="0" w:afterAutospacing="0"/>
              <w:rPr>
                <w:sz w:val="20"/>
                <w:szCs w:val="20"/>
              </w:rPr>
            </w:pPr>
            <w:r>
              <w:rPr>
                <w:sz w:val="20"/>
                <w:szCs w:val="20"/>
              </w:rPr>
              <w:t>XBRL Taxonomy Extension Calculation Linkbase Document</w:t>
            </w:r>
          </w:p>
        </w:tc>
      </w:tr>
      <w:tr w:rsidR="00000000">
        <w:trPr>
          <w:divId w:val="347412502"/>
          <w:trHeight w:val="86"/>
          <w:jc w:val="center"/>
        </w:trPr>
        <w:tc>
          <w:tcPr>
            <w:tcW w:w="347" w:type="pct"/>
            <w:hideMark/>
          </w:tcPr>
          <w:p w:rsidR="00000000" w:rsidRDefault="00F20BDB">
            <w:pPr>
              <w:pStyle w:val="a3"/>
              <w:spacing w:before="0" w:beforeAutospacing="0" w:after="0" w:afterAutospacing="0"/>
              <w:rPr>
                <w:sz w:val="12"/>
                <w:szCs w:val="12"/>
              </w:rPr>
            </w:pPr>
            <w:r>
              <w:rPr>
                <w:sz w:val="12"/>
                <w:szCs w:val="12"/>
              </w:rPr>
              <w:t> </w:t>
            </w:r>
          </w:p>
        </w:tc>
        <w:tc>
          <w:tcPr>
            <w:tcW w:w="148" w:type="pct"/>
            <w:vAlign w:val="bottom"/>
            <w:hideMark/>
          </w:tcPr>
          <w:p w:rsidR="00000000" w:rsidRDefault="00F20BDB">
            <w:pPr>
              <w:pStyle w:val="a3"/>
              <w:spacing w:before="0" w:beforeAutospacing="0" w:after="0" w:afterAutospacing="0"/>
              <w:rPr>
                <w:sz w:val="12"/>
                <w:szCs w:val="12"/>
              </w:rPr>
            </w:pPr>
            <w:r>
              <w:rPr>
                <w:sz w:val="12"/>
                <w:szCs w:val="12"/>
              </w:rPr>
              <w:t> </w:t>
            </w:r>
          </w:p>
        </w:tc>
        <w:tc>
          <w:tcPr>
            <w:tcW w:w="4505" w:type="pct"/>
            <w:vAlign w:val="bottom"/>
            <w:hideMark/>
          </w:tcPr>
          <w:p w:rsidR="00000000" w:rsidRDefault="00F20BDB">
            <w:pPr>
              <w:pStyle w:val="a3"/>
              <w:spacing w:before="0" w:beforeAutospacing="0" w:after="0" w:afterAutospacing="0"/>
              <w:rPr>
                <w:sz w:val="12"/>
                <w:szCs w:val="12"/>
              </w:rPr>
            </w:pPr>
            <w:r>
              <w:rPr>
                <w:sz w:val="12"/>
                <w:szCs w:val="12"/>
              </w:rPr>
              <w:t> </w:t>
            </w:r>
          </w:p>
        </w:tc>
      </w:tr>
      <w:tr w:rsidR="00000000">
        <w:trPr>
          <w:divId w:val="347412502"/>
          <w:jc w:val="center"/>
        </w:trPr>
        <w:tc>
          <w:tcPr>
            <w:tcW w:w="347" w:type="pct"/>
            <w:hideMark/>
          </w:tcPr>
          <w:p w:rsidR="00000000" w:rsidRDefault="00F20BDB">
            <w:pPr>
              <w:pStyle w:val="a3"/>
              <w:spacing w:before="0" w:beforeAutospacing="0" w:after="0" w:afterAutospacing="0"/>
              <w:rPr>
                <w:sz w:val="20"/>
                <w:szCs w:val="20"/>
              </w:rPr>
            </w:pPr>
            <w:r>
              <w:rPr>
                <w:sz w:val="20"/>
                <w:szCs w:val="20"/>
              </w:rPr>
              <w:t>101.DEF</w:t>
            </w:r>
          </w:p>
        </w:tc>
        <w:tc>
          <w:tcPr>
            <w:tcW w:w="148" w:type="pct"/>
            <w:vAlign w:val="bottom"/>
            <w:hideMark/>
          </w:tcPr>
          <w:p w:rsidR="00000000" w:rsidRDefault="00F20BDB">
            <w:pPr>
              <w:pStyle w:val="a3"/>
              <w:spacing w:before="0" w:beforeAutospacing="0" w:after="0" w:afterAutospacing="0"/>
              <w:rPr>
                <w:sz w:val="20"/>
                <w:szCs w:val="20"/>
              </w:rPr>
            </w:pPr>
            <w:r>
              <w:rPr>
                <w:sz w:val="20"/>
                <w:szCs w:val="20"/>
              </w:rPr>
              <w:t> </w:t>
            </w:r>
          </w:p>
        </w:tc>
        <w:tc>
          <w:tcPr>
            <w:tcW w:w="4505" w:type="pct"/>
            <w:vAlign w:val="bottom"/>
            <w:hideMark/>
          </w:tcPr>
          <w:p w:rsidR="00000000" w:rsidRDefault="00F20BDB">
            <w:pPr>
              <w:pStyle w:val="a3"/>
              <w:spacing w:before="0" w:beforeAutospacing="0" w:after="0" w:afterAutospacing="0"/>
              <w:rPr>
                <w:sz w:val="20"/>
                <w:szCs w:val="20"/>
              </w:rPr>
            </w:pPr>
            <w:r>
              <w:rPr>
                <w:sz w:val="20"/>
                <w:szCs w:val="20"/>
              </w:rPr>
              <w:t>XBRL Taxonomy Extension Definition Linkbase Document</w:t>
            </w:r>
          </w:p>
        </w:tc>
      </w:tr>
      <w:tr w:rsidR="00000000">
        <w:trPr>
          <w:divId w:val="347412502"/>
          <w:trHeight w:val="86"/>
          <w:jc w:val="center"/>
        </w:trPr>
        <w:tc>
          <w:tcPr>
            <w:tcW w:w="347" w:type="pct"/>
            <w:hideMark/>
          </w:tcPr>
          <w:p w:rsidR="00000000" w:rsidRDefault="00F20BDB">
            <w:pPr>
              <w:pStyle w:val="a3"/>
              <w:spacing w:before="0" w:beforeAutospacing="0" w:after="0" w:afterAutospacing="0"/>
              <w:rPr>
                <w:sz w:val="12"/>
                <w:szCs w:val="12"/>
              </w:rPr>
            </w:pPr>
            <w:r>
              <w:rPr>
                <w:sz w:val="12"/>
                <w:szCs w:val="12"/>
              </w:rPr>
              <w:t> </w:t>
            </w:r>
          </w:p>
        </w:tc>
        <w:tc>
          <w:tcPr>
            <w:tcW w:w="148" w:type="pct"/>
            <w:vAlign w:val="bottom"/>
            <w:hideMark/>
          </w:tcPr>
          <w:p w:rsidR="00000000" w:rsidRDefault="00F20BDB">
            <w:pPr>
              <w:pStyle w:val="a3"/>
              <w:spacing w:before="0" w:beforeAutospacing="0" w:after="0" w:afterAutospacing="0"/>
              <w:rPr>
                <w:sz w:val="12"/>
                <w:szCs w:val="12"/>
              </w:rPr>
            </w:pPr>
            <w:r>
              <w:rPr>
                <w:sz w:val="12"/>
                <w:szCs w:val="12"/>
              </w:rPr>
              <w:t> </w:t>
            </w:r>
          </w:p>
        </w:tc>
        <w:tc>
          <w:tcPr>
            <w:tcW w:w="4505" w:type="pct"/>
            <w:vAlign w:val="bottom"/>
            <w:hideMark/>
          </w:tcPr>
          <w:p w:rsidR="00000000" w:rsidRDefault="00F20BDB">
            <w:pPr>
              <w:pStyle w:val="a3"/>
              <w:spacing w:before="0" w:beforeAutospacing="0" w:after="0" w:afterAutospacing="0"/>
              <w:rPr>
                <w:sz w:val="12"/>
                <w:szCs w:val="12"/>
              </w:rPr>
            </w:pPr>
            <w:r>
              <w:rPr>
                <w:sz w:val="12"/>
                <w:szCs w:val="12"/>
              </w:rPr>
              <w:t> </w:t>
            </w:r>
          </w:p>
        </w:tc>
      </w:tr>
      <w:tr w:rsidR="00000000">
        <w:trPr>
          <w:divId w:val="347412502"/>
          <w:jc w:val="center"/>
        </w:trPr>
        <w:tc>
          <w:tcPr>
            <w:tcW w:w="347" w:type="pct"/>
            <w:hideMark/>
          </w:tcPr>
          <w:p w:rsidR="00000000" w:rsidRDefault="00F20BDB">
            <w:pPr>
              <w:pStyle w:val="a3"/>
              <w:spacing w:before="0" w:beforeAutospacing="0" w:after="0" w:afterAutospacing="0"/>
              <w:rPr>
                <w:sz w:val="20"/>
                <w:szCs w:val="20"/>
              </w:rPr>
            </w:pPr>
            <w:r>
              <w:rPr>
                <w:sz w:val="20"/>
                <w:szCs w:val="20"/>
              </w:rPr>
              <w:t>101.LAB</w:t>
            </w:r>
          </w:p>
        </w:tc>
        <w:tc>
          <w:tcPr>
            <w:tcW w:w="148" w:type="pct"/>
            <w:vAlign w:val="bottom"/>
            <w:hideMark/>
          </w:tcPr>
          <w:p w:rsidR="00000000" w:rsidRDefault="00F20BDB">
            <w:pPr>
              <w:pStyle w:val="a3"/>
              <w:spacing w:before="0" w:beforeAutospacing="0" w:after="0" w:afterAutospacing="0"/>
              <w:rPr>
                <w:sz w:val="20"/>
                <w:szCs w:val="20"/>
              </w:rPr>
            </w:pPr>
            <w:r>
              <w:rPr>
                <w:sz w:val="20"/>
                <w:szCs w:val="20"/>
              </w:rPr>
              <w:t> </w:t>
            </w:r>
          </w:p>
        </w:tc>
        <w:tc>
          <w:tcPr>
            <w:tcW w:w="4505" w:type="pct"/>
            <w:vAlign w:val="bottom"/>
            <w:hideMark/>
          </w:tcPr>
          <w:p w:rsidR="00000000" w:rsidRDefault="00F20BDB">
            <w:pPr>
              <w:pStyle w:val="a3"/>
              <w:spacing w:before="0" w:beforeAutospacing="0" w:after="0" w:afterAutospacing="0"/>
              <w:rPr>
                <w:sz w:val="20"/>
                <w:szCs w:val="20"/>
              </w:rPr>
            </w:pPr>
            <w:r>
              <w:rPr>
                <w:sz w:val="20"/>
                <w:szCs w:val="20"/>
              </w:rPr>
              <w:t>XBRL Taxonomy Extension Label Linkbase Document</w:t>
            </w:r>
          </w:p>
        </w:tc>
      </w:tr>
      <w:tr w:rsidR="00000000">
        <w:trPr>
          <w:divId w:val="347412502"/>
          <w:trHeight w:val="86"/>
          <w:jc w:val="center"/>
        </w:trPr>
        <w:tc>
          <w:tcPr>
            <w:tcW w:w="347" w:type="pct"/>
            <w:hideMark/>
          </w:tcPr>
          <w:p w:rsidR="00000000" w:rsidRDefault="00F20BDB">
            <w:pPr>
              <w:pStyle w:val="a3"/>
              <w:spacing w:before="0" w:beforeAutospacing="0" w:after="0" w:afterAutospacing="0"/>
              <w:rPr>
                <w:sz w:val="12"/>
                <w:szCs w:val="12"/>
              </w:rPr>
            </w:pPr>
            <w:r>
              <w:rPr>
                <w:sz w:val="12"/>
                <w:szCs w:val="12"/>
              </w:rPr>
              <w:t> </w:t>
            </w:r>
          </w:p>
        </w:tc>
        <w:tc>
          <w:tcPr>
            <w:tcW w:w="148" w:type="pct"/>
            <w:vAlign w:val="bottom"/>
            <w:hideMark/>
          </w:tcPr>
          <w:p w:rsidR="00000000" w:rsidRDefault="00F20BDB">
            <w:pPr>
              <w:pStyle w:val="a3"/>
              <w:spacing w:before="0" w:beforeAutospacing="0" w:after="0" w:afterAutospacing="0"/>
              <w:rPr>
                <w:sz w:val="12"/>
                <w:szCs w:val="12"/>
              </w:rPr>
            </w:pPr>
            <w:r>
              <w:rPr>
                <w:sz w:val="12"/>
                <w:szCs w:val="12"/>
              </w:rPr>
              <w:t> </w:t>
            </w:r>
          </w:p>
        </w:tc>
        <w:tc>
          <w:tcPr>
            <w:tcW w:w="4505" w:type="pct"/>
            <w:vAlign w:val="bottom"/>
            <w:hideMark/>
          </w:tcPr>
          <w:p w:rsidR="00000000" w:rsidRDefault="00F20BDB">
            <w:pPr>
              <w:pStyle w:val="a3"/>
              <w:spacing w:before="0" w:beforeAutospacing="0" w:after="0" w:afterAutospacing="0"/>
              <w:rPr>
                <w:sz w:val="12"/>
                <w:szCs w:val="12"/>
              </w:rPr>
            </w:pPr>
            <w:r>
              <w:rPr>
                <w:sz w:val="12"/>
                <w:szCs w:val="12"/>
              </w:rPr>
              <w:t> </w:t>
            </w:r>
          </w:p>
        </w:tc>
      </w:tr>
      <w:tr w:rsidR="00000000">
        <w:trPr>
          <w:divId w:val="347412502"/>
          <w:jc w:val="center"/>
        </w:trPr>
        <w:tc>
          <w:tcPr>
            <w:tcW w:w="347" w:type="pct"/>
            <w:hideMark/>
          </w:tcPr>
          <w:p w:rsidR="00000000" w:rsidRDefault="00F20BDB">
            <w:pPr>
              <w:pStyle w:val="a3"/>
              <w:spacing w:before="0" w:beforeAutospacing="0" w:after="0" w:afterAutospacing="0"/>
              <w:rPr>
                <w:sz w:val="20"/>
                <w:szCs w:val="20"/>
              </w:rPr>
            </w:pPr>
            <w:r>
              <w:rPr>
                <w:sz w:val="20"/>
                <w:szCs w:val="20"/>
              </w:rPr>
              <w:t>101.PRE</w:t>
            </w:r>
          </w:p>
        </w:tc>
        <w:tc>
          <w:tcPr>
            <w:tcW w:w="148" w:type="pct"/>
            <w:vAlign w:val="bottom"/>
            <w:hideMark/>
          </w:tcPr>
          <w:p w:rsidR="00000000" w:rsidRDefault="00F20BDB">
            <w:pPr>
              <w:pStyle w:val="a3"/>
              <w:spacing w:before="0" w:beforeAutospacing="0" w:after="0" w:afterAutospacing="0"/>
              <w:rPr>
                <w:sz w:val="20"/>
                <w:szCs w:val="20"/>
              </w:rPr>
            </w:pPr>
            <w:r>
              <w:rPr>
                <w:sz w:val="20"/>
                <w:szCs w:val="20"/>
              </w:rPr>
              <w:t> </w:t>
            </w:r>
          </w:p>
        </w:tc>
        <w:tc>
          <w:tcPr>
            <w:tcW w:w="4505" w:type="pct"/>
            <w:vAlign w:val="bottom"/>
            <w:hideMark/>
          </w:tcPr>
          <w:p w:rsidR="00000000" w:rsidRDefault="00F20BDB">
            <w:pPr>
              <w:pStyle w:val="a3"/>
              <w:spacing w:before="0" w:beforeAutospacing="0" w:after="0" w:afterAutospacing="0"/>
              <w:rPr>
                <w:sz w:val="20"/>
                <w:szCs w:val="20"/>
              </w:rPr>
            </w:pPr>
            <w:r>
              <w:rPr>
                <w:sz w:val="20"/>
                <w:szCs w:val="20"/>
              </w:rPr>
              <w:t>XBRL Taxonomy Extension Presentation Linkbase Document</w:t>
            </w:r>
          </w:p>
        </w:tc>
      </w:tr>
    </w:tbl>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40" w:beforeAutospacing="0" w:after="0" w:afterAutospacing="0"/>
        <w:ind w:left="476" w:hanging="55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F20BDB">
            <w:pPr>
              <w:pStyle w:val="a3"/>
              <w:spacing w:before="40" w:beforeAutospacing="0" w:after="0" w:afterAutospacing="0"/>
              <w:rPr>
                <w:sz w:val="20"/>
                <w:szCs w:val="20"/>
              </w:rPr>
            </w:pPr>
            <w:r>
              <w:rPr>
                <w:sz w:val="20"/>
                <w:szCs w:val="20"/>
              </w:rPr>
              <w:t>(1)</w:t>
            </w:r>
          </w:p>
        </w:tc>
        <w:tc>
          <w:tcPr>
            <w:tcW w:w="0" w:type="auto"/>
            <w:hideMark/>
          </w:tcPr>
          <w:p w:rsidR="00000000" w:rsidRDefault="00F20BDB">
            <w:pPr>
              <w:pStyle w:val="a3"/>
              <w:spacing w:before="40" w:beforeAutospacing="0" w:after="0" w:afterAutospacing="0"/>
            </w:pPr>
            <w:r>
              <w:rPr>
                <w:sz w:val="20"/>
                <w:szCs w:val="20"/>
              </w:rPr>
              <w:t>Filed as Exhibit 1.1 to Registrant’</w:t>
            </w:r>
            <w:r>
              <w:rPr>
                <w:sz w:val="20"/>
                <w:szCs w:val="20"/>
              </w:rPr>
              <w:t>s Form 8-K filed with the Securities and Exchange Commission on February 15, 2019 and incorporated herein by reference.</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F20BDB">
            <w:pPr>
              <w:pStyle w:val="a3"/>
              <w:spacing w:before="40" w:beforeAutospacing="0" w:after="0" w:afterAutospacing="0"/>
              <w:rPr>
                <w:sz w:val="20"/>
                <w:szCs w:val="20"/>
              </w:rPr>
            </w:pPr>
            <w:r>
              <w:rPr>
                <w:sz w:val="20"/>
                <w:szCs w:val="20"/>
              </w:rPr>
              <w:t>(2)</w:t>
            </w:r>
          </w:p>
        </w:tc>
        <w:tc>
          <w:tcPr>
            <w:tcW w:w="0" w:type="auto"/>
            <w:hideMark/>
          </w:tcPr>
          <w:p w:rsidR="00000000" w:rsidRDefault="00F20BDB">
            <w:pPr>
              <w:pStyle w:val="a3"/>
              <w:spacing w:before="40" w:beforeAutospacing="0" w:after="0" w:afterAutospacing="0"/>
            </w:pPr>
            <w:r>
              <w:rPr>
                <w:sz w:val="20"/>
                <w:szCs w:val="20"/>
              </w:rPr>
              <w:t>Filed as Exhibit 3.1 to Registrant’s Form 10-K filed with the Securities and Exchange Commission on February 24, 2016 and incorpor</w:t>
            </w:r>
            <w:r>
              <w:rPr>
                <w:sz w:val="20"/>
                <w:szCs w:val="20"/>
              </w:rPr>
              <w:t>ated herein by reference.</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F20BDB">
            <w:pPr>
              <w:pStyle w:val="a3"/>
              <w:spacing w:before="0" w:beforeAutospacing="0" w:after="0" w:afterAutospacing="0"/>
              <w:rPr>
                <w:sz w:val="20"/>
                <w:szCs w:val="20"/>
              </w:rPr>
            </w:pPr>
            <w:r>
              <w:rPr>
                <w:sz w:val="20"/>
                <w:szCs w:val="20"/>
              </w:rPr>
              <w:t>(3)</w:t>
            </w:r>
          </w:p>
        </w:tc>
        <w:tc>
          <w:tcPr>
            <w:tcW w:w="0" w:type="auto"/>
            <w:hideMark/>
          </w:tcPr>
          <w:p w:rsidR="00000000" w:rsidRDefault="00F20BDB">
            <w:pPr>
              <w:pStyle w:val="a3"/>
              <w:spacing w:before="0" w:beforeAutospacing="0" w:after="0" w:afterAutospacing="0"/>
            </w:pPr>
            <w:r>
              <w:rPr>
                <w:sz w:val="20"/>
                <w:szCs w:val="20"/>
              </w:rPr>
              <w:t>Filed as Exhibit 3.1 to Registrant’s Form 8-K filed with the Securities and Exchange Commission on April 25, 2018 and incorporated herein by reference.</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F20BDB">
            <w:pPr>
              <w:pStyle w:val="a3"/>
              <w:spacing w:before="0" w:beforeAutospacing="0" w:after="0" w:afterAutospacing="0"/>
              <w:rPr>
                <w:sz w:val="20"/>
                <w:szCs w:val="20"/>
              </w:rPr>
            </w:pPr>
            <w:r>
              <w:rPr>
                <w:sz w:val="20"/>
                <w:szCs w:val="20"/>
              </w:rPr>
              <w:t>(4)</w:t>
            </w:r>
          </w:p>
        </w:tc>
        <w:tc>
          <w:tcPr>
            <w:tcW w:w="0" w:type="auto"/>
            <w:hideMark/>
          </w:tcPr>
          <w:p w:rsidR="00000000" w:rsidRDefault="00F20BDB">
            <w:pPr>
              <w:pStyle w:val="a3"/>
              <w:spacing w:before="0" w:beforeAutospacing="0" w:after="0" w:afterAutospacing="0"/>
            </w:pPr>
            <w:r>
              <w:rPr>
                <w:sz w:val="20"/>
                <w:szCs w:val="20"/>
              </w:rPr>
              <w:t>Filed as Exhibit 4.1 to Amendment No. 1 to Registrant’s Registrati</w:t>
            </w:r>
            <w:r>
              <w:rPr>
                <w:sz w:val="20"/>
                <w:szCs w:val="20"/>
              </w:rPr>
              <w:t>on Statement on Form S-1 filed with the Securities and Exchange Commission on September 26, 2014, and incorporated herein by reference.</w:t>
            </w:r>
          </w:p>
        </w:tc>
      </w:tr>
    </w:tbl>
    <w:p w:rsidR="00000000" w:rsidRDefault="00F20BD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F20BDB">
            <w:pPr>
              <w:pStyle w:val="a3"/>
              <w:spacing w:before="0" w:beforeAutospacing="0" w:after="0" w:afterAutospacing="0"/>
              <w:rPr>
                <w:sz w:val="20"/>
                <w:szCs w:val="20"/>
              </w:rPr>
            </w:pPr>
            <w:r>
              <w:rPr>
                <w:sz w:val="20"/>
                <w:szCs w:val="20"/>
              </w:rPr>
              <w:t>(5)</w:t>
            </w:r>
          </w:p>
        </w:tc>
        <w:tc>
          <w:tcPr>
            <w:tcW w:w="0" w:type="auto"/>
            <w:hideMark/>
          </w:tcPr>
          <w:p w:rsidR="00000000" w:rsidRDefault="00F20BDB">
            <w:pPr>
              <w:pStyle w:val="a3"/>
              <w:spacing w:before="0" w:beforeAutospacing="0" w:after="0" w:afterAutospacing="0"/>
              <w:rPr>
                <w:sz w:val="20"/>
                <w:szCs w:val="20"/>
              </w:rPr>
            </w:pPr>
            <w:r>
              <w:rPr>
                <w:sz w:val="20"/>
                <w:szCs w:val="20"/>
              </w:rPr>
              <w:t>Filed herewith.</w:t>
            </w:r>
          </w:p>
        </w:tc>
      </w:tr>
    </w:tbl>
    <w:p w:rsidR="00000000" w:rsidRDefault="00F20BD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F20BDB">
            <w:pPr>
              <w:pStyle w:val="a3"/>
              <w:spacing w:before="0" w:beforeAutospacing="0" w:after="0" w:afterAutospacing="0"/>
              <w:rPr>
                <w:sz w:val="20"/>
                <w:szCs w:val="20"/>
              </w:rPr>
            </w:pPr>
            <w:r>
              <w:rPr>
                <w:sz w:val="20"/>
                <w:szCs w:val="20"/>
              </w:rPr>
              <w:t>*</w:t>
            </w:r>
          </w:p>
        </w:tc>
        <w:tc>
          <w:tcPr>
            <w:tcW w:w="0" w:type="auto"/>
            <w:hideMark/>
          </w:tcPr>
          <w:p w:rsidR="00000000" w:rsidRDefault="00F20BDB">
            <w:pPr>
              <w:pStyle w:val="a3"/>
              <w:spacing w:before="0" w:beforeAutospacing="0" w:after="0" w:afterAutospacing="0"/>
            </w:pPr>
            <w:r>
              <w:rPr>
                <w:sz w:val="20"/>
                <w:szCs w:val="20"/>
              </w:rPr>
              <w:t>The certifications furnished in Exhibit 32.1 hereto are deemed to accompany this Quarterly Report on Form 10-Q and will not be deemed “filed” for purposes of Section 18 of the Securities Exchange Act of 1934, as amended, except to the extent that the Regis</w:t>
            </w:r>
            <w:r>
              <w:rPr>
                <w:sz w:val="20"/>
                <w:szCs w:val="20"/>
              </w:rPr>
              <w:t xml:space="preserve">trant specifically incorporates it by reference. Such certifications will not be deemed to be incorporated by reference into any filings under the Securities Act of 1933, as amended, or the Securities Exchange Act of 1934, as amended, except to the extent </w:t>
            </w:r>
            <w:r>
              <w:rPr>
                <w:sz w:val="20"/>
                <w:szCs w:val="20"/>
              </w:rPr>
              <w:t>that the Registrant specifically incorporates it by reference.</w:t>
            </w:r>
          </w:p>
        </w:tc>
      </w:tr>
    </w:tbl>
    <w:p w:rsidR="00000000" w:rsidRDefault="00F20BDB">
      <w:pPr>
        <w:pStyle w:val="a3"/>
        <w:spacing w:before="0" w:beforeAutospacing="0" w:after="0" w:afterAutospacing="0"/>
        <w:ind w:left="1071" w:hanging="1109"/>
      </w:pPr>
      <w:r>
        <w:t> </w:t>
      </w:r>
    </w:p>
    <w:p w:rsidR="00000000" w:rsidRDefault="00F20BDB">
      <w:pPr>
        <w:pStyle w:val="a3"/>
        <w:spacing w:before="0" w:beforeAutospacing="0" w:after="0" w:afterAutospacing="0"/>
        <w:ind w:left="476" w:hanging="556"/>
        <w:rPr>
          <w:sz w:val="20"/>
          <w:szCs w:val="20"/>
        </w:rPr>
      </w:pPr>
      <w:r>
        <w:rPr>
          <w:sz w:val="20"/>
          <w:szCs w:val="20"/>
        </w:rPr>
        <w:t> </w: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240" w:beforeAutospacing="0" w:after="0" w:afterAutospacing="0"/>
        <w:jc w:val="center"/>
        <w:rPr>
          <w:sz w:val="20"/>
          <w:szCs w:val="20"/>
        </w:rPr>
      </w:pPr>
      <w:r>
        <w:rPr>
          <w:sz w:val="20"/>
          <w:szCs w:val="20"/>
        </w:rPr>
        <w:t>52</w:t>
      </w:r>
    </w:p>
    <w:p w:rsidR="00000000" w:rsidRDefault="00F20BDB">
      <w:pPr>
        <w:rPr>
          <w:rFonts w:eastAsia="Times New Roman"/>
        </w:rPr>
      </w:pPr>
      <w:r>
        <w:rPr>
          <w:rFonts w:eastAsia="Times New Roman"/>
        </w:rPr>
        <w:pict>
          <v:rect id="_x0000_i1076" style="width:415.3pt;height:1.5pt" o:hralign="center" o:hrstd="t" o:hr="t" fillcolor="#a0a0a0" stroked="f"/>
        </w:pic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jc w:val="center"/>
        <w:rPr>
          <w:b/>
          <w:bCs/>
          <w:sz w:val="20"/>
          <w:szCs w:val="20"/>
        </w:rPr>
      </w:pPr>
      <w:bookmarkStart w:id="71" w:name="_AEIOULastRenderedPageBreakAEIOU47"/>
      <w:bookmarkStart w:id="72" w:name="SIGNATURES"/>
      <w:bookmarkEnd w:id="71"/>
      <w:bookmarkEnd w:id="72"/>
      <w:r>
        <w:rPr>
          <w:b/>
          <w:bCs/>
          <w:sz w:val="20"/>
          <w:szCs w:val="20"/>
        </w:rPr>
        <w:t>SIGNATURES</w:t>
      </w:r>
    </w:p>
    <w:p w:rsidR="00000000" w:rsidRDefault="00F20BDB">
      <w:pPr>
        <w:pStyle w:val="a3"/>
        <w:spacing w:before="120" w:beforeAutospacing="0" w:after="0" w:afterAutospacing="0"/>
        <w:ind w:firstLine="556"/>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F20BDB">
      <w:pPr>
        <w:pStyle w:val="a3"/>
        <w:spacing w:before="0" w:beforeAutospacing="0" w:after="0" w:afterAutospacing="0"/>
        <w:rPr>
          <w:sz w:val="20"/>
          <w:szCs w:val="20"/>
        </w:rPr>
      </w:pPr>
      <w:r>
        <w:rPr>
          <w:sz w:val="20"/>
          <w:szCs w:val="20"/>
        </w:rPr>
        <w:t> </w:t>
      </w:r>
    </w:p>
    <w:tbl>
      <w:tblPr>
        <w:tblW w:w="2000" w:type="pct"/>
        <w:jc w:val="right"/>
        <w:tblCellMar>
          <w:left w:w="0" w:type="dxa"/>
          <w:right w:w="0" w:type="dxa"/>
        </w:tblCellMar>
        <w:tblLook w:val="04A0" w:firstRow="1" w:lastRow="0" w:firstColumn="1" w:lastColumn="0" w:noHBand="0" w:noVBand="1"/>
      </w:tblPr>
      <w:tblGrid>
        <w:gridCol w:w="534"/>
        <w:gridCol w:w="50"/>
        <w:gridCol w:w="2738"/>
      </w:tblGrid>
      <w:tr w:rsidR="00000000">
        <w:trPr>
          <w:jc w:val="right"/>
        </w:trPr>
        <w:tc>
          <w:tcPr>
            <w:tcW w:w="250" w:type="pct"/>
            <w:gridSpan w:val="3"/>
            <w:vAlign w:val="bottom"/>
            <w:hideMark/>
          </w:tcPr>
          <w:p w:rsidR="00000000" w:rsidRDefault="00F20BDB">
            <w:pPr>
              <w:pStyle w:val="a3"/>
              <w:spacing w:before="0" w:beforeAutospacing="0" w:after="0" w:afterAutospacing="0"/>
              <w:rPr>
                <w:b/>
                <w:bCs/>
                <w:sz w:val="20"/>
                <w:szCs w:val="20"/>
              </w:rPr>
            </w:pPr>
            <w:r>
              <w:rPr>
                <w:b/>
                <w:bCs/>
                <w:sz w:val="20"/>
                <w:szCs w:val="20"/>
              </w:rPr>
              <w:t>HUBSPOT, INC.</w:t>
            </w:r>
          </w:p>
        </w:tc>
      </w:tr>
      <w:tr w:rsidR="00000000">
        <w:trPr>
          <w:jc w:val="right"/>
        </w:trPr>
        <w:tc>
          <w:tcPr>
            <w:tcW w:w="250" w:type="pct"/>
            <w:vAlign w:val="center"/>
            <w:hideMark/>
          </w:tcPr>
          <w:p w:rsidR="00000000" w:rsidRDefault="00F20BDB">
            <w:pPr>
              <w:pStyle w:val="a3"/>
              <w:spacing w:before="0" w:beforeAutospacing="0" w:after="0" w:afterAutospacing="0"/>
            </w:pPr>
            <w:r>
              <w:t> </w:t>
            </w:r>
          </w:p>
        </w:tc>
        <w:tc>
          <w:tcPr>
            <w:tcW w:w="50" w:type="pct"/>
            <w:gridSpan w:val="2"/>
            <w:vAlign w:val="center"/>
            <w:hideMark/>
          </w:tcPr>
          <w:p w:rsidR="00000000" w:rsidRDefault="00F20BDB">
            <w:pPr>
              <w:pStyle w:val="a3"/>
              <w:spacing w:before="0" w:beforeAutospacing="0" w:after="0" w:afterAutospacing="0"/>
            </w:pPr>
            <w:r>
              <w:t> </w:t>
            </w:r>
          </w:p>
        </w:tc>
      </w:tr>
      <w:tr w:rsidR="00000000">
        <w:trPr>
          <w:jc w:val="right"/>
        </w:trPr>
        <w:tc>
          <w:tcPr>
            <w:tcW w:w="250" w:type="pct"/>
            <w:vAlign w:val="bottom"/>
            <w:hideMark/>
          </w:tcPr>
          <w:p w:rsidR="00000000" w:rsidRDefault="00F20BDB">
            <w:pPr>
              <w:pStyle w:val="a3"/>
              <w:spacing w:before="0" w:beforeAutospacing="0" w:after="0" w:afterAutospacing="0"/>
              <w:rPr>
                <w:sz w:val="20"/>
                <w:szCs w:val="20"/>
              </w:rPr>
            </w:pPr>
            <w:r>
              <w:rPr>
                <w:sz w:val="20"/>
                <w:szCs w:val="20"/>
              </w:rPr>
              <w:t>By:</w:t>
            </w:r>
          </w:p>
        </w:tc>
        <w:tc>
          <w:tcPr>
            <w:tcW w:w="50" w:type="pct"/>
            <w:vAlign w:val="bottom"/>
            <w:hideMark/>
          </w:tcPr>
          <w:p w:rsidR="00000000" w:rsidRDefault="00F20BDB">
            <w:pPr>
              <w:pStyle w:val="a3"/>
              <w:spacing w:before="0" w:beforeAutospacing="0" w:after="0" w:afterAutospacing="0"/>
              <w:rPr>
                <w:sz w:val="20"/>
                <w:szCs w:val="20"/>
              </w:rPr>
            </w:pPr>
            <w:r>
              <w:rPr>
                <w:sz w:val="20"/>
                <w:szCs w:val="20"/>
              </w:rPr>
              <w:t> </w:t>
            </w:r>
          </w:p>
        </w:tc>
        <w:tc>
          <w:tcPr>
            <w:tcW w:w="1700" w:type="pct"/>
            <w:tcBorders>
              <w:bottom w:val="single" w:sz="6" w:space="0" w:color="000000"/>
            </w:tcBorders>
            <w:vAlign w:val="bottom"/>
            <w:hideMark/>
          </w:tcPr>
          <w:p w:rsidR="00000000" w:rsidRDefault="00F20BDB">
            <w:pPr>
              <w:pStyle w:val="a3"/>
              <w:spacing w:before="0" w:beforeAutospacing="0" w:after="0" w:afterAutospacing="0"/>
              <w:rPr>
                <w:sz w:val="20"/>
                <w:szCs w:val="20"/>
              </w:rPr>
            </w:pPr>
            <w:r>
              <w:rPr>
                <w:sz w:val="20"/>
                <w:szCs w:val="20"/>
              </w:rPr>
              <w:t>/s/ Kate Bueker</w:t>
            </w:r>
          </w:p>
        </w:tc>
      </w:tr>
      <w:tr w:rsidR="00000000">
        <w:trPr>
          <w:jc w:val="right"/>
        </w:trPr>
        <w:tc>
          <w:tcPr>
            <w:tcW w:w="250" w:type="pct"/>
            <w:vAlign w:val="bottom"/>
            <w:hideMark/>
          </w:tcPr>
          <w:p w:rsidR="00000000" w:rsidRDefault="00F20BDB">
            <w:pPr>
              <w:pStyle w:val="a3"/>
              <w:spacing w:before="0" w:beforeAutospacing="0" w:after="0" w:afterAutospacing="0"/>
              <w:rPr>
                <w:sz w:val="20"/>
                <w:szCs w:val="20"/>
              </w:rPr>
            </w:pPr>
            <w:r>
              <w:rPr>
                <w:sz w:val="20"/>
                <w:szCs w:val="20"/>
              </w:rPr>
              <w:t>Name:</w:t>
            </w:r>
          </w:p>
        </w:tc>
        <w:tc>
          <w:tcPr>
            <w:tcW w:w="50" w:type="pct"/>
            <w:vAlign w:val="bottom"/>
            <w:hideMark/>
          </w:tcPr>
          <w:p w:rsidR="00000000" w:rsidRDefault="00F20BDB">
            <w:pPr>
              <w:pStyle w:val="a3"/>
              <w:spacing w:before="0" w:beforeAutospacing="0" w:after="0" w:afterAutospacing="0"/>
              <w:rPr>
                <w:sz w:val="20"/>
                <w:szCs w:val="20"/>
              </w:rPr>
            </w:pPr>
            <w:r>
              <w:rPr>
                <w:sz w:val="20"/>
                <w:szCs w:val="20"/>
              </w:rPr>
              <w:t> </w:t>
            </w:r>
          </w:p>
        </w:tc>
        <w:tc>
          <w:tcPr>
            <w:tcW w:w="1700" w:type="pct"/>
            <w:tcBorders>
              <w:top w:val="single" w:sz="6" w:space="0" w:color="000000"/>
            </w:tcBorders>
            <w:vAlign w:val="bottom"/>
            <w:hideMark/>
          </w:tcPr>
          <w:p w:rsidR="00000000" w:rsidRDefault="00F20BDB">
            <w:pPr>
              <w:pStyle w:val="a3"/>
              <w:spacing w:before="0" w:beforeAutospacing="0" w:after="0" w:afterAutospacing="0"/>
              <w:rPr>
                <w:sz w:val="20"/>
                <w:szCs w:val="20"/>
              </w:rPr>
            </w:pPr>
            <w:r>
              <w:rPr>
                <w:sz w:val="20"/>
                <w:szCs w:val="20"/>
              </w:rPr>
              <w:t>Kate Bueker</w:t>
            </w:r>
          </w:p>
        </w:tc>
      </w:tr>
      <w:tr w:rsidR="00000000">
        <w:trPr>
          <w:jc w:val="right"/>
        </w:trPr>
        <w:tc>
          <w:tcPr>
            <w:tcW w:w="250" w:type="pct"/>
            <w:hideMark/>
          </w:tcPr>
          <w:p w:rsidR="00000000" w:rsidRDefault="00F20BDB">
            <w:pPr>
              <w:pStyle w:val="a3"/>
              <w:spacing w:before="0" w:beforeAutospacing="0" w:after="0" w:afterAutospacing="0"/>
              <w:rPr>
                <w:sz w:val="20"/>
                <w:szCs w:val="20"/>
              </w:rPr>
            </w:pPr>
            <w:r>
              <w:rPr>
                <w:sz w:val="20"/>
                <w:szCs w:val="20"/>
              </w:rPr>
              <w:t>Title:</w:t>
            </w:r>
          </w:p>
        </w:tc>
        <w:tc>
          <w:tcPr>
            <w:tcW w:w="50" w:type="pct"/>
            <w:vAlign w:val="bottom"/>
            <w:hideMark/>
          </w:tcPr>
          <w:p w:rsidR="00000000" w:rsidRDefault="00F20BDB">
            <w:pPr>
              <w:pStyle w:val="a3"/>
              <w:spacing w:before="0" w:beforeAutospacing="0" w:after="0" w:afterAutospacing="0"/>
              <w:rPr>
                <w:sz w:val="20"/>
                <w:szCs w:val="20"/>
              </w:rPr>
            </w:pPr>
            <w:r>
              <w:rPr>
                <w:sz w:val="20"/>
                <w:szCs w:val="20"/>
              </w:rPr>
              <w:t> </w:t>
            </w:r>
          </w:p>
        </w:tc>
        <w:tc>
          <w:tcPr>
            <w:tcW w:w="1700" w:type="pct"/>
            <w:vAlign w:val="bottom"/>
            <w:hideMark/>
          </w:tcPr>
          <w:p w:rsidR="00000000" w:rsidRDefault="00F20BDB">
            <w:pPr>
              <w:pStyle w:val="a3"/>
              <w:spacing w:before="0" w:beforeAutospacing="0" w:after="0" w:afterAutospacing="0"/>
              <w:rPr>
                <w:sz w:val="20"/>
                <w:szCs w:val="20"/>
              </w:rPr>
            </w:pPr>
            <w:r>
              <w:rPr>
                <w:sz w:val="20"/>
                <w:szCs w:val="20"/>
              </w:rPr>
              <w:t>Chief Financial Officer</w:t>
            </w:r>
          </w:p>
          <w:p w:rsidR="00000000" w:rsidRDefault="00F20BDB">
            <w:pPr>
              <w:pStyle w:val="a3"/>
              <w:spacing w:before="0" w:beforeAutospacing="0" w:after="0" w:afterAutospacing="0"/>
              <w:rPr>
                <w:i/>
                <w:iCs/>
                <w:sz w:val="20"/>
                <w:szCs w:val="20"/>
              </w:rPr>
            </w:pPr>
            <w:r>
              <w:rPr>
                <w:i/>
                <w:iCs/>
                <w:sz w:val="20"/>
                <w:szCs w:val="20"/>
              </w:rPr>
              <w:t xml:space="preserve">(Principal Financial and Accounting </w:t>
            </w:r>
          </w:p>
          <w:p w:rsidR="00000000" w:rsidRDefault="00F20BDB">
            <w:pPr>
              <w:pStyle w:val="a3"/>
              <w:spacing w:before="0" w:beforeAutospacing="0" w:after="0" w:afterAutospacing="0"/>
              <w:rPr>
                <w:i/>
                <w:iCs/>
                <w:sz w:val="20"/>
                <w:szCs w:val="20"/>
              </w:rPr>
            </w:pPr>
            <w:r>
              <w:rPr>
                <w:i/>
                <w:iCs/>
                <w:sz w:val="20"/>
                <w:szCs w:val="20"/>
              </w:rPr>
              <w:t>Officer and Authorized Signatory)</w:t>
            </w:r>
          </w:p>
        </w:tc>
      </w:tr>
    </w:tbl>
    <w:p w:rsidR="00000000" w:rsidRDefault="00F20BDB">
      <w:pPr>
        <w:pStyle w:val="a3"/>
        <w:spacing w:before="240" w:beforeAutospacing="0" w:after="0" w:afterAutospacing="0"/>
        <w:rPr>
          <w:sz w:val="20"/>
          <w:szCs w:val="20"/>
        </w:rPr>
      </w:pPr>
      <w:r>
        <w:rPr>
          <w:sz w:val="20"/>
          <w:szCs w:val="20"/>
        </w:rPr>
        <w:t>May 7, 2019</w: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sz w:val="20"/>
          <w:szCs w:val="20"/>
        </w:rPr>
      </w:pPr>
      <w:r>
        <w:rPr>
          <w:sz w:val="20"/>
          <w:szCs w:val="20"/>
        </w:rPr>
        <w:t> </w:t>
      </w:r>
    </w:p>
    <w:p w:rsidR="00000000" w:rsidRDefault="00F20BDB">
      <w:pPr>
        <w:pStyle w:val="a3"/>
        <w:spacing w:before="0" w:beforeAutospacing="0" w:after="0" w:afterAutospacing="0"/>
        <w:rPr>
          <w:sz w:val="20"/>
          <w:szCs w:val="20"/>
        </w:rPr>
      </w:pPr>
      <w:r>
        <w:rPr>
          <w:sz w:val="20"/>
          <w:szCs w:val="20"/>
        </w:rPr>
        <w:t> </w:t>
      </w:r>
    </w:p>
    <w:p w:rsidR="00F20BDB" w:rsidRDefault="00F20BDB">
      <w:pPr>
        <w:pStyle w:val="a3"/>
        <w:spacing w:before="240" w:beforeAutospacing="0" w:after="0" w:afterAutospacing="0"/>
        <w:jc w:val="center"/>
        <w:rPr>
          <w:sz w:val="20"/>
          <w:szCs w:val="20"/>
        </w:rPr>
      </w:pPr>
      <w:r>
        <w:rPr>
          <w:sz w:val="20"/>
          <w:szCs w:val="20"/>
        </w:rPr>
        <w:t> </w:t>
      </w:r>
    </w:p>
    <w:sectPr w:rsidR="00F20BD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20BDB"/>
    <w:rsid w:val="00F20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0583">
      <w:marLeft w:val="0"/>
      <w:marRight w:val="0"/>
      <w:marTop w:val="0"/>
      <w:marBottom w:val="0"/>
      <w:divBdr>
        <w:top w:val="none" w:sz="0" w:space="0" w:color="auto"/>
        <w:left w:val="none" w:sz="0" w:space="0" w:color="auto"/>
        <w:bottom w:val="none" w:sz="0" w:space="0" w:color="auto"/>
        <w:right w:val="none" w:sz="0" w:space="0" w:color="auto"/>
      </w:divBdr>
    </w:div>
    <w:div w:id="26830854">
      <w:marLeft w:val="0"/>
      <w:marRight w:val="0"/>
      <w:marTop w:val="0"/>
      <w:marBottom w:val="0"/>
      <w:divBdr>
        <w:top w:val="none" w:sz="0" w:space="0" w:color="auto"/>
        <w:left w:val="none" w:sz="0" w:space="0" w:color="auto"/>
        <w:bottom w:val="none" w:sz="0" w:space="0" w:color="auto"/>
        <w:right w:val="none" w:sz="0" w:space="0" w:color="auto"/>
      </w:divBdr>
    </w:div>
    <w:div w:id="64187280">
      <w:marLeft w:val="0"/>
      <w:marRight w:val="0"/>
      <w:marTop w:val="0"/>
      <w:marBottom w:val="0"/>
      <w:divBdr>
        <w:top w:val="none" w:sz="0" w:space="0" w:color="auto"/>
        <w:left w:val="none" w:sz="0" w:space="0" w:color="auto"/>
        <w:bottom w:val="none" w:sz="0" w:space="0" w:color="auto"/>
        <w:right w:val="none" w:sz="0" w:space="0" w:color="auto"/>
      </w:divBdr>
    </w:div>
    <w:div w:id="108206791">
      <w:marLeft w:val="0"/>
      <w:marRight w:val="0"/>
      <w:marTop w:val="0"/>
      <w:marBottom w:val="0"/>
      <w:divBdr>
        <w:top w:val="none" w:sz="0" w:space="0" w:color="auto"/>
        <w:left w:val="none" w:sz="0" w:space="0" w:color="auto"/>
        <w:bottom w:val="none" w:sz="0" w:space="0" w:color="auto"/>
        <w:right w:val="none" w:sz="0" w:space="0" w:color="auto"/>
      </w:divBdr>
    </w:div>
    <w:div w:id="198784861">
      <w:marLeft w:val="0"/>
      <w:marRight w:val="0"/>
      <w:marTop w:val="0"/>
      <w:marBottom w:val="0"/>
      <w:divBdr>
        <w:top w:val="none" w:sz="0" w:space="0" w:color="auto"/>
        <w:left w:val="none" w:sz="0" w:space="0" w:color="auto"/>
        <w:bottom w:val="none" w:sz="0" w:space="0" w:color="auto"/>
        <w:right w:val="none" w:sz="0" w:space="0" w:color="auto"/>
      </w:divBdr>
    </w:div>
    <w:div w:id="246381317">
      <w:marLeft w:val="0"/>
      <w:marRight w:val="0"/>
      <w:marTop w:val="0"/>
      <w:marBottom w:val="0"/>
      <w:divBdr>
        <w:top w:val="none" w:sz="0" w:space="0" w:color="auto"/>
        <w:left w:val="none" w:sz="0" w:space="0" w:color="auto"/>
        <w:bottom w:val="none" w:sz="0" w:space="0" w:color="auto"/>
        <w:right w:val="none" w:sz="0" w:space="0" w:color="auto"/>
      </w:divBdr>
    </w:div>
    <w:div w:id="273709698">
      <w:marLeft w:val="0"/>
      <w:marRight w:val="0"/>
      <w:marTop w:val="0"/>
      <w:marBottom w:val="0"/>
      <w:divBdr>
        <w:top w:val="none" w:sz="0" w:space="0" w:color="auto"/>
        <w:left w:val="none" w:sz="0" w:space="0" w:color="auto"/>
        <w:bottom w:val="none" w:sz="0" w:space="0" w:color="auto"/>
        <w:right w:val="none" w:sz="0" w:space="0" w:color="auto"/>
      </w:divBdr>
    </w:div>
    <w:div w:id="297075490">
      <w:marLeft w:val="0"/>
      <w:marRight w:val="0"/>
      <w:marTop w:val="0"/>
      <w:marBottom w:val="0"/>
      <w:divBdr>
        <w:top w:val="none" w:sz="0" w:space="0" w:color="auto"/>
        <w:left w:val="none" w:sz="0" w:space="0" w:color="auto"/>
        <w:bottom w:val="none" w:sz="0" w:space="0" w:color="auto"/>
        <w:right w:val="none" w:sz="0" w:space="0" w:color="auto"/>
      </w:divBdr>
    </w:div>
    <w:div w:id="347412502">
      <w:marLeft w:val="0"/>
      <w:marRight w:val="0"/>
      <w:marTop w:val="0"/>
      <w:marBottom w:val="0"/>
      <w:divBdr>
        <w:top w:val="none" w:sz="0" w:space="0" w:color="auto"/>
        <w:left w:val="none" w:sz="0" w:space="0" w:color="auto"/>
        <w:bottom w:val="none" w:sz="0" w:space="0" w:color="auto"/>
        <w:right w:val="none" w:sz="0" w:space="0" w:color="auto"/>
      </w:divBdr>
    </w:div>
    <w:div w:id="433670834">
      <w:marLeft w:val="0"/>
      <w:marRight w:val="0"/>
      <w:marTop w:val="0"/>
      <w:marBottom w:val="0"/>
      <w:divBdr>
        <w:top w:val="none" w:sz="0" w:space="0" w:color="auto"/>
        <w:left w:val="none" w:sz="0" w:space="0" w:color="auto"/>
        <w:bottom w:val="none" w:sz="0" w:space="0" w:color="auto"/>
        <w:right w:val="none" w:sz="0" w:space="0" w:color="auto"/>
      </w:divBdr>
    </w:div>
    <w:div w:id="458690740">
      <w:marLeft w:val="0"/>
      <w:marRight w:val="0"/>
      <w:marTop w:val="0"/>
      <w:marBottom w:val="0"/>
      <w:divBdr>
        <w:top w:val="none" w:sz="0" w:space="0" w:color="auto"/>
        <w:left w:val="none" w:sz="0" w:space="0" w:color="auto"/>
        <w:bottom w:val="none" w:sz="0" w:space="0" w:color="auto"/>
        <w:right w:val="none" w:sz="0" w:space="0" w:color="auto"/>
      </w:divBdr>
    </w:div>
    <w:div w:id="533421110">
      <w:marLeft w:val="0"/>
      <w:marRight w:val="0"/>
      <w:marTop w:val="0"/>
      <w:marBottom w:val="0"/>
      <w:divBdr>
        <w:top w:val="none" w:sz="0" w:space="0" w:color="auto"/>
        <w:left w:val="none" w:sz="0" w:space="0" w:color="auto"/>
        <w:bottom w:val="none" w:sz="0" w:space="0" w:color="auto"/>
        <w:right w:val="none" w:sz="0" w:space="0" w:color="auto"/>
      </w:divBdr>
    </w:div>
    <w:div w:id="534654263">
      <w:marLeft w:val="0"/>
      <w:marRight w:val="0"/>
      <w:marTop w:val="0"/>
      <w:marBottom w:val="0"/>
      <w:divBdr>
        <w:top w:val="none" w:sz="0" w:space="0" w:color="auto"/>
        <w:left w:val="none" w:sz="0" w:space="0" w:color="auto"/>
        <w:bottom w:val="none" w:sz="0" w:space="0" w:color="auto"/>
        <w:right w:val="none" w:sz="0" w:space="0" w:color="auto"/>
      </w:divBdr>
    </w:div>
    <w:div w:id="538903587">
      <w:marLeft w:val="0"/>
      <w:marRight w:val="0"/>
      <w:marTop w:val="0"/>
      <w:marBottom w:val="0"/>
      <w:divBdr>
        <w:top w:val="none" w:sz="0" w:space="0" w:color="auto"/>
        <w:left w:val="none" w:sz="0" w:space="0" w:color="auto"/>
        <w:bottom w:val="none" w:sz="0" w:space="0" w:color="auto"/>
        <w:right w:val="none" w:sz="0" w:space="0" w:color="auto"/>
      </w:divBdr>
    </w:div>
    <w:div w:id="557475882">
      <w:marLeft w:val="0"/>
      <w:marRight w:val="0"/>
      <w:marTop w:val="0"/>
      <w:marBottom w:val="0"/>
      <w:divBdr>
        <w:top w:val="none" w:sz="0" w:space="0" w:color="auto"/>
        <w:left w:val="none" w:sz="0" w:space="0" w:color="auto"/>
        <w:bottom w:val="none" w:sz="0" w:space="0" w:color="auto"/>
        <w:right w:val="none" w:sz="0" w:space="0" w:color="auto"/>
      </w:divBdr>
    </w:div>
    <w:div w:id="557788246">
      <w:marLeft w:val="0"/>
      <w:marRight w:val="0"/>
      <w:marTop w:val="0"/>
      <w:marBottom w:val="0"/>
      <w:divBdr>
        <w:top w:val="none" w:sz="0" w:space="0" w:color="auto"/>
        <w:left w:val="none" w:sz="0" w:space="0" w:color="auto"/>
        <w:bottom w:val="none" w:sz="0" w:space="0" w:color="auto"/>
        <w:right w:val="none" w:sz="0" w:space="0" w:color="auto"/>
      </w:divBdr>
    </w:div>
    <w:div w:id="712735140">
      <w:marLeft w:val="0"/>
      <w:marRight w:val="0"/>
      <w:marTop w:val="0"/>
      <w:marBottom w:val="0"/>
      <w:divBdr>
        <w:top w:val="none" w:sz="0" w:space="0" w:color="auto"/>
        <w:left w:val="none" w:sz="0" w:space="0" w:color="auto"/>
        <w:bottom w:val="none" w:sz="0" w:space="0" w:color="auto"/>
        <w:right w:val="none" w:sz="0" w:space="0" w:color="auto"/>
      </w:divBdr>
    </w:div>
    <w:div w:id="719481340">
      <w:marLeft w:val="0"/>
      <w:marRight w:val="0"/>
      <w:marTop w:val="0"/>
      <w:marBottom w:val="0"/>
      <w:divBdr>
        <w:top w:val="none" w:sz="0" w:space="0" w:color="auto"/>
        <w:left w:val="none" w:sz="0" w:space="0" w:color="auto"/>
        <w:bottom w:val="none" w:sz="0" w:space="0" w:color="auto"/>
        <w:right w:val="none" w:sz="0" w:space="0" w:color="auto"/>
      </w:divBdr>
    </w:div>
    <w:div w:id="797338361">
      <w:marLeft w:val="0"/>
      <w:marRight w:val="0"/>
      <w:marTop w:val="0"/>
      <w:marBottom w:val="0"/>
      <w:divBdr>
        <w:top w:val="none" w:sz="0" w:space="0" w:color="auto"/>
        <w:left w:val="none" w:sz="0" w:space="0" w:color="auto"/>
        <w:bottom w:val="none" w:sz="0" w:space="0" w:color="auto"/>
        <w:right w:val="none" w:sz="0" w:space="0" w:color="auto"/>
      </w:divBdr>
    </w:div>
    <w:div w:id="816603379">
      <w:marLeft w:val="0"/>
      <w:marRight w:val="0"/>
      <w:marTop w:val="0"/>
      <w:marBottom w:val="0"/>
      <w:divBdr>
        <w:top w:val="none" w:sz="0" w:space="0" w:color="auto"/>
        <w:left w:val="none" w:sz="0" w:space="0" w:color="auto"/>
        <w:bottom w:val="none" w:sz="0" w:space="0" w:color="auto"/>
        <w:right w:val="none" w:sz="0" w:space="0" w:color="auto"/>
      </w:divBdr>
    </w:div>
    <w:div w:id="855272080">
      <w:marLeft w:val="0"/>
      <w:marRight w:val="0"/>
      <w:marTop w:val="0"/>
      <w:marBottom w:val="0"/>
      <w:divBdr>
        <w:top w:val="none" w:sz="0" w:space="0" w:color="auto"/>
        <w:left w:val="none" w:sz="0" w:space="0" w:color="auto"/>
        <w:bottom w:val="none" w:sz="0" w:space="0" w:color="auto"/>
        <w:right w:val="none" w:sz="0" w:space="0" w:color="auto"/>
      </w:divBdr>
    </w:div>
    <w:div w:id="877357428">
      <w:marLeft w:val="0"/>
      <w:marRight w:val="0"/>
      <w:marTop w:val="0"/>
      <w:marBottom w:val="0"/>
      <w:divBdr>
        <w:top w:val="none" w:sz="0" w:space="0" w:color="auto"/>
        <w:left w:val="none" w:sz="0" w:space="0" w:color="auto"/>
        <w:bottom w:val="none" w:sz="0" w:space="0" w:color="auto"/>
        <w:right w:val="none" w:sz="0" w:space="0" w:color="auto"/>
      </w:divBdr>
    </w:div>
    <w:div w:id="979118818">
      <w:marLeft w:val="0"/>
      <w:marRight w:val="0"/>
      <w:marTop w:val="0"/>
      <w:marBottom w:val="0"/>
      <w:divBdr>
        <w:top w:val="none" w:sz="0" w:space="0" w:color="auto"/>
        <w:left w:val="none" w:sz="0" w:space="0" w:color="auto"/>
        <w:bottom w:val="none" w:sz="0" w:space="0" w:color="auto"/>
        <w:right w:val="none" w:sz="0" w:space="0" w:color="auto"/>
      </w:divBdr>
    </w:div>
    <w:div w:id="995036229">
      <w:marLeft w:val="0"/>
      <w:marRight w:val="0"/>
      <w:marTop w:val="0"/>
      <w:marBottom w:val="0"/>
      <w:divBdr>
        <w:top w:val="none" w:sz="0" w:space="0" w:color="auto"/>
        <w:left w:val="none" w:sz="0" w:space="0" w:color="auto"/>
        <w:bottom w:val="none" w:sz="0" w:space="0" w:color="auto"/>
        <w:right w:val="none" w:sz="0" w:space="0" w:color="auto"/>
      </w:divBdr>
    </w:div>
    <w:div w:id="1004749194">
      <w:marLeft w:val="0"/>
      <w:marRight w:val="0"/>
      <w:marTop w:val="0"/>
      <w:marBottom w:val="0"/>
      <w:divBdr>
        <w:top w:val="none" w:sz="0" w:space="0" w:color="auto"/>
        <w:left w:val="none" w:sz="0" w:space="0" w:color="auto"/>
        <w:bottom w:val="none" w:sz="0" w:space="0" w:color="auto"/>
        <w:right w:val="none" w:sz="0" w:space="0" w:color="auto"/>
      </w:divBdr>
    </w:div>
    <w:div w:id="1101335938">
      <w:marLeft w:val="0"/>
      <w:marRight w:val="0"/>
      <w:marTop w:val="0"/>
      <w:marBottom w:val="0"/>
      <w:divBdr>
        <w:top w:val="none" w:sz="0" w:space="0" w:color="auto"/>
        <w:left w:val="none" w:sz="0" w:space="0" w:color="auto"/>
        <w:bottom w:val="none" w:sz="0" w:space="0" w:color="auto"/>
        <w:right w:val="none" w:sz="0" w:space="0" w:color="auto"/>
      </w:divBdr>
    </w:div>
    <w:div w:id="1112214255">
      <w:marLeft w:val="0"/>
      <w:marRight w:val="0"/>
      <w:marTop w:val="0"/>
      <w:marBottom w:val="0"/>
      <w:divBdr>
        <w:top w:val="none" w:sz="0" w:space="0" w:color="auto"/>
        <w:left w:val="none" w:sz="0" w:space="0" w:color="auto"/>
        <w:bottom w:val="none" w:sz="0" w:space="0" w:color="auto"/>
        <w:right w:val="none" w:sz="0" w:space="0" w:color="auto"/>
      </w:divBdr>
    </w:div>
    <w:div w:id="1208571856">
      <w:marLeft w:val="0"/>
      <w:marRight w:val="0"/>
      <w:marTop w:val="0"/>
      <w:marBottom w:val="0"/>
      <w:divBdr>
        <w:top w:val="none" w:sz="0" w:space="0" w:color="auto"/>
        <w:left w:val="none" w:sz="0" w:space="0" w:color="auto"/>
        <w:bottom w:val="none" w:sz="0" w:space="0" w:color="auto"/>
        <w:right w:val="none" w:sz="0" w:space="0" w:color="auto"/>
      </w:divBdr>
    </w:div>
    <w:div w:id="1249195039">
      <w:marLeft w:val="0"/>
      <w:marRight w:val="0"/>
      <w:marTop w:val="0"/>
      <w:marBottom w:val="0"/>
      <w:divBdr>
        <w:top w:val="none" w:sz="0" w:space="0" w:color="auto"/>
        <w:left w:val="none" w:sz="0" w:space="0" w:color="auto"/>
        <w:bottom w:val="none" w:sz="0" w:space="0" w:color="auto"/>
        <w:right w:val="none" w:sz="0" w:space="0" w:color="auto"/>
      </w:divBdr>
    </w:div>
    <w:div w:id="1341587822">
      <w:marLeft w:val="0"/>
      <w:marRight w:val="0"/>
      <w:marTop w:val="0"/>
      <w:marBottom w:val="0"/>
      <w:divBdr>
        <w:top w:val="none" w:sz="0" w:space="0" w:color="auto"/>
        <w:left w:val="none" w:sz="0" w:space="0" w:color="auto"/>
        <w:bottom w:val="none" w:sz="0" w:space="0" w:color="auto"/>
        <w:right w:val="none" w:sz="0" w:space="0" w:color="auto"/>
      </w:divBdr>
    </w:div>
    <w:div w:id="1349522398">
      <w:marLeft w:val="0"/>
      <w:marRight w:val="0"/>
      <w:marTop w:val="0"/>
      <w:marBottom w:val="0"/>
      <w:divBdr>
        <w:top w:val="none" w:sz="0" w:space="0" w:color="auto"/>
        <w:left w:val="none" w:sz="0" w:space="0" w:color="auto"/>
        <w:bottom w:val="none" w:sz="0" w:space="0" w:color="auto"/>
        <w:right w:val="none" w:sz="0" w:space="0" w:color="auto"/>
      </w:divBdr>
    </w:div>
    <w:div w:id="1418792460">
      <w:marLeft w:val="0"/>
      <w:marRight w:val="0"/>
      <w:marTop w:val="0"/>
      <w:marBottom w:val="0"/>
      <w:divBdr>
        <w:top w:val="none" w:sz="0" w:space="0" w:color="auto"/>
        <w:left w:val="none" w:sz="0" w:space="0" w:color="auto"/>
        <w:bottom w:val="none" w:sz="0" w:space="0" w:color="auto"/>
        <w:right w:val="none" w:sz="0" w:space="0" w:color="auto"/>
      </w:divBdr>
    </w:div>
    <w:div w:id="1421873451">
      <w:marLeft w:val="0"/>
      <w:marRight w:val="0"/>
      <w:marTop w:val="0"/>
      <w:marBottom w:val="0"/>
      <w:divBdr>
        <w:top w:val="none" w:sz="0" w:space="0" w:color="auto"/>
        <w:left w:val="none" w:sz="0" w:space="0" w:color="auto"/>
        <w:bottom w:val="none" w:sz="0" w:space="0" w:color="auto"/>
        <w:right w:val="none" w:sz="0" w:space="0" w:color="auto"/>
      </w:divBdr>
    </w:div>
    <w:div w:id="1498769741">
      <w:marLeft w:val="0"/>
      <w:marRight w:val="0"/>
      <w:marTop w:val="0"/>
      <w:marBottom w:val="0"/>
      <w:divBdr>
        <w:top w:val="none" w:sz="0" w:space="0" w:color="auto"/>
        <w:left w:val="none" w:sz="0" w:space="0" w:color="auto"/>
        <w:bottom w:val="none" w:sz="0" w:space="0" w:color="auto"/>
        <w:right w:val="none" w:sz="0" w:space="0" w:color="auto"/>
      </w:divBdr>
    </w:div>
    <w:div w:id="1540824491">
      <w:marLeft w:val="0"/>
      <w:marRight w:val="0"/>
      <w:marTop w:val="0"/>
      <w:marBottom w:val="0"/>
      <w:divBdr>
        <w:top w:val="none" w:sz="0" w:space="0" w:color="auto"/>
        <w:left w:val="none" w:sz="0" w:space="0" w:color="auto"/>
        <w:bottom w:val="none" w:sz="0" w:space="0" w:color="auto"/>
        <w:right w:val="none" w:sz="0" w:space="0" w:color="auto"/>
      </w:divBdr>
    </w:div>
    <w:div w:id="1553423244">
      <w:marLeft w:val="0"/>
      <w:marRight w:val="0"/>
      <w:marTop w:val="0"/>
      <w:marBottom w:val="0"/>
      <w:divBdr>
        <w:top w:val="none" w:sz="0" w:space="0" w:color="auto"/>
        <w:left w:val="none" w:sz="0" w:space="0" w:color="auto"/>
        <w:bottom w:val="none" w:sz="0" w:space="0" w:color="auto"/>
        <w:right w:val="none" w:sz="0" w:space="0" w:color="auto"/>
      </w:divBdr>
    </w:div>
    <w:div w:id="1605963301">
      <w:marLeft w:val="0"/>
      <w:marRight w:val="0"/>
      <w:marTop w:val="0"/>
      <w:marBottom w:val="0"/>
      <w:divBdr>
        <w:top w:val="none" w:sz="0" w:space="0" w:color="auto"/>
        <w:left w:val="none" w:sz="0" w:space="0" w:color="auto"/>
        <w:bottom w:val="none" w:sz="0" w:space="0" w:color="auto"/>
        <w:right w:val="none" w:sz="0" w:space="0" w:color="auto"/>
      </w:divBdr>
    </w:div>
    <w:div w:id="1635477636">
      <w:marLeft w:val="0"/>
      <w:marRight w:val="0"/>
      <w:marTop w:val="0"/>
      <w:marBottom w:val="0"/>
      <w:divBdr>
        <w:top w:val="none" w:sz="0" w:space="0" w:color="auto"/>
        <w:left w:val="none" w:sz="0" w:space="0" w:color="auto"/>
        <w:bottom w:val="none" w:sz="0" w:space="0" w:color="auto"/>
        <w:right w:val="none" w:sz="0" w:space="0" w:color="auto"/>
      </w:divBdr>
    </w:div>
    <w:div w:id="1682464238">
      <w:marLeft w:val="0"/>
      <w:marRight w:val="0"/>
      <w:marTop w:val="0"/>
      <w:marBottom w:val="0"/>
      <w:divBdr>
        <w:top w:val="none" w:sz="0" w:space="0" w:color="auto"/>
        <w:left w:val="none" w:sz="0" w:space="0" w:color="auto"/>
        <w:bottom w:val="none" w:sz="0" w:space="0" w:color="auto"/>
        <w:right w:val="none" w:sz="0" w:space="0" w:color="auto"/>
      </w:divBdr>
    </w:div>
    <w:div w:id="1712539120">
      <w:marLeft w:val="0"/>
      <w:marRight w:val="0"/>
      <w:marTop w:val="0"/>
      <w:marBottom w:val="0"/>
      <w:divBdr>
        <w:top w:val="none" w:sz="0" w:space="0" w:color="auto"/>
        <w:left w:val="none" w:sz="0" w:space="0" w:color="auto"/>
        <w:bottom w:val="none" w:sz="0" w:space="0" w:color="auto"/>
        <w:right w:val="none" w:sz="0" w:space="0" w:color="auto"/>
      </w:divBdr>
    </w:div>
    <w:div w:id="1771511543">
      <w:marLeft w:val="0"/>
      <w:marRight w:val="0"/>
      <w:marTop w:val="0"/>
      <w:marBottom w:val="0"/>
      <w:divBdr>
        <w:top w:val="none" w:sz="0" w:space="0" w:color="auto"/>
        <w:left w:val="none" w:sz="0" w:space="0" w:color="auto"/>
        <w:bottom w:val="none" w:sz="0" w:space="0" w:color="auto"/>
        <w:right w:val="none" w:sz="0" w:space="0" w:color="auto"/>
      </w:divBdr>
    </w:div>
    <w:div w:id="1775907021">
      <w:marLeft w:val="0"/>
      <w:marRight w:val="0"/>
      <w:marTop w:val="0"/>
      <w:marBottom w:val="0"/>
      <w:divBdr>
        <w:top w:val="none" w:sz="0" w:space="0" w:color="auto"/>
        <w:left w:val="none" w:sz="0" w:space="0" w:color="auto"/>
        <w:bottom w:val="none" w:sz="0" w:space="0" w:color="auto"/>
        <w:right w:val="none" w:sz="0" w:space="0" w:color="auto"/>
      </w:divBdr>
    </w:div>
    <w:div w:id="1799300946">
      <w:marLeft w:val="0"/>
      <w:marRight w:val="0"/>
      <w:marTop w:val="0"/>
      <w:marBottom w:val="0"/>
      <w:divBdr>
        <w:top w:val="none" w:sz="0" w:space="0" w:color="auto"/>
        <w:left w:val="none" w:sz="0" w:space="0" w:color="auto"/>
        <w:bottom w:val="none" w:sz="0" w:space="0" w:color="auto"/>
        <w:right w:val="none" w:sz="0" w:space="0" w:color="auto"/>
      </w:divBdr>
    </w:div>
    <w:div w:id="1930653609">
      <w:marLeft w:val="0"/>
      <w:marRight w:val="0"/>
      <w:marTop w:val="0"/>
      <w:marBottom w:val="0"/>
      <w:divBdr>
        <w:top w:val="none" w:sz="0" w:space="0" w:color="auto"/>
        <w:left w:val="none" w:sz="0" w:space="0" w:color="auto"/>
        <w:bottom w:val="none" w:sz="0" w:space="0" w:color="auto"/>
        <w:right w:val="none" w:sz="0" w:space="0" w:color="auto"/>
      </w:divBdr>
    </w:div>
    <w:div w:id="1979257376">
      <w:marLeft w:val="0"/>
      <w:marRight w:val="0"/>
      <w:marTop w:val="0"/>
      <w:marBottom w:val="0"/>
      <w:divBdr>
        <w:top w:val="none" w:sz="0" w:space="0" w:color="auto"/>
        <w:left w:val="none" w:sz="0" w:space="0" w:color="auto"/>
        <w:bottom w:val="none" w:sz="0" w:space="0" w:color="auto"/>
        <w:right w:val="none" w:sz="0" w:space="0" w:color="auto"/>
      </w:divBdr>
    </w:div>
    <w:div w:id="1982491202">
      <w:marLeft w:val="0"/>
      <w:marRight w:val="0"/>
      <w:marTop w:val="0"/>
      <w:marBottom w:val="0"/>
      <w:divBdr>
        <w:top w:val="none" w:sz="0" w:space="0" w:color="auto"/>
        <w:left w:val="none" w:sz="0" w:space="0" w:color="auto"/>
        <w:bottom w:val="none" w:sz="0" w:space="0" w:color="auto"/>
        <w:right w:val="none" w:sz="0" w:space="0" w:color="auto"/>
      </w:divBdr>
    </w:div>
    <w:div w:id="2011369261">
      <w:marLeft w:val="0"/>
      <w:marRight w:val="0"/>
      <w:marTop w:val="0"/>
      <w:marBottom w:val="0"/>
      <w:divBdr>
        <w:top w:val="none" w:sz="0" w:space="0" w:color="auto"/>
        <w:left w:val="none" w:sz="0" w:space="0" w:color="auto"/>
        <w:bottom w:val="none" w:sz="0" w:space="0" w:color="auto"/>
        <w:right w:val="none" w:sz="0" w:space="0" w:color="auto"/>
      </w:divBdr>
    </w:div>
    <w:div w:id="2016179905">
      <w:marLeft w:val="0"/>
      <w:marRight w:val="0"/>
      <w:marTop w:val="0"/>
      <w:marBottom w:val="0"/>
      <w:divBdr>
        <w:top w:val="none" w:sz="0" w:space="0" w:color="auto"/>
        <w:left w:val="none" w:sz="0" w:space="0" w:color="auto"/>
        <w:bottom w:val="none" w:sz="0" w:space="0" w:color="auto"/>
        <w:right w:val="none" w:sz="0" w:space="0" w:color="auto"/>
      </w:divBdr>
    </w:div>
    <w:div w:id="2028366501">
      <w:marLeft w:val="0"/>
      <w:marRight w:val="0"/>
      <w:marTop w:val="0"/>
      <w:marBottom w:val="0"/>
      <w:divBdr>
        <w:top w:val="none" w:sz="0" w:space="0" w:color="auto"/>
        <w:left w:val="none" w:sz="0" w:space="0" w:color="auto"/>
        <w:bottom w:val="none" w:sz="0" w:space="0" w:color="auto"/>
        <w:right w:val="none" w:sz="0" w:space="0" w:color="auto"/>
      </w:divBdr>
    </w:div>
    <w:div w:id="2029288269">
      <w:marLeft w:val="0"/>
      <w:marRight w:val="0"/>
      <w:marTop w:val="0"/>
      <w:marBottom w:val="0"/>
      <w:divBdr>
        <w:top w:val="none" w:sz="0" w:space="0" w:color="auto"/>
        <w:left w:val="none" w:sz="0" w:space="0" w:color="auto"/>
        <w:bottom w:val="none" w:sz="0" w:space="0" w:color="auto"/>
        <w:right w:val="none" w:sz="0" w:space="0" w:color="auto"/>
      </w:divBdr>
    </w:div>
    <w:div w:id="2062246870">
      <w:marLeft w:val="0"/>
      <w:marRight w:val="0"/>
      <w:marTop w:val="0"/>
      <w:marBottom w:val="0"/>
      <w:divBdr>
        <w:top w:val="none" w:sz="0" w:space="0" w:color="auto"/>
        <w:left w:val="none" w:sz="0" w:space="0" w:color="auto"/>
        <w:bottom w:val="none" w:sz="0" w:space="0" w:color="auto"/>
        <w:right w:val="none" w:sz="0" w:space="0" w:color="auto"/>
      </w:divBdr>
    </w:div>
    <w:div w:id="2115009938">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ubs-ex101_131.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ec.gov/Archives/edgar/data/1404655/000119312514353746/d697256dex41.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404655/000156459018009049/hubs-ex31_30.htm" TargetMode="External"/><Relationship Id="rId11" Type="http://schemas.openxmlformats.org/officeDocument/2006/relationships/hyperlink" Target="hubs-ex321_6.htm" TargetMode="External"/><Relationship Id="rId5" Type="http://schemas.openxmlformats.org/officeDocument/2006/relationships/hyperlink" Target="http://www.sec.gov/Archives/edgar/data/1404655/000156459016013204/hubs-ex31_768.htm" TargetMode="External"/><Relationship Id="rId10" Type="http://schemas.openxmlformats.org/officeDocument/2006/relationships/hyperlink" Target="hubs-ex312_7.htm" TargetMode="External"/><Relationship Id="rId4" Type="http://schemas.openxmlformats.org/officeDocument/2006/relationships/hyperlink" Target="http://www.sec.gov/Archives/edgar/data/1404655/000119312519042578/d678156dex11.htm" TargetMode="External"/><Relationship Id="rId9" Type="http://schemas.openxmlformats.org/officeDocument/2006/relationships/hyperlink" Target="hubs-ex311_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30872</Words>
  <Characters>175973</Characters>
  <Application>Microsoft Office Word</Application>
  <DocSecurity>0</DocSecurity>
  <Lines>1466</Lines>
  <Paragraphs>412</Paragraphs>
  <ScaleCrop>false</ScaleCrop>
  <Company/>
  <LinksUpToDate>false</LinksUpToDate>
  <CharactersWithSpaces>206433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hubs-10q_20190331.htm </dc:title>
  <dc:subject/>
  <dc:creator>Chongjian.Yue</dc:creator>
  <cp:keywords/>
  <dc:description/>
  <cp:lastModifiedBy>Yue Chongjian</cp:lastModifiedBy>
  <cp:revision>1</cp:revision>
  <dcterms:created xsi:type="dcterms:W3CDTF">2024-01-04T15:46:00Z</dcterms:created>
  <dcterms:modified xsi:type="dcterms:W3CDTF">2024-01-04T15:46:00Z</dcterms:modified>
</cp:coreProperties>
</file>