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939F" w14:textId="77777777" w:rsidR="00000000" w:rsidRDefault="00B8284C">
      <w:pPr>
        <w:divId w:val="303973866"/>
        <w:rPr>
          <w:rFonts w:eastAsia="Times New Roman"/>
          <w:vanish/>
        </w:rPr>
      </w:pPr>
      <w:r>
        <w:rPr>
          <w:rFonts w:eastAsia="Times New Roman"/>
          <w:vanish/>
        </w:rPr>
        <w:t xml:space="preserve">false Q3 HUBSPOT INC 0001404655 --12-31 Large Accelerated Filer Yes Yes true us-gaap:OperatingLeaseRightOfUseAsset us-gaap:PropertyPlantAndEquipmentNet us-gaap:OperatingLeaseLiabilityCurrent </w:t>
      </w:r>
      <w:r>
        <w:rPr>
          <w:rFonts w:eastAsia="Times New Roman"/>
          <w:vanish/>
        </w:rPr>
        <w:t>hubs:AccruedExpensesAndOtherCurrentLiabilities us-gaap:OperatingLeaseLiabilityNoncurrent us-gaap:OtherAssets us-gaap:OtherAssets us-gaap:OtherAssets 0001404655 2019-01-01 2019-09-30 xbrli:shares 0001404655 2019-11-01 iso4217:USD 0001404655 2019-09-30 00014</w:t>
      </w:r>
      <w:r>
        <w:rPr>
          <w:rFonts w:eastAsia="Times New Roman"/>
          <w:vanish/>
        </w:rPr>
        <w:t>04655 2018-12-31 0001404655 us-gaap:SubscriptionAndCirculationMember 2019-07-01 2019-09-30 0001404655 us-gaap:SubscriptionAndCirculationMember 2018-07-01 2018-09-30 0001404655 us-gaap:SubscriptionAndCirculationMember 2019-01-01 2019-09-30 0001404655 us-gaa</w:t>
      </w:r>
      <w:r>
        <w:rPr>
          <w:rFonts w:eastAsia="Times New Roman"/>
          <w:vanish/>
        </w:rPr>
        <w:t>p:SubscriptionAndCirculationMember 2018-01-01 2018-09-30 0001404655 us-gaap:ServiceMember 2019-07-01 2019-09-30 0001404655 us-gaap:ServiceMember 2018-07-01 2018-09-30 0001404655 us-gaap:ServiceMember 2019-01-01 2019-09-30 0001404655 us-gaap:ServiceMember 2</w:t>
      </w:r>
      <w:r>
        <w:rPr>
          <w:rFonts w:eastAsia="Times New Roman"/>
          <w:vanish/>
        </w:rPr>
        <w:t>018-01-01 2018-09-30 0001404655 2019-07-01 2019-09-30 0001404655 2018-07-01 2018-09-30 0001404655 2018-01-01 2018-09-30 iso4217:USD xbrli:shares 0001404655 2017-12-31 0001404655 2018-09-30 0001404655 hubs:ZeroPointTwoFivePercentConvertibleSeniorNotesDueTwo</w:t>
      </w:r>
      <w:r>
        <w:rPr>
          <w:rFonts w:eastAsia="Times New Roman"/>
          <w:vanish/>
        </w:rPr>
        <w:t>ThousandTwentyTwoAsLiabilityComponentMember 2019-01-01 2019-09-30 0001404655 us-gaap:CommonStockMember 2019-02-19 2019-02-19 0001404655 2019-02-19 2019-02-19 0001404655 srt:RestatementAdjustmentMember us-gaap:AccountingStandardsUpdate201602Member 2019-09-3</w:t>
      </w:r>
      <w:r>
        <w:rPr>
          <w:rFonts w:eastAsia="Times New Roman"/>
          <w:vanish/>
        </w:rPr>
        <w:t>0 xbrli:pure 0001404655 2019-10-01 2019-09-30 0001404655 hubs:AccruedExpensesAndOtherCurrentLiabilitiesMember 2019-09-30 0001404655 hubs:AccruedExpensesAndOtherCurrentLiabilitiesMember 2018-12-31 0001404655 srt:MinimumMember 2019-01-01 2019-09-30 000140465</w:t>
      </w:r>
      <w:r>
        <w:rPr>
          <w:rFonts w:eastAsia="Times New Roman"/>
          <w:vanish/>
        </w:rPr>
        <w:t>5 srt:MaximumMember 2019-01-01 2019-09-30 0001404655 us-gaap:EmployeeStockOptionMember 2019-01-01 2019-09-30 0001404655 us-gaap:EmployeeStockOptionMember 2018-01-01 2018-09-30 0001404655 us-gaap:RestrictedStockUnitsRSUMember 2019-01-01 2019-09-30 000140465</w:t>
      </w:r>
      <w:r>
        <w:rPr>
          <w:rFonts w:eastAsia="Times New Roman"/>
          <w:vanish/>
        </w:rPr>
        <w:t>5 us-gaap:RestrictedStockUnitsRSUMember 2018-01-01 2018-09-30 0001404655 us-gaap:ConvertibleDebtSecuritiesMember 2019-01-01 2019-09-30 0001404655 us-gaap:ConvertibleDebtSecuritiesMember 2018-01-01 2018-09-30 0001404655 hubs:CommonStockWarrantsMember 2019-0</w:t>
      </w:r>
      <w:r>
        <w:rPr>
          <w:rFonts w:eastAsia="Times New Roman"/>
          <w:vanish/>
        </w:rPr>
        <w:t>1-01 2019-09-30 0001404655 hubs:CommonStockWarrantsMember 2018-01-01 2018-09-30 0001404655 us-gaap:EmployeeStockMember 2019-01-01 2019-09-30 0001404655 us-gaap:EmployeeStockMember 2018-01-01 2018-09-30 0001404655 hubs:ZeroPointTwoFivePercentConvertibleSeni</w:t>
      </w:r>
      <w:r>
        <w:rPr>
          <w:rFonts w:eastAsia="Times New Roman"/>
          <w:vanish/>
        </w:rPr>
        <w:t>orNotesDueTwoThousandTwentyTwoAsLiabilityComponentMember 2019-09-30 utr:D 0001404655 hubs:ZeroPointTwoFivePercentConvertibleSeniorNotesDueTwoThousandTwentyTwoAsLiabilityComponentMember 2019-07-01 2019-09-30 0001404655 hubs:ZeroPointTwoFivePercentConvertibl</w:t>
      </w:r>
      <w:r>
        <w:rPr>
          <w:rFonts w:eastAsia="Times New Roman"/>
          <w:vanish/>
        </w:rPr>
        <w:t xml:space="preserve">eSeniorNotesDueTwoThousandTwentyTwoAsLiabilityComponentMember us-gaap:SubsequentEventMember 2019-11-01 0001404655 us-gaap:MoneyMarketFundsMember us-gaap:FairValueInputsLevel1Member 2019-09-30 0001404655 us-gaap:MoneyMarketFundsMember 2019-09-30 0001404655 </w:t>
      </w:r>
      <w:r>
        <w:rPr>
          <w:rFonts w:eastAsia="Times New Roman"/>
          <w:vanish/>
        </w:rPr>
        <w:t>us-gaap:CorporateBondSecuritiesMember us-gaap:FairValueInputsLevel2Member 2019-09-30 0001404655 us-gaap:CorporateBondSecuritiesMember 2019-09-30 0001404655 us-gaap:USTreasurySecuritiesMember us-gaap:FairValueInputsLevel2Member 2019-09-30 0001404655 us-gaap</w:t>
      </w:r>
      <w:r>
        <w:rPr>
          <w:rFonts w:eastAsia="Times New Roman"/>
          <w:vanish/>
        </w:rPr>
        <w:t>:USTreasurySecuritiesMember 2019-09-30 0001404655 us-gaap:CertificatesOfDepositMember us-gaap:FairValueInputsLevel2Member 2019-09-30 0001404655 us-gaap:CertificatesOfDepositMember 2019-09-30 0001404655 us-gaap:MoneyMarketFundsMember us-gaap:FairValueInputs</w:t>
      </w:r>
      <w:r>
        <w:rPr>
          <w:rFonts w:eastAsia="Times New Roman"/>
          <w:vanish/>
        </w:rPr>
        <w:t>Level2Member 2019-09-30 0001404655 us-gaap:FairValueInputsLevel1Member 2019-09-30 0001404655 us-gaap:FairValueInputsLevel2Member 2019-09-30 0001404655 us-gaap:MoneyMarketFundsMember us-gaap:FairValueInputsLevel1Member 2018-12-31 0001404655 us-gaap:MoneyMar</w:t>
      </w:r>
      <w:r>
        <w:rPr>
          <w:rFonts w:eastAsia="Times New Roman"/>
          <w:vanish/>
        </w:rPr>
        <w:t>ketFundsMember 2018-12-31 0001404655 us-gaap:CommercialPaperMember us-gaap:FairValueInputsLevel2Member 2018-12-31 0001404655 us-gaap:CommercialPaperMember 2018-12-31 0001404655 us-gaap:CorporateBondSecuritiesMember us-gaap:FairValueInputsLevel2Member 2018-</w:t>
      </w:r>
      <w:r>
        <w:rPr>
          <w:rFonts w:eastAsia="Times New Roman"/>
          <w:vanish/>
        </w:rPr>
        <w:t>12-31 0001404655 us-gaap:CorporateBondSecuritiesMember 2018-12-31 0001404655 us-gaap:USTreasurySecuritiesMember us-gaap:FairValueInputsLevel2Member 2018-12-31 0001404655 us-gaap:USTreasurySecuritiesMember 2018-12-31 0001404655 us-gaap:CertificatesOfDeposit</w:t>
      </w:r>
      <w:r>
        <w:rPr>
          <w:rFonts w:eastAsia="Times New Roman"/>
          <w:vanish/>
        </w:rPr>
        <w:t>Member us-gaap:FairValueInputsLevel2Member 2018-12-31 0001404655 us-gaap:CertificatesOfDepositMember 2018-12-31 0001404655 us-gaap:FairValueInputsLevel1Member 2018-12-31 0001404655 us-gaap:FairValueInputsLevel2Member 2018-12-31 0001404655 hubs:ZeroPointTwo</w:t>
      </w:r>
      <w:r>
        <w:rPr>
          <w:rFonts w:eastAsia="Times New Roman"/>
          <w:vanish/>
        </w:rPr>
        <w:t>FivePercentConvertibleSeniorNotesDueTwoThousandTwentyTwoMember us-gaap:FairValueInputsLevel2Member 2019-09-30 0001404655 hubs:StrategicInvestmentsMember 2019-09-30 0001404655 hubs:StrategicInvestmentsMember 2018-12-31 0001404655 hubs:USTreasurySecuritiesEx</w:t>
      </w:r>
      <w:r>
        <w:rPr>
          <w:rFonts w:eastAsia="Times New Roman"/>
          <w:vanish/>
        </w:rPr>
        <w:t>cludingCashAndCashEquivalentsMember 2019-09-30 0001404655 us-gaap:CommercialPaperNotIncludedWithCashAndCashEquivalentsMember 2018-12-31 0001404655 hubs:USTreasurySecuritiesExcludingCashAndCashEquivalentsMember 2018-12-31 0001404655 hubs:ComputerEquipmentAn</w:t>
      </w:r>
      <w:r>
        <w:rPr>
          <w:rFonts w:eastAsia="Times New Roman"/>
          <w:vanish/>
        </w:rPr>
        <w:t>dPurchasedSoftwareMember 2019-09-30 0001404655 hubs:ComputerEquipmentAndPurchasedSoftwareMember 2018-12-31 0001404655 hubs:EmployeeRelatedComputerEquipmentMember 2019-09-30 0001404655 hubs:EmployeeRelatedComputerEquipmentMember 2018-12-31 0001404655 us-gaa</w:t>
      </w:r>
      <w:r>
        <w:rPr>
          <w:rFonts w:eastAsia="Times New Roman"/>
          <w:vanish/>
        </w:rPr>
        <w:t>p:FurnitureAndFixturesMember 2019-09-30 0001404655 us-gaap:FurnitureAndFixturesMember 2018-12-31 0001404655 us-gaap:OfficeEquipmentMember 2019-09-30 0001404655 us-gaap:OfficeEquipmentMember 2018-12-31 0001404655 us-gaap:LeaseholdImprovementsMember 2019-09-</w:t>
      </w:r>
      <w:r>
        <w:rPr>
          <w:rFonts w:eastAsia="Times New Roman"/>
          <w:vanish/>
        </w:rPr>
        <w:t>30 0001404655 us-gaap:LeaseholdImprovementsMember 2018-12-31 0001404655 us-gaap:AssetsHeldUnderCapitalLeasesMember 2019-09-30 0001404655 us-gaap:AssetsHeldUnderCapitalLeasesMember 2018-12-31 0001404655 us-gaap:SoftwareDevelopmentMember 2019-09-30 000140465</w:t>
      </w:r>
      <w:r>
        <w:rPr>
          <w:rFonts w:eastAsia="Times New Roman"/>
          <w:vanish/>
        </w:rPr>
        <w:t>5 us-gaap:SoftwareDevelopmentMember 2018-12-31 0001404655 us-gaap:ConstructionInProgressMember 2019-09-30 0001404655 us-gaap:ConstructionInProgressMember 2018-12-31 0001404655 us-gaap:SoftwareAndSoftwareDevelopmentCostsMember 2019-01-01 2019-09-30 00014046</w:t>
      </w:r>
      <w:r>
        <w:rPr>
          <w:rFonts w:eastAsia="Times New Roman"/>
          <w:vanish/>
        </w:rPr>
        <w:t>55 us-gaap:SoftwareDevelopmentMember 2019-07-01 2019-09-30 0001404655 us-gaap:SoftwareDevelopmentMember 2018-07-01 2018-09-30 0001404655 us-gaap:SoftwareDevelopmentMember 2019-01-01 2019-09-30 0001404655 us-gaap:SoftwareDevelopmentMember 2018-01-01 2018-09</w:t>
      </w:r>
      <w:r>
        <w:rPr>
          <w:rFonts w:eastAsia="Times New Roman"/>
          <w:vanish/>
        </w:rPr>
        <w:t>-30 0001404655 hubs:ZeroPointTwoFivePercentConvertibleSeniorNotesDueTwoThousandTwentyTwoMember us-gaap:PrivatePlacementMember 2017-05-31 0001404655 hubs:ZeroPointTwoFivePercentConvertibleSeniorNotesDueTwoThousandTwentyTwoMember 2017-05-31 0001404655 hubs:Z</w:t>
      </w:r>
      <w:r>
        <w:rPr>
          <w:rFonts w:eastAsia="Times New Roman"/>
          <w:vanish/>
        </w:rPr>
        <w:t>eroPointTwoFivePercentConvertibleSeniorNotesDueTwoThousandTwentyTwoMember 2019-01-01 2019-09-30 0001404655 hubs:ZeroPointTwoFivePercentConvertibleSeniorNotesDueTwoThousandTwentyTwoMember us-gaap:OverAllotmentOptionMember 2017-05-31 0001404655 hubs:ZeroPoin</w:t>
      </w:r>
      <w:r>
        <w:rPr>
          <w:rFonts w:eastAsia="Times New Roman"/>
          <w:vanish/>
        </w:rPr>
        <w:t>tTwoFivePercentConvertibleSeniorNotesDueTwoThousandTwentyTwoMember 2017-05-01 2017-05-31 0001404655 hubs:ZeroPointTwoFivePercentConvertibleSeniorNotesDueTwoThousandTwentyTwoMember us-gaap:SubsequentEventMember 2019-11-01 0001404655 hubs:ZeroPointTwoFivePer</w:t>
      </w:r>
      <w:r>
        <w:rPr>
          <w:rFonts w:eastAsia="Times New Roman"/>
          <w:vanish/>
        </w:rPr>
        <w:t>centConvertibleSeniorNotesDueTwoThousandTwentyTwoAsLiabilityComponentMember 2018-12-31 0001404655 hubs:ZeroPointTwoFivePercentConvertibleSeniorNotesDueTwoThousandTwentyTwoMember 2019-07-01 2019-09-30 0001404655 hubs:ZeroPointTwoFivePercentConvertibleSenior</w:t>
      </w:r>
      <w:r>
        <w:rPr>
          <w:rFonts w:eastAsia="Times New Roman"/>
          <w:vanish/>
        </w:rPr>
        <w:t>NotesDueTwoThousandTwentyTwoMember 2018-07-01 2018-09-30 0001404655 hubs:ZeroPointTwoFivePercentConvertibleSeniorNotesDueTwoThousandTwentyTwoMember 2018-01-01 2018-09-30 0001404655 country:US 2019-09-30 0001404655 country:SG 2019-09-30 0001404655 country:C</w:t>
      </w:r>
      <w:r>
        <w:rPr>
          <w:rFonts w:eastAsia="Times New Roman"/>
          <w:vanish/>
        </w:rPr>
        <w:t>O 2019-09-30 0001404655 hubs:LeaseCommencementPeriodOneMember country:DE us-gaap:SubsequentEventMember 2019-10-31 0001404655 hubs:LeaseCommencementPeriodOneMember us-gaap:SubsequentEventMember 2019-10-01 2019-10-31 0001404655 hubs:LeaseCommencementPeriodOn</w:t>
      </w:r>
      <w:r>
        <w:rPr>
          <w:rFonts w:eastAsia="Times New Roman"/>
          <w:vanish/>
        </w:rPr>
        <w:t>eMember us-gaap:SubsequentEventMember 2019-10-31 0001404655 hubs:RenewalAgreementMember hubs:WebHostingVendorMember 2019-03-01 2019-03-31 0001404655 hubs:RenewalAgreementMember hubs:WebHostingVendorMember 2019-01-01 2019-09-30 0001404655 hubs:RenewalAgreem</w:t>
      </w:r>
      <w:r>
        <w:rPr>
          <w:rFonts w:eastAsia="Times New Roman"/>
          <w:vanish/>
        </w:rPr>
        <w:t>entMember hubs:WebHostingVendorMember 2019-03-31 0001404655 2019-03-01 2019-03-31 0001404655 us-gaap:CommonStockMember 2018-12-31 0001404655 us-gaap:AdditionalPaidInCapitalMember 2018-12-31 0001404655 us-gaap:AccumulatedOtherComprehensiveIncomeMember 2018-</w:t>
      </w:r>
      <w:r>
        <w:rPr>
          <w:rFonts w:eastAsia="Times New Roman"/>
          <w:vanish/>
        </w:rPr>
        <w:t>12-31 0001404655 us-gaap:RetainedEarningsMember 2018-12-31 0001404655 us-gaap:CommonStockMember 2019-01-01 2019-06-30 0001404655 us-gaap:AdditionalPaidInCapitalMember 2019-01-01 2019-06-30 0001404655 2019-01-01 2019-06-30 0001404655 us-gaap:AccumulatedOthe</w:t>
      </w:r>
      <w:r>
        <w:rPr>
          <w:rFonts w:eastAsia="Times New Roman"/>
          <w:vanish/>
        </w:rPr>
        <w:t>rComprehensiveIncomeMember 2019-01-01 2019-06-30 0001404655 us-gaap:RetainedEarningsMember 2019-01-01 2019-06-30 0001404655 us-gaap:CommonStockMember 2019-06-30 0001404655 us-gaap:AdditionalPaidInCapitalMember 2019-06-30 0001404655 us-gaap:AccumulatedOther</w:t>
      </w:r>
      <w:r>
        <w:rPr>
          <w:rFonts w:eastAsia="Times New Roman"/>
          <w:vanish/>
        </w:rPr>
        <w:t>ComprehensiveIncomeMember 2019-06-30 0001404655 us-gaap:RetainedEarningsMember 2019-06-30 0001404655 2019-06-30 0001404655 us-gaap:CommonStockMember 2019-07-01 2019-09-30 0001404655 us-gaap:AdditionalPaidInCapitalMember 2019-07-01 2019-09-30 0001404655 us-</w:t>
      </w:r>
      <w:r>
        <w:rPr>
          <w:rFonts w:eastAsia="Times New Roman"/>
          <w:vanish/>
        </w:rPr>
        <w:t>gaap:AccumulatedOtherComprehensiveIncomeMember 2019-07-01 2019-09-30 0001404655 us-gaap:RetainedEarningsMember 2019-07-01 2019-09-30 0001404655 us-gaap:CommonStockMember 2019-09-30 0001404655 us-gaap:AdditionalPaidInCapitalMember 2019-09-30 0001404655 us-g</w:t>
      </w:r>
      <w:r>
        <w:rPr>
          <w:rFonts w:eastAsia="Times New Roman"/>
          <w:vanish/>
        </w:rPr>
        <w:t>aap:AccumulatedOtherComprehensiveIncomeMember 2019-09-30 0001404655 us-gaap:RetainedEarningsMember 2019-09-30 0001404655 2018-01-01 2018-06-30 0001404655 us-gaap:CommonStockMember 2017-12-31 0001404655 us-gaap:AdditionalPaidInCapitalMember 2017-12-31 00014</w:t>
      </w:r>
      <w:r>
        <w:rPr>
          <w:rFonts w:eastAsia="Times New Roman"/>
          <w:vanish/>
        </w:rPr>
        <w:t>04655 us-gaap:AccumulatedOtherComprehensiveIncomeMember 2017-12-31 0001404655 us-gaap:RetainedEarningsMember 2017-12-31 0001404655 us-gaap:CommonStockMember 2018-01-01 2018-06-30 0001404655 us-gaap:AdditionalPaidInCapitalMember 2018-01-01 2018-06-30 000140</w:t>
      </w:r>
      <w:r>
        <w:rPr>
          <w:rFonts w:eastAsia="Times New Roman"/>
          <w:vanish/>
        </w:rPr>
        <w:t>4655 us-gaap:RetainedEarningsMember 2018-01-01 2018-06-30 0001404655 us-gaap:AccumulatedOtherComprehensiveIncomeMember 2018-01-01 2018-06-30 0001404655 us-gaap:CommonStockMember 2018-06-30 0001404655 us-gaap:AdditionalPaidInCapitalMember 2018-06-30 0001404</w:t>
      </w:r>
      <w:r>
        <w:rPr>
          <w:rFonts w:eastAsia="Times New Roman"/>
          <w:vanish/>
        </w:rPr>
        <w:t>655 us-gaap:AccumulatedOtherComprehensiveIncomeMember 2018-06-30 0001404655 us-gaap:RetainedEarningsMember 2018-06-30 0001404655 2018-06-30 0001404655 us-gaap:CommonStockMember 2018-07-01 2018-09-30 0001404655 us-gaap:AdditionalPaidInCapitalMember 2018-07-</w:t>
      </w:r>
      <w:r>
        <w:rPr>
          <w:rFonts w:eastAsia="Times New Roman"/>
          <w:vanish/>
        </w:rPr>
        <w:t>01 2018-09-30 0001404655 us-gaap:AccumulatedOtherComprehensiveIncomeMember 2018-07-01 2018-09-30 0001404655 us-gaap:RetainedEarningsMember 2018-07-01 2018-09-30 0001404655 us-gaap:CommonStockMember 2018-09-30 0001404655 us-gaap:AdditionalPaidInCapitalMembe</w:t>
      </w:r>
      <w:r>
        <w:rPr>
          <w:rFonts w:eastAsia="Times New Roman"/>
          <w:vanish/>
        </w:rPr>
        <w:t>r 2018-09-30 0001404655 us-gaap:AccumulatedOtherComprehensiveIncomeMember 2018-09-30 0001404655 us-gaap:RetainedEarningsMember 2018-09-30 0001404655 us-gaap:AccumulatedTranslationAdjustmentMember 2018-12-31 0001404655 us-gaap:AccumulatedNetUnrealizedInvest</w:t>
      </w:r>
      <w:r>
        <w:rPr>
          <w:rFonts w:eastAsia="Times New Roman"/>
          <w:vanish/>
        </w:rPr>
        <w:t>mentGainLossMember 2018-12-31 0001404655 us-gaap:AccumulatedTranslationAdjustmentMember 2019-01-01 2019-09-30 0001404655 us-gaap:AccumulatedNetUnrealizedInvestmentGainLossMember 2019-01-01 2019-09-30 0001404655 us-gaap:AccumulatedTranslationAdjustmentMembe</w:t>
      </w:r>
      <w:r>
        <w:rPr>
          <w:rFonts w:eastAsia="Times New Roman"/>
          <w:vanish/>
        </w:rPr>
        <w:t>r 2019-09-30 0001404655 us-gaap:AccumulatedNetUnrealizedInvestmentGainLossMember 2019-09-30 0001404655 us-gaap:EmployeeStockOptionMember 2019-07-01 2019-09-30 0001404655 us-gaap:EmployeeStockOptionMember 2018-07-01 2018-09-30 0001404655 us-gaap:EmployeeSto</w:t>
      </w:r>
      <w:r>
        <w:rPr>
          <w:rFonts w:eastAsia="Times New Roman"/>
          <w:vanish/>
        </w:rPr>
        <w:t>ckOptionMember 2019-01-01 2019-09-30 0001404655 us-gaap:EmployeeStockOptionMember 2018-01-01 2018-09-30 0001404655 us-gaap:RestrictedStockUnitsRSUMember 2019-07-01 2019-09-30 0001404655 us-gaap:RestrictedStockUnitsRSUMember 2018-07-01 2018-09-30 0001404655</w:t>
      </w:r>
      <w:r>
        <w:rPr>
          <w:rFonts w:eastAsia="Times New Roman"/>
          <w:vanish/>
        </w:rPr>
        <w:t xml:space="preserve"> us-gaap:RestrictedStockUnitsRSUMember 2019-01-01 2019-09-30 0001404655 us-gaap:RestrictedStockUnitsRSUMember 2018-01-01 2018-09-30 0001404655 us-gaap:EmployeeStockMember 2019-07-01 2019-09-30 0001404655 us-gaap:EmployeeStockMember 2018-07-01 2018-09-30 00</w:t>
      </w:r>
      <w:r>
        <w:rPr>
          <w:rFonts w:eastAsia="Times New Roman"/>
          <w:vanish/>
        </w:rPr>
        <w:t>01404655 hubs:CostOfSubscriptionRevenuesMember 2019-07-01 2019-09-30 0001404655 hubs:CostOfSubscriptionRevenuesMember 2018-07-01 2018-09-30 0001404655 hubs:CostOfSubscriptionRevenuesMember 2019-01-01 2019-09-30 0001404655 hubs:CostOfSubscriptionRevenuesMem</w:t>
      </w:r>
      <w:r>
        <w:rPr>
          <w:rFonts w:eastAsia="Times New Roman"/>
          <w:vanish/>
        </w:rPr>
        <w:t>ber 2018-01-01 2018-09-30 0001404655 hubs:CostOfRevenueProfessionalServicesAndOtherMember 2019-07-01 2019-09-30 0001404655 hubs:CostOfRevenueProfessionalServicesAndOtherMember 2018-07-01 2018-09-30 0001404655 hubs:CostOfRevenueProfessionalServicesAndOtherM</w:t>
      </w:r>
      <w:r>
        <w:rPr>
          <w:rFonts w:eastAsia="Times New Roman"/>
          <w:vanish/>
        </w:rPr>
        <w:t>ember 2019-01-01 2019-09-30 0001404655 hubs:CostOfRevenueProfessionalServicesAndOtherMember 2018-01-01 2018-09-30 0001404655 us-gaap:ResearchAndDevelopmentExpenseMember 2019-07-01 2019-09-30 0001404655 us-gaap:ResearchAndDevelopmentExpenseMember 2018-07-01</w:t>
      </w:r>
      <w:r>
        <w:rPr>
          <w:rFonts w:eastAsia="Times New Roman"/>
          <w:vanish/>
        </w:rPr>
        <w:t xml:space="preserve"> 2018-09-30 0001404655 us-gaap:ResearchAndDevelopmentExpenseMember 2019-01-01 2019-09-30 0001404655 us-gaap:ResearchAndDevelopmentExpenseMember 2018-01-01 2018-09-30 0001404655 us-gaap:SellingAndMarketingExpenseMember 2019-07-01 2019-09-30 0001404655 us-ga</w:t>
      </w:r>
      <w:r>
        <w:rPr>
          <w:rFonts w:eastAsia="Times New Roman"/>
          <w:vanish/>
        </w:rPr>
        <w:t>ap:SellingAndMarketingExpenseMember 2018-07-01 2018-09-30 0001404655 us-gaap:SellingAndMarketingExpenseMember 2019-01-01 2019-09-30 0001404655 us-gaap:SellingAndMarketingExpenseMember 2018-01-01 2018-09-30 0001404655 us-gaap:GeneralAndAdministrativeExpense</w:t>
      </w:r>
      <w:r>
        <w:rPr>
          <w:rFonts w:eastAsia="Times New Roman"/>
          <w:vanish/>
        </w:rPr>
        <w:t>Member 2019-07-01 2019-09-30 0001404655 us-gaap:GeneralAndAdministrativeExpenseMember 2018-07-01 2018-09-30 0001404655 us-gaap:GeneralAndAdministrativeExpenseMember 2019-01-01 2019-09-30 0001404655 us-gaap:GeneralAndAdministrativeExpenseMember 2018-01-01 2</w:t>
      </w:r>
      <w:r>
        <w:rPr>
          <w:rFonts w:eastAsia="Times New Roman"/>
          <w:vanish/>
        </w:rPr>
        <w:t>018-09-30 hubs:Segment 0001404655 srt:AmericasMember 2019-07-01 2019-09-30 0001404655 srt:AmericasMember 2018-07-01 2018-09-30 0001404655 srt:AmericasMember 2019-01-01 2019-09-30 0001404655 srt:AmericasMember 2018-01-01 2018-09-30 0001404655 srt:EuropeMemb</w:t>
      </w:r>
      <w:r>
        <w:rPr>
          <w:rFonts w:eastAsia="Times New Roman"/>
          <w:vanish/>
        </w:rPr>
        <w:t>er 2019-07-01 2019-09-30 0001404655 srt:EuropeMember 2018-07-01 2018-09-30 0001404655 srt:EuropeMember 2019-01-01 2019-09-30 0001404655 srt:EuropeMember 2018-01-01 2018-09-30 0001404655 srt:AsiaPacificMember 2019-07-01 2019-09-30 0001404655 srt:AsiaPacific</w:t>
      </w:r>
      <w:r>
        <w:rPr>
          <w:rFonts w:eastAsia="Times New Roman"/>
          <w:vanish/>
        </w:rPr>
        <w:t>Member 2018-07-01 2018-09-30 0001404655 srt:AsiaPacificMember 2019-01-01 2019-09-30 0001404655 srt:AsiaPacificMember 2018-01-01 2018-09-30 0001404655 hubs:OutsideOfAmericasMember us-gaap:SalesRevenueNetMember us-gaap:GeographicConcentrationRiskMember 2019-</w:t>
      </w:r>
      <w:r>
        <w:rPr>
          <w:rFonts w:eastAsia="Times New Roman"/>
          <w:vanish/>
        </w:rPr>
        <w:t>07-01 2019-09-30 0001404655 hubs:OutsideOfAmericasMember us-gaap:SalesRevenueNetMember us-gaap:GeographicConcentrationRiskMember 2018-07-01 2018-09-30 0001404655 hubs:OutsideOfAmericasMember us-gaap:SalesRevenueNetMember us-gaap:GeographicConcentrationRisk</w:t>
      </w:r>
      <w:r>
        <w:rPr>
          <w:rFonts w:eastAsia="Times New Roman"/>
          <w:vanish/>
        </w:rPr>
        <w:t>Member 2019-01-01 2019-09-30 0001404655 hubs:OutsideOfAmericasMember us-gaap:SalesRevenueNetMember us-gaap:GeographicConcentrationRiskMember 2018-01-01 2018-09-30 0001404655 us-gaap:SalesRevenueNetMember hubs:RestOfTheWorldMember us-gaap:GeographicConcentr</w:t>
      </w:r>
      <w:r>
        <w:rPr>
          <w:rFonts w:eastAsia="Times New Roman"/>
          <w:vanish/>
        </w:rPr>
        <w:t>ationRiskMember 2019-07-01 2019-09-30 0001404655 us-gaap:SalesRevenueNetMember hubs:RestOfTheWorldMember us-gaap:GeographicConcentrationRiskMember 2019-01-01 2019-09-30 0001404655 us-gaap:SalesRevenueNetMember hubs:RestOfTheWorldMember us-gaap:GeographicCo</w:t>
      </w:r>
      <w:r>
        <w:rPr>
          <w:rFonts w:eastAsia="Times New Roman"/>
          <w:vanish/>
        </w:rPr>
        <w:t>ncentrationRiskMember 2018-07-01 2018-09-30 0001404655 us-gaap:SalesRevenueNetMember hubs:RestOfTheWorldMember us-gaap:GeographicConcentrationRiskMember 2018-01-01 2018-09-30 0001404655 srt:AmericasMember 2019-09-30 0001404655 srt:AmericasMember 2018-12-31</w:t>
      </w:r>
      <w:r>
        <w:rPr>
          <w:rFonts w:eastAsia="Times New Roman"/>
          <w:vanish/>
        </w:rPr>
        <w:t xml:space="preserve"> 0001404655 srt:EuropeMember 2019-09-30 0001404655 srt:EuropeMember 2018-12-31 0001404655 srt:AsiaPacificMember 2019-09-30 0001404655 srt:AsiaPacificMember 2018-12-31 0001404655 hubs:OutsideOfAmericasMember us-gaap:GeographicConcentrationRiskMember us-gaap</w:t>
      </w:r>
      <w:r>
        <w:rPr>
          <w:rFonts w:eastAsia="Times New Roman"/>
          <w:vanish/>
        </w:rPr>
        <w:t>:AssetsTotalMember 2019-01-01 2019-09-30 0001404655 hubs:OutsideOfAmericasMember us-gaap:GeographicConcentrationRiskMember us-gaap:AssetsTotalMember 2018-01-01 2018-12-31 0001404655 hubs:PieSyncNVMember 2019-01-01 2019-09-30 0001404655 hubs:PieSyncNVMember</w:t>
      </w:r>
      <w:r>
        <w:rPr>
          <w:rFonts w:eastAsia="Times New Roman"/>
          <w:vanish/>
        </w:rPr>
        <w:t xml:space="preserve"> us-gaap:SubsequentEventMember 2019-10-31 0001404655 hubs:PieSyncNVMember us-gaap:SubsequentEventMember 2019-10-01 2019-10-31 </w:t>
      </w:r>
    </w:p>
    <w:p w14:paraId="0A3409BD" w14:textId="77777777" w:rsidR="00000000" w:rsidRDefault="00B8284C">
      <w:pPr>
        <w:pStyle w:val="a3"/>
        <w:spacing w:before="0" w:beforeAutospacing="0" w:after="0" w:afterAutospacing="0"/>
        <w:rPr>
          <w:sz w:val="20"/>
          <w:szCs w:val="20"/>
        </w:rPr>
      </w:pPr>
      <w:r>
        <w:rPr>
          <w:sz w:val="20"/>
          <w:szCs w:val="20"/>
        </w:rPr>
        <w:t> </w:t>
      </w:r>
    </w:p>
    <w:p w14:paraId="09665C60" w14:textId="77777777" w:rsidR="00000000" w:rsidRDefault="00B8284C">
      <w:pPr>
        <w:pStyle w:val="a3"/>
        <w:pBdr>
          <w:bottom w:val="double" w:sz="6" w:space="1" w:color="auto"/>
        </w:pBdr>
        <w:spacing w:before="0" w:beforeAutospacing="0" w:after="0" w:afterAutospacing="0"/>
        <w:rPr>
          <w:sz w:val="2"/>
          <w:szCs w:val="2"/>
        </w:rPr>
      </w:pPr>
      <w:r>
        <w:rPr>
          <w:sz w:val="2"/>
          <w:szCs w:val="2"/>
        </w:rPr>
        <w:t> </w:t>
      </w:r>
    </w:p>
    <w:p w14:paraId="36F271A5" w14:textId="77777777" w:rsidR="00000000" w:rsidRDefault="00B8284C">
      <w:pPr>
        <w:pStyle w:val="a3"/>
        <w:spacing w:before="40" w:beforeAutospacing="0" w:after="0" w:afterAutospacing="0"/>
        <w:jc w:val="center"/>
        <w:rPr>
          <w:b/>
          <w:bCs/>
          <w:sz w:val="36"/>
          <w:szCs w:val="36"/>
        </w:rPr>
      </w:pPr>
      <w:r>
        <w:rPr>
          <w:b/>
          <w:bCs/>
          <w:sz w:val="36"/>
          <w:szCs w:val="36"/>
        </w:rPr>
        <w:t>UNITED STATES</w:t>
      </w:r>
    </w:p>
    <w:p w14:paraId="0DFE8536" w14:textId="77777777" w:rsidR="00000000" w:rsidRDefault="00B8284C">
      <w:pPr>
        <w:pStyle w:val="a3"/>
        <w:spacing w:before="0" w:beforeAutospacing="0" w:after="0" w:afterAutospacing="0"/>
        <w:jc w:val="center"/>
        <w:rPr>
          <w:b/>
          <w:bCs/>
          <w:sz w:val="36"/>
          <w:szCs w:val="36"/>
        </w:rPr>
      </w:pPr>
      <w:r>
        <w:rPr>
          <w:b/>
          <w:bCs/>
          <w:sz w:val="36"/>
          <w:szCs w:val="36"/>
        </w:rPr>
        <w:t>SECURITIES AND EXCHANGE COMMISSION</w:t>
      </w:r>
    </w:p>
    <w:p w14:paraId="784919EB" w14:textId="77777777" w:rsidR="00000000" w:rsidRDefault="00B8284C">
      <w:pPr>
        <w:pStyle w:val="a3"/>
        <w:spacing w:before="0" w:beforeAutospacing="0" w:after="0" w:afterAutospacing="0"/>
        <w:jc w:val="center"/>
        <w:rPr>
          <w:b/>
          <w:bCs/>
        </w:rPr>
      </w:pPr>
      <w:r>
        <w:rPr>
          <w:b/>
          <w:bCs/>
        </w:rPr>
        <w:t>Washington, D.C. 20549</w:t>
      </w:r>
    </w:p>
    <w:p w14:paraId="27743A25" w14:textId="77777777" w:rsidR="00000000" w:rsidRDefault="00B8284C">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30E754F7" w14:textId="77777777" w:rsidR="00000000" w:rsidRDefault="00B8284C">
      <w:pPr>
        <w:pStyle w:val="a3"/>
        <w:spacing w:before="40" w:beforeAutospacing="0" w:after="0" w:afterAutospacing="0"/>
        <w:jc w:val="center"/>
        <w:rPr>
          <w:b/>
          <w:bCs/>
          <w:sz w:val="36"/>
          <w:szCs w:val="36"/>
        </w:rPr>
      </w:pPr>
      <w:r>
        <w:rPr>
          <w:b/>
          <w:bCs/>
          <w:sz w:val="36"/>
          <w:szCs w:val="36"/>
        </w:rPr>
        <w:t>FORM 10-Q</w:t>
      </w:r>
    </w:p>
    <w:p w14:paraId="35B3520F" w14:textId="77777777" w:rsidR="00000000" w:rsidRDefault="00B8284C">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3B5FEA7B" w14:textId="77777777" w:rsidR="00000000" w:rsidRDefault="00B8284C">
      <w:pPr>
        <w:pStyle w:val="a3"/>
        <w:spacing w:before="40" w:beforeAutospacing="0" w:after="0" w:afterAutospacing="0"/>
        <w:rPr>
          <w:b/>
          <w:bCs/>
          <w:sz w:val="20"/>
          <w:szCs w:val="20"/>
        </w:rPr>
      </w:pPr>
      <w:r>
        <w:rPr>
          <w:b/>
          <w:bCs/>
          <w:sz w:val="20"/>
          <w:szCs w:val="20"/>
        </w:rPr>
        <w:t>(MARK ONE)</w:t>
      </w:r>
    </w:p>
    <w:tbl>
      <w:tblPr>
        <w:tblW w:w="5000" w:type="pct"/>
        <w:tblCellMar>
          <w:left w:w="0" w:type="dxa"/>
          <w:right w:w="0" w:type="dxa"/>
        </w:tblCellMar>
        <w:tblLook w:val="04A0" w:firstRow="1" w:lastRow="0" w:firstColumn="1" w:lastColumn="0" w:noHBand="0" w:noVBand="1"/>
      </w:tblPr>
      <w:tblGrid>
        <w:gridCol w:w="415"/>
        <w:gridCol w:w="7891"/>
      </w:tblGrid>
      <w:tr w:rsidR="00000000" w14:paraId="733A8F82" w14:textId="77777777">
        <w:trPr>
          <w:divId w:val="724642008"/>
        </w:trPr>
        <w:tc>
          <w:tcPr>
            <w:tcW w:w="250" w:type="pct"/>
            <w:hideMark/>
          </w:tcPr>
          <w:p w14:paraId="69B35323" w14:textId="77777777" w:rsidR="00000000" w:rsidRDefault="00B8284C">
            <w:pPr>
              <w:pStyle w:val="a3"/>
              <w:spacing w:before="0" w:beforeAutospacing="0" w:after="0" w:afterAutospacing="0"/>
              <w:rPr>
                <w:rFonts w:ascii="Segoe UI Symbol" w:hAnsi="Segoe UI Symbol"/>
                <w:b/>
                <w:bCs/>
              </w:rPr>
            </w:pPr>
            <w:r>
              <w:rPr>
                <w:rFonts w:ascii="Segoe UI Symbol" w:hAnsi="Segoe UI Symbol"/>
                <w:b/>
                <w:bCs/>
              </w:rPr>
              <w:t>☒</w:t>
            </w:r>
          </w:p>
        </w:tc>
        <w:tc>
          <w:tcPr>
            <w:tcW w:w="4750" w:type="pct"/>
            <w:hideMark/>
          </w:tcPr>
          <w:p w14:paraId="1F89597B" w14:textId="77777777" w:rsidR="00000000" w:rsidRDefault="00B8284C">
            <w:pPr>
              <w:pStyle w:val="a3"/>
              <w:spacing w:before="40" w:beforeAutospacing="0" w:after="0" w:afterAutospacing="0"/>
              <w:rPr>
                <w:b/>
                <w:bCs/>
              </w:rPr>
            </w:pPr>
            <w:r>
              <w:rPr>
                <w:b/>
                <w:bCs/>
              </w:rPr>
              <w:t xml:space="preserve">QUARTERLY REPORT PURSUANT </w:t>
            </w:r>
            <w:r>
              <w:rPr>
                <w:b/>
                <w:bCs/>
              </w:rPr>
              <w:t>TO SECTION 13 OR 15(d) OF THE SECURITIES EXCHANGE ACT OF 1934</w:t>
            </w:r>
          </w:p>
        </w:tc>
      </w:tr>
    </w:tbl>
    <w:p w14:paraId="28A0678A" w14:textId="77777777" w:rsidR="00000000" w:rsidRDefault="00B8284C">
      <w:pPr>
        <w:pStyle w:val="a3"/>
        <w:spacing w:beforeAutospacing="0" w:after="0" w:afterAutospacing="0"/>
        <w:jc w:val="center"/>
        <w:rPr>
          <w:b/>
          <w:bCs/>
          <w:sz w:val="20"/>
          <w:szCs w:val="20"/>
        </w:rPr>
      </w:pPr>
      <w:r>
        <w:rPr>
          <w:b/>
          <w:bCs/>
          <w:sz w:val="20"/>
          <w:szCs w:val="20"/>
        </w:rPr>
        <w:t>FOR THE QUARTERLY PERIOD ENDED September 30, 2019</w:t>
      </w:r>
    </w:p>
    <w:p w14:paraId="2CB0CF9B" w14:textId="77777777" w:rsidR="00000000" w:rsidRDefault="00B8284C">
      <w:pPr>
        <w:pStyle w:val="a3"/>
        <w:spacing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415"/>
        <w:gridCol w:w="7891"/>
      </w:tblGrid>
      <w:tr w:rsidR="00000000" w14:paraId="4DFBA2C2" w14:textId="77777777">
        <w:trPr>
          <w:divId w:val="912155843"/>
        </w:trPr>
        <w:tc>
          <w:tcPr>
            <w:tcW w:w="250" w:type="pct"/>
            <w:hideMark/>
          </w:tcPr>
          <w:p w14:paraId="1619492C" w14:textId="77777777" w:rsidR="00000000" w:rsidRDefault="00B8284C">
            <w:pPr>
              <w:pStyle w:val="a3"/>
              <w:spacing w:before="0" w:beforeAutospacing="0" w:after="0" w:afterAutospacing="0"/>
              <w:rPr>
                <w:rFonts w:ascii="Segoe UI Symbol" w:hAnsi="Segoe UI Symbol"/>
                <w:b/>
                <w:bCs/>
              </w:rPr>
            </w:pPr>
            <w:r>
              <w:rPr>
                <w:rFonts w:ascii="Segoe UI Symbol" w:hAnsi="Segoe UI Symbol"/>
                <w:b/>
                <w:bCs/>
              </w:rPr>
              <w:t>☐</w:t>
            </w:r>
          </w:p>
        </w:tc>
        <w:tc>
          <w:tcPr>
            <w:tcW w:w="4750" w:type="pct"/>
            <w:hideMark/>
          </w:tcPr>
          <w:p w14:paraId="6318EAFC" w14:textId="77777777" w:rsidR="00000000" w:rsidRDefault="00B8284C">
            <w:pPr>
              <w:pStyle w:val="a3"/>
              <w:spacing w:before="40" w:beforeAutospacing="0" w:after="0" w:afterAutospacing="0"/>
              <w:rPr>
                <w:b/>
                <w:bCs/>
              </w:rPr>
            </w:pPr>
            <w:r>
              <w:rPr>
                <w:b/>
                <w:bCs/>
              </w:rPr>
              <w:t>TRANSITION REPORT PURSUANT TO SECTION 13 OR 15(d) OF THE SECURITIES EXCHANGE ACT OF 1934</w:t>
            </w:r>
          </w:p>
        </w:tc>
      </w:tr>
    </w:tbl>
    <w:p w14:paraId="499FC4D1" w14:textId="77777777" w:rsidR="00000000" w:rsidRDefault="00B8284C">
      <w:pPr>
        <w:pStyle w:val="a3"/>
        <w:spacing w:beforeAutospacing="0" w:after="0" w:afterAutospacing="0"/>
        <w:jc w:val="center"/>
        <w:rPr>
          <w:b/>
          <w:bCs/>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14:paraId="114E65B0" w14:textId="77777777" w:rsidR="00000000" w:rsidRDefault="00B8284C">
      <w:pPr>
        <w:pStyle w:val="a3"/>
        <w:spacing w:beforeAutospacing="0" w:after="0" w:afterAutospacing="0"/>
        <w:jc w:val="center"/>
        <w:rPr>
          <w:b/>
          <w:bCs/>
          <w:sz w:val="20"/>
          <w:szCs w:val="20"/>
        </w:rPr>
      </w:pPr>
      <w:r>
        <w:rPr>
          <w:b/>
          <w:bCs/>
          <w:sz w:val="20"/>
          <w:szCs w:val="20"/>
        </w:rPr>
        <w:t>COMMISSION FILE NUMBER 001-36680</w:t>
      </w:r>
    </w:p>
    <w:p w14:paraId="079FC9A9" w14:textId="77777777" w:rsidR="00000000" w:rsidRDefault="00B8284C">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18081F21" w14:textId="77777777" w:rsidR="00000000" w:rsidRDefault="00B8284C">
      <w:pPr>
        <w:pStyle w:val="a3"/>
        <w:spacing w:beforeAutospacing="0" w:after="0" w:afterAutospacing="0"/>
        <w:jc w:val="center"/>
        <w:rPr>
          <w:b/>
          <w:bCs/>
          <w:sz w:val="48"/>
          <w:szCs w:val="48"/>
        </w:rPr>
      </w:pPr>
      <w:r>
        <w:rPr>
          <w:b/>
          <w:bCs/>
          <w:sz w:val="48"/>
          <w:szCs w:val="48"/>
        </w:rPr>
        <w:t>HubSpot, Inc.</w:t>
      </w:r>
    </w:p>
    <w:p w14:paraId="0A9EFA73" w14:textId="77777777" w:rsidR="00000000" w:rsidRDefault="00B8284C">
      <w:pPr>
        <w:pStyle w:val="a3"/>
        <w:spacing w:before="0" w:beforeAutospacing="0" w:after="0" w:afterAutospacing="0"/>
        <w:jc w:val="center"/>
        <w:rPr>
          <w:b/>
          <w:bCs/>
          <w:sz w:val="20"/>
          <w:szCs w:val="20"/>
        </w:rPr>
      </w:pPr>
      <w:r>
        <w:rPr>
          <w:b/>
          <w:bCs/>
          <w:sz w:val="20"/>
          <w:szCs w:val="20"/>
        </w:rPr>
        <w:t>(Exact name of registrant as specified i</w:t>
      </w:r>
      <w:r>
        <w:rPr>
          <w:b/>
          <w:bCs/>
          <w:sz w:val="20"/>
          <w:szCs w:val="20"/>
        </w:rPr>
        <w:t>n its charter)</w:t>
      </w:r>
    </w:p>
    <w:p w14:paraId="0FFACFDE" w14:textId="77777777" w:rsidR="00000000" w:rsidRDefault="00B8284C">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24053312" w14:textId="77777777" w:rsidR="00000000" w:rsidRDefault="00B8284C">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4F8270CE" w14:textId="77777777">
        <w:trPr>
          <w:divId w:val="1992319789"/>
        </w:trPr>
        <w:tc>
          <w:tcPr>
            <w:tcW w:w="2450" w:type="pct"/>
            <w:hideMark/>
          </w:tcPr>
          <w:p w14:paraId="7684EE96" w14:textId="77777777" w:rsidR="00000000" w:rsidRDefault="00B8284C">
            <w:pPr>
              <w:pStyle w:val="a3"/>
              <w:spacing w:before="0" w:beforeAutospacing="0" w:after="0" w:afterAutospacing="0"/>
              <w:jc w:val="center"/>
              <w:rPr>
                <w:b/>
                <w:bCs/>
                <w:sz w:val="20"/>
                <w:szCs w:val="20"/>
              </w:rPr>
            </w:pPr>
            <w:r>
              <w:rPr>
                <w:b/>
                <w:bCs/>
                <w:sz w:val="20"/>
                <w:szCs w:val="20"/>
              </w:rPr>
              <w:t>Delaware</w:t>
            </w:r>
          </w:p>
        </w:tc>
        <w:tc>
          <w:tcPr>
            <w:tcW w:w="100" w:type="pct"/>
            <w:vAlign w:val="bottom"/>
            <w:hideMark/>
          </w:tcPr>
          <w:p w14:paraId="64C1E168" w14:textId="77777777" w:rsidR="00000000" w:rsidRDefault="00B8284C">
            <w:pPr>
              <w:pStyle w:val="a3"/>
              <w:spacing w:before="0" w:beforeAutospacing="0" w:after="0" w:afterAutospacing="0"/>
              <w:rPr>
                <w:sz w:val="20"/>
                <w:szCs w:val="20"/>
              </w:rPr>
            </w:pPr>
            <w:r>
              <w:rPr>
                <w:sz w:val="20"/>
                <w:szCs w:val="20"/>
              </w:rPr>
              <w:t> </w:t>
            </w:r>
          </w:p>
        </w:tc>
        <w:tc>
          <w:tcPr>
            <w:tcW w:w="2450" w:type="pct"/>
            <w:hideMark/>
          </w:tcPr>
          <w:p w14:paraId="7CF148CA" w14:textId="77777777" w:rsidR="00000000" w:rsidRDefault="00B8284C">
            <w:pPr>
              <w:pStyle w:val="a3"/>
              <w:spacing w:before="0" w:beforeAutospacing="0" w:after="0" w:afterAutospacing="0"/>
              <w:jc w:val="center"/>
              <w:rPr>
                <w:b/>
                <w:bCs/>
                <w:sz w:val="20"/>
                <w:szCs w:val="20"/>
              </w:rPr>
            </w:pPr>
            <w:r>
              <w:rPr>
                <w:b/>
                <w:bCs/>
                <w:sz w:val="20"/>
                <w:szCs w:val="20"/>
              </w:rPr>
              <w:t>20-2632791</w:t>
            </w:r>
          </w:p>
        </w:tc>
      </w:tr>
      <w:tr w:rsidR="00000000" w14:paraId="1CD0685A" w14:textId="77777777">
        <w:trPr>
          <w:divId w:val="1992319789"/>
        </w:trPr>
        <w:tc>
          <w:tcPr>
            <w:tcW w:w="2450" w:type="pct"/>
            <w:hideMark/>
          </w:tcPr>
          <w:p w14:paraId="5A2E7FC0" w14:textId="77777777" w:rsidR="00000000" w:rsidRDefault="00B8284C">
            <w:pPr>
              <w:pStyle w:val="a3"/>
              <w:spacing w:before="0" w:beforeAutospacing="0" w:after="0" w:afterAutospacing="0"/>
              <w:jc w:val="center"/>
              <w:rPr>
                <w:b/>
                <w:bCs/>
                <w:sz w:val="16"/>
                <w:szCs w:val="16"/>
              </w:rPr>
            </w:pPr>
            <w:r>
              <w:rPr>
                <w:b/>
                <w:bCs/>
                <w:sz w:val="16"/>
                <w:szCs w:val="16"/>
              </w:rPr>
              <w:t>(State or other jurisdiction of</w:t>
            </w:r>
          </w:p>
          <w:p w14:paraId="44E7DEB0" w14:textId="77777777" w:rsidR="00000000" w:rsidRDefault="00B8284C">
            <w:pPr>
              <w:pStyle w:val="a3"/>
              <w:spacing w:before="0" w:beforeAutospacing="0" w:after="0" w:afterAutospacing="0"/>
              <w:jc w:val="center"/>
              <w:rPr>
                <w:b/>
                <w:bCs/>
                <w:sz w:val="16"/>
                <w:szCs w:val="16"/>
              </w:rPr>
            </w:pPr>
            <w:r>
              <w:rPr>
                <w:b/>
                <w:bCs/>
                <w:sz w:val="16"/>
                <w:szCs w:val="16"/>
              </w:rPr>
              <w:t>incorporation or organization)</w:t>
            </w:r>
          </w:p>
        </w:tc>
        <w:tc>
          <w:tcPr>
            <w:tcW w:w="100" w:type="pct"/>
            <w:vAlign w:val="bottom"/>
            <w:hideMark/>
          </w:tcPr>
          <w:p w14:paraId="0E56DC09" w14:textId="77777777" w:rsidR="00000000" w:rsidRDefault="00B8284C">
            <w:pPr>
              <w:pStyle w:val="a3"/>
              <w:spacing w:before="0" w:beforeAutospacing="0" w:after="0" w:afterAutospacing="0"/>
              <w:rPr>
                <w:sz w:val="16"/>
                <w:szCs w:val="16"/>
              </w:rPr>
            </w:pPr>
            <w:r>
              <w:rPr>
                <w:sz w:val="16"/>
                <w:szCs w:val="16"/>
              </w:rPr>
              <w:t> </w:t>
            </w:r>
          </w:p>
        </w:tc>
        <w:tc>
          <w:tcPr>
            <w:tcW w:w="2450" w:type="pct"/>
            <w:hideMark/>
          </w:tcPr>
          <w:p w14:paraId="3543ED6F" w14:textId="77777777" w:rsidR="00000000" w:rsidRDefault="00B8284C">
            <w:pPr>
              <w:pStyle w:val="a3"/>
              <w:spacing w:before="0" w:beforeAutospacing="0" w:after="0" w:afterAutospacing="0"/>
              <w:jc w:val="center"/>
              <w:rPr>
                <w:b/>
                <w:bCs/>
                <w:sz w:val="16"/>
                <w:szCs w:val="16"/>
              </w:rPr>
            </w:pPr>
            <w:r>
              <w:rPr>
                <w:b/>
                <w:bCs/>
                <w:sz w:val="16"/>
                <w:szCs w:val="16"/>
              </w:rPr>
              <w:t>(I.R.S. Employer</w:t>
            </w:r>
          </w:p>
          <w:p w14:paraId="09F87C97" w14:textId="77777777" w:rsidR="00000000" w:rsidRDefault="00B8284C">
            <w:pPr>
              <w:pStyle w:val="a3"/>
              <w:spacing w:before="0" w:beforeAutospacing="0" w:after="0" w:afterAutospacing="0"/>
              <w:jc w:val="center"/>
              <w:rPr>
                <w:b/>
                <w:bCs/>
                <w:sz w:val="16"/>
                <w:szCs w:val="16"/>
              </w:rPr>
            </w:pPr>
            <w:r>
              <w:rPr>
                <w:b/>
                <w:bCs/>
                <w:sz w:val="16"/>
                <w:szCs w:val="16"/>
              </w:rPr>
              <w:t>Identification No.)</w:t>
            </w:r>
          </w:p>
        </w:tc>
      </w:tr>
    </w:tbl>
    <w:p w14:paraId="024000B8" w14:textId="77777777" w:rsidR="00000000" w:rsidRDefault="00B8284C">
      <w:pPr>
        <w:pStyle w:val="a3"/>
        <w:spacing w:beforeAutospacing="0" w:after="0" w:afterAutospacing="0"/>
        <w:jc w:val="center"/>
        <w:rPr>
          <w:b/>
          <w:bCs/>
          <w:sz w:val="20"/>
          <w:szCs w:val="20"/>
        </w:rPr>
      </w:pPr>
      <w:r>
        <w:rPr>
          <w:b/>
          <w:bCs/>
          <w:sz w:val="20"/>
          <w:szCs w:val="20"/>
        </w:rPr>
        <w:t>25 First Street</w:t>
      </w:r>
    </w:p>
    <w:p w14:paraId="6C6832E9" w14:textId="77777777" w:rsidR="00000000" w:rsidRDefault="00B8284C">
      <w:pPr>
        <w:pStyle w:val="a3"/>
        <w:spacing w:before="0" w:beforeAutospacing="0" w:after="0" w:afterAutospacing="0"/>
        <w:jc w:val="center"/>
        <w:rPr>
          <w:b/>
          <w:bCs/>
          <w:sz w:val="20"/>
          <w:szCs w:val="20"/>
        </w:rPr>
      </w:pPr>
      <w:r>
        <w:rPr>
          <w:b/>
          <w:bCs/>
          <w:sz w:val="20"/>
          <w:szCs w:val="20"/>
        </w:rPr>
        <w:t>Cambridge, Massachusetts, 02141</w:t>
      </w:r>
    </w:p>
    <w:p w14:paraId="74760AF5" w14:textId="77777777" w:rsidR="00000000" w:rsidRDefault="00B8284C">
      <w:pPr>
        <w:pStyle w:val="a3"/>
        <w:spacing w:before="0" w:beforeAutospacing="0" w:after="0" w:afterAutospacing="0"/>
        <w:jc w:val="center"/>
        <w:rPr>
          <w:b/>
          <w:bCs/>
          <w:sz w:val="16"/>
          <w:szCs w:val="16"/>
        </w:rPr>
      </w:pPr>
      <w:r>
        <w:rPr>
          <w:b/>
          <w:bCs/>
          <w:sz w:val="16"/>
          <w:szCs w:val="16"/>
        </w:rPr>
        <w:t>(Address of principal executive offices)</w:t>
      </w:r>
    </w:p>
    <w:p w14:paraId="6F8F4293" w14:textId="77777777" w:rsidR="00000000" w:rsidRDefault="00B8284C">
      <w:pPr>
        <w:pStyle w:val="a3"/>
        <w:spacing w:beforeAutospacing="0" w:after="0" w:afterAutospacing="0"/>
        <w:jc w:val="center"/>
        <w:rPr>
          <w:b/>
          <w:bCs/>
          <w:sz w:val="20"/>
          <w:szCs w:val="20"/>
        </w:rPr>
      </w:pPr>
      <w:r>
        <w:rPr>
          <w:b/>
          <w:bCs/>
          <w:sz w:val="20"/>
          <w:szCs w:val="20"/>
        </w:rPr>
        <w:t>(888) 482-7768</w:t>
      </w:r>
    </w:p>
    <w:p w14:paraId="65F9FF0E" w14:textId="77777777" w:rsidR="00000000" w:rsidRDefault="00B8284C">
      <w:pPr>
        <w:pStyle w:val="a3"/>
        <w:spacing w:before="0" w:beforeAutospacing="0" w:after="0" w:afterAutospacing="0"/>
        <w:jc w:val="center"/>
        <w:rPr>
          <w:b/>
          <w:bCs/>
          <w:sz w:val="16"/>
          <w:szCs w:val="16"/>
        </w:rPr>
      </w:pPr>
      <w:r>
        <w:rPr>
          <w:b/>
          <w:bCs/>
          <w:sz w:val="16"/>
          <w:szCs w:val="16"/>
        </w:rPr>
        <w:t>(Registrant’s telephone number, including area code)</w:t>
      </w:r>
    </w:p>
    <w:p w14:paraId="42BAAD74" w14:textId="77777777" w:rsidR="00000000" w:rsidRDefault="00B8284C">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0E9D0E2A" w14:textId="77777777" w:rsidR="00000000" w:rsidRDefault="00B8284C">
      <w:pPr>
        <w:pStyle w:val="a3"/>
        <w:spacing w:before="60" w:beforeAutospacing="0" w:after="0" w:afterAutospacing="0"/>
        <w:ind w:firstLine="556"/>
        <w:jc w:val="center"/>
        <w:rPr>
          <w:sz w:val="18"/>
          <w:szCs w:val="18"/>
        </w:rPr>
      </w:pPr>
      <w:r>
        <w:rPr>
          <w:sz w:val="18"/>
          <w:szCs w:val="18"/>
        </w:rPr>
        <w:t>Securities registered pursuant to Section 12(b) of the Act:</w:t>
      </w:r>
    </w:p>
    <w:p w14:paraId="3A351EA0" w14:textId="77777777" w:rsidR="00000000" w:rsidRDefault="00B8284C">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40"/>
        <w:gridCol w:w="83"/>
        <w:gridCol w:w="1661"/>
        <w:gridCol w:w="83"/>
        <w:gridCol w:w="3239"/>
      </w:tblGrid>
      <w:tr w:rsidR="00000000" w14:paraId="2FC61A25" w14:textId="77777777">
        <w:trPr>
          <w:divId w:val="1832023034"/>
        </w:trPr>
        <w:tc>
          <w:tcPr>
            <w:tcW w:w="1950" w:type="pct"/>
            <w:tcBorders>
              <w:bottom w:val="single" w:sz="6" w:space="0" w:color="000000"/>
            </w:tcBorders>
            <w:vAlign w:val="bottom"/>
            <w:hideMark/>
          </w:tcPr>
          <w:p w14:paraId="22E4B0E6" w14:textId="77777777" w:rsidR="00000000" w:rsidRDefault="00B8284C">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14:paraId="3A633A0D" w14:textId="77777777" w:rsidR="00000000" w:rsidRDefault="00B8284C">
            <w:pPr>
              <w:pStyle w:val="a3"/>
              <w:spacing w:before="0" w:beforeAutospacing="0" w:after="0" w:afterAutospacing="0"/>
              <w:jc w:val="center"/>
              <w:rPr>
                <w:b/>
                <w:bCs/>
                <w:sz w:val="16"/>
                <w:szCs w:val="16"/>
              </w:rPr>
            </w:pPr>
            <w:r>
              <w:rPr>
                <w:b/>
                <w:bCs/>
                <w:sz w:val="16"/>
                <w:szCs w:val="16"/>
              </w:rPr>
              <w:t> </w:t>
            </w:r>
          </w:p>
        </w:tc>
        <w:tc>
          <w:tcPr>
            <w:tcW w:w="1000" w:type="pct"/>
            <w:tcBorders>
              <w:bottom w:val="single" w:sz="6" w:space="0" w:color="000000"/>
            </w:tcBorders>
            <w:vAlign w:val="bottom"/>
            <w:hideMark/>
          </w:tcPr>
          <w:p w14:paraId="0BB6DE0A" w14:textId="77777777" w:rsidR="00000000" w:rsidRDefault="00B8284C">
            <w:pPr>
              <w:pStyle w:val="a3"/>
              <w:spacing w:before="0" w:beforeAutospacing="0" w:after="0" w:afterAutospacing="0"/>
              <w:jc w:val="center"/>
              <w:rPr>
                <w:b/>
                <w:bCs/>
                <w:sz w:val="16"/>
                <w:szCs w:val="16"/>
              </w:rPr>
            </w:pPr>
            <w:r>
              <w:rPr>
                <w:b/>
                <w:bCs/>
                <w:sz w:val="16"/>
                <w:szCs w:val="16"/>
              </w:rPr>
              <w:t>Trading</w:t>
            </w:r>
          </w:p>
          <w:p w14:paraId="0170ECE5" w14:textId="77777777" w:rsidR="00000000" w:rsidRDefault="00B8284C">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14:paraId="643CB6B3" w14:textId="77777777" w:rsidR="00000000" w:rsidRDefault="00B8284C">
            <w:pPr>
              <w:pStyle w:val="a3"/>
              <w:spacing w:before="0" w:beforeAutospacing="0" w:after="0" w:afterAutospacing="0"/>
              <w:jc w:val="center"/>
              <w:rPr>
                <w:b/>
                <w:bCs/>
                <w:sz w:val="16"/>
                <w:szCs w:val="16"/>
              </w:rPr>
            </w:pPr>
            <w:r>
              <w:rPr>
                <w:b/>
                <w:bCs/>
                <w:sz w:val="16"/>
                <w:szCs w:val="16"/>
              </w:rPr>
              <w:t> </w:t>
            </w:r>
          </w:p>
        </w:tc>
        <w:tc>
          <w:tcPr>
            <w:tcW w:w="1950" w:type="pct"/>
            <w:tcBorders>
              <w:bottom w:val="single" w:sz="6" w:space="0" w:color="000000"/>
            </w:tcBorders>
            <w:vAlign w:val="bottom"/>
            <w:hideMark/>
          </w:tcPr>
          <w:p w14:paraId="0839E300" w14:textId="77777777" w:rsidR="00000000" w:rsidRDefault="00B8284C">
            <w:pPr>
              <w:pStyle w:val="a3"/>
              <w:spacing w:before="0" w:beforeAutospacing="0" w:after="0" w:afterAutospacing="0"/>
              <w:jc w:val="center"/>
              <w:rPr>
                <w:b/>
                <w:bCs/>
                <w:sz w:val="16"/>
                <w:szCs w:val="16"/>
              </w:rPr>
            </w:pPr>
            <w:r>
              <w:rPr>
                <w:b/>
                <w:bCs/>
                <w:sz w:val="16"/>
                <w:szCs w:val="16"/>
              </w:rPr>
              <w:t>Name of each exchange on which registered</w:t>
            </w:r>
          </w:p>
        </w:tc>
      </w:tr>
      <w:tr w:rsidR="00000000" w14:paraId="5266C37D" w14:textId="77777777">
        <w:trPr>
          <w:divId w:val="1832023034"/>
        </w:trPr>
        <w:tc>
          <w:tcPr>
            <w:tcW w:w="1950" w:type="pct"/>
            <w:tcBorders>
              <w:top w:val="single" w:sz="6" w:space="0" w:color="000000"/>
            </w:tcBorders>
            <w:hideMark/>
          </w:tcPr>
          <w:p w14:paraId="5DE5B82F" w14:textId="77777777" w:rsidR="00000000" w:rsidRDefault="00B8284C">
            <w:pPr>
              <w:pStyle w:val="a3"/>
              <w:spacing w:before="0" w:beforeAutospacing="0" w:after="0" w:afterAutospacing="0"/>
              <w:jc w:val="center"/>
              <w:rPr>
                <w:sz w:val="16"/>
                <w:szCs w:val="16"/>
              </w:rPr>
            </w:pPr>
            <w:r>
              <w:rPr>
                <w:sz w:val="16"/>
                <w:szCs w:val="16"/>
              </w:rPr>
              <w:t>Common Stock, par value $0.001 per share</w:t>
            </w:r>
          </w:p>
        </w:tc>
        <w:tc>
          <w:tcPr>
            <w:tcW w:w="50" w:type="pct"/>
            <w:vAlign w:val="bottom"/>
            <w:hideMark/>
          </w:tcPr>
          <w:p w14:paraId="50D7CC7F" w14:textId="77777777" w:rsidR="00000000" w:rsidRDefault="00B8284C">
            <w:pPr>
              <w:pStyle w:val="a3"/>
              <w:spacing w:before="0" w:beforeAutospacing="0" w:after="0" w:afterAutospacing="0"/>
              <w:jc w:val="center"/>
              <w:rPr>
                <w:sz w:val="16"/>
                <w:szCs w:val="16"/>
              </w:rPr>
            </w:pPr>
            <w:r>
              <w:rPr>
                <w:sz w:val="16"/>
                <w:szCs w:val="16"/>
              </w:rPr>
              <w:t> </w:t>
            </w:r>
          </w:p>
        </w:tc>
        <w:tc>
          <w:tcPr>
            <w:tcW w:w="1000" w:type="pct"/>
            <w:tcBorders>
              <w:top w:val="single" w:sz="6" w:space="0" w:color="000000"/>
            </w:tcBorders>
            <w:vAlign w:val="bottom"/>
            <w:hideMark/>
          </w:tcPr>
          <w:p w14:paraId="01CD13C9" w14:textId="77777777" w:rsidR="00000000" w:rsidRDefault="00B8284C">
            <w:pPr>
              <w:pStyle w:val="a3"/>
              <w:spacing w:before="0" w:beforeAutospacing="0" w:after="0" w:afterAutospacing="0"/>
              <w:jc w:val="center"/>
              <w:rPr>
                <w:sz w:val="16"/>
                <w:szCs w:val="16"/>
              </w:rPr>
            </w:pPr>
            <w:r>
              <w:rPr>
                <w:sz w:val="16"/>
                <w:szCs w:val="16"/>
              </w:rPr>
              <w:t>HUBS</w:t>
            </w:r>
          </w:p>
        </w:tc>
        <w:tc>
          <w:tcPr>
            <w:tcW w:w="50" w:type="pct"/>
            <w:vAlign w:val="bottom"/>
            <w:hideMark/>
          </w:tcPr>
          <w:p w14:paraId="337CABDC" w14:textId="77777777" w:rsidR="00000000" w:rsidRDefault="00B8284C">
            <w:pPr>
              <w:pStyle w:val="a3"/>
              <w:spacing w:before="0" w:beforeAutospacing="0" w:after="0" w:afterAutospacing="0"/>
              <w:jc w:val="center"/>
              <w:rPr>
                <w:sz w:val="16"/>
                <w:szCs w:val="16"/>
              </w:rPr>
            </w:pPr>
            <w:r>
              <w:rPr>
                <w:sz w:val="16"/>
                <w:szCs w:val="16"/>
              </w:rPr>
              <w:t> </w:t>
            </w:r>
          </w:p>
        </w:tc>
        <w:tc>
          <w:tcPr>
            <w:tcW w:w="1950" w:type="pct"/>
            <w:tcBorders>
              <w:top w:val="single" w:sz="6" w:space="0" w:color="000000"/>
            </w:tcBorders>
            <w:vAlign w:val="bottom"/>
            <w:hideMark/>
          </w:tcPr>
          <w:p w14:paraId="50D9E659" w14:textId="77777777" w:rsidR="00000000" w:rsidRDefault="00B8284C">
            <w:pPr>
              <w:pStyle w:val="a3"/>
              <w:spacing w:before="0" w:beforeAutospacing="0" w:after="0" w:afterAutospacing="0"/>
              <w:jc w:val="center"/>
              <w:rPr>
                <w:sz w:val="16"/>
                <w:szCs w:val="16"/>
              </w:rPr>
            </w:pPr>
            <w:r>
              <w:rPr>
                <w:sz w:val="16"/>
                <w:szCs w:val="16"/>
              </w:rPr>
              <w:t>New York Stock Exchange</w:t>
            </w:r>
          </w:p>
        </w:tc>
      </w:tr>
    </w:tbl>
    <w:p w14:paraId="4B668679" w14:textId="77777777" w:rsidR="00000000" w:rsidRDefault="00B8284C">
      <w:pPr>
        <w:pStyle w:val="a3"/>
        <w:spacing w:beforeAutospacing="0" w:after="0" w:afterAutospacing="0"/>
        <w:ind w:firstLine="556"/>
        <w:rPr>
          <w:sz w:val="18"/>
          <w:szCs w:val="18"/>
        </w:rPr>
      </w:pPr>
      <w:r>
        <w:rPr>
          <w:sz w:val="18"/>
          <w:szCs w:val="18"/>
        </w:rPr>
        <w:t>Indicate by check mark whether the registrant (1) has filed all reports required to be filed by Section 13 or 15(d) of the Securities Exch</w:t>
      </w:r>
      <w:r>
        <w:rPr>
          <w:sz w:val="18"/>
          <w:szCs w:val="18"/>
        </w:rPr>
        <w:t>ange Act of 1934 during the preceding 12 months (or for such shorter period that the registrant was required to file such reports), and (2) has been subject to such filing requirements for the past 90 days.    YES </w:t>
      </w:r>
      <w:r>
        <w:rPr>
          <w:sz w:val="20"/>
          <w:szCs w:val="20"/>
        </w:rPr>
        <w:t> </w:t>
      </w:r>
      <w:r>
        <w:rPr>
          <w:rFonts w:ascii="Segoe UI Symbol" w:hAnsi="Segoe UI Symbol"/>
          <w:b/>
          <w:bCs/>
          <w:sz w:val="20"/>
          <w:szCs w:val="20"/>
        </w:rPr>
        <w:t>☒</w:t>
      </w:r>
      <w:r>
        <w:rPr>
          <w:sz w:val="20"/>
          <w:szCs w:val="20"/>
        </w:rPr>
        <w:t>    </w:t>
      </w:r>
      <w:r>
        <w:rPr>
          <w:sz w:val="18"/>
          <w:szCs w:val="18"/>
        </w:rPr>
        <w:t>NO </w:t>
      </w:r>
      <w:r>
        <w:rPr>
          <w:sz w:val="20"/>
          <w:szCs w:val="20"/>
        </w:rPr>
        <w:t> </w:t>
      </w:r>
      <w:r>
        <w:rPr>
          <w:rFonts w:ascii="Segoe UI Symbol" w:hAnsi="Segoe UI Symbol"/>
          <w:b/>
          <w:bCs/>
          <w:sz w:val="20"/>
          <w:szCs w:val="20"/>
        </w:rPr>
        <w:t>☐</w:t>
      </w:r>
    </w:p>
    <w:p w14:paraId="3741B7A9" w14:textId="77777777" w:rsidR="00000000" w:rsidRDefault="00B8284C">
      <w:pPr>
        <w:pStyle w:val="a3"/>
        <w:spacing w:before="0" w:beforeAutospacing="0" w:after="0" w:afterAutospacing="0"/>
        <w:rPr>
          <w:sz w:val="6"/>
          <w:szCs w:val="6"/>
        </w:rPr>
      </w:pPr>
      <w:r>
        <w:rPr>
          <w:sz w:val="6"/>
          <w:szCs w:val="6"/>
        </w:rPr>
        <w:t> </w:t>
      </w:r>
    </w:p>
    <w:p w14:paraId="6F2F90DA" w14:textId="77777777" w:rsidR="00000000" w:rsidRDefault="00B8284C">
      <w:pPr>
        <w:pStyle w:val="a3"/>
        <w:spacing w:before="0" w:beforeAutospacing="0" w:after="0" w:afterAutospacing="0"/>
        <w:ind w:firstLine="556"/>
        <w:rPr>
          <w:sz w:val="18"/>
          <w:szCs w:val="18"/>
        </w:rPr>
      </w:pPr>
      <w:r>
        <w:rPr>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8"/>
          <w:szCs w:val="18"/>
        </w:rPr>
        <w:t>t the registrant was required to submit such files).    YES</w:t>
      </w:r>
      <w:r>
        <w:rPr>
          <w:sz w:val="20"/>
          <w:szCs w:val="20"/>
        </w:rPr>
        <w:t>  </w:t>
      </w:r>
      <w:r>
        <w:rPr>
          <w:rFonts w:ascii="Segoe UI Symbol" w:hAnsi="Segoe UI Symbol"/>
          <w:b/>
          <w:bCs/>
          <w:sz w:val="20"/>
          <w:szCs w:val="20"/>
        </w:rPr>
        <w:t>☒</w:t>
      </w:r>
      <w:r>
        <w:rPr>
          <w:sz w:val="20"/>
          <w:szCs w:val="20"/>
        </w:rPr>
        <w:t>    </w:t>
      </w:r>
      <w:r>
        <w:rPr>
          <w:sz w:val="18"/>
          <w:szCs w:val="18"/>
        </w:rPr>
        <w:t>NO</w:t>
      </w:r>
      <w:r>
        <w:rPr>
          <w:sz w:val="20"/>
          <w:szCs w:val="20"/>
        </w:rPr>
        <w:t>  </w:t>
      </w:r>
      <w:r>
        <w:rPr>
          <w:rFonts w:ascii="Segoe UI Symbol" w:hAnsi="Segoe UI Symbol"/>
          <w:b/>
          <w:bCs/>
          <w:sz w:val="20"/>
          <w:szCs w:val="20"/>
        </w:rPr>
        <w:t>☐</w:t>
      </w:r>
    </w:p>
    <w:p w14:paraId="0ED4FFD2" w14:textId="77777777" w:rsidR="00000000" w:rsidRDefault="00B8284C">
      <w:pPr>
        <w:pStyle w:val="a3"/>
        <w:spacing w:before="0" w:beforeAutospacing="0" w:after="0" w:afterAutospacing="0"/>
        <w:rPr>
          <w:sz w:val="6"/>
          <w:szCs w:val="6"/>
        </w:rPr>
      </w:pPr>
      <w:r>
        <w:rPr>
          <w:sz w:val="6"/>
          <w:szCs w:val="6"/>
        </w:rPr>
        <w:t> </w:t>
      </w:r>
    </w:p>
    <w:p w14:paraId="1C66E240" w14:textId="77777777" w:rsidR="00000000" w:rsidRDefault="00B8284C">
      <w:pPr>
        <w:pStyle w:val="a3"/>
        <w:spacing w:before="0" w:beforeAutospacing="0" w:after="0" w:afterAutospacing="0"/>
        <w:ind w:firstLine="556"/>
        <w:rPr>
          <w:sz w:val="18"/>
          <w:szCs w:val="18"/>
        </w:rPr>
      </w:pPr>
      <w:r>
        <w:rPr>
          <w:sz w:val="18"/>
          <w:szCs w:val="18"/>
        </w:rPr>
        <w:t>Indicate by check mark whether the registrant is a large accelerated filer, an accelerated filer, a non-accelerated filer, smaller reporting company, or an emerging growth company. S</w:t>
      </w:r>
      <w:r>
        <w:rPr>
          <w:sz w:val="18"/>
          <w:szCs w:val="18"/>
        </w:rPr>
        <w:t>ee the definitions of “large accelerated filer,” “accelerated filer,” “smaller reporting company,” and “emerging growth company” in Rule 12b-2 of the Exchange Act.</w:t>
      </w:r>
      <w:r>
        <w:rPr>
          <w:sz w:val="16"/>
          <w:szCs w:val="16"/>
        </w:rPr>
        <w:t> </w:t>
      </w:r>
    </w:p>
    <w:p w14:paraId="32026540" w14:textId="77777777" w:rsidR="00000000" w:rsidRDefault="00B8284C">
      <w:pPr>
        <w:pStyle w:val="a3"/>
        <w:spacing w:before="0" w:beforeAutospacing="0" w:after="0" w:afterAutospacing="0"/>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1896"/>
        <w:gridCol w:w="153"/>
        <w:gridCol w:w="3808"/>
        <w:gridCol w:w="153"/>
        <w:gridCol w:w="1970"/>
        <w:gridCol w:w="153"/>
        <w:gridCol w:w="173"/>
      </w:tblGrid>
      <w:tr w:rsidR="00000000" w14:paraId="5A2E526B" w14:textId="77777777">
        <w:trPr>
          <w:divId w:val="194002057"/>
        </w:trPr>
        <w:tc>
          <w:tcPr>
            <w:tcW w:w="1150" w:type="pct"/>
            <w:vAlign w:val="bottom"/>
            <w:hideMark/>
          </w:tcPr>
          <w:p w14:paraId="20F32457" w14:textId="77777777" w:rsidR="00000000" w:rsidRDefault="00B8284C">
            <w:pPr>
              <w:pStyle w:val="a3"/>
              <w:spacing w:before="0" w:beforeAutospacing="0" w:after="0" w:afterAutospacing="0"/>
              <w:rPr>
                <w:sz w:val="18"/>
                <w:szCs w:val="18"/>
              </w:rPr>
            </w:pPr>
            <w:r>
              <w:rPr>
                <w:sz w:val="18"/>
                <w:szCs w:val="18"/>
              </w:rPr>
              <w:t>Large accelerated filer</w:t>
            </w:r>
          </w:p>
        </w:tc>
        <w:tc>
          <w:tcPr>
            <w:tcW w:w="100" w:type="pct"/>
            <w:vAlign w:val="bottom"/>
            <w:hideMark/>
          </w:tcPr>
          <w:p w14:paraId="2AC5DA26" w14:textId="77777777" w:rsidR="00000000" w:rsidRDefault="00B8284C">
            <w:pPr>
              <w:pStyle w:val="a3"/>
              <w:spacing w:before="0" w:beforeAutospacing="0" w:after="0" w:afterAutospacing="0"/>
              <w:rPr>
                <w:sz w:val="20"/>
                <w:szCs w:val="20"/>
              </w:rPr>
            </w:pPr>
            <w:r>
              <w:rPr>
                <w:sz w:val="20"/>
                <w:szCs w:val="20"/>
              </w:rPr>
              <w:t> </w:t>
            </w:r>
          </w:p>
        </w:tc>
        <w:tc>
          <w:tcPr>
            <w:tcW w:w="2300" w:type="pct"/>
            <w:vAlign w:val="bottom"/>
            <w:hideMark/>
          </w:tcPr>
          <w:p w14:paraId="034EB4A8" w14:textId="77777777" w:rsidR="00000000" w:rsidRDefault="00B8284C">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100" w:type="pct"/>
            <w:vAlign w:val="bottom"/>
            <w:hideMark/>
          </w:tcPr>
          <w:p w14:paraId="7D754421" w14:textId="77777777" w:rsidR="00000000" w:rsidRDefault="00B8284C">
            <w:pPr>
              <w:pStyle w:val="a3"/>
              <w:spacing w:before="0" w:beforeAutospacing="0" w:after="0" w:afterAutospacing="0"/>
              <w:rPr>
                <w:sz w:val="18"/>
                <w:szCs w:val="18"/>
              </w:rPr>
            </w:pPr>
            <w:r>
              <w:rPr>
                <w:sz w:val="18"/>
                <w:szCs w:val="18"/>
              </w:rPr>
              <w:t>  </w:t>
            </w:r>
          </w:p>
        </w:tc>
        <w:tc>
          <w:tcPr>
            <w:tcW w:w="1150" w:type="pct"/>
            <w:vAlign w:val="bottom"/>
            <w:hideMark/>
          </w:tcPr>
          <w:p w14:paraId="16C3A18D" w14:textId="77777777" w:rsidR="00000000" w:rsidRDefault="00B8284C">
            <w:pPr>
              <w:pStyle w:val="a3"/>
              <w:spacing w:before="0" w:beforeAutospacing="0" w:after="0" w:afterAutospacing="0"/>
              <w:rPr>
                <w:sz w:val="18"/>
                <w:szCs w:val="18"/>
              </w:rPr>
            </w:pPr>
            <w:r>
              <w:rPr>
                <w:sz w:val="18"/>
                <w:szCs w:val="18"/>
              </w:rPr>
              <w:t>Accelerated filer</w:t>
            </w:r>
          </w:p>
        </w:tc>
        <w:tc>
          <w:tcPr>
            <w:tcW w:w="100" w:type="pct"/>
            <w:vAlign w:val="bottom"/>
            <w:hideMark/>
          </w:tcPr>
          <w:p w14:paraId="6A19567E" w14:textId="77777777" w:rsidR="00000000" w:rsidRDefault="00B8284C">
            <w:pPr>
              <w:pStyle w:val="a3"/>
              <w:spacing w:before="0" w:beforeAutospacing="0" w:after="0" w:afterAutospacing="0"/>
              <w:rPr>
                <w:sz w:val="20"/>
                <w:szCs w:val="20"/>
              </w:rPr>
            </w:pPr>
            <w:r>
              <w:rPr>
                <w:sz w:val="20"/>
                <w:szCs w:val="20"/>
              </w:rPr>
              <w:t> </w:t>
            </w:r>
          </w:p>
        </w:tc>
        <w:tc>
          <w:tcPr>
            <w:tcW w:w="100" w:type="pct"/>
            <w:vAlign w:val="bottom"/>
            <w:hideMark/>
          </w:tcPr>
          <w:p w14:paraId="6918096C" w14:textId="77777777" w:rsidR="00000000" w:rsidRDefault="00B8284C">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r>
      <w:tr w:rsidR="00000000" w14:paraId="177F792B" w14:textId="77777777">
        <w:trPr>
          <w:divId w:val="194002057"/>
        </w:trPr>
        <w:tc>
          <w:tcPr>
            <w:tcW w:w="1150" w:type="pct"/>
            <w:vAlign w:val="bottom"/>
            <w:hideMark/>
          </w:tcPr>
          <w:p w14:paraId="3E1CB913" w14:textId="77777777" w:rsidR="00000000" w:rsidRDefault="00B8284C">
            <w:pPr>
              <w:pStyle w:val="a3"/>
              <w:spacing w:before="0" w:beforeAutospacing="0" w:after="0" w:afterAutospacing="0"/>
              <w:rPr>
                <w:sz w:val="18"/>
                <w:szCs w:val="18"/>
              </w:rPr>
            </w:pPr>
            <w:r>
              <w:rPr>
                <w:sz w:val="18"/>
                <w:szCs w:val="18"/>
              </w:rPr>
              <w:t>Non-accelerated filer</w:t>
            </w:r>
          </w:p>
        </w:tc>
        <w:tc>
          <w:tcPr>
            <w:tcW w:w="100" w:type="pct"/>
            <w:vAlign w:val="bottom"/>
            <w:hideMark/>
          </w:tcPr>
          <w:p w14:paraId="6EF4DE73" w14:textId="77777777" w:rsidR="00000000" w:rsidRDefault="00B8284C">
            <w:pPr>
              <w:pStyle w:val="a3"/>
              <w:spacing w:before="0" w:beforeAutospacing="0" w:after="0" w:afterAutospacing="0"/>
              <w:rPr>
                <w:sz w:val="20"/>
                <w:szCs w:val="20"/>
              </w:rPr>
            </w:pPr>
            <w:r>
              <w:rPr>
                <w:sz w:val="20"/>
                <w:szCs w:val="20"/>
              </w:rPr>
              <w:t> </w:t>
            </w:r>
          </w:p>
        </w:tc>
        <w:tc>
          <w:tcPr>
            <w:tcW w:w="2300" w:type="pct"/>
            <w:vAlign w:val="bottom"/>
            <w:hideMark/>
          </w:tcPr>
          <w:p w14:paraId="4306C5BB" w14:textId="77777777" w:rsidR="00000000" w:rsidRDefault="00B8284C">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100" w:type="pct"/>
            <w:vAlign w:val="bottom"/>
            <w:hideMark/>
          </w:tcPr>
          <w:p w14:paraId="75DC7CC2" w14:textId="77777777" w:rsidR="00000000" w:rsidRDefault="00B8284C">
            <w:pPr>
              <w:pStyle w:val="a3"/>
              <w:spacing w:before="0" w:beforeAutospacing="0" w:after="0" w:afterAutospacing="0"/>
              <w:rPr>
                <w:sz w:val="18"/>
                <w:szCs w:val="18"/>
              </w:rPr>
            </w:pPr>
            <w:r>
              <w:rPr>
                <w:sz w:val="18"/>
                <w:szCs w:val="18"/>
              </w:rPr>
              <w:t>  </w:t>
            </w:r>
          </w:p>
        </w:tc>
        <w:tc>
          <w:tcPr>
            <w:tcW w:w="1150" w:type="pct"/>
            <w:vAlign w:val="bottom"/>
            <w:hideMark/>
          </w:tcPr>
          <w:p w14:paraId="26AB18E9" w14:textId="77777777" w:rsidR="00000000" w:rsidRDefault="00B8284C">
            <w:pPr>
              <w:pStyle w:val="a3"/>
              <w:spacing w:before="0" w:beforeAutospacing="0" w:after="0" w:afterAutospacing="0"/>
              <w:rPr>
                <w:sz w:val="18"/>
                <w:szCs w:val="18"/>
              </w:rPr>
            </w:pPr>
            <w:r>
              <w:rPr>
                <w:sz w:val="18"/>
                <w:szCs w:val="18"/>
              </w:rPr>
              <w:t>Smalle</w:t>
            </w:r>
            <w:r>
              <w:rPr>
                <w:sz w:val="18"/>
                <w:szCs w:val="18"/>
              </w:rPr>
              <w:t>r reporting company</w:t>
            </w:r>
          </w:p>
        </w:tc>
        <w:tc>
          <w:tcPr>
            <w:tcW w:w="100" w:type="pct"/>
            <w:vAlign w:val="bottom"/>
            <w:hideMark/>
          </w:tcPr>
          <w:p w14:paraId="0CE774FF" w14:textId="77777777" w:rsidR="00000000" w:rsidRDefault="00B8284C">
            <w:pPr>
              <w:pStyle w:val="a3"/>
              <w:spacing w:before="0" w:beforeAutospacing="0" w:after="0" w:afterAutospacing="0"/>
              <w:rPr>
                <w:sz w:val="20"/>
                <w:szCs w:val="20"/>
              </w:rPr>
            </w:pPr>
            <w:r>
              <w:rPr>
                <w:sz w:val="20"/>
                <w:szCs w:val="20"/>
              </w:rPr>
              <w:t> </w:t>
            </w:r>
          </w:p>
        </w:tc>
        <w:tc>
          <w:tcPr>
            <w:tcW w:w="100" w:type="pct"/>
            <w:vAlign w:val="bottom"/>
            <w:hideMark/>
          </w:tcPr>
          <w:p w14:paraId="267FFFA7" w14:textId="77777777" w:rsidR="00000000" w:rsidRDefault="00B8284C">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r>
      <w:tr w:rsidR="00000000" w14:paraId="20504916" w14:textId="77777777">
        <w:trPr>
          <w:divId w:val="194002057"/>
        </w:trPr>
        <w:tc>
          <w:tcPr>
            <w:tcW w:w="1150" w:type="pct"/>
            <w:vAlign w:val="bottom"/>
            <w:hideMark/>
          </w:tcPr>
          <w:p w14:paraId="105835C0" w14:textId="77777777" w:rsidR="00000000" w:rsidRDefault="00B8284C">
            <w:pPr>
              <w:pStyle w:val="a3"/>
              <w:spacing w:before="0" w:beforeAutospacing="0" w:after="0" w:afterAutospacing="0"/>
              <w:rPr>
                <w:sz w:val="18"/>
                <w:szCs w:val="18"/>
              </w:rPr>
            </w:pPr>
            <w:r>
              <w:rPr>
                <w:sz w:val="18"/>
                <w:szCs w:val="18"/>
              </w:rPr>
              <w:t>Emerging growth company</w:t>
            </w:r>
          </w:p>
        </w:tc>
        <w:tc>
          <w:tcPr>
            <w:tcW w:w="100" w:type="pct"/>
            <w:vAlign w:val="bottom"/>
            <w:hideMark/>
          </w:tcPr>
          <w:p w14:paraId="2312B309" w14:textId="77777777" w:rsidR="00000000" w:rsidRDefault="00B8284C">
            <w:pPr>
              <w:pStyle w:val="a3"/>
              <w:spacing w:before="0" w:beforeAutospacing="0" w:after="0" w:afterAutospacing="0"/>
              <w:rPr>
                <w:sz w:val="20"/>
                <w:szCs w:val="20"/>
              </w:rPr>
            </w:pPr>
            <w:r>
              <w:rPr>
                <w:sz w:val="20"/>
                <w:szCs w:val="20"/>
              </w:rPr>
              <w:t> </w:t>
            </w:r>
          </w:p>
        </w:tc>
        <w:tc>
          <w:tcPr>
            <w:tcW w:w="2300" w:type="pct"/>
            <w:vAlign w:val="bottom"/>
            <w:hideMark/>
          </w:tcPr>
          <w:p w14:paraId="1F6B2129" w14:textId="77777777" w:rsidR="00000000" w:rsidRDefault="00B8284C">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100" w:type="pct"/>
            <w:vAlign w:val="bottom"/>
            <w:hideMark/>
          </w:tcPr>
          <w:p w14:paraId="6BE3E0E8" w14:textId="77777777" w:rsidR="00000000" w:rsidRDefault="00B8284C">
            <w:pPr>
              <w:pStyle w:val="a3"/>
              <w:spacing w:before="0" w:beforeAutospacing="0" w:after="0" w:afterAutospacing="0"/>
              <w:rPr>
                <w:sz w:val="18"/>
                <w:szCs w:val="18"/>
              </w:rPr>
            </w:pPr>
            <w:r>
              <w:rPr>
                <w:sz w:val="18"/>
                <w:szCs w:val="18"/>
              </w:rPr>
              <w:t> </w:t>
            </w:r>
          </w:p>
        </w:tc>
        <w:tc>
          <w:tcPr>
            <w:tcW w:w="1150" w:type="pct"/>
            <w:vAlign w:val="bottom"/>
            <w:hideMark/>
          </w:tcPr>
          <w:p w14:paraId="20381B45" w14:textId="77777777" w:rsidR="00000000" w:rsidRDefault="00B8284C">
            <w:pPr>
              <w:pStyle w:val="a3"/>
              <w:spacing w:before="0" w:beforeAutospacing="0" w:after="0" w:afterAutospacing="0"/>
              <w:rPr>
                <w:sz w:val="18"/>
                <w:szCs w:val="18"/>
              </w:rPr>
            </w:pPr>
            <w:r>
              <w:rPr>
                <w:sz w:val="18"/>
                <w:szCs w:val="18"/>
              </w:rPr>
              <w:t> </w:t>
            </w:r>
          </w:p>
        </w:tc>
        <w:tc>
          <w:tcPr>
            <w:tcW w:w="100" w:type="pct"/>
            <w:vAlign w:val="bottom"/>
            <w:hideMark/>
          </w:tcPr>
          <w:p w14:paraId="237AEAA1" w14:textId="77777777" w:rsidR="00000000" w:rsidRDefault="00B8284C">
            <w:pPr>
              <w:pStyle w:val="a3"/>
              <w:spacing w:before="0" w:beforeAutospacing="0" w:after="0" w:afterAutospacing="0"/>
              <w:rPr>
                <w:sz w:val="20"/>
                <w:szCs w:val="20"/>
              </w:rPr>
            </w:pPr>
            <w:r>
              <w:rPr>
                <w:sz w:val="20"/>
                <w:szCs w:val="20"/>
              </w:rPr>
              <w:t> </w:t>
            </w:r>
          </w:p>
        </w:tc>
        <w:tc>
          <w:tcPr>
            <w:tcW w:w="100" w:type="pct"/>
            <w:vAlign w:val="bottom"/>
            <w:hideMark/>
          </w:tcPr>
          <w:p w14:paraId="3D87DDAF" w14:textId="77777777" w:rsidR="00000000" w:rsidRDefault="00B8284C">
            <w:pPr>
              <w:pStyle w:val="a3"/>
            </w:pPr>
            <w:r>
              <w:t> </w:t>
            </w:r>
          </w:p>
        </w:tc>
      </w:tr>
    </w:tbl>
    <w:p w14:paraId="4310818C" w14:textId="77777777" w:rsidR="00000000" w:rsidRDefault="00B8284C">
      <w:pPr>
        <w:pStyle w:val="a3"/>
        <w:spacing w:before="0" w:beforeAutospacing="0" w:after="0" w:afterAutospacing="0"/>
        <w:rPr>
          <w:sz w:val="6"/>
          <w:szCs w:val="6"/>
        </w:rPr>
      </w:pPr>
      <w:r>
        <w:rPr>
          <w:sz w:val="6"/>
          <w:szCs w:val="6"/>
        </w:rPr>
        <w:t> </w:t>
      </w:r>
    </w:p>
    <w:p w14:paraId="6B46A64F" w14:textId="77777777" w:rsidR="00000000" w:rsidRDefault="00B8284C">
      <w:pPr>
        <w:pStyle w:val="a3"/>
        <w:spacing w:before="0" w:beforeAutospacing="0" w:after="0" w:afterAutospacing="0"/>
        <w:ind w:firstLine="556"/>
        <w:rPr>
          <w:sz w:val="18"/>
          <w:szCs w:val="18"/>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YE</w:t>
      </w:r>
      <w:r>
        <w:rPr>
          <w:sz w:val="18"/>
          <w:szCs w:val="18"/>
        </w:rPr>
        <w:t>S</w:t>
      </w:r>
      <w:r>
        <w:rPr>
          <w:sz w:val="20"/>
          <w:szCs w:val="20"/>
        </w:rPr>
        <w:t>  </w:t>
      </w:r>
      <w:r>
        <w:rPr>
          <w:rFonts w:ascii="Segoe UI Symbol" w:hAnsi="Segoe UI Symbol"/>
          <w:b/>
          <w:bCs/>
          <w:sz w:val="20"/>
          <w:szCs w:val="20"/>
        </w:rPr>
        <w:t>☐</w:t>
      </w:r>
      <w:r>
        <w:rPr>
          <w:sz w:val="20"/>
          <w:szCs w:val="20"/>
        </w:rPr>
        <w:t>    </w:t>
      </w:r>
      <w:r>
        <w:rPr>
          <w:sz w:val="18"/>
          <w:szCs w:val="18"/>
        </w:rPr>
        <w:t>NO</w:t>
      </w:r>
      <w:r>
        <w:rPr>
          <w:sz w:val="20"/>
          <w:szCs w:val="20"/>
        </w:rPr>
        <w:t>  </w:t>
      </w:r>
      <w:r>
        <w:rPr>
          <w:rFonts w:ascii="Segoe UI Symbol" w:hAnsi="Segoe UI Symbol"/>
          <w:b/>
          <w:bCs/>
          <w:sz w:val="20"/>
          <w:szCs w:val="20"/>
        </w:rPr>
        <w:t>☐</w:t>
      </w:r>
    </w:p>
    <w:p w14:paraId="1067055C" w14:textId="77777777" w:rsidR="00000000" w:rsidRDefault="00B8284C">
      <w:pPr>
        <w:pStyle w:val="a3"/>
        <w:spacing w:before="60" w:beforeAutospacing="0" w:after="0" w:afterAutospacing="0"/>
        <w:ind w:firstLine="556"/>
        <w:rPr>
          <w:sz w:val="18"/>
          <w:szCs w:val="18"/>
        </w:rPr>
      </w:pPr>
      <w:r>
        <w:rPr>
          <w:sz w:val="18"/>
          <w:szCs w:val="18"/>
        </w:rPr>
        <w:lastRenderedPageBreak/>
        <w:t>Indicate by check mark whether the registrant is a shell company (as defined in Rule 12b-2 of the Exchange Act). </w:t>
      </w:r>
      <w:r>
        <w:rPr>
          <w:sz w:val="20"/>
          <w:szCs w:val="20"/>
        </w:rPr>
        <w:t>   </w:t>
      </w:r>
      <w:r>
        <w:rPr>
          <w:sz w:val="18"/>
          <w:szCs w:val="18"/>
        </w:rPr>
        <w:t>YES</w:t>
      </w:r>
      <w:r>
        <w:rPr>
          <w:sz w:val="20"/>
          <w:szCs w:val="20"/>
        </w:rPr>
        <w:t>  </w:t>
      </w:r>
      <w:r>
        <w:rPr>
          <w:rFonts w:ascii="Segoe UI Symbol" w:hAnsi="Segoe UI Symbol"/>
          <w:b/>
          <w:bCs/>
          <w:sz w:val="20"/>
          <w:szCs w:val="20"/>
        </w:rPr>
        <w:t>☐</w:t>
      </w:r>
      <w:r>
        <w:rPr>
          <w:sz w:val="20"/>
          <w:szCs w:val="20"/>
        </w:rPr>
        <w:t>    </w:t>
      </w:r>
      <w:r>
        <w:rPr>
          <w:sz w:val="18"/>
          <w:szCs w:val="18"/>
        </w:rPr>
        <w:t>NO</w:t>
      </w:r>
      <w:r>
        <w:rPr>
          <w:sz w:val="20"/>
          <w:szCs w:val="20"/>
        </w:rPr>
        <w:t>  </w:t>
      </w:r>
      <w:r>
        <w:rPr>
          <w:rFonts w:ascii="Segoe UI Symbol" w:hAnsi="Segoe UI Symbol"/>
          <w:b/>
          <w:bCs/>
          <w:sz w:val="20"/>
          <w:szCs w:val="20"/>
        </w:rPr>
        <w:t>☒</w:t>
      </w:r>
    </w:p>
    <w:p w14:paraId="5B455A2F" w14:textId="77777777" w:rsidR="00000000" w:rsidRDefault="00B8284C">
      <w:pPr>
        <w:pStyle w:val="a3"/>
        <w:spacing w:before="60" w:beforeAutospacing="0" w:after="0" w:afterAutospacing="0"/>
        <w:ind w:firstLine="556"/>
        <w:rPr>
          <w:sz w:val="18"/>
          <w:szCs w:val="18"/>
        </w:rPr>
      </w:pPr>
      <w:r>
        <w:rPr>
          <w:sz w:val="18"/>
          <w:szCs w:val="18"/>
        </w:rPr>
        <w:t>There were 42,821,424 shares of the registrant’s Common Stock issued and outstanding as of November 1, 2019.</w:t>
      </w:r>
    </w:p>
    <w:p w14:paraId="0EA1AD05" w14:textId="77777777" w:rsidR="00000000" w:rsidRDefault="00B8284C">
      <w:pPr>
        <w:pStyle w:val="a3"/>
        <w:pBdr>
          <w:bottom w:val="double" w:sz="6" w:space="5" w:color="auto"/>
        </w:pBdr>
        <w:spacing w:before="0" w:beforeAutospacing="0" w:after="0" w:afterAutospacing="0"/>
        <w:rPr>
          <w:sz w:val="6"/>
          <w:szCs w:val="6"/>
        </w:rPr>
      </w:pPr>
      <w:r>
        <w:rPr>
          <w:sz w:val="6"/>
          <w:szCs w:val="6"/>
        </w:rPr>
        <w:t> </w:t>
      </w:r>
    </w:p>
    <w:p w14:paraId="6B775A87" w14:textId="77777777" w:rsidR="00000000" w:rsidRDefault="00B8284C">
      <w:pPr>
        <w:pStyle w:val="a3"/>
        <w:spacing w:before="0" w:beforeAutospacing="0" w:after="0" w:afterAutospacing="0"/>
        <w:rPr>
          <w:sz w:val="2"/>
          <w:szCs w:val="2"/>
        </w:rPr>
      </w:pPr>
      <w:r>
        <w:rPr>
          <w:sz w:val="2"/>
          <w:szCs w:val="2"/>
        </w:rPr>
        <w:t> </w:t>
      </w:r>
    </w:p>
    <w:p w14:paraId="5CD8D258" w14:textId="77777777" w:rsidR="00000000" w:rsidRDefault="00B8284C">
      <w:pPr>
        <w:pStyle w:val="a3"/>
        <w:spacing w:before="0" w:beforeAutospacing="0" w:after="0" w:afterAutospacing="0"/>
        <w:rPr>
          <w:sz w:val="2"/>
          <w:szCs w:val="2"/>
        </w:rPr>
      </w:pPr>
      <w:r>
        <w:rPr>
          <w:sz w:val="2"/>
          <w:szCs w:val="2"/>
        </w:rPr>
        <w:t> </w:t>
      </w:r>
    </w:p>
    <w:p w14:paraId="050A69FE" w14:textId="77777777" w:rsidR="00000000" w:rsidRDefault="00B8284C">
      <w:pPr>
        <w:pStyle w:val="a3"/>
        <w:spacing w:before="240" w:beforeAutospacing="0" w:after="0" w:afterAutospacing="0"/>
        <w:jc w:val="center"/>
        <w:rPr>
          <w:sz w:val="20"/>
          <w:szCs w:val="20"/>
        </w:rPr>
      </w:pPr>
      <w:r>
        <w:rPr>
          <w:sz w:val="20"/>
          <w:szCs w:val="20"/>
        </w:rPr>
        <w:t> </w:t>
      </w:r>
    </w:p>
    <w:p w14:paraId="7B90D796" w14:textId="77777777" w:rsidR="00000000" w:rsidRDefault="00B8284C">
      <w:pPr>
        <w:rPr>
          <w:rFonts w:eastAsia="Times New Roman"/>
        </w:rPr>
      </w:pPr>
      <w:r>
        <w:rPr>
          <w:rFonts w:eastAsia="Times New Roman"/>
        </w:rPr>
        <w:pict w14:anchorId="6F870D48">
          <v:rect id="_x0000_i1025" style="width:0;height:1.5pt" o:hralign="center" o:hrstd="t" o:hr="t" fillcolor="#a0a0a0" stroked="f"/>
        </w:pict>
      </w:r>
    </w:p>
    <w:p w14:paraId="7EAB9D09" w14:textId="77777777" w:rsidR="00000000" w:rsidRDefault="00B8284C">
      <w:pPr>
        <w:pStyle w:val="a3"/>
        <w:spacing w:before="0" w:beforeAutospacing="0" w:after="0" w:afterAutospacing="0"/>
        <w:rPr>
          <w:sz w:val="20"/>
          <w:szCs w:val="20"/>
        </w:rPr>
      </w:pPr>
      <w:r>
        <w:rPr>
          <w:sz w:val="20"/>
          <w:szCs w:val="20"/>
        </w:rPr>
        <w:t> </w:t>
      </w:r>
    </w:p>
    <w:p w14:paraId="18B452BD" w14:textId="77777777" w:rsidR="00000000" w:rsidRDefault="00B8284C">
      <w:pPr>
        <w:pStyle w:val="a3"/>
        <w:spacing w:before="0" w:beforeAutospacing="0" w:after="0" w:afterAutospacing="0"/>
        <w:jc w:val="center"/>
        <w:rPr>
          <w:b/>
          <w:bCs/>
          <w:sz w:val="20"/>
          <w:szCs w:val="20"/>
        </w:rPr>
      </w:pPr>
      <w:r>
        <w:rPr>
          <w:b/>
          <w:bCs/>
          <w:sz w:val="20"/>
          <w:szCs w:val="20"/>
        </w:rPr>
        <w:t>HUBSPOT, INC.</w:t>
      </w:r>
    </w:p>
    <w:p w14:paraId="58D6E8DC" w14:textId="77777777" w:rsidR="00000000" w:rsidRDefault="00B8284C">
      <w:pPr>
        <w:pStyle w:val="a3"/>
        <w:spacing w:before="240" w:beforeAutospacing="0" w:after="0" w:afterAutospacing="0"/>
        <w:jc w:val="center"/>
        <w:rPr>
          <w:b/>
          <w:bCs/>
          <w:sz w:val="20"/>
          <w:szCs w:val="20"/>
        </w:rPr>
      </w:pPr>
      <w:r>
        <w:rPr>
          <w:b/>
          <w:bCs/>
          <w:sz w:val="20"/>
          <w:szCs w:val="20"/>
        </w:rPr>
        <w:t>Table of Contents</w:t>
      </w:r>
    </w:p>
    <w:p w14:paraId="47B035B6"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45"/>
        <w:gridCol w:w="50"/>
        <w:gridCol w:w="7211"/>
        <w:gridCol w:w="200"/>
      </w:tblGrid>
      <w:tr w:rsidR="00000000" w14:paraId="56330732" w14:textId="77777777">
        <w:trPr>
          <w:divId w:val="592400241"/>
        </w:trPr>
        <w:tc>
          <w:tcPr>
            <w:tcW w:w="5000" w:type="pct"/>
            <w:gridSpan w:val="4"/>
            <w:shd w:val="clear" w:color="auto" w:fill="FFFFFF"/>
            <w:vAlign w:val="bottom"/>
            <w:hideMark/>
          </w:tcPr>
          <w:p w14:paraId="4E094F46" w14:textId="77777777" w:rsidR="00000000" w:rsidRDefault="00B8284C">
            <w:pPr>
              <w:pStyle w:val="a3"/>
              <w:spacing w:before="0" w:beforeAutospacing="0" w:after="0" w:afterAutospacing="0"/>
              <w:jc w:val="center"/>
              <w:rPr>
                <w:b/>
                <w:bCs/>
                <w:sz w:val="20"/>
                <w:szCs w:val="20"/>
              </w:rPr>
            </w:pPr>
            <w:hyperlink w:anchor="PART_I_FINANCIAL_INFORMATION" w:history="1">
              <w:r>
                <w:rPr>
                  <w:rStyle w:val="a4"/>
                  <w:b/>
                  <w:bCs/>
                  <w:sz w:val="20"/>
                  <w:szCs w:val="20"/>
                </w:rPr>
                <w:t>Part I — Financial Information</w:t>
              </w:r>
            </w:hyperlink>
          </w:p>
        </w:tc>
      </w:tr>
      <w:tr w:rsidR="00000000" w14:paraId="0DAC6BB9" w14:textId="77777777">
        <w:trPr>
          <w:divId w:val="592400241"/>
        </w:trPr>
        <w:tc>
          <w:tcPr>
            <w:tcW w:w="400" w:type="pct"/>
            <w:shd w:val="clear" w:color="auto" w:fill="FFFFFF"/>
            <w:vAlign w:val="center"/>
            <w:hideMark/>
          </w:tcPr>
          <w:p w14:paraId="7EA7F009" w14:textId="77777777" w:rsidR="00000000" w:rsidRDefault="00B8284C">
            <w:pPr>
              <w:pStyle w:val="a3"/>
              <w:spacing w:before="0" w:beforeAutospacing="0" w:after="0" w:afterAutospacing="0"/>
              <w:rPr>
                <w:sz w:val="12"/>
                <w:szCs w:val="12"/>
              </w:rPr>
            </w:pPr>
            <w:r>
              <w:rPr>
                <w:sz w:val="12"/>
                <w:szCs w:val="12"/>
              </w:rPr>
              <w:t> </w:t>
            </w:r>
          </w:p>
        </w:tc>
        <w:tc>
          <w:tcPr>
            <w:tcW w:w="34" w:type="pct"/>
            <w:shd w:val="clear" w:color="auto" w:fill="FFFFFF"/>
            <w:vAlign w:val="bottom"/>
            <w:hideMark/>
          </w:tcPr>
          <w:p w14:paraId="0BB09889" w14:textId="77777777" w:rsidR="00000000" w:rsidRDefault="00B8284C">
            <w:pPr>
              <w:pStyle w:val="a3"/>
              <w:spacing w:before="0" w:beforeAutospacing="0" w:after="0" w:afterAutospacing="0"/>
              <w:jc w:val="center"/>
              <w:rPr>
                <w:b/>
                <w:bCs/>
                <w:sz w:val="12"/>
                <w:szCs w:val="12"/>
              </w:rPr>
            </w:pPr>
            <w:r>
              <w:rPr>
                <w:b/>
                <w:bCs/>
                <w:sz w:val="12"/>
                <w:szCs w:val="12"/>
              </w:rPr>
              <w:t> </w:t>
            </w:r>
          </w:p>
        </w:tc>
        <w:tc>
          <w:tcPr>
            <w:tcW w:w="4434" w:type="pct"/>
            <w:shd w:val="clear" w:color="auto" w:fill="FFFFFF"/>
            <w:vAlign w:val="bottom"/>
            <w:hideMark/>
          </w:tcPr>
          <w:p w14:paraId="10D87EA3" w14:textId="77777777" w:rsidR="00000000" w:rsidRDefault="00B8284C">
            <w:pPr>
              <w:pStyle w:val="a3"/>
              <w:spacing w:before="0" w:beforeAutospacing="0" w:after="0" w:afterAutospacing="0"/>
              <w:ind w:left="245" w:hanging="245"/>
              <w:rPr>
                <w:sz w:val="12"/>
                <w:szCs w:val="12"/>
              </w:rPr>
            </w:pPr>
            <w:r>
              <w:rPr>
                <w:sz w:val="12"/>
                <w:szCs w:val="12"/>
              </w:rPr>
              <w:t> </w:t>
            </w:r>
          </w:p>
        </w:tc>
        <w:tc>
          <w:tcPr>
            <w:tcW w:w="132" w:type="pct"/>
            <w:shd w:val="clear" w:color="auto" w:fill="FFFFFF"/>
            <w:vAlign w:val="bottom"/>
            <w:hideMark/>
          </w:tcPr>
          <w:p w14:paraId="5C7EF5E6" w14:textId="77777777" w:rsidR="00000000" w:rsidRDefault="00B8284C">
            <w:pPr>
              <w:pStyle w:val="a3"/>
              <w:spacing w:before="0" w:beforeAutospacing="0" w:after="0" w:afterAutospacing="0"/>
              <w:jc w:val="right"/>
              <w:rPr>
                <w:sz w:val="12"/>
                <w:szCs w:val="12"/>
              </w:rPr>
            </w:pPr>
            <w:r>
              <w:rPr>
                <w:sz w:val="12"/>
                <w:szCs w:val="12"/>
              </w:rPr>
              <w:t> </w:t>
            </w:r>
          </w:p>
        </w:tc>
      </w:tr>
      <w:tr w:rsidR="00000000" w14:paraId="4F10BEE3" w14:textId="77777777">
        <w:trPr>
          <w:divId w:val="592400241"/>
        </w:trPr>
        <w:tc>
          <w:tcPr>
            <w:tcW w:w="400" w:type="pct"/>
            <w:shd w:val="clear" w:color="auto" w:fill="FFFFFF"/>
            <w:hideMark/>
          </w:tcPr>
          <w:p w14:paraId="2AAD52A7" w14:textId="77777777" w:rsidR="00000000" w:rsidRDefault="00B8284C">
            <w:pPr>
              <w:pStyle w:val="a3"/>
              <w:spacing w:before="0" w:beforeAutospacing="0" w:after="0" w:afterAutospacing="0"/>
              <w:rPr>
                <w:color w:val="000000"/>
                <w:sz w:val="20"/>
                <w:szCs w:val="20"/>
              </w:rPr>
            </w:pPr>
            <w:r>
              <w:rPr>
                <w:color w:val="000000"/>
                <w:sz w:val="20"/>
                <w:szCs w:val="20"/>
              </w:rPr>
              <w:t>Item 1.</w:t>
            </w:r>
          </w:p>
        </w:tc>
        <w:tc>
          <w:tcPr>
            <w:tcW w:w="34" w:type="pct"/>
            <w:shd w:val="clear" w:color="auto" w:fill="FFFFFF"/>
            <w:vAlign w:val="bottom"/>
            <w:hideMark/>
          </w:tcPr>
          <w:p w14:paraId="56489E38" w14:textId="77777777" w:rsidR="00000000" w:rsidRDefault="00B8284C">
            <w:pPr>
              <w:pStyle w:val="a3"/>
              <w:spacing w:before="0" w:beforeAutospacing="0" w:after="0" w:afterAutospacing="0"/>
              <w:jc w:val="center"/>
              <w:rPr>
                <w:b/>
                <w:bCs/>
                <w:color w:val="000000"/>
                <w:sz w:val="20"/>
                <w:szCs w:val="20"/>
              </w:rPr>
            </w:pPr>
            <w:r>
              <w:rPr>
                <w:b/>
                <w:bCs/>
                <w:color w:val="000000"/>
                <w:sz w:val="20"/>
                <w:szCs w:val="20"/>
              </w:rPr>
              <w:t> </w:t>
            </w:r>
          </w:p>
        </w:tc>
        <w:tc>
          <w:tcPr>
            <w:tcW w:w="4434" w:type="pct"/>
            <w:shd w:val="clear" w:color="auto" w:fill="FFFFFF"/>
            <w:vAlign w:val="bottom"/>
            <w:hideMark/>
          </w:tcPr>
          <w:p w14:paraId="3AEAA41C" w14:textId="77777777" w:rsidR="00000000" w:rsidRDefault="00B8284C">
            <w:pPr>
              <w:pStyle w:val="a3"/>
              <w:spacing w:before="0" w:beforeAutospacing="0" w:after="0" w:afterAutospacing="0"/>
              <w:ind w:left="245" w:hanging="245"/>
              <w:rPr>
                <w:sz w:val="20"/>
                <w:szCs w:val="20"/>
              </w:rPr>
            </w:pPr>
            <w:hyperlink w:anchor="ITEM_1_FINANCIAL_STATEMENTS" w:history="1">
              <w:r>
                <w:rPr>
                  <w:rStyle w:val="a4"/>
                  <w:sz w:val="20"/>
                  <w:szCs w:val="20"/>
                </w:rPr>
                <w:t>Unaudited Consolidated Financial Statements:</w:t>
              </w:r>
            </w:hyperlink>
          </w:p>
        </w:tc>
        <w:tc>
          <w:tcPr>
            <w:tcW w:w="132" w:type="pct"/>
            <w:shd w:val="clear" w:color="auto" w:fill="FFFFFF"/>
            <w:vAlign w:val="bottom"/>
            <w:hideMark/>
          </w:tcPr>
          <w:p w14:paraId="56A690E0" w14:textId="77777777" w:rsidR="00000000" w:rsidRDefault="00B8284C">
            <w:pPr>
              <w:pStyle w:val="a3"/>
              <w:spacing w:before="0" w:beforeAutospacing="0" w:after="0" w:afterAutospacing="0"/>
              <w:jc w:val="right"/>
              <w:rPr>
                <w:sz w:val="20"/>
                <w:szCs w:val="20"/>
              </w:rPr>
            </w:pPr>
            <w:r>
              <w:rPr>
                <w:sz w:val="20"/>
                <w:szCs w:val="20"/>
              </w:rPr>
              <w:t> </w:t>
            </w:r>
          </w:p>
        </w:tc>
      </w:tr>
      <w:tr w:rsidR="00000000" w14:paraId="6B4A7956" w14:textId="77777777">
        <w:trPr>
          <w:divId w:val="592400241"/>
        </w:trPr>
        <w:tc>
          <w:tcPr>
            <w:tcW w:w="400" w:type="pct"/>
            <w:shd w:val="clear" w:color="auto" w:fill="FFFFFF"/>
            <w:hideMark/>
          </w:tcPr>
          <w:p w14:paraId="5077D85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20B26AB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77B4359B" w14:textId="77777777" w:rsidR="00000000" w:rsidRDefault="00B8284C">
            <w:pPr>
              <w:pStyle w:val="a3"/>
              <w:spacing w:before="0" w:beforeAutospacing="0" w:after="0" w:afterAutospacing="0"/>
              <w:ind w:left="245" w:hanging="245"/>
              <w:rPr>
                <w:sz w:val="20"/>
                <w:szCs w:val="20"/>
              </w:rPr>
            </w:pPr>
            <w:hyperlink w:anchor="UNAUDITED_CONSOLIDATED_BALANCE_SHEETS" w:history="1">
              <w:r>
                <w:rPr>
                  <w:rStyle w:val="a4"/>
                  <w:sz w:val="20"/>
                  <w:szCs w:val="20"/>
                </w:rPr>
                <w:t>Unaudited Consolidated Balance Sheets as of September 30, 2019 and December 31, 2018</w:t>
              </w:r>
            </w:hyperlink>
          </w:p>
        </w:tc>
        <w:tc>
          <w:tcPr>
            <w:tcW w:w="132" w:type="pct"/>
            <w:shd w:val="clear" w:color="auto" w:fill="FFFFFF"/>
            <w:vAlign w:val="bottom"/>
            <w:hideMark/>
          </w:tcPr>
          <w:p w14:paraId="577980AE" w14:textId="77777777" w:rsidR="00000000" w:rsidRDefault="00B8284C">
            <w:pPr>
              <w:pStyle w:val="a3"/>
              <w:spacing w:before="0" w:beforeAutospacing="0" w:after="0" w:afterAutospacing="0"/>
              <w:jc w:val="right"/>
              <w:rPr>
                <w:color w:val="000000"/>
                <w:sz w:val="20"/>
                <w:szCs w:val="20"/>
              </w:rPr>
            </w:pPr>
            <w:r>
              <w:rPr>
                <w:color w:val="000000"/>
                <w:sz w:val="20"/>
                <w:szCs w:val="20"/>
              </w:rPr>
              <w:t>4</w:t>
            </w:r>
          </w:p>
        </w:tc>
      </w:tr>
      <w:tr w:rsidR="00000000" w14:paraId="2D49F31A" w14:textId="77777777">
        <w:trPr>
          <w:divId w:val="592400241"/>
        </w:trPr>
        <w:tc>
          <w:tcPr>
            <w:tcW w:w="400" w:type="pct"/>
            <w:shd w:val="clear" w:color="auto" w:fill="FFFFFF"/>
            <w:hideMark/>
          </w:tcPr>
          <w:p w14:paraId="231DC83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48959B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2E73A5DA" w14:textId="77777777" w:rsidR="00000000" w:rsidRDefault="00B8284C">
            <w:pPr>
              <w:pStyle w:val="a3"/>
              <w:spacing w:before="0" w:beforeAutospacing="0" w:after="0" w:afterAutospacing="0"/>
              <w:ind w:left="245" w:hanging="245"/>
              <w:rPr>
                <w:spacing w:val="-2"/>
                <w:sz w:val="20"/>
                <w:szCs w:val="20"/>
              </w:rPr>
            </w:pPr>
            <w:hyperlink w:anchor="UNAUDITED_CONSOLIDATED_STATEMENTS_OPERA" w:history="1">
              <w:r>
                <w:rPr>
                  <w:rStyle w:val="a4"/>
                  <w:spacing w:val="-2"/>
                  <w:sz w:val="20"/>
                  <w:szCs w:val="20"/>
                </w:rPr>
                <w:t>Unaudited Consolidated Statements of Operations for the Three and Nine Months Ended September 30, 2019 and 2018</w:t>
              </w:r>
            </w:hyperlink>
          </w:p>
        </w:tc>
        <w:tc>
          <w:tcPr>
            <w:tcW w:w="132" w:type="pct"/>
            <w:shd w:val="clear" w:color="auto" w:fill="FFFFFF"/>
            <w:vAlign w:val="bottom"/>
            <w:hideMark/>
          </w:tcPr>
          <w:p w14:paraId="25AE5D9C" w14:textId="77777777" w:rsidR="00000000" w:rsidRDefault="00B8284C">
            <w:pPr>
              <w:pStyle w:val="a3"/>
              <w:spacing w:before="0" w:beforeAutospacing="0" w:after="0" w:afterAutospacing="0"/>
              <w:jc w:val="right"/>
              <w:rPr>
                <w:sz w:val="20"/>
                <w:szCs w:val="20"/>
              </w:rPr>
            </w:pPr>
            <w:r>
              <w:rPr>
                <w:sz w:val="20"/>
                <w:szCs w:val="20"/>
              </w:rPr>
              <w:t>5</w:t>
            </w:r>
          </w:p>
        </w:tc>
      </w:tr>
      <w:tr w:rsidR="00000000" w14:paraId="5C042CC5" w14:textId="77777777">
        <w:trPr>
          <w:divId w:val="592400241"/>
        </w:trPr>
        <w:tc>
          <w:tcPr>
            <w:tcW w:w="400" w:type="pct"/>
            <w:shd w:val="clear" w:color="auto" w:fill="FFFFFF"/>
            <w:hideMark/>
          </w:tcPr>
          <w:p w14:paraId="09000696" w14:textId="77777777" w:rsidR="00000000" w:rsidRDefault="00B8284C">
            <w:pPr>
              <w:pStyle w:val="a3"/>
              <w:spacing w:before="0" w:beforeAutospacing="0" w:after="0" w:afterAutospacing="0"/>
              <w:rPr>
                <w:sz w:val="20"/>
                <w:szCs w:val="20"/>
              </w:rPr>
            </w:pPr>
            <w:r>
              <w:rPr>
                <w:sz w:val="20"/>
                <w:szCs w:val="20"/>
              </w:rPr>
              <w:t> </w:t>
            </w:r>
          </w:p>
        </w:tc>
        <w:tc>
          <w:tcPr>
            <w:tcW w:w="34" w:type="pct"/>
            <w:shd w:val="clear" w:color="auto" w:fill="FFFFFF"/>
            <w:hideMark/>
          </w:tcPr>
          <w:p w14:paraId="61096FAC" w14:textId="77777777" w:rsidR="00000000" w:rsidRDefault="00B8284C">
            <w:pPr>
              <w:pStyle w:val="a3"/>
              <w:spacing w:before="0" w:beforeAutospacing="0" w:after="0" w:afterAutospacing="0"/>
              <w:rPr>
                <w:sz w:val="20"/>
                <w:szCs w:val="20"/>
              </w:rPr>
            </w:pPr>
            <w:r>
              <w:rPr>
                <w:sz w:val="20"/>
                <w:szCs w:val="20"/>
              </w:rPr>
              <w:t> </w:t>
            </w:r>
          </w:p>
        </w:tc>
        <w:tc>
          <w:tcPr>
            <w:tcW w:w="4434" w:type="pct"/>
            <w:shd w:val="clear" w:color="auto" w:fill="FFFFFF"/>
            <w:vAlign w:val="bottom"/>
            <w:hideMark/>
          </w:tcPr>
          <w:p w14:paraId="420E08C1" w14:textId="77777777" w:rsidR="00000000" w:rsidRDefault="00B8284C">
            <w:pPr>
              <w:pStyle w:val="a3"/>
              <w:spacing w:before="0" w:beforeAutospacing="0" w:after="0" w:afterAutospacing="0"/>
              <w:ind w:left="245" w:hanging="245"/>
              <w:rPr>
                <w:spacing w:val="-2"/>
                <w:sz w:val="20"/>
                <w:szCs w:val="20"/>
              </w:rPr>
            </w:pPr>
            <w:hyperlink w:anchor="UNAUDITED_CONSOLIDATED_STATEMENTS_COMPR" w:history="1">
              <w:r>
                <w:rPr>
                  <w:rStyle w:val="a4"/>
                  <w:spacing w:val="-2"/>
                  <w:sz w:val="20"/>
                  <w:szCs w:val="20"/>
                </w:rPr>
                <w:t>Unaudited Conso</w:t>
              </w:r>
              <w:r>
                <w:rPr>
                  <w:rStyle w:val="a4"/>
                  <w:spacing w:val="-2"/>
                  <w:sz w:val="20"/>
                  <w:szCs w:val="20"/>
                </w:rPr>
                <w:t>lidated Statements of Comprehensive Loss for the Three and Nine Months Ended September 30, 2019 and 2018</w:t>
              </w:r>
            </w:hyperlink>
          </w:p>
        </w:tc>
        <w:tc>
          <w:tcPr>
            <w:tcW w:w="132" w:type="pct"/>
            <w:shd w:val="clear" w:color="auto" w:fill="FFFFFF"/>
            <w:vAlign w:val="bottom"/>
            <w:hideMark/>
          </w:tcPr>
          <w:p w14:paraId="2F72A3D7" w14:textId="77777777" w:rsidR="00000000" w:rsidRDefault="00B8284C">
            <w:pPr>
              <w:pStyle w:val="a3"/>
              <w:spacing w:before="0" w:beforeAutospacing="0" w:after="0" w:afterAutospacing="0"/>
              <w:jc w:val="right"/>
              <w:rPr>
                <w:sz w:val="20"/>
                <w:szCs w:val="20"/>
              </w:rPr>
            </w:pPr>
            <w:r>
              <w:rPr>
                <w:sz w:val="20"/>
                <w:szCs w:val="20"/>
              </w:rPr>
              <w:t>6</w:t>
            </w:r>
          </w:p>
        </w:tc>
      </w:tr>
      <w:tr w:rsidR="00000000" w14:paraId="632EF038" w14:textId="77777777">
        <w:trPr>
          <w:divId w:val="592400241"/>
        </w:trPr>
        <w:tc>
          <w:tcPr>
            <w:tcW w:w="400" w:type="pct"/>
            <w:shd w:val="clear" w:color="auto" w:fill="FFFFFF"/>
            <w:hideMark/>
          </w:tcPr>
          <w:p w14:paraId="27366E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6E2EF5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1A9FEC17" w14:textId="77777777" w:rsidR="00000000" w:rsidRDefault="00B8284C">
            <w:pPr>
              <w:pStyle w:val="a3"/>
              <w:spacing w:before="0" w:beforeAutospacing="0" w:after="0" w:afterAutospacing="0"/>
              <w:ind w:left="245" w:hanging="245"/>
              <w:rPr>
                <w:sz w:val="20"/>
                <w:szCs w:val="20"/>
              </w:rPr>
            </w:pPr>
            <w:hyperlink w:anchor="UNAUDITED_CONSOLIDATED_STATEMENTS_CASH_" w:history="1">
              <w:r>
                <w:rPr>
                  <w:rStyle w:val="a4"/>
                  <w:sz w:val="20"/>
                  <w:szCs w:val="20"/>
                </w:rPr>
                <w:t>Unaudited Consolidated Statements of Cash Flows for the Nine Months Ended September 30, 2019 and 2018</w:t>
              </w:r>
            </w:hyperlink>
          </w:p>
        </w:tc>
        <w:tc>
          <w:tcPr>
            <w:tcW w:w="132" w:type="pct"/>
            <w:shd w:val="clear" w:color="auto" w:fill="FFFFFF"/>
            <w:vAlign w:val="bottom"/>
            <w:hideMark/>
          </w:tcPr>
          <w:p w14:paraId="0430E788" w14:textId="77777777" w:rsidR="00000000" w:rsidRDefault="00B8284C">
            <w:pPr>
              <w:pStyle w:val="a3"/>
              <w:spacing w:before="0" w:beforeAutospacing="0" w:after="0" w:afterAutospacing="0"/>
              <w:jc w:val="right"/>
              <w:rPr>
                <w:color w:val="000000"/>
                <w:sz w:val="20"/>
                <w:szCs w:val="20"/>
              </w:rPr>
            </w:pPr>
            <w:r>
              <w:rPr>
                <w:color w:val="000000"/>
                <w:sz w:val="20"/>
                <w:szCs w:val="20"/>
              </w:rPr>
              <w:t>7</w:t>
            </w:r>
          </w:p>
        </w:tc>
      </w:tr>
      <w:tr w:rsidR="00000000" w14:paraId="65E831C8" w14:textId="77777777">
        <w:trPr>
          <w:divId w:val="592400241"/>
        </w:trPr>
        <w:tc>
          <w:tcPr>
            <w:tcW w:w="400" w:type="pct"/>
            <w:shd w:val="clear" w:color="auto" w:fill="FFFFFF"/>
            <w:hideMark/>
          </w:tcPr>
          <w:p w14:paraId="1AC28D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34C6DC2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BF950A3" w14:textId="77777777" w:rsidR="00000000" w:rsidRDefault="00B8284C">
            <w:pPr>
              <w:pStyle w:val="a3"/>
              <w:spacing w:before="0" w:beforeAutospacing="0" w:after="0" w:afterAutospacing="0"/>
              <w:ind w:left="245" w:hanging="245"/>
              <w:rPr>
                <w:sz w:val="20"/>
                <w:szCs w:val="20"/>
              </w:rPr>
            </w:pPr>
            <w:hyperlink w:anchor="NOTES_TO_UNAUDITED_CONSOLIDA_TED_FINANC" w:history="1">
              <w:r>
                <w:rPr>
                  <w:rStyle w:val="a4"/>
                  <w:sz w:val="20"/>
                  <w:szCs w:val="20"/>
                </w:rPr>
                <w:t>Notes to Unaudited Consolidated Financial Statements</w:t>
              </w:r>
            </w:hyperlink>
          </w:p>
        </w:tc>
        <w:tc>
          <w:tcPr>
            <w:tcW w:w="132" w:type="pct"/>
            <w:shd w:val="clear" w:color="auto" w:fill="FFFFFF"/>
            <w:vAlign w:val="bottom"/>
            <w:hideMark/>
          </w:tcPr>
          <w:p w14:paraId="36975016" w14:textId="77777777" w:rsidR="00000000" w:rsidRDefault="00B8284C">
            <w:pPr>
              <w:pStyle w:val="a3"/>
              <w:spacing w:before="0" w:beforeAutospacing="0" w:after="0" w:afterAutospacing="0"/>
              <w:jc w:val="right"/>
              <w:rPr>
                <w:color w:val="000000"/>
                <w:sz w:val="20"/>
                <w:szCs w:val="20"/>
              </w:rPr>
            </w:pPr>
            <w:r>
              <w:rPr>
                <w:color w:val="000000"/>
                <w:sz w:val="20"/>
                <w:szCs w:val="20"/>
              </w:rPr>
              <w:t>8</w:t>
            </w:r>
          </w:p>
        </w:tc>
      </w:tr>
      <w:tr w:rsidR="00000000" w14:paraId="23121A40" w14:textId="77777777">
        <w:trPr>
          <w:divId w:val="592400241"/>
        </w:trPr>
        <w:tc>
          <w:tcPr>
            <w:tcW w:w="400" w:type="pct"/>
            <w:shd w:val="clear" w:color="auto" w:fill="FFFFFF"/>
            <w:hideMark/>
          </w:tcPr>
          <w:p w14:paraId="17CAC50A" w14:textId="77777777" w:rsidR="00000000" w:rsidRDefault="00B8284C">
            <w:pPr>
              <w:pStyle w:val="a3"/>
              <w:spacing w:before="0" w:beforeAutospacing="0" w:after="0" w:afterAutospacing="0"/>
              <w:rPr>
                <w:color w:val="000000"/>
                <w:sz w:val="20"/>
                <w:szCs w:val="20"/>
              </w:rPr>
            </w:pPr>
            <w:r>
              <w:rPr>
                <w:color w:val="000000"/>
                <w:sz w:val="20"/>
                <w:szCs w:val="20"/>
              </w:rPr>
              <w:t>Item 2.</w:t>
            </w:r>
          </w:p>
        </w:tc>
        <w:tc>
          <w:tcPr>
            <w:tcW w:w="34" w:type="pct"/>
            <w:shd w:val="clear" w:color="auto" w:fill="FFFFFF"/>
            <w:hideMark/>
          </w:tcPr>
          <w:p w14:paraId="58F5BC0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663AC5CF" w14:textId="77777777" w:rsidR="00000000" w:rsidRDefault="00B8284C">
            <w:pPr>
              <w:pStyle w:val="a3"/>
              <w:spacing w:before="0" w:beforeAutospacing="0" w:after="0" w:afterAutospacing="0"/>
              <w:ind w:left="245" w:hanging="245"/>
              <w:rPr>
                <w:sz w:val="20"/>
                <w:szCs w:val="20"/>
              </w:rPr>
            </w:pPr>
            <w:hyperlink w:anchor="ITEM_2_MANAGEMENTS_DISCUSSION_ANALYSIS_" w:history="1">
              <w:r>
                <w:rPr>
                  <w:rStyle w:val="a4"/>
                  <w:sz w:val="20"/>
                  <w:szCs w:val="20"/>
                </w:rPr>
                <w:t>Management’s Discussion and Analysis of Financial Condition and Results of Operations</w:t>
              </w:r>
            </w:hyperlink>
          </w:p>
        </w:tc>
        <w:tc>
          <w:tcPr>
            <w:tcW w:w="132" w:type="pct"/>
            <w:shd w:val="clear" w:color="auto" w:fill="FFFFFF"/>
            <w:vAlign w:val="bottom"/>
            <w:hideMark/>
          </w:tcPr>
          <w:p w14:paraId="77C386AA" w14:textId="77777777" w:rsidR="00000000" w:rsidRDefault="00B8284C">
            <w:pPr>
              <w:pStyle w:val="a3"/>
              <w:spacing w:before="0" w:beforeAutospacing="0" w:after="0" w:afterAutospacing="0"/>
              <w:jc w:val="right"/>
              <w:rPr>
                <w:color w:val="000000"/>
                <w:sz w:val="20"/>
                <w:szCs w:val="20"/>
              </w:rPr>
            </w:pPr>
            <w:r>
              <w:rPr>
                <w:color w:val="000000"/>
                <w:sz w:val="20"/>
                <w:szCs w:val="20"/>
              </w:rPr>
              <w:t>21</w:t>
            </w:r>
          </w:p>
        </w:tc>
      </w:tr>
      <w:tr w:rsidR="00000000" w14:paraId="089DC7DF" w14:textId="77777777">
        <w:trPr>
          <w:divId w:val="592400241"/>
        </w:trPr>
        <w:tc>
          <w:tcPr>
            <w:tcW w:w="400" w:type="pct"/>
            <w:shd w:val="clear" w:color="auto" w:fill="FFFFFF"/>
            <w:hideMark/>
          </w:tcPr>
          <w:p w14:paraId="0885D1B6" w14:textId="77777777" w:rsidR="00000000" w:rsidRDefault="00B8284C">
            <w:pPr>
              <w:pStyle w:val="a3"/>
              <w:spacing w:before="0" w:beforeAutospacing="0" w:after="0" w:afterAutospacing="0"/>
              <w:rPr>
                <w:color w:val="000000"/>
                <w:sz w:val="20"/>
                <w:szCs w:val="20"/>
              </w:rPr>
            </w:pPr>
            <w:r>
              <w:rPr>
                <w:color w:val="000000"/>
                <w:sz w:val="20"/>
                <w:szCs w:val="20"/>
              </w:rPr>
              <w:t>Item 3.</w:t>
            </w:r>
          </w:p>
        </w:tc>
        <w:tc>
          <w:tcPr>
            <w:tcW w:w="34" w:type="pct"/>
            <w:shd w:val="clear" w:color="auto" w:fill="FFFFFF"/>
            <w:hideMark/>
          </w:tcPr>
          <w:p w14:paraId="10CAD90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50F4DE4C" w14:textId="77777777" w:rsidR="00000000" w:rsidRDefault="00B8284C">
            <w:pPr>
              <w:pStyle w:val="a3"/>
              <w:spacing w:before="0" w:beforeAutospacing="0" w:after="0" w:afterAutospacing="0"/>
              <w:ind w:left="245" w:hanging="245"/>
              <w:rPr>
                <w:sz w:val="20"/>
                <w:szCs w:val="20"/>
              </w:rPr>
            </w:pPr>
            <w:hyperlink w:anchor="ITEM_3_QUANTITATIVE_QUALITATIVE_DISCLOS" w:history="1">
              <w:r>
                <w:rPr>
                  <w:rStyle w:val="a4"/>
                  <w:sz w:val="20"/>
                  <w:szCs w:val="20"/>
                </w:rPr>
                <w:t>Quantitative and Qualitative Disclosures about Market Risk</w:t>
              </w:r>
            </w:hyperlink>
          </w:p>
        </w:tc>
        <w:tc>
          <w:tcPr>
            <w:tcW w:w="132" w:type="pct"/>
            <w:shd w:val="clear" w:color="auto" w:fill="FFFFFF"/>
            <w:vAlign w:val="bottom"/>
            <w:hideMark/>
          </w:tcPr>
          <w:p w14:paraId="5D00F402" w14:textId="77777777" w:rsidR="00000000" w:rsidRDefault="00B8284C">
            <w:pPr>
              <w:pStyle w:val="a3"/>
              <w:spacing w:before="0" w:beforeAutospacing="0" w:after="0" w:afterAutospacing="0"/>
              <w:jc w:val="right"/>
              <w:rPr>
                <w:color w:val="000000"/>
                <w:sz w:val="20"/>
                <w:szCs w:val="20"/>
              </w:rPr>
            </w:pPr>
            <w:r>
              <w:rPr>
                <w:color w:val="000000"/>
                <w:sz w:val="20"/>
                <w:szCs w:val="20"/>
              </w:rPr>
              <w:t>30</w:t>
            </w:r>
          </w:p>
        </w:tc>
      </w:tr>
      <w:tr w:rsidR="00000000" w14:paraId="095F909D" w14:textId="77777777">
        <w:trPr>
          <w:divId w:val="592400241"/>
        </w:trPr>
        <w:tc>
          <w:tcPr>
            <w:tcW w:w="400" w:type="pct"/>
            <w:shd w:val="clear" w:color="auto" w:fill="FFFFFF"/>
            <w:hideMark/>
          </w:tcPr>
          <w:p w14:paraId="28097301" w14:textId="77777777" w:rsidR="00000000" w:rsidRDefault="00B8284C">
            <w:pPr>
              <w:pStyle w:val="a3"/>
              <w:spacing w:before="0" w:beforeAutospacing="0" w:after="0" w:afterAutospacing="0"/>
              <w:rPr>
                <w:color w:val="000000"/>
                <w:sz w:val="20"/>
                <w:szCs w:val="20"/>
              </w:rPr>
            </w:pPr>
            <w:r>
              <w:rPr>
                <w:color w:val="000000"/>
                <w:sz w:val="20"/>
                <w:szCs w:val="20"/>
              </w:rPr>
              <w:t>Item 4.</w:t>
            </w:r>
          </w:p>
        </w:tc>
        <w:tc>
          <w:tcPr>
            <w:tcW w:w="34" w:type="pct"/>
            <w:shd w:val="clear" w:color="auto" w:fill="FFFFFF"/>
            <w:hideMark/>
          </w:tcPr>
          <w:p w14:paraId="0D8DC1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124B3123" w14:textId="77777777" w:rsidR="00000000" w:rsidRDefault="00B8284C">
            <w:pPr>
              <w:pStyle w:val="a3"/>
              <w:spacing w:before="0" w:beforeAutospacing="0" w:after="0" w:afterAutospacing="0"/>
              <w:ind w:left="245" w:hanging="245"/>
              <w:rPr>
                <w:sz w:val="20"/>
                <w:szCs w:val="20"/>
              </w:rPr>
            </w:pPr>
            <w:hyperlink w:anchor="ITEM_4_CONTROLS_PROCEDURES" w:history="1">
              <w:r>
                <w:rPr>
                  <w:rStyle w:val="a4"/>
                  <w:sz w:val="20"/>
                  <w:szCs w:val="20"/>
                </w:rPr>
                <w:t>Controls and Procedures</w:t>
              </w:r>
            </w:hyperlink>
          </w:p>
        </w:tc>
        <w:tc>
          <w:tcPr>
            <w:tcW w:w="132" w:type="pct"/>
            <w:shd w:val="clear" w:color="auto" w:fill="FFFFFF"/>
            <w:vAlign w:val="bottom"/>
            <w:hideMark/>
          </w:tcPr>
          <w:p w14:paraId="69A8BCCA" w14:textId="77777777" w:rsidR="00000000" w:rsidRDefault="00B8284C">
            <w:pPr>
              <w:pStyle w:val="a3"/>
              <w:spacing w:before="0" w:beforeAutospacing="0" w:after="0" w:afterAutospacing="0"/>
              <w:jc w:val="right"/>
              <w:rPr>
                <w:color w:val="000000"/>
                <w:sz w:val="20"/>
                <w:szCs w:val="20"/>
              </w:rPr>
            </w:pPr>
            <w:r>
              <w:rPr>
                <w:color w:val="000000"/>
                <w:sz w:val="20"/>
                <w:szCs w:val="20"/>
              </w:rPr>
              <w:t>31</w:t>
            </w:r>
          </w:p>
        </w:tc>
      </w:tr>
      <w:tr w:rsidR="00000000" w14:paraId="33B03912" w14:textId="77777777">
        <w:trPr>
          <w:divId w:val="592400241"/>
        </w:trPr>
        <w:tc>
          <w:tcPr>
            <w:tcW w:w="5000" w:type="pct"/>
            <w:gridSpan w:val="4"/>
            <w:shd w:val="clear" w:color="auto" w:fill="FFFFFF"/>
            <w:vAlign w:val="center"/>
            <w:hideMark/>
          </w:tcPr>
          <w:p w14:paraId="323B9AD9" w14:textId="77777777" w:rsidR="00000000" w:rsidRDefault="00B8284C">
            <w:pPr>
              <w:pStyle w:val="a3"/>
              <w:spacing w:before="0" w:beforeAutospacing="0" w:after="0" w:afterAutospacing="0"/>
              <w:rPr>
                <w:color w:val="000000"/>
                <w:sz w:val="12"/>
                <w:szCs w:val="12"/>
              </w:rPr>
            </w:pPr>
            <w:r>
              <w:rPr>
                <w:color w:val="000000"/>
                <w:sz w:val="12"/>
                <w:szCs w:val="12"/>
              </w:rPr>
              <w:t> </w:t>
            </w:r>
          </w:p>
        </w:tc>
      </w:tr>
      <w:tr w:rsidR="00000000" w14:paraId="7282945C" w14:textId="77777777">
        <w:trPr>
          <w:divId w:val="592400241"/>
        </w:trPr>
        <w:tc>
          <w:tcPr>
            <w:tcW w:w="5000" w:type="pct"/>
            <w:gridSpan w:val="4"/>
            <w:shd w:val="clear" w:color="auto" w:fill="FFFFFF"/>
            <w:vAlign w:val="bottom"/>
            <w:hideMark/>
          </w:tcPr>
          <w:p w14:paraId="0A8A30E6" w14:textId="77777777" w:rsidR="00000000" w:rsidRDefault="00B8284C">
            <w:pPr>
              <w:pStyle w:val="a3"/>
              <w:spacing w:before="0" w:beforeAutospacing="0" w:after="0" w:afterAutospacing="0"/>
              <w:jc w:val="center"/>
              <w:rPr>
                <w:b/>
                <w:bCs/>
                <w:sz w:val="20"/>
                <w:szCs w:val="20"/>
              </w:rPr>
            </w:pPr>
            <w:hyperlink w:anchor="PART_II" w:history="1">
              <w:r>
                <w:rPr>
                  <w:rStyle w:val="a4"/>
                  <w:b/>
                  <w:bCs/>
                  <w:sz w:val="20"/>
                  <w:szCs w:val="20"/>
                </w:rPr>
                <w:t>Part II — Other Information</w:t>
              </w:r>
            </w:hyperlink>
          </w:p>
        </w:tc>
      </w:tr>
      <w:tr w:rsidR="00000000" w14:paraId="094E68F2" w14:textId="77777777">
        <w:trPr>
          <w:divId w:val="592400241"/>
        </w:trPr>
        <w:tc>
          <w:tcPr>
            <w:tcW w:w="400" w:type="pct"/>
            <w:shd w:val="clear" w:color="auto" w:fill="FFFFFF"/>
            <w:vAlign w:val="center"/>
            <w:hideMark/>
          </w:tcPr>
          <w:p w14:paraId="16827F17" w14:textId="77777777" w:rsidR="00000000" w:rsidRDefault="00B8284C">
            <w:pPr>
              <w:pStyle w:val="a3"/>
              <w:spacing w:before="0" w:beforeAutospacing="0" w:after="0" w:afterAutospacing="0"/>
              <w:rPr>
                <w:sz w:val="12"/>
                <w:szCs w:val="12"/>
              </w:rPr>
            </w:pPr>
            <w:r>
              <w:rPr>
                <w:sz w:val="12"/>
                <w:szCs w:val="12"/>
              </w:rPr>
              <w:t> </w:t>
            </w:r>
          </w:p>
        </w:tc>
        <w:tc>
          <w:tcPr>
            <w:tcW w:w="34" w:type="pct"/>
            <w:shd w:val="clear" w:color="auto" w:fill="FFFFFF"/>
            <w:hideMark/>
          </w:tcPr>
          <w:p w14:paraId="27525DF6" w14:textId="77777777" w:rsidR="00000000" w:rsidRDefault="00B8284C">
            <w:pPr>
              <w:pStyle w:val="a3"/>
              <w:spacing w:before="0" w:beforeAutospacing="0" w:after="0" w:afterAutospacing="0"/>
              <w:rPr>
                <w:sz w:val="12"/>
                <w:szCs w:val="12"/>
              </w:rPr>
            </w:pPr>
            <w:r>
              <w:rPr>
                <w:sz w:val="12"/>
                <w:szCs w:val="12"/>
              </w:rPr>
              <w:t> </w:t>
            </w:r>
          </w:p>
        </w:tc>
        <w:tc>
          <w:tcPr>
            <w:tcW w:w="4434" w:type="pct"/>
            <w:shd w:val="clear" w:color="auto" w:fill="FFFFFF"/>
            <w:vAlign w:val="bottom"/>
            <w:hideMark/>
          </w:tcPr>
          <w:p w14:paraId="1DEB8095" w14:textId="77777777" w:rsidR="00000000" w:rsidRDefault="00B8284C">
            <w:pPr>
              <w:pStyle w:val="a3"/>
              <w:spacing w:before="0" w:beforeAutospacing="0" w:after="0" w:afterAutospacing="0"/>
              <w:rPr>
                <w:sz w:val="12"/>
                <w:szCs w:val="12"/>
              </w:rPr>
            </w:pPr>
            <w:r>
              <w:rPr>
                <w:sz w:val="12"/>
                <w:szCs w:val="12"/>
              </w:rPr>
              <w:t> </w:t>
            </w:r>
          </w:p>
        </w:tc>
        <w:tc>
          <w:tcPr>
            <w:tcW w:w="132" w:type="pct"/>
            <w:shd w:val="clear" w:color="auto" w:fill="FFFFFF"/>
            <w:vAlign w:val="bottom"/>
            <w:hideMark/>
          </w:tcPr>
          <w:p w14:paraId="6EB0A247" w14:textId="77777777" w:rsidR="00000000" w:rsidRDefault="00B8284C">
            <w:pPr>
              <w:pStyle w:val="a3"/>
              <w:spacing w:before="0" w:beforeAutospacing="0" w:after="0" w:afterAutospacing="0"/>
              <w:jc w:val="right"/>
              <w:rPr>
                <w:sz w:val="12"/>
                <w:szCs w:val="12"/>
              </w:rPr>
            </w:pPr>
            <w:r>
              <w:rPr>
                <w:sz w:val="12"/>
                <w:szCs w:val="12"/>
              </w:rPr>
              <w:t> </w:t>
            </w:r>
          </w:p>
        </w:tc>
      </w:tr>
      <w:tr w:rsidR="00000000" w14:paraId="16E21C1C" w14:textId="77777777">
        <w:trPr>
          <w:divId w:val="592400241"/>
        </w:trPr>
        <w:tc>
          <w:tcPr>
            <w:tcW w:w="400" w:type="pct"/>
            <w:shd w:val="clear" w:color="auto" w:fill="FFFFFF"/>
            <w:hideMark/>
          </w:tcPr>
          <w:p w14:paraId="201CB5CD" w14:textId="77777777" w:rsidR="00000000" w:rsidRDefault="00B8284C">
            <w:pPr>
              <w:pStyle w:val="a3"/>
              <w:spacing w:before="0" w:beforeAutospacing="0" w:after="0" w:afterAutospacing="0"/>
              <w:rPr>
                <w:color w:val="000000"/>
                <w:sz w:val="20"/>
                <w:szCs w:val="20"/>
              </w:rPr>
            </w:pPr>
            <w:r>
              <w:rPr>
                <w:color w:val="000000"/>
                <w:sz w:val="20"/>
                <w:szCs w:val="20"/>
              </w:rPr>
              <w:t>Item 1.</w:t>
            </w:r>
          </w:p>
        </w:tc>
        <w:tc>
          <w:tcPr>
            <w:tcW w:w="34" w:type="pct"/>
            <w:shd w:val="clear" w:color="auto" w:fill="FFFFFF"/>
            <w:hideMark/>
          </w:tcPr>
          <w:p w14:paraId="087741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621AB462" w14:textId="77777777" w:rsidR="00000000" w:rsidRDefault="00B8284C">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132" w:type="pct"/>
            <w:shd w:val="clear" w:color="auto" w:fill="FFFFFF"/>
            <w:vAlign w:val="bottom"/>
            <w:hideMark/>
          </w:tcPr>
          <w:p w14:paraId="3586FE9A" w14:textId="77777777" w:rsidR="00000000" w:rsidRDefault="00B8284C">
            <w:pPr>
              <w:pStyle w:val="a3"/>
              <w:spacing w:before="0" w:beforeAutospacing="0" w:after="0" w:afterAutospacing="0"/>
              <w:jc w:val="right"/>
              <w:rPr>
                <w:color w:val="000000"/>
                <w:sz w:val="20"/>
                <w:szCs w:val="20"/>
              </w:rPr>
            </w:pPr>
            <w:r>
              <w:rPr>
                <w:color w:val="000000"/>
                <w:sz w:val="20"/>
                <w:szCs w:val="20"/>
              </w:rPr>
              <w:t>32</w:t>
            </w:r>
          </w:p>
        </w:tc>
      </w:tr>
      <w:tr w:rsidR="00000000" w14:paraId="7677558A" w14:textId="77777777">
        <w:trPr>
          <w:divId w:val="592400241"/>
        </w:trPr>
        <w:tc>
          <w:tcPr>
            <w:tcW w:w="400" w:type="pct"/>
            <w:shd w:val="clear" w:color="auto" w:fill="FFFFFF"/>
            <w:hideMark/>
          </w:tcPr>
          <w:p w14:paraId="7B5D208E" w14:textId="77777777" w:rsidR="00000000" w:rsidRDefault="00B8284C">
            <w:pPr>
              <w:pStyle w:val="a3"/>
              <w:spacing w:before="0" w:beforeAutospacing="0" w:after="0" w:afterAutospacing="0"/>
              <w:rPr>
                <w:color w:val="000000"/>
                <w:sz w:val="20"/>
                <w:szCs w:val="20"/>
              </w:rPr>
            </w:pPr>
            <w:r>
              <w:rPr>
                <w:color w:val="000000"/>
                <w:sz w:val="20"/>
                <w:szCs w:val="20"/>
              </w:rPr>
              <w:t>Item 1A.</w:t>
            </w:r>
          </w:p>
        </w:tc>
        <w:tc>
          <w:tcPr>
            <w:tcW w:w="34" w:type="pct"/>
            <w:shd w:val="clear" w:color="auto" w:fill="FFFFFF"/>
            <w:hideMark/>
          </w:tcPr>
          <w:p w14:paraId="3EB6E5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09854688" w14:textId="77777777" w:rsidR="00000000" w:rsidRDefault="00B8284C">
            <w:pPr>
              <w:pStyle w:val="a3"/>
              <w:spacing w:before="0" w:beforeAutospacing="0" w:after="0" w:afterAutospacing="0"/>
              <w:rPr>
                <w:sz w:val="20"/>
                <w:szCs w:val="20"/>
              </w:rPr>
            </w:pPr>
            <w:hyperlink w:anchor="ITEM_1A_RISK_FACTORS1" w:history="1">
              <w:r>
                <w:rPr>
                  <w:rStyle w:val="a4"/>
                  <w:sz w:val="20"/>
                  <w:szCs w:val="20"/>
                </w:rPr>
                <w:t>Risk Factors</w:t>
              </w:r>
            </w:hyperlink>
          </w:p>
        </w:tc>
        <w:tc>
          <w:tcPr>
            <w:tcW w:w="132" w:type="pct"/>
            <w:shd w:val="clear" w:color="auto" w:fill="FFFFFF"/>
            <w:vAlign w:val="bottom"/>
            <w:hideMark/>
          </w:tcPr>
          <w:p w14:paraId="58EF7C10" w14:textId="77777777" w:rsidR="00000000" w:rsidRDefault="00B8284C">
            <w:pPr>
              <w:pStyle w:val="a3"/>
              <w:spacing w:before="0" w:beforeAutospacing="0" w:after="0" w:afterAutospacing="0"/>
              <w:jc w:val="right"/>
              <w:rPr>
                <w:color w:val="000000"/>
                <w:sz w:val="20"/>
                <w:szCs w:val="20"/>
              </w:rPr>
            </w:pPr>
            <w:r>
              <w:rPr>
                <w:color w:val="000000"/>
                <w:sz w:val="20"/>
                <w:szCs w:val="20"/>
              </w:rPr>
              <w:t>32</w:t>
            </w:r>
          </w:p>
        </w:tc>
      </w:tr>
      <w:tr w:rsidR="00000000" w14:paraId="53368268" w14:textId="77777777">
        <w:trPr>
          <w:divId w:val="592400241"/>
        </w:trPr>
        <w:tc>
          <w:tcPr>
            <w:tcW w:w="400" w:type="pct"/>
            <w:shd w:val="clear" w:color="auto" w:fill="FFFFFF"/>
            <w:hideMark/>
          </w:tcPr>
          <w:p w14:paraId="5B198644" w14:textId="77777777" w:rsidR="00000000" w:rsidRDefault="00B8284C">
            <w:pPr>
              <w:pStyle w:val="a3"/>
              <w:spacing w:before="0" w:beforeAutospacing="0" w:after="0" w:afterAutospacing="0"/>
              <w:rPr>
                <w:color w:val="000000"/>
                <w:sz w:val="20"/>
                <w:szCs w:val="20"/>
              </w:rPr>
            </w:pPr>
            <w:r>
              <w:rPr>
                <w:color w:val="000000"/>
                <w:sz w:val="20"/>
                <w:szCs w:val="20"/>
              </w:rPr>
              <w:t>Item 2.</w:t>
            </w:r>
          </w:p>
        </w:tc>
        <w:tc>
          <w:tcPr>
            <w:tcW w:w="34" w:type="pct"/>
            <w:shd w:val="clear" w:color="auto" w:fill="FFFFFF"/>
            <w:hideMark/>
          </w:tcPr>
          <w:p w14:paraId="7D40D7B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3BA0485E" w14:textId="77777777" w:rsidR="00000000" w:rsidRDefault="00B8284C">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132" w:type="pct"/>
            <w:shd w:val="clear" w:color="auto" w:fill="FFFFFF"/>
            <w:vAlign w:val="bottom"/>
            <w:hideMark/>
          </w:tcPr>
          <w:p w14:paraId="0F0523AE" w14:textId="77777777" w:rsidR="00000000" w:rsidRDefault="00B8284C">
            <w:pPr>
              <w:pStyle w:val="a3"/>
              <w:spacing w:before="0" w:beforeAutospacing="0" w:after="0" w:afterAutospacing="0"/>
              <w:jc w:val="right"/>
              <w:rPr>
                <w:color w:val="000000"/>
                <w:sz w:val="20"/>
                <w:szCs w:val="20"/>
              </w:rPr>
            </w:pPr>
            <w:r>
              <w:rPr>
                <w:color w:val="000000"/>
                <w:sz w:val="20"/>
                <w:szCs w:val="20"/>
              </w:rPr>
              <w:t>51</w:t>
            </w:r>
          </w:p>
        </w:tc>
      </w:tr>
      <w:tr w:rsidR="00000000" w14:paraId="59E6080C" w14:textId="77777777">
        <w:trPr>
          <w:divId w:val="592400241"/>
        </w:trPr>
        <w:tc>
          <w:tcPr>
            <w:tcW w:w="400" w:type="pct"/>
            <w:shd w:val="clear" w:color="auto" w:fill="FFFFFF"/>
            <w:hideMark/>
          </w:tcPr>
          <w:p w14:paraId="6D35B276" w14:textId="77777777" w:rsidR="00000000" w:rsidRDefault="00B8284C">
            <w:pPr>
              <w:pStyle w:val="a3"/>
              <w:spacing w:before="0" w:beforeAutospacing="0" w:after="0" w:afterAutospacing="0"/>
              <w:rPr>
                <w:color w:val="000000"/>
                <w:sz w:val="20"/>
                <w:szCs w:val="20"/>
              </w:rPr>
            </w:pPr>
            <w:r>
              <w:rPr>
                <w:color w:val="000000"/>
                <w:sz w:val="20"/>
                <w:szCs w:val="20"/>
              </w:rPr>
              <w:t>Item 3.</w:t>
            </w:r>
          </w:p>
        </w:tc>
        <w:tc>
          <w:tcPr>
            <w:tcW w:w="34" w:type="pct"/>
            <w:shd w:val="clear" w:color="auto" w:fill="FFFFFF"/>
            <w:hideMark/>
          </w:tcPr>
          <w:p w14:paraId="400C3B2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3046ECD0" w14:textId="77777777" w:rsidR="00000000" w:rsidRDefault="00B8284C">
            <w:pPr>
              <w:pStyle w:val="a3"/>
              <w:spacing w:before="0" w:beforeAutospacing="0" w:after="0" w:afterAutospacing="0"/>
              <w:rPr>
                <w:sz w:val="20"/>
                <w:szCs w:val="20"/>
              </w:rPr>
            </w:pPr>
            <w:hyperlink w:anchor="ITEM_3_DEFAULTS_ON_SENIOR_SECURITIES" w:history="1">
              <w:r>
                <w:rPr>
                  <w:rStyle w:val="a4"/>
                  <w:sz w:val="20"/>
                  <w:szCs w:val="20"/>
                </w:rPr>
                <w:t>Default Upon Senior Securities</w:t>
              </w:r>
            </w:hyperlink>
          </w:p>
        </w:tc>
        <w:tc>
          <w:tcPr>
            <w:tcW w:w="132" w:type="pct"/>
            <w:shd w:val="clear" w:color="auto" w:fill="FFFFFF"/>
            <w:vAlign w:val="bottom"/>
            <w:hideMark/>
          </w:tcPr>
          <w:p w14:paraId="2BF7BBA2" w14:textId="77777777" w:rsidR="00000000" w:rsidRDefault="00B8284C">
            <w:pPr>
              <w:pStyle w:val="a3"/>
              <w:spacing w:before="0" w:beforeAutospacing="0" w:after="0" w:afterAutospacing="0"/>
              <w:jc w:val="right"/>
              <w:rPr>
                <w:color w:val="000000"/>
                <w:sz w:val="20"/>
                <w:szCs w:val="20"/>
              </w:rPr>
            </w:pPr>
            <w:r>
              <w:rPr>
                <w:color w:val="000000"/>
                <w:sz w:val="20"/>
                <w:szCs w:val="20"/>
              </w:rPr>
              <w:t>51</w:t>
            </w:r>
          </w:p>
        </w:tc>
      </w:tr>
      <w:tr w:rsidR="00000000" w14:paraId="4D738F27" w14:textId="77777777">
        <w:trPr>
          <w:divId w:val="592400241"/>
          <w:trHeight w:val="174"/>
        </w:trPr>
        <w:tc>
          <w:tcPr>
            <w:tcW w:w="400" w:type="pct"/>
            <w:shd w:val="clear" w:color="auto" w:fill="FFFFFF"/>
            <w:hideMark/>
          </w:tcPr>
          <w:p w14:paraId="68CF9829" w14:textId="77777777" w:rsidR="00000000" w:rsidRDefault="00B8284C">
            <w:pPr>
              <w:pStyle w:val="a3"/>
              <w:spacing w:before="0" w:beforeAutospacing="0" w:after="0" w:afterAutospacing="0"/>
              <w:rPr>
                <w:color w:val="000000"/>
                <w:sz w:val="20"/>
                <w:szCs w:val="20"/>
              </w:rPr>
            </w:pPr>
            <w:r>
              <w:rPr>
                <w:color w:val="000000"/>
                <w:sz w:val="20"/>
                <w:szCs w:val="20"/>
              </w:rPr>
              <w:t>Item 4.</w:t>
            </w:r>
          </w:p>
        </w:tc>
        <w:tc>
          <w:tcPr>
            <w:tcW w:w="34" w:type="pct"/>
            <w:shd w:val="clear" w:color="auto" w:fill="FFFFFF"/>
            <w:hideMark/>
          </w:tcPr>
          <w:p w14:paraId="7F0D5AF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3E68DD60" w14:textId="77777777" w:rsidR="00000000" w:rsidRDefault="00B8284C">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132" w:type="pct"/>
            <w:shd w:val="clear" w:color="auto" w:fill="FFFFFF"/>
            <w:vAlign w:val="bottom"/>
            <w:hideMark/>
          </w:tcPr>
          <w:p w14:paraId="580185B6" w14:textId="77777777" w:rsidR="00000000" w:rsidRDefault="00B8284C">
            <w:pPr>
              <w:pStyle w:val="a3"/>
              <w:spacing w:before="0" w:beforeAutospacing="0" w:after="0" w:afterAutospacing="0"/>
              <w:jc w:val="right"/>
              <w:rPr>
                <w:color w:val="000000"/>
                <w:sz w:val="20"/>
                <w:szCs w:val="20"/>
              </w:rPr>
            </w:pPr>
            <w:r>
              <w:rPr>
                <w:color w:val="000000"/>
                <w:sz w:val="20"/>
                <w:szCs w:val="20"/>
              </w:rPr>
              <w:t>51</w:t>
            </w:r>
          </w:p>
        </w:tc>
      </w:tr>
      <w:tr w:rsidR="00000000" w14:paraId="4CB0C71E" w14:textId="77777777">
        <w:trPr>
          <w:divId w:val="592400241"/>
        </w:trPr>
        <w:tc>
          <w:tcPr>
            <w:tcW w:w="400" w:type="pct"/>
            <w:shd w:val="clear" w:color="auto" w:fill="FFFFFF"/>
            <w:hideMark/>
          </w:tcPr>
          <w:p w14:paraId="6547A48E" w14:textId="77777777" w:rsidR="00000000" w:rsidRDefault="00B8284C">
            <w:pPr>
              <w:pStyle w:val="a3"/>
              <w:spacing w:before="0" w:beforeAutospacing="0" w:after="0" w:afterAutospacing="0"/>
              <w:rPr>
                <w:color w:val="000000"/>
                <w:sz w:val="20"/>
                <w:szCs w:val="20"/>
              </w:rPr>
            </w:pPr>
            <w:r>
              <w:rPr>
                <w:color w:val="000000"/>
                <w:sz w:val="20"/>
                <w:szCs w:val="20"/>
              </w:rPr>
              <w:t>Item 5.</w:t>
            </w:r>
          </w:p>
        </w:tc>
        <w:tc>
          <w:tcPr>
            <w:tcW w:w="34" w:type="pct"/>
            <w:shd w:val="clear" w:color="auto" w:fill="FFFFFF"/>
            <w:hideMark/>
          </w:tcPr>
          <w:p w14:paraId="0880D02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50BF1A19" w14:textId="77777777" w:rsidR="00000000" w:rsidRDefault="00B8284C">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132" w:type="pct"/>
            <w:shd w:val="clear" w:color="auto" w:fill="FFFFFF"/>
            <w:vAlign w:val="bottom"/>
            <w:hideMark/>
          </w:tcPr>
          <w:p w14:paraId="4E59236C" w14:textId="77777777" w:rsidR="00000000" w:rsidRDefault="00B8284C">
            <w:pPr>
              <w:pStyle w:val="a3"/>
              <w:spacing w:before="0" w:beforeAutospacing="0" w:after="0" w:afterAutospacing="0"/>
              <w:jc w:val="right"/>
              <w:rPr>
                <w:color w:val="000000"/>
                <w:sz w:val="20"/>
                <w:szCs w:val="20"/>
              </w:rPr>
            </w:pPr>
            <w:r>
              <w:rPr>
                <w:color w:val="000000"/>
                <w:sz w:val="20"/>
                <w:szCs w:val="20"/>
              </w:rPr>
              <w:t>51</w:t>
            </w:r>
          </w:p>
        </w:tc>
      </w:tr>
      <w:tr w:rsidR="00000000" w14:paraId="1F824BCD" w14:textId="77777777">
        <w:trPr>
          <w:divId w:val="592400241"/>
        </w:trPr>
        <w:tc>
          <w:tcPr>
            <w:tcW w:w="400" w:type="pct"/>
            <w:shd w:val="clear" w:color="auto" w:fill="FFFFFF"/>
            <w:hideMark/>
          </w:tcPr>
          <w:p w14:paraId="34D39E6B" w14:textId="77777777" w:rsidR="00000000" w:rsidRDefault="00B8284C">
            <w:pPr>
              <w:pStyle w:val="a3"/>
              <w:spacing w:before="0" w:beforeAutospacing="0" w:after="0" w:afterAutospacing="0"/>
              <w:rPr>
                <w:color w:val="000000"/>
                <w:sz w:val="20"/>
                <w:szCs w:val="20"/>
              </w:rPr>
            </w:pPr>
            <w:r>
              <w:rPr>
                <w:color w:val="000000"/>
                <w:sz w:val="20"/>
                <w:szCs w:val="20"/>
              </w:rPr>
              <w:t>Item 6.</w:t>
            </w:r>
          </w:p>
        </w:tc>
        <w:tc>
          <w:tcPr>
            <w:tcW w:w="34" w:type="pct"/>
            <w:shd w:val="clear" w:color="auto" w:fill="FFFFFF"/>
            <w:hideMark/>
          </w:tcPr>
          <w:p w14:paraId="357144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555E4708" w14:textId="77777777" w:rsidR="00000000" w:rsidRDefault="00B8284C">
            <w:pPr>
              <w:pStyle w:val="a3"/>
              <w:spacing w:before="0" w:beforeAutospacing="0" w:after="0" w:afterAutospacing="0"/>
              <w:rPr>
                <w:sz w:val="20"/>
                <w:szCs w:val="20"/>
              </w:rPr>
            </w:pPr>
            <w:hyperlink w:anchor="ITEM_6_EXHIBITS" w:history="1">
              <w:r>
                <w:rPr>
                  <w:rStyle w:val="a4"/>
                  <w:sz w:val="20"/>
                  <w:szCs w:val="20"/>
                </w:rPr>
                <w:t>Exhibits</w:t>
              </w:r>
            </w:hyperlink>
          </w:p>
        </w:tc>
        <w:tc>
          <w:tcPr>
            <w:tcW w:w="132" w:type="pct"/>
            <w:shd w:val="clear" w:color="auto" w:fill="FFFFFF"/>
            <w:vAlign w:val="bottom"/>
            <w:hideMark/>
          </w:tcPr>
          <w:p w14:paraId="1CD7D7E6" w14:textId="77777777" w:rsidR="00000000" w:rsidRDefault="00B8284C">
            <w:pPr>
              <w:pStyle w:val="a3"/>
              <w:spacing w:before="0" w:beforeAutospacing="0" w:after="0" w:afterAutospacing="0"/>
              <w:jc w:val="right"/>
              <w:rPr>
                <w:color w:val="000000"/>
                <w:sz w:val="20"/>
                <w:szCs w:val="20"/>
              </w:rPr>
            </w:pPr>
            <w:r>
              <w:rPr>
                <w:color w:val="000000"/>
                <w:sz w:val="20"/>
                <w:szCs w:val="20"/>
              </w:rPr>
              <w:t>52</w:t>
            </w:r>
          </w:p>
        </w:tc>
      </w:tr>
      <w:tr w:rsidR="00000000" w14:paraId="1C96CA36" w14:textId="77777777">
        <w:trPr>
          <w:divId w:val="592400241"/>
        </w:trPr>
        <w:tc>
          <w:tcPr>
            <w:tcW w:w="400" w:type="pct"/>
            <w:shd w:val="clear" w:color="auto" w:fill="FFFFFF"/>
            <w:hideMark/>
          </w:tcPr>
          <w:p w14:paraId="64A2C89E" w14:textId="77777777" w:rsidR="00000000" w:rsidRDefault="00B8284C">
            <w:pPr>
              <w:pStyle w:val="a3"/>
              <w:spacing w:before="0" w:beforeAutospacing="0" w:after="0" w:afterAutospacing="0"/>
              <w:rPr>
                <w:sz w:val="20"/>
                <w:szCs w:val="20"/>
              </w:rPr>
            </w:pPr>
            <w:hyperlink w:anchor="SIGNATURES" w:history="1">
              <w:r>
                <w:rPr>
                  <w:rStyle w:val="a4"/>
                  <w:sz w:val="20"/>
                  <w:szCs w:val="20"/>
                </w:rPr>
                <w:t>Signatures</w:t>
              </w:r>
            </w:hyperlink>
          </w:p>
        </w:tc>
        <w:tc>
          <w:tcPr>
            <w:tcW w:w="34" w:type="pct"/>
            <w:shd w:val="clear" w:color="auto" w:fill="FFFFFF"/>
            <w:hideMark/>
          </w:tcPr>
          <w:p w14:paraId="53F74AB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50FAF95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132" w:type="pct"/>
            <w:shd w:val="clear" w:color="auto" w:fill="FFFFFF"/>
            <w:vAlign w:val="bottom"/>
            <w:hideMark/>
          </w:tcPr>
          <w:p w14:paraId="473D7AA4" w14:textId="77777777" w:rsidR="00000000" w:rsidRDefault="00B8284C">
            <w:pPr>
              <w:pStyle w:val="a3"/>
              <w:spacing w:before="0" w:beforeAutospacing="0" w:after="0" w:afterAutospacing="0"/>
              <w:jc w:val="right"/>
              <w:rPr>
                <w:sz w:val="20"/>
                <w:szCs w:val="20"/>
              </w:rPr>
            </w:pPr>
            <w:r>
              <w:rPr>
                <w:sz w:val="20"/>
                <w:szCs w:val="20"/>
              </w:rPr>
              <w:t> </w:t>
            </w:r>
          </w:p>
        </w:tc>
      </w:tr>
      <w:tr w:rsidR="00000000" w14:paraId="08BD7899" w14:textId="77777777">
        <w:trPr>
          <w:divId w:val="592400241"/>
        </w:trPr>
        <w:tc>
          <w:tcPr>
            <w:tcW w:w="400" w:type="pct"/>
            <w:shd w:val="clear" w:color="auto" w:fill="FFFFFF"/>
            <w:hideMark/>
          </w:tcPr>
          <w:p w14:paraId="5FD82AEB" w14:textId="77777777" w:rsidR="00000000" w:rsidRDefault="00B8284C">
            <w:pPr>
              <w:pStyle w:val="a3"/>
              <w:spacing w:before="0" w:beforeAutospacing="0" w:after="0" w:afterAutospacing="0"/>
              <w:rPr>
                <w:color w:val="000000"/>
                <w:sz w:val="20"/>
                <w:szCs w:val="20"/>
              </w:rPr>
            </w:pPr>
            <w:r>
              <w:rPr>
                <w:color w:val="000000"/>
                <w:sz w:val="20"/>
                <w:szCs w:val="20"/>
              </w:rPr>
              <w:t>EX-31.1</w:t>
            </w:r>
          </w:p>
        </w:tc>
        <w:tc>
          <w:tcPr>
            <w:tcW w:w="34" w:type="pct"/>
            <w:shd w:val="clear" w:color="auto" w:fill="FFFFFF"/>
            <w:hideMark/>
          </w:tcPr>
          <w:p w14:paraId="02F3672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EC8ADE3" w14:textId="77777777" w:rsidR="00000000" w:rsidRDefault="00B8284C">
            <w:pPr>
              <w:pStyle w:val="a3"/>
              <w:spacing w:before="0" w:beforeAutospacing="0" w:after="0" w:afterAutospacing="0"/>
              <w:rPr>
                <w:color w:val="000000"/>
                <w:sz w:val="20"/>
                <w:szCs w:val="20"/>
              </w:rPr>
            </w:pPr>
            <w:r>
              <w:rPr>
                <w:color w:val="000000"/>
                <w:sz w:val="20"/>
                <w:szCs w:val="20"/>
              </w:rPr>
              <w:t>CERTIFICATION OF THE CEO PURSUANT TO SECTION 302</w:t>
            </w:r>
          </w:p>
        </w:tc>
        <w:tc>
          <w:tcPr>
            <w:tcW w:w="132" w:type="pct"/>
            <w:shd w:val="clear" w:color="auto" w:fill="FFFFFF"/>
            <w:vAlign w:val="bottom"/>
            <w:hideMark/>
          </w:tcPr>
          <w:p w14:paraId="03C3C73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r>
      <w:tr w:rsidR="00000000" w14:paraId="3236ABE3" w14:textId="77777777">
        <w:trPr>
          <w:divId w:val="592400241"/>
        </w:trPr>
        <w:tc>
          <w:tcPr>
            <w:tcW w:w="400" w:type="pct"/>
            <w:shd w:val="clear" w:color="auto" w:fill="FFFFFF"/>
            <w:hideMark/>
          </w:tcPr>
          <w:p w14:paraId="67C8383B" w14:textId="77777777" w:rsidR="00000000" w:rsidRDefault="00B8284C">
            <w:pPr>
              <w:pStyle w:val="a3"/>
              <w:spacing w:before="0" w:beforeAutospacing="0" w:after="0" w:afterAutospacing="0"/>
              <w:rPr>
                <w:color w:val="000000"/>
                <w:sz w:val="20"/>
                <w:szCs w:val="20"/>
              </w:rPr>
            </w:pPr>
            <w:r>
              <w:rPr>
                <w:color w:val="000000"/>
                <w:sz w:val="20"/>
                <w:szCs w:val="20"/>
              </w:rPr>
              <w:t>EX-31.2</w:t>
            </w:r>
          </w:p>
        </w:tc>
        <w:tc>
          <w:tcPr>
            <w:tcW w:w="34" w:type="pct"/>
            <w:shd w:val="clear" w:color="auto" w:fill="FFFFFF"/>
            <w:hideMark/>
          </w:tcPr>
          <w:p w14:paraId="072227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453DFDB" w14:textId="77777777" w:rsidR="00000000" w:rsidRDefault="00B8284C">
            <w:pPr>
              <w:pStyle w:val="a3"/>
              <w:spacing w:before="0" w:beforeAutospacing="0" w:after="0" w:afterAutospacing="0"/>
              <w:rPr>
                <w:color w:val="000000"/>
                <w:sz w:val="20"/>
                <w:szCs w:val="20"/>
              </w:rPr>
            </w:pPr>
            <w:r>
              <w:rPr>
                <w:color w:val="000000"/>
                <w:sz w:val="20"/>
                <w:szCs w:val="20"/>
              </w:rPr>
              <w:t>CERTIFICATION OF THE CFO PURSUANT TO SECTION 302</w:t>
            </w:r>
          </w:p>
        </w:tc>
        <w:tc>
          <w:tcPr>
            <w:tcW w:w="132" w:type="pct"/>
            <w:shd w:val="clear" w:color="auto" w:fill="FFFFFF"/>
            <w:vAlign w:val="bottom"/>
            <w:hideMark/>
          </w:tcPr>
          <w:p w14:paraId="60BF9EA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r>
      <w:tr w:rsidR="00000000" w14:paraId="24C3238E" w14:textId="77777777">
        <w:trPr>
          <w:divId w:val="592400241"/>
        </w:trPr>
        <w:tc>
          <w:tcPr>
            <w:tcW w:w="400" w:type="pct"/>
            <w:shd w:val="clear" w:color="auto" w:fill="FFFFFF"/>
            <w:hideMark/>
          </w:tcPr>
          <w:p w14:paraId="766CEBEB" w14:textId="77777777" w:rsidR="00000000" w:rsidRDefault="00B8284C">
            <w:pPr>
              <w:pStyle w:val="a3"/>
              <w:spacing w:before="0" w:beforeAutospacing="0" w:after="0" w:afterAutospacing="0"/>
              <w:rPr>
                <w:color w:val="000000"/>
                <w:sz w:val="20"/>
                <w:szCs w:val="20"/>
              </w:rPr>
            </w:pPr>
            <w:r>
              <w:rPr>
                <w:color w:val="000000"/>
                <w:sz w:val="20"/>
                <w:szCs w:val="20"/>
              </w:rPr>
              <w:t>EX-32.1</w:t>
            </w:r>
          </w:p>
        </w:tc>
        <w:tc>
          <w:tcPr>
            <w:tcW w:w="34" w:type="pct"/>
            <w:shd w:val="clear" w:color="auto" w:fill="FFFFFF"/>
            <w:hideMark/>
          </w:tcPr>
          <w:p w14:paraId="4BA3890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5BCC0EA1" w14:textId="77777777" w:rsidR="00000000" w:rsidRDefault="00B8284C">
            <w:pPr>
              <w:pStyle w:val="a3"/>
              <w:spacing w:before="0" w:beforeAutospacing="0" w:after="0" w:afterAutospacing="0"/>
              <w:rPr>
                <w:color w:val="000000"/>
                <w:sz w:val="20"/>
                <w:szCs w:val="20"/>
              </w:rPr>
            </w:pPr>
            <w:r>
              <w:rPr>
                <w:color w:val="000000"/>
                <w:sz w:val="20"/>
                <w:szCs w:val="20"/>
              </w:rPr>
              <w:t>CERTIFICATION OF THE CEO AND CFO PURSUANT TO SECTION 906</w:t>
            </w:r>
          </w:p>
        </w:tc>
        <w:tc>
          <w:tcPr>
            <w:tcW w:w="132" w:type="pct"/>
            <w:shd w:val="clear" w:color="auto" w:fill="FFFFFF"/>
            <w:vAlign w:val="bottom"/>
            <w:hideMark/>
          </w:tcPr>
          <w:p w14:paraId="3E5A2ED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r>
    </w:tbl>
    <w:p w14:paraId="6D37BC53" w14:textId="77777777" w:rsidR="00000000" w:rsidRDefault="00B8284C">
      <w:pPr>
        <w:pStyle w:val="a3"/>
        <w:spacing w:before="0" w:beforeAutospacing="0" w:after="0" w:afterAutospacing="0"/>
        <w:rPr>
          <w:sz w:val="20"/>
          <w:szCs w:val="20"/>
        </w:rPr>
      </w:pPr>
      <w:r>
        <w:rPr>
          <w:sz w:val="20"/>
          <w:szCs w:val="20"/>
        </w:rPr>
        <w:t> </w:t>
      </w:r>
    </w:p>
    <w:p w14:paraId="0E40AFC5" w14:textId="77777777" w:rsidR="00000000" w:rsidRDefault="00B8284C">
      <w:pPr>
        <w:pStyle w:val="a3"/>
        <w:spacing w:before="0" w:beforeAutospacing="0" w:after="0" w:afterAutospacing="0"/>
        <w:rPr>
          <w:sz w:val="20"/>
          <w:szCs w:val="20"/>
        </w:rPr>
      </w:pPr>
      <w:r>
        <w:rPr>
          <w:sz w:val="20"/>
          <w:szCs w:val="20"/>
        </w:rPr>
        <w:t> </w:t>
      </w:r>
    </w:p>
    <w:p w14:paraId="62A3D688" w14:textId="77777777" w:rsidR="00000000" w:rsidRDefault="00B8284C">
      <w:pPr>
        <w:pStyle w:val="a3"/>
        <w:spacing w:before="0" w:beforeAutospacing="0" w:after="0" w:afterAutospacing="0"/>
        <w:rPr>
          <w:sz w:val="20"/>
          <w:szCs w:val="20"/>
        </w:rPr>
      </w:pPr>
      <w:r>
        <w:rPr>
          <w:sz w:val="20"/>
          <w:szCs w:val="20"/>
        </w:rPr>
        <w:t> </w:t>
      </w:r>
    </w:p>
    <w:p w14:paraId="426A0190" w14:textId="77777777" w:rsidR="00000000" w:rsidRDefault="00B8284C">
      <w:pPr>
        <w:pStyle w:val="a3"/>
        <w:spacing w:before="240" w:beforeAutospacing="0" w:after="0" w:afterAutospacing="0"/>
        <w:jc w:val="center"/>
        <w:rPr>
          <w:sz w:val="20"/>
          <w:szCs w:val="20"/>
        </w:rPr>
      </w:pPr>
      <w:r>
        <w:rPr>
          <w:sz w:val="20"/>
          <w:szCs w:val="20"/>
        </w:rPr>
        <w:t> </w:t>
      </w:r>
    </w:p>
    <w:p w14:paraId="77CAC933" w14:textId="77777777" w:rsidR="00000000" w:rsidRDefault="00B8284C">
      <w:pPr>
        <w:rPr>
          <w:rFonts w:eastAsia="Times New Roman"/>
        </w:rPr>
      </w:pPr>
      <w:r>
        <w:rPr>
          <w:rFonts w:eastAsia="Times New Roman"/>
        </w:rPr>
        <w:pict w14:anchorId="2B15841C">
          <v:rect id="_x0000_i1026" style="width:0;height:1.5pt" o:hralign="center" o:hrstd="t" o:hr="t" fillcolor="#a0a0a0" stroked="f"/>
        </w:pict>
      </w:r>
    </w:p>
    <w:p w14:paraId="3995AC34" w14:textId="77777777" w:rsidR="00000000" w:rsidRDefault="00B8284C">
      <w:pPr>
        <w:pStyle w:val="a3"/>
        <w:spacing w:before="0" w:beforeAutospacing="0" w:after="0" w:afterAutospacing="0"/>
        <w:rPr>
          <w:sz w:val="20"/>
          <w:szCs w:val="20"/>
        </w:rPr>
      </w:pPr>
      <w:r>
        <w:rPr>
          <w:sz w:val="20"/>
          <w:szCs w:val="20"/>
        </w:rPr>
        <w:t> </w:t>
      </w:r>
    </w:p>
    <w:p w14:paraId="3DFC1857" w14:textId="77777777" w:rsidR="00000000" w:rsidRDefault="00B8284C">
      <w:pPr>
        <w:pStyle w:val="a3"/>
        <w:spacing w:before="0" w:beforeAutospacing="0" w:after="0" w:afterAutospacing="0"/>
        <w:jc w:val="center"/>
        <w:rPr>
          <w:b/>
          <w:bCs/>
          <w:sz w:val="20"/>
          <w:szCs w:val="20"/>
        </w:rPr>
      </w:pPr>
      <w:r>
        <w:rPr>
          <w:b/>
          <w:bCs/>
          <w:sz w:val="20"/>
          <w:szCs w:val="20"/>
        </w:rPr>
        <w:t>SPECIAL NOTE REGARDING FORWARD-LOOKING STATEMENTS</w:t>
      </w:r>
    </w:p>
    <w:p w14:paraId="0B3E8618" w14:textId="77777777" w:rsidR="00000000" w:rsidRDefault="00B8284C">
      <w:pPr>
        <w:pStyle w:val="a3"/>
        <w:spacing w:before="240" w:beforeAutospacing="0" w:after="0" w:afterAutospacing="0"/>
        <w:ind w:firstLine="556"/>
        <w:rPr>
          <w:sz w:val="20"/>
          <w:szCs w:val="20"/>
        </w:rPr>
      </w:pPr>
      <w:r>
        <w:rPr>
          <w:sz w:val="20"/>
          <w:szCs w:val="20"/>
        </w:rPr>
        <w:t>This Quarterly Report on Form 10-Q contains forward-looking statements within the meaning of Section 27A of the Securities Act of 1933, as amended, and Section 21E of t</w:t>
      </w:r>
      <w:r>
        <w:rPr>
          <w:sz w:val="20"/>
          <w:szCs w:val="20"/>
        </w:rPr>
        <w:t xml:space="preserve">he Securities Exchange Act of 1934, as amended, and these statements involve substantial risks and uncertainties. </w:t>
      </w:r>
      <w:r>
        <w:rPr>
          <w:color w:val="000000"/>
          <w:sz w:val="20"/>
          <w:szCs w:val="20"/>
        </w:rPr>
        <w:t xml:space="preserve">All statements other than statements of historical fact contained in this </w:t>
      </w:r>
      <w:r>
        <w:rPr>
          <w:sz w:val="20"/>
          <w:szCs w:val="20"/>
        </w:rPr>
        <w:t xml:space="preserve">Quarterly Report on Form 10-Q </w:t>
      </w:r>
      <w:r>
        <w:rPr>
          <w:color w:val="000000"/>
          <w:sz w:val="20"/>
          <w:szCs w:val="20"/>
        </w:rPr>
        <w:t>are forward-looking statements.  </w:t>
      </w:r>
      <w:r>
        <w:rPr>
          <w:sz w:val="20"/>
          <w:szCs w:val="20"/>
        </w:rPr>
        <w:t>Forwa</w:t>
      </w:r>
      <w:r>
        <w:rPr>
          <w:sz w:val="20"/>
          <w:szCs w:val="20"/>
        </w:rPr>
        <w:t>rd-looking statements generally relate to future events or our future financial or operating performance. In some cases, you can identify forward-looking statements because they contain words such as “may,” “should,” “expects,” “plans,” “anticipates,” “cou</w:t>
      </w:r>
      <w:r>
        <w:rPr>
          <w:sz w:val="20"/>
          <w:szCs w:val="20"/>
        </w:rPr>
        <w:t xml:space="preserve">ld,” “intends,” “target,” “projects,” “contemplates,” “believes,” “estimates,” “predicts,” “potential” or “continue” or the negative of these words or other similar terms or expressions that concern our </w:t>
      </w:r>
      <w:r>
        <w:rPr>
          <w:sz w:val="20"/>
          <w:szCs w:val="20"/>
        </w:rPr>
        <w:lastRenderedPageBreak/>
        <w:t>expectations, strategy, plans or intentions. Forward-</w:t>
      </w:r>
      <w:r>
        <w:rPr>
          <w:sz w:val="20"/>
          <w:szCs w:val="20"/>
        </w:rPr>
        <w:t>looking statements contained in this Quarterly Report on Form 10-Q include, but are not limited to, statements about:</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52C509A" w14:textId="77777777">
        <w:trPr>
          <w:divId w:val="777915948"/>
        </w:trPr>
        <w:tc>
          <w:tcPr>
            <w:tcW w:w="227" w:type="pct"/>
            <w:noWrap/>
            <w:hideMark/>
          </w:tcPr>
          <w:p w14:paraId="78AAFAF1"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5269E08B"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42D80B0A" w14:textId="77777777" w:rsidR="00000000" w:rsidRDefault="00B8284C">
            <w:pPr>
              <w:pStyle w:val="a3"/>
              <w:spacing w:before="120" w:beforeAutospacing="0" w:after="0" w:afterAutospacing="0"/>
              <w:rPr>
                <w:sz w:val="20"/>
                <w:szCs w:val="20"/>
              </w:rPr>
            </w:pPr>
            <w:r>
              <w:rPr>
                <w:sz w:val="20"/>
                <w:szCs w:val="20"/>
              </w:rPr>
              <w:t>our future financial performance, including our expectations regarding our revenue, cost of revenue, gross margin and operating expens</w:t>
            </w:r>
            <w:r>
              <w:rPr>
                <w:sz w:val="20"/>
                <w:szCs w:val="20"/>
              </w:rPr>
              <w:t>es;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B0F4CA0" w14:textId="77777777">
        <w:tc>
          <w:tcPr>
            <w:tcW w:w="227" w:type="pct"/>
            <w:noWrap/>
            <w:hideMark/>
          </w:tcPr>
          <w:p w14:paraId="401D1935"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375CEA6F"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029A788C" w14:textId="77777777" w:rsidR="00000000" w:rsidRDefault="00B8284C">
            <w:pPr>
              <w:pStyle w:val="a3"/>
              <w:spacing w:before="120" w:beforeAutospacing="0" w:after="0" w:afterAutospacing="0"/>
              <w:rPr>
                <w:sz w:val="20"/>
                <w:szCs w:val="20"/>
              </w:rPr>
            </w:pPr>
            <w:r>
              <w:rPr>
                <w:sz w:val="20"/>
                <w:szCs w:val="20"/>
              </w:rPr>
              <w:t>maintaining and expanding our customer base and increasing our average subscription revenue per customer;</w:t>
            </w:r>
          </w:p>
        </w:tc>
      </w:tr>
    </w:tbl>
    <w:p w14:paraId="14FB980E" w14:textId="77777777" w:rsidR="00000000" w:rsidRDefault="00B8284C">
      <w:pPr>
        <w:divId w:val="191484858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FF9AD37" w14:textId="77777777">
        <w:trPr>
          <w:divId w:val="1914848588"/>
        </w:trPr>
        <w:tc>
          <w:tcPr>
            <w:tcW w:w="227" w:type="pct"/>
            <w:noWrap/>
            <w:hideMark/>
          </w:tcPr>
          <w:p w14:paraId="13051A4B"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45CE747B"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1C57663B" w14:textId="77777777" w:rsidR="00000000" w:rsidRDefault="00B8284C">
            <w:pPr>
              <w:pStyle w:val="a3"/>
              <w:spacing w:before="120" w:beforeAutospacing="0" w:after="0" w:afterAutospacing="0"/>
              <w:rPr>
                <w:sz w:val="20"/>
                <w:szCs w:val="20"/>
              </w:rPr>
            </w:pPr>
            <w:r>
              <w:rPr>
                <w:sz w:val="20"/>
                <w:szCs w:val="20"/>
              </w:rPr>
              <w:t>the impact of competition in our industry and innovation by our competitors;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583E0EB" w14:textId="77777777">
        <w:tc>
          <w:tcPr>
            <w:tcW w:w="227" w:type="pct"/>
            <w:noWrap/>
            <w:hideMark/>
          </w:tcPr>
          <w:p w14:paraId="0876F146"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5612B92F"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2757271A" w14:textId="77777777" w:rsidR="00000000" w:rsidRDefault="00B8284C">
            <w:pPr>
              <w:pStyle w:val="a3"/>
              <w:spacing w:before="120" w:beforeAutospacing="0" w:after="0" w:afterAutospacing="0"/>
              <w:rPr>
                <w:sz w:val="20"/>
                <w:szCs w:val="20"/>
              </w:rPr>
            </w:pPr>
            <w:r>
              <w:rPr>
                <w:sz w:val="20"/>
                <w:szCs w:val="20"/>
              </w:rPr>
              <w:t>our anticipated growth and expectations regarding our ability to manage our future growth;</w:t>
            </w:r>
          </w:p>
        </w:tc>
      </w:tr>
    </w:tbl>
    <w:p w14:paraId="3F58745C" w14:textId="77777777" w:rsidR="00000000" w:rsidRDefault="00B8284C">
      <w:pPr>
        <w:divId w:val="22645651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538CB6E" w14:textId="77777777">
        <w:trPr>
          <w:divId w:val="226456511"/>
        </w:trPr>
        <w:tc>
          <w:tcPr>
            <w:tcW w:w="227" w:type="pct"/>
            <w:noWrap/>
            <w:hideMark/>
          </w:tcPr>
          <w:p w14:paraId="3F74B0DC"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7AB1ADAD"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0D60CA2D" w14:textId="77777777" w:rsidR="00000000" w:rsidRDefault="00B8284C">
            <w:pPr>
              <w:pStyle w:val="a3"/>
              <w:spacing w:before="120" w:beforeAutospacing="0" w:after="0" w:afterAutospacing="0"/>
              <w:rPr>
                <w:sz w:val="20"/>
                <w:szCs w:val="20"/>
              </w:rPr>
            </w:pPr>
            <w:r>
              <w:rPr>
                <w:sz w:val="20"/>
                <w:szCs w:val="20"/>
              </w:rPr>
              <w:t>our anticipated areas of investments, including sales and marketing, researc</w:t>
            </w:r>
            <w:r>
              <w:rPr>
                <w:sz w:val="20"/>
                <w:szCs w:val="20"/>
              </w:rPr>
              <w:t xml:space="preserve">h and development, customer service and support, data center infrastructure and service capabilities, and expectations relating to such investments; </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677C980" w14:textId="77777777">
        <w:tc>
          <w:tcPr>
            <w:tcW w:w="227" w:type="pct"/>
            <w:noWrap/>
            <w:hideMark/>
          </w:tcPr>
          <w:p w14:paraId="7EE125CE"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1E7450CA"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6F4C2015" w14:textId="77777777" w:rsidR="00000000" w:rsidRDefault="00B8284C">
            <w:pPr>
              <w:pStyle w:val="a3"/>
              <w:spacing w:before="120" w:beforeAutospacing="0" w:after="0" w:afterAutospacing="0"/>
              <w:rPr>
                <w:sz w:val="20"/>
                <w:szCs w:val="20"/>
              </w:rPr>
            </w:pPr>
            <w:r>
              <w:rPr>
                <w:sz w:val="20"/>
                <w:szCs w:val="20"/>
              </w:rPr>
              <w:t>our predictions about industry and market trends;</w:t>
            </w:r>
          </w:p>
        </w:tc>
      </w:tr>
    </w:tbl>
    <w:p w14:paraId="4C7A27B7" w14:textId="77777777" w:rsidR="00000000" w:rsidRDefault="00B8284C">
      <w:pPr>
        <w:divId w:val="96600961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6DF559D" w14:textId="77777777">
        <w:trPr>
          <w:divId w:val="966009616"/>
        </w:trPr>
        <w:tc>
          <w:tcPr>
            <w:tcW w:w="227" w:type="pct"/>
            <w:noWrap/>
            <w:hideMark/>
          </w:tcPr>
          <w:p w14:paraId="055266C2"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453CDAB2"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4A9EBDAC" w14:textId="77777777" w:rsidR="00000000" w:rsidRDefault="00B8284C">
            <w:pPr>
              <w:pStyle w:val="a3"/>
              <w:spacing w:before="120" w:beforeAutospacing="0" w:after="0" w:afterAutospacing="0"/>
              <w:rPr>
                <w:sz w:val="20"/>
                <w:szCs w:val="20"/>
              </w:rPr>
            </w:pPr>
            <w:r>
              <w:rPr>
                <w:sz w:val="20"/>
                <w:szCs w:val="20"/>
              </w:rPr>
              <w:t>our ability to anticipate and address the evolution of technology and the technological needs of our customers, to roll-out upgrades to our existing software platform and to develop new and enhanced applications to meet the needs of our customers;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E099471" w14:textId="77777777">
        <w:tc>
          <w:tcPr>
            <w:tcW w:w="227" w:type="pct"/>
            <w:noWrap/>
            <w:hideMark/>
          </w:tcPr>
          <w:p w14:paraId="00E4319E"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4D503C1C"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1A1EE37B" w14:textId="77777777" w:rsidR="00000000" w:rsidRDefault="00B8284C">
            <w:pPr>
              <w:pStyle w:val="a3"/>
              <w:spacing w:before="120" w:beforeAutospacing="0" w:after="0" w:afterAutospacing="0"/>
              <w:rPr>
                <w:sz w:val="20"/>
                <w:szCs w:val="20"/>
              </w:rPr>
            </w:pPr>
            <w:r>
              <w:rPr>
                <w:sz w:val="20"/>
                <w:szCs w:val="20"/>
              </w:rPr>
              <w:t>ou</w:t>
            </w:r>
            <w:r>
              <w:rPr>
                <w:sz w:val="20"/>
                <w:szCs w:val="20"/>
              </w:rPr>
              <w:t>r ability to maintain our brand and inbound marketing, selling and servicing thought leadership position;</w:t>
            </w:r>
          </w:p>
        </w:tc>
      </w:tr>
    </w:tbl>
    <w:p w14:paraId="409073B7" w14:textId="77777777" w:rsidR="00000000" w:rsidRDefault="00B8284C">
      <w:pPr>
        <w:divId w:val="196307108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A6C705C" w14:textId="77777777">
        <w:trPr>
          <w:divId w:val="1963071085"/>
        </w:trPr>
        <w:tc>
          <w:tcPr>
            <w:tcW w:w="227" w:type="pct"/>
            <w:noWrap/>
            <w:hideMark/>
          </w:tcPr>
          <w:p w14:paraId="00B403F5"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150884A1"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02D4D7EE" w14:textId="77777777" w:rsidR="00000000" w:rsidRDefault="00B8284C">
            <w:pPr>
              <w:pStyle w:val="a3"/>
              <w:spacing w:before="120" w:beforeAutospacing="0" w:after="0" w:afterAutospacing="0"/>
              <w:rPr>
                <w:sz w:val="20"/>
                <w:szCs w:val="20"/>
              </w:rPr>
            </w:pPr>
            <w:r>
              <w:rPr>
                <w:sz w:val="20"/>
                <w:szCs w:val="20"/>
              </w:rPr>
              <w:t>the impact of our corporate culture and our ability to attract, hire and retain necessary qualified employees to expand our operations;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DEBEE3F" w14:textId="77777777">
        <w:tc>
          <w:tcPr>
            <w:tcW w:w="227" w:type="pct"/>
            <w:noWrap/>
            <w:hideMark/>
          </w:tcPr>
          <w:p w14:paraId="6D1F3FAB"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62DA6BCB"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70664181" w14:textId="77777777" w:rsidR="00000000" w:rsidRDefault="00B8284C">
            <w:pPr>
              <w:pStyle w:val="a3"/>
              <w:spacing w:before="120" w:beforeAutospacing="0" w:after="0" w:afterAutospacing="0"/>
              <w:rPr>
                <w:sz w:val="20"/>
                <w:szCs w:val="20"/>
              </w:rPr>
            </w:pPr>
            <w:r>
              <w:rPr>
                <w:sz w:val="20"/>
                <w:szCs w:val="20"/>
              </w:rPr>
              <w:t>th</w:t>
            </w:r>
            <w:r>
              <w:rPr>
                <w:sz w:val="20"/>
                <w:szCs w:val="20"/>
              </w:rPr>
              <w:t>e anticipated effect on our business of litigation to which we are or may become a party;</w:t>
            </w:r>
          </w:p>
        </w:tc>
      </w:tr>
    </w:tbl>
    <w:p w14:paraId="7F1FAE71" w14:textId="77777777" w:rsidR="00000000" w:rsidRDefault="00B8284C">
      <w:pPr>
        <w:divId w:val="140464518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F4DEA2B" w14:textId="77777777">
        <w:trPr>
          <w:divId w:val="1404645189"/>
        </w:trPr>
        <w:tc>
          <w:tcPr>
            <w:tcW w:w="227" w:type="pct"/>
            <w:noWrap/>
            <w:hideMark/>
          </w:tcPr>
          <w:p w14:paraId="7D7410CB"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68B543BD"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0CF49D94" w14:textId="77777777" w:rsidR="00000000" w:rsidRDefault="00B8284C">
            <w:pPr>
              <w:pStyle w:val="a3"/>
              <w:spacing w:before="120" w:beforeAutospacing="0" w:after="0" w:afterAutospacing="0"/>
              <w:rPr>
                <w:sz w:val="20"/>
                <w:szCs w:val="20"/>
              </w:rPr>
            </w:pPr>
            <w:r>
              <w:rPr>
                <w:sz w:val="20"/>
                <w:szCs w:val="20"/>
              </w:rPr>
              <w:t>our ability to successfully acquire and integrate companies and assets;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84EA606" w14:textId="77777777">
        <w:tc>
          <w:tcPr>
            <w:tcW w:w="227" w:type="pct"/>
            <w:noWrap/>
            <w:hideMark/>
          </w:tcPr>
          <w:p w14:paraId="0B1D3E54"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7BECD3A9"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4780EE9C" w14:textId="77777777" w:rsidR="00000000" w:rsidRDefault="00B8284C">
            <w:pPr>
              <w:pStyle w:val="a3"/>
              <w:spacing w:before="120" w:beforeAutospacing="0" w:after="0" w:afterAutospacing="0"/>
              <w:rPr>
                <w:sz w:val="20"/>
                <w:szCs w:val="20"/>
              </w:rPr>
            </w:pPr>
            <w:r>
              <w:rPr>
                <w:sz w:val="20"/>
                <w:szCs w:val="20"/>
              </w:rPr>
              <w:t>the U.S. federal tax consequences due to dividends received as part of the move to a territorial tax system for foreign subsidiary earnings;</w:t>
            </w:r>
          </w:p>
        </w:tc>
      </w:tr>
    </w:tbl>
    <w:p w14:paraId="3C43F55E" w14:textId="77777777" w:rsidR="00000000" w:rsidRDefault="00B8284C">
      <w:pPr>
        <w:divId w:val="97098568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BF2FB61" w14:textId="77777777">
        <w:trPr>
          <w:divId w:val="970985681"/>
        </w:trPr>
        <w:tc>
          <w:tcPr>
            <w:tcW w:w="227" w:type="pct"/>
            <w:noWrap/>
            <w:hideMark/>
          </w:tcPr>
          <w:p w14:paraId="1628F20A"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3BDA29C6"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3B8156FD" w14:textId="77777777" w:rsidR="00000000" w:rsidRDefault="00B8284C">
            <w:pPr>
              <w:pStyle w:val="a3"/>
              <w:spacing w:before="120" w:beforeAutospacing="0" w:after="0" w:afterAutospacing="0"/>
              <w:rPr>
                <w:sz w:val="20"/>
                <w:szCs w:val="20"/>
              </w:rPr>
            </w:pPr>
            <w:r>
              <w:rPr>
                <w:sz w:val="20"/>
                <w:szCs w:val="20"/>
              </w:rPr>
              <w:t>our plans regarding declaring or paying cash dividends in the foreseeable future; and</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A4BE3F9" w14:textId="77777777">
        <w:tc>
          <w:tcPr>
            <w:tcW w:w="227" w:type="pct"/>
            <w:noWrap/>
            <w:hideMark/>
          </w:tcPr>
          <w:p w14:paraId="63A29F6A"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70CA83FD"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243682FD" w14:textId="77777777" w:rsidR="00000000" w:rsidRDefault="00B8284C">
            <w:pPr>
              <w:pStyle w:val="a3"/>
              <w:spacing w:before="120" w:beforeAutospacing="0" w:after="0" w:afterAutospacing="0"/>
              <w:rPr>
                <w:sz w:val="20"/>
                <w:szCs w:val="20"/>
              </w:rPr>
            </w:pPr>
            <w:r>
              <w:rPr>
                <w:sz w:val="20"/>
                <w:szCs w:val="20"/>
              </w:rPr>
              <w:t>our ability to st</w:t>
            </w:r>
            <w:r>
              <w:rPr>
                <w:sz w:val="20"/>
                <w:szCs w:val="20"/>
              </w:rPr>
              <w:t>ay abreast of new or modified laws and regulations that currently apply or become applicable to our business both in the United States and internationally.</w:t>
            </w:r>
          </w:p>
        </w:tc>
      </w:tr>
    </w:tbl>
    <w:p w14:paraId="2C75ACE9" w14:textId="77777777" w:rsidR="00000000" w:rsidRDefault="00B8284C">
      <w:pPr>
        <w:pStyle w:val="a3"/>
        <w:spacing w:before="240" w:beforeAutospacing="0" w:after="0" w:afterAutospacing="0"/>
        <w:ind w:firstLine="556"/>
        <w:rPr>
          <w:sz w:val="20"/>
          <w:szCs w:val="20"/>
        </w:rPr>
      </w:pPr>
      <w:r>
        <w:rPr>
          <w:sz w:val="20"/>
          <w:szCs w:val="20"/>
        </w:rPr>
        <w:t>We caution you that the foregoing list may not contain all of the forward-looking statements made i</w:t>
      </w:r>
      <w:r>
        <w:rPr>
          <w:sz w:val="20"/>
          <w:szCs w:val="20"/>
        </w:rPr>
        <w:t>n this Quarterly Report on Form 10-Q.</w:t>
      </w:r>
    </w:p>
    <w:p w14:paraId="39773E3D" w14:textId="77777777" w:rsidR="00000000" w:rsidRDefault="00B8284C">
      <w:pPr>
        <w:pStyle w:val="a3"/>
        <w:spacing w:before="240" w:beforeAutospacing="0" w:after="0" w:afterAutospacing="0"/>
        <w:ind w:firstLine="556"/>
        <w:rPr>
          <w:sz w:val="20"/>
          <w:szCs w:val="20"/>
        </w:rPr>
      </w:pPr>
      <w:r>
        <w:rPr>
          <w:sz w:val="20"/>
          <w:szCs w:val="20"/>
        </w:rPr>
        <w:t>You should not rely upon forward-looking statements as predictions of future events. We have based the forward-looking statements contained in this Quarterly Report on Form 10-Q primarily on our current expectations an</w:t>
      </w:r>
      <w:r>
        <w:rPr>
          <w:sz w:val="20"/>
          <w:szCs w:val="20"/>
        </w:rPr>
        <w:t>d projections about future events and trends that we believe may affect our business, financial condition, results of operations and prospects. The outcome of the events described in these forward-looking statements is subject to risks, uncertainties and o</w:t>
      </w:r>
      <w:r>
        <w:rPr>
          <w:sz w:val="20"/>
          <w:szCs w:val="20"/>
        </w:rPr>
        <w:t>ther factors described in “Risk Factors” and elsewhere in this Quarterly Report on Form 10-Q. Moreover, we operate in a very competitive and rapidly changing environment. New risks and uncertainties emerge from time to time, and it is not possible for us t</w:t>
      </w:r>
      <w:r>
        <w:rPr>
          <w:sz w:val="20"/>
          <w:szCs w:val="20"/>
        </w:rPr>
        <w:t>o predict all risks and uncertainties that could have an impact on the forward-looking statements contained in this Quarterly Report on Form 10-Q. The results, events and circumstances reflected in the forward-looking statements may not be achieved or occu</w:t>
      </w:r>
      <w:r>
        <w:rPr>
          <w:sz w:val="20"/>
          <w:szCs w:val="20"/>
        </w:rPr>
        <w:t>r, and actual results, events or circumstances could differ materially from those described in the forward-looking statements.</w:t>
      </w:r>
    </w:p>
    <w:p w14:paraId="2E9B6A9A" w14:textId="77777777" w:rsidR="00000000" w:rsidRDefault="00B8284C">
      <w:pPr>
        <w:pStyle w:val="a3"/>
        <w:spacing w:before="240" w:beforeAutospacing="0" w:after="0" w:afterAutospacing="0"/>
        <w:ind w:firstLine="556"/>
        <w:rPr>
          <w:sz w:val="20"/>
          <w:szCs w:val="20"/>
        </w:rPr>
      </w:pPr>
      <w:r>
        <w:rPr>
          <w:sz w:val="20"/>
          <w:szCs w:val="20"/>
        </w:rPr>
        <w:t>The forward-looking statements made in this Quarterly Report on Form 10-Q relate only to events as of the date on which the state</w:t>
      </w:r>
      <w:r>
        <w:rPr>
          <w:sz w:val="20"/>
          <w:szCs w:val="20"/>
        </w:rPr>
        <w:t>ments are made. We undertake no obligation to update any forward-looking statements made in this Quarterly Report on Form 10-Q to reflect events or circumstances after the date of this Quarterly Report on Form 10-Q or to reflect new information or the occu</w:t>
      </w:r>
      <w:r>
        <w:rPr>
          <w:sz w:val="20"/>
          <w:szCs w:val="20"/>
        </w:rPr>
        <w:t>rrence of unanticipated events, except as required by law.</w:t>
      </w:r>
    </w:p>
    <w:p w14:paraId="1B555184" w14:textId="77777777" w:rsidR="00000000" w:rsidRDefault="00B8284C">
      <w:pPr>
        <w:pStyle w:val="a3"/>
        <w:spacing w:before="240" w:beforeAutospacing="0" w:after="0" w:afterAutospacing="0"/>
        <w:ind w:firstLine="556"/>
        <w:rPr>
          <w:sz w:val="20"/>
          <w:szCs w:val="20"/>
        </w:rPr>
      </w:pPr>
      <w:r>
        <w:rPr>
          <w:sz w:val="20"/>
          <w:szCs w:val="20"/>
        </w:rPr>
        <w:t>We may not actually achieve the plans, intentions or expectations disclosed in our forward-looking statements and you should not place undue reliance on our forward-looking statements. Our forward-looking statements do not reflect the potential impact of a</w:t>
      </w:r>
      <w:r>
        <w:rPr>
          <w:sz w:val="20"/>
          <w:szCs w:val="20"/>
        </w:rPr>
        <w:t>ny future acquisitions, mergers, dispositions, joint ventures or investments we may make.</w:t>
      </w:r>
    </w:p>
    <w:p w14:paraId="3324F7F1" w14:textId="77777777" w:rsidR="00000000" w:rsidRDefault="00B8284C">
      <w:pPr>
        <w:pStyle w:val="a3"/>
        <w:spacing w:before="240" w:beforeAutospacing="0" w:after="0" w:afterAutospacing="0"/>
        <w:ind w:firstLine="556"/>
        <w:rPr>
          <w:color w:val="000000"/>
          <w:sz w:val="20"/>
          <w:szCs w:val="20"/>
        </w:rPr>
      </w:pPr>
      <w:r>
        <w:rPr>
          <w:color w:val="000000"/>
          <w:sz w:val="20"/>
          <w:szCs w:val="20"/>
        </w:rPr>
        <w:lastRenderedPageBreak/>
        <w:t>In this Quarterly Report on Form 10-Q, the terms “HubSpot,” “we,” “us,” and “our” refer to HubSpot, Inc. and its subsidiaries, unless the context indicates otherwise.</w:t>
      </w:r>
    </w:p>
    <w:p w14:paraId="2C489ADD" w14:textId="77777777" w:rsidR="00000000" w:rsidRDefault="00B8284C">
      <w:pPr>
        <w:pStyle w:val="a3"/>
        <w:spacing w:before="240" w:beforeAutospacing="0" w:after="0" w:afterAutospacing="0"/>
        <w:jc w:val="center"/>
        <w:rPr>
          <w:sz w:val="20"/>
          <w:szCs w:val="20"/>
        </w:rPr>
      </w:pPr>
      <w:r>
        <w:rPr>
          <w:sz w:val="20"/>
          <w:szCs w:val="20"/>
        </w:rPr>
        <w:t>3</w:t>
      </w:r>
    </w:p>
    <w:p w14:paraId="7869E09B" w14:textId="77777777" w:rsidR="00000000" w:rsidRDefault="00B8284C">
      <w:pPr>
        <w:rPr>
          <w:rFonts w:eastAsia="Times New Roman"/>
        </w:rPr>
      </w:pPr>
      <w:r>
        <w:rPr>
          <w:rFonts w:eastAsia="Times New Roman"/>
        </w:rPr>
        <w:pict w14:anchorId="7379F0DF">
          <v:rect id="_x0000_i1027" style="width:0;height:1.5pt" o:hralign="center" o:hrstd="t" o:hr="t" fillcolor="#a0a0a0" stroked="f"/>
        </w:pict>
      </w:r>
    </w:p>
    <w:p w14:paraId="10DA8FB9" w14:textId="77777777" w:rsidR="00000000" w:rsidRDefault="00B8284C">
      <w:pPr>
        <w:pStyle w:val="a3"/>
        <w:spacing w:before="0" w:beforeAutospacing="0" w:after="0" w:afterAutospacing="0"/>
        <w:rPr>
          <w:sz w:val="20"/>
          <w:szCs w:val="20"/>
        </w:rPr>
      </w:pPr>
      <w:r>
        <w:rPr>
          <w:sz w:val="20"/>
          <w:szCs w:val="20"/>
        </w:rPr>
        <w:t> </w:t>
      </w:r>
    </w:p>
    <w:p w14:paraId="2BC877F6" w14:textId="77777777" w:rsidR="00000000" w:rsidRDefault="00B8284C">
      <w:pPr>
        <w:pStyle w:val="a3"/>
        <w:spacing w:before="0" w:beforeAutospacing="0" w:after="0" w:afterAutospacing="0"/>
        <w:jc w:val="center"/>
        <w:rPr>
          <w:b/>
          <w:bCs/>
          <w:sz w:val="20"/>
          <w:szCs w:val="20"/>
        </w:rPr>
      </w:pPr>
      <w:r>
        <w:rPr>
          <w:b/>
          <w:bCs/>
          <w:sz w:val="20"/>
          <w:szCs w:val="20"/>
        </w:rPr>
        <w:t>PART I — Financial Information</w:t>
      </w:r>
    </w:p>
    <w:p w14:paraId="44AEE458" w14:textId="77777777" w:rsidR="00000000" w:rsidRDefault="00B8284C">
      <w:pPr>
        <w:pStyle w:val="a3"/>
        <w:spacing w:before="0" w:beforeAutospacing="0" w:after="0" w:afterAutospacing="0"/>
        <w:rPr>
          <w:sz w:val="12"/>
          <w:szCs w:val="12"/>
        </w:rPr>
      </w:pPr>
      <w:r>
        <w:rPr>
          <w:sz w:val="12"/>
          <w:szCs w:val="12"/>
        </w:rPr>
        <w:t> </w:t>
      </w:r>
    </w:p>
    <w:p w14:paraId="047AE4DB" w14:textId="77777777" w:rsidR="00000000" w:rsidRDefault="00B8284C">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257FBBC8" w14:textId="77777777">
        <w:trPr>
          <w:divId w:val="89278813"/>
        </w:trPr>
        <w:tc>
          <w:tcPr>
            <w:tcW w:w="453" w:type="pct"/>
            <w:noWrap/>
            <w:hideMark/>
          </w:tcPr>
          <w:p w14:paraId="79AA53B6" w14:textId="77777777" w:rsidR="00000000" w:rsidRDefault="00B8284C">
            <w:pPr>
              <w:pStyle w:val="a3"/>
              <w:spacing w:before="0" w:beforeAutospacing="0" w:after="0" w:afterAutospacing="0"/>
              <w:rPr>
                <w:b/>
                <w:bCs/>
                <w:sz w:val="20"/>
                <w:szCs w:val="20"/>
              </w:rPr>
            </w:pPr>
            <w:r>
              <w:rPr>
                <w:b/>
                <w:bCs/>
                <w:sz w:val="20"/>
                <w:szCs w:val="20"/>
              </w:rPr>
              <w:t>Item 1.</w:t>
            </w:r>
          </w:p>
        </w:tc>
        <w:tc>
          <w:tcPr>
            <w:tcW w:w="0" w:type="auto"/>
            <w:hideMark/>
          </w:tcPr>
          <w:p w14:paraId="165A6920" w14:textId="77777777" w:rsidR="00000000" w:rsidRDefault="00B8284C">
            <w:pPr>
              <w:pStyle w:val="a3"/>
              <w:spacing w:before="0" w:beforeAutospacing="0" w:after="0" w:afterAutospacing="0"/>
              <w:rPr>
                <w:b/>
                <w:bCs/>
                <w:sz w:val="20"/>
                <w:szCs w:val="20"/>
              </w:rPr>
            </w:pPr>
            <w:r>
              <w:rPr>
                <w:b/>
                <w:bCs/>
                <w:sz w:val="20"/>
                <w:szCs w:val="20"/>
              </w:rPr>
              <w:t>Financial Statements</w:t>
            </w:r>
          </w:p>
        </w:tc>
      </w:tr>
    </w:tbl>
    <w:p w14:paraId="3053A240" w14:textId="77777777" w:rsidR="00000000" w:rsidRDefault="00B8284C">
      <w:pPr>
        <w:pStyle w:val="a3"/>
        <w:spacing w:before="240" w:beforeAutospacing="0" w:after="0" w:afterAutospacing="0"/>
        <w:jc w:val="center"/>
        <w:rPr>
          <w:b/>
          <w:bCs/>
          <w:sz w:val="20"/>
          <w:szCs w:val="20"/>
        </w:rPr>
      </w:pPr>
      <w:r>
        <w:rPr>
          <w:b/>
          <w:bCs/>
          <w:sz w:val="20"/>
          <w:szCs w:val="20"/>
        </w:rPr>
        <w:t>HubSpot, Inc.</w:t>
      </w:r>
    </w:p>
    <w:p w14:paraId="13844CBE" w14:textId="77777777" w:rsidR="00000000" w:rsidRDefault="00B8284C">
      <w:pPr>
        <w:pStyle w:val="a3"/>
        <w:spacing w:before="0" w:beforeAutospacing="0" w:after="0" w:afterAutospacing="0"/>
        <w:jc w:val="center"/>
        <w:rPr>
          <w:b/>
          <w:bCs/>
          <w:sz w:val="20"/>
          <w:szCs w:val="20"/>
        </w:rPr>
      </w:pPr>
      <w:r>
        <w:rPr>
          <w:b/>
          <w:bCs/>
          <w:sz w:val="20"/>
          <w:szCs w:val="20"/>
        </w:rPr>
        <w:t>Unaudited Consolidated Balance Sheets</w:t>
      </w:r>
    </w:p>
    <w:p w14:paraId="5580C02E" w14:textId="77777777" w:rsidR="00000000" w:rsidRDefault="00B8284C">
      <w:pPr>
        <w:pStyle w:val="a3"/>
        <w:spacing w:before="0" w:beforeAutospacing="0" w:after="0" w:afterAutospacing="0"/>
        <w:jc w:val="center"/>
        <w:rPr>
          <w:b/>
          <w:bCs/>
          <w:sz w:val="20"/>
          <w:szCs w:val="20"/>
        </w:rPr>
      </w:pPr>
      <w:r>
        <w:rPr>
          <w:b/>
          <w:bCs/>
          <w:sz w:val="20"/>
          <w:szCs w:val="20"/>
        </w:rPr>
        <w:t>(in thousands)</w:t>
      </w:r>
    </w:p>
    <w:p w14:paraId="47599687"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6"/>
        <w:gridCol w:w="1057"/>
        <w:gridCol w:w="82"/>
        <w:gridCol w:w="113"/>
        <w:gridCol w:w="116"/>
        <w:gridCol w:w="1058"/>
        <w:gridCol w:w="82"/>
      </w:tblGrid>
      <w:tr w:rsidR="00000000" w14:paraId="32CE460F" w14:textId="77777777">
        <w:trPr>
          <w:divId w:val="2010055894"/>
        </w:trPr>
        <w:tc>
          <w:tcPr>
            <w:tcW w:w="3354" w:type="pct"/>
            <w:shd w:val="clear" w:color="auto" w:fill="FFFFFF"/>
            <w:tcMar>
              <w:top w:w="15" w:type="dxa"/>
              <w:left w:w="0" w:type="dxa"/>
              <w:bottom w:w="0" w:type="dxa"/>
              <w:right w:w="15" w:type="dxa"/>
            </w:tcMar>
            <w:vAlign w:val="bottom"/>
            <w:hideMark/>
          </w:tcPr>
          <w:p w14:paraId="52F08F82" w14:textId="77777777" w:rsidR="00000000" w:rsidRDefault="00B8284C">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71BE5F97"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14:paraId="2F661D3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14:paraId="7B7C90E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74CF4B99"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14:paraId="4F94259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0172F93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929EFC5" w14:textId="77777777">
        <w:trPr>
          <w:divId w:val="2010055894"/>
        </w:trPr>
        <w:tc>
          <w:tcPr>
            <w:tcW w:w="3354" w:type="pct"/>
            <w:shd w:val="clear" w:color="auto" w:fill="FFFFFF"/>
            <w:tcMar>
              <w:top w:w="15" w:type="dxa"/>
              <w:left w:w="0" w:type="dxa"/>
              <w:bottom w:w="0" w:type="dxa"/>
              <w:right w:w="15" w:type="dxa"/>
            </w:tcMar>
            <w:vAlign w:val="bottom"/>
            <w:hideMark/>
          </w:tcPr>
          <w:p w14:paraId="2E6279F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12ED561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360C039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5F26A2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3FDFDF85"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0A8EBA6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090AC2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114298A" w14:textId="77777777">
        <w:trPr>
          <w:divId w:val="2010055894"/>
        </w:trPr>
        <w:tc>
          <w:tcPr>
            <w:tcW w:w="3354" w:type="pct"/>
            <w:shd w:val="clear" w:color="auto" w:fill="CFF0FC"/>
            <w:tcMar>
              <w:top w:w="15" w:type="dxa"/>
              <w:left w:w="0" w:type="dxa"/>
              <w:bottom w:w="0" w:type="dxa"/>
              <w:right w:w="15" w:type="dxa"/>
            </w:tcMar>
            <w:vAlign w:val="bottom"/>
            <w:hideMark/>
          </w:tcPr>
          <w:p w14:paraId="08E045F7" w14:textId="77777777" w:rsidR="00000000" w:rsidRDefault="00B8284C">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vAlign w:val="bottom"/>
            <w:hideMark/>
          </w:tcPr>
          <w:p w14:paraId="1EE8CFB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74DDF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2753C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A0E0E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34E135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DC5C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26DDB4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70811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CFF0C20" w14:textId="77777777">
        <w:trPr>
          <w:divId w:val="2010055894"/>
        </w:trPr>
        <w:tc>
          <w:tcPr>
            <w:tcW w:w="3354" w:type="pct"/>
            <w:shd w:val="clear" w:color="auto" w:fill="FFFFFF"/>
            <w:tcMar>
              <w:top w:w="15" w:type="dxa"/>
              <w:left w:w="0" w:type="dxa"/>
              <w:bottom w:w="0" w:type="dxa"/>
              <w:right w:w="15" w:type="dxa"/>
            </w:tcMar>
            <w:vAlign w:val="bottom"/>
            <w:hideMark/>
          </w:tcPr>
          <w:p w14:paraId="0D8A6E19" w14:textId="77777777" w:rsidR="00000000" w:rsidRDefault="00B8284C">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FFFFFF"/>
            <w:tcMar>
              <w:top w:w="15" w:type="dxa"/>
              <w:left w:w="0" w:type="dxa"/>
              <w:bottom w:w="0" w:type="dxa"/>
              <w:right w:w="15" w:type="dxa"/>
            </w:tcMar>
            <w:vAlign w:val="bottom"/>
            <w:hideMark/>
          </w:tcPr>
          <w:p w14:paraId="12AE7C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DF25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DB7978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3C138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6C59F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7BFE9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DE3EA7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A67C6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CDC8D8F" w14:textId="77777777">
        <w:trPr>
          <w:divId w:val="2010055894"/>
        </w:trPr>
        <w:tc>
          <w:tcPr>
            <w:tcW w:w="3354" w:type="pct"/>
            <w:shd w:val="clear" w:color="auto" w:fill="CFF0FC"/>
            <w:tcMar>
              <w:top w:w="15" w:type="dxa"/>
              <w:left w:w="0" w:type="dxa"/>
              <w:bottom w:w="0" w:type="dxa"/>
              <w:right w:w="15" w:type="dxa"/>
            </w:tcMar>
            <w:vAlign w:val="bottom"/>
            <w:hideMark/>
          </w:tcPr>
          <w:p w14:paraId="5F8114DE" w14:textId="77777777" w:rsidR="00000000" w:rsidRDefault="00B8284C">
            <w:pPr>
              <w:pStyle w:val="a3"/>
              <w:spacing w:before="0" w:beforeAutospacing="0" w:after="0" w:afterAutospacing="0"/>
              <w:ind w:left="274"/>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14:paraId="760A828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3F6FB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78AE335E" w14:textId="77777777" w:rsidR="00000000" w:rsidRDefault="00B8284C">
            <w:pPr>
              <w:pStyle w:val="a3"/>
              <w:spacing w:before="0" w:beforeAutospacing="0" w:after="0" w:afterAutospacing="0"/>
              <w:jc w:val="right"/>
              <w:rPr>
                <w:color w:val="000000"/>
                <w:sz w:val="20"/>
                <w:szCs w:val="20"/>
              </w:rPr>
            </w:pPr>
            <w:r>
              <w:rPr>
                <w:color w:val="000000"/>
                <w:sz w:val="20"/>
                <w:szCs w:val="20"/>
              </w:rPr>
              <w:t>225,770</w:t>
            </w:r>
          </w:p>
        </w:tc>
        <w:tc>
          <w:tcPr>
            <w:tcW w:w="50" w:type="pct"/>
            <w:shd w:val="clear" w:color="auto" w:fill="CFF0FC"/>
            <w:noWrap/>
            <w:tcMar>
              <w:top w:w="15" w:type="dxa"/>
              <w:left w:w="0" w:type="dxa"/>
              <w:bottom w:w="0" w:type="dxa"/>
              <w:right w:w="15" w:type="dxa"/>
            </w:tcMar>
            <w:vAlign w:val="bottom"/>
            <w:hideMark/>
          </w:tcPr>
          <w:p w14:paraId="4DF5A6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403E79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D92AD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1A4CFB15" w14:textId="77777777" w:rsidR="00000000" w:rsidRDefault="00B8284C">
            <w:pPr>
              <w:pStyle w:val="a3"/>
              <w:spacing w:before="0" w:beforeAutospacing="0" w:after="0" w:afterAutospacing="0"/>
              <w:jc w:val="right"/>
              <w:rPr>
                <w:color w:val="000000"/>
                <w:sz w:val="20"/>
                <w:szCs w:val="20"/>
              </w:rPr>
            </w:pPr>
            <w:r>
              <w:rPr>
                <w:color w:val="000000"/>
                <w:sz w:val="20"/>
                <w:szCs w:val="20"/>
              </w:rPr>
              <w:t>111,489</w:t>
            </w:r>
          </w:p>
        </w:tc>
        <w:tc>
          <w:tcPr>
            <w:tcW w:w="50" w:type="pct"/>
            <w:shd w:val="clear" w:color="auto" w:fill="CFF0FC"/>
            <w:noWrap/>
            <w:tcMar>
              <w:top w:w="15" w:type="dxa"/>
              <w:left w:w="0" w:type="dxa"/>
              <w:bottom w:w="0" w:type="dxa"/>
              <w:right w:w="15" w:type="dxa"/>
            </w:tcMar>
            <w:vAlign w:val="bottom"/>
            <w:hideMark/>
          </w:tcPr>
          <w:p w14:paraId="164915F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40553F3" w14:textId="77777777">
        <w:trPr>
          <w:divId w:val="2010055894"/>
        </w:trPr>
        <w:tc>
          <w:tcPr>
            <w:tcW w:w="3354" w:type="pct"/>
            <w:shd w:val="clear" w:color="auto" w:fill="FFFFFF"/>
            <w:tcMar>
              <w:top w:w="15" w:type="dxa"/>
              <w:left w:w="0" w:type="dxa"/>
              <w:bottom w:w="0" w:type="dxa"/>
              <w:right w:w="15" w:type="dxa"/>
            </w:tcMar>
            <w:vAlign w:val="bottom"/>
            <w:hideMark/>
          </w:tcPr>
          <w:p w14:paraId="042F5EDA" w14:textId="77777777" w:rsidR="00000000" w:rsidRDefault="00B8284C">
            <w:pPr>
              <w:pStyle w:val="a3"/>
              <w:spacing w:before="0" w:beforeAutospacing="0" w:after="0" w:afterAutospacing="0"/>
              <w:ind w:left="274"/>
              <w:rPr>
                <w:color w:val="000000"/>
                <w:sz w:val="20"/>
                <w:szCs w:val="20"/>
              </w:rPr>
            </w:pPr>
            <w:r>
              <w:rPr>
                <w:color w:val="000000"/>
                <w:sz w:val="20"/>
                <w:szCs w:val="20"/>
              </w:rPr>
              <w:t>Short-term investments</w:t>
            </w:r>
          </w:p>
        </w:tc>
        <w:tc>
          <w:tcPr>
            <w:tcW w:w="79" w:type="pct"/>
            <w:shd w:val="clear" w:color="auto" w:fill="FFFFFF"/>
            <w:tcMar>
              <w:top w:w="15" w:type="dxa"/>
              <w:left w:w="0" w:type="dxa"/>
              <w:bottom w:w="0" w:type="dxa"/>
              <w:right w:w="15" w:type="dxa"/>
            </w:tcMar>
            <w:vAlign w:val="bottom"/>
            <w:hideMark/>
          </w:tcPr>
          <w:p w14:paraId="285671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526D0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02CA3B1" w14:textId="77777777" w:rsidR="00000000" w:rsidRDefault="00B8284C">
            <w:pPr>
              <w:pStyle w:val="a3"/>
              <w:spacing w:before="0" w:beforeAutospacing="0" w:after="0" w:afterAutospacing="0"/>
              <w:jc w:val="right"/>
              <w:rPr>
                <w:color w:val="000000"/>
                <w:sz w:val="20"/>
                <w:szCs w:val="20"/>
              </w:rPr>
            </w:pPr>
            <w:r>
              <w:rPr>
                <w:color w:val="000000"/>
                <w:sz w:val="20"/>
                <w:szCs w:val="20"/>
              </w:rPr>
              <w:t>722,767</w:t>
            </w:r>
          </w:p>
        </w:tc>
        <w:tc>
          <w:tcPr>
            <w:tcW w:w="50" w:type="pct"/>
            <w:shd w:val="clear" w:color="auto" w:fill="FFFFFF"/>
            <w:noWrap/>
            <w:tcMar>
              <w:top w:w="15" w:type="dxa"/>
              <w:left w:w="0" w:type="dxa"/>
              <w:bottom w:w="0" w:type="dxa"/>
              <w:right w:w="15" w:type="dxa"/>
            </w:tcMar>
            <w:vAlign w:val="bottom"/>
            <w:hideMark/>
          </w:tcPr>
          <w:p w14:paraId="5B909F7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642236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54B60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6D715CF" w14:textId="77777777" w:rsidR="00000000" w:rsidRDefault="00B8284C">
            <w:pPr>
              <w:pStyle w:val="a3"/>
              <w:spacing w:before="0" w:beforeAutospacing="0" w:after="0" w:afterAutospacing="0"/>
              <w:jc w:val="right"/>
              <w:rPr>
                <w:color w:val="000000"/>
                <w:sz w:val="20"/>
                <w:szCs w:val="20"/>
              </w:rPr>
            </w:pPr>
            <w:r>
              <w:rPr>
                <w:color w:val="000000"/>
                <w:sz w:val="20"/>
                <w:szCs w:val="20"/>
              </w:rPr>
              <w:t>480,761</w:t>
            </w:r>
          </w:p>
        </w:tc>
        <w:tc>
          <w:tcPr>
            <w:tcW w:w="50" w:type="pct"/>
            <w:shd w:val="clear" w:color="auto" w:fill="FFFFFF"/>
            <w:noWrap/>
            <w:tcMar>
              <w:top w:w="15" w:type="dxa"/>
              <w:left w:w="0" w:type="dxa"/>
              <w:bottom w:w="0" w:type="dxa"/>
              <w:right w:w="15" w:type="dxa"/>
            </w:tcMar>
            <w:vAlign w:val="bottom"/>
            <w:hideMark/>
          </w:tcPr>
          <w:p w14:paraId="446C910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B6BE00D" w14:textId="77777777">
        <w:trPr>
          <w:divId w:val="2010055894"/>
        </w:trPr>
        <w:tc>
          <w:tcPr>
            <w:tcW w:w="3354" w:type="pct"/>
            <w:shd w:val="clear" w:color="auto" w:fill="CFF0FC"/>
            <w:tcMar>
              <w:top w:w="15" w:type="dxa"/>
              <w:left w:w="0" w:type="dxa"/>
              <w:bottom w:w="0" w:type="dxa"/>
              <w:right w:w="15" w:type="dxa"/>
            </w:tcMar>
            <w:vAlign w:val="bottom"/>
            <w:hideMark/>
          </w:tcPr>
          <w:p w14:paraId="2B725BE8" w14:textId="77777777" w:rsidR="00000000" w:rsidRDefault="00B8284C">
            <w:pPr>
              <w:pStyle w:val="a3"/>
              <w:spacing w:before="0" w:beforeAutospacing="0" w:after="0" w:afterAutospacing="0"/>
              <w:ind w:left="274"/>
              <w:rPr>
                <w:color w:val="000000"/>
                <w:sz w:val="20"/>
                <w:szCs w:val="20"/>
              </w:rPr>
            </w:pPr>
            <w:r>
              <w:rPr>
                <w:color w:val="000000"/>
                <w:sz w:val="20"/>
                <w:szCs w:val="20"/>
              </w:rPr>
              <w:t>Accounts receivable — net of allowance for doubtful accounts of $1,258 and $1,317</w:t>
            </w:r>
          </w:p>
          <w:p w14:paraId="5D3CA9D2" w14:textId="77777777" w:rsidR="00000000" w:rsidRDefault="00B8284C">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at September 30, 2019 and December 31, 2018, respectively</w:t>
            </w:r>
          </w:p>
        </w:tc>
        <w:tc>
          <w:tcPr>
            <w:tcW w:w="79" w:type="pct"/>
            <w:shd w:val="clear" w:color="auto" w:fill="CFF0FC"/>
            <w:tcMar>
              <w:top w:w="15" w:type="dxa"/>
              <w:left w:w="0" w:type="dxa"/>
              <w:bottom w:w="0" w:type="dxa"/>
              <w:right w:w="15" w:type="dxa"/>
            </w:tcMar>
            <w:vAlign w:val="bottom"/>
            <w:hideMark/>
          </w:tcPr>
          <w:p w14:paraId="7B4BD59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4F2A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30C0C5C" w14:textId="77777777" w:rsidR="00000000" w:rsidRDefault="00B8284C">
            <w:pPr>
              <w:pStyle w:val="a3"/>
              <w:spacing w:before="0" w:beforeAutospacing="0" w:after="0" w:afterAutospacing="0"/>
              <w:jc w:val="right"/>
              <w:rPr>
                <w:color w:val="000000"/>
                <w:sz w:val="20"/>
                <w:szCs w:val="20"/>
              </w:rPr>
            </w:pPr>
            <w:r>
              <w:rPr>
                <w:color w:val="000000"/>
                <w:sz w:val="20"/>
                <w:szCs w:val="20"/>
              </w:rPr>
              <w:t>77,551</w:t>
            </w:r>
          </w:p>
        </w:tc>
        <w:tc>
          <w:tcPr>
            <w:tcW w:w="50" w:type="pct"/>
            <w:shd w:val="clear" w:color="auto" w:fill="CFF0FC"/>
            <w:noWrap/>
            <w:tcMar>
              <w:top w:w="15" w:type="dxa"/>
              <w:left w:w="0" w:type="dxa"/>
              <w:bottom w:w="0" w:type="dxa"/>
              <w:right w:w="15" w:type="dxa"/>
            </w:tcMar>
            <w:vAlign w:val="bottom"/>
            <w:hideMark/>
          </w:tcPr>
          <w:p w14:paraId="2042F9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46FE8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3F69A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FC610B3" w14:textId="77777777" w:rsidR="00000000" w:rsidRDefault="00B8284C">
            <w:pPr>
              <w:pStyle w:val="a3"/>
              <w:spacing w:before="0" w:beforeAutospacing="0" w:after="0" w:afterAutospacing="0"/>
              <w:jc w:val="right"/>
              <w:rPr>
                <w:color w:val="000000"/>
                <w:sz w:val="20"/>
                <w:szCs w:val="20"/>
              </w:rPr>
            </w:pPr>
            <w:r>
              <w:rPr>
                <w:color w:val="000000"/>
                <w:sz w:val="20"/>
                <w:szCs w:val="20"/>
              </w:rPr>
              <w:t>77,100</w:t>
            </w:r>
          </w:p>
        </w:tc>
        <w:tc>
          <w:tcPr>
            <w:tcW w:w="50" w:type="pct"/>
            <w:shd w:val="clear" w:color="auto" w:fill="CFF0FC"/>
            <w:noWrap/>
            <w:tcMar>
              <w:top w:w="15" w:type="dxa"/>
              <w:left w:w="0" w:type="dxa"/>
              <w:bottom w:w="0" w:type="dxa"/>
              <w:right w:w="15" w:type="dxa"/>
            </w:tcMar>
            <w:vAlign w:val="bottom"/>
            <w:hideMark/>
          </w:tcPr>
          <w:p w14:paraId="4C7B90B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E2E9350" w14:textId="77777777">
        <w:trPr>
          <w:divId w:val="2010055894"/>
        </w:trPr>
        <w:tc>
          <w:tcPr>
            <w:tcW w:w="3354" w:type="pct"/>
            <w:shd w:val="clear" w:color="auto" w:fill="FFFFFF"/>
            <w:tcMar>
              <w:top w:w="15" w:type="dxa"/>
              <w:left w:w="0" w:type="dxa"/>
              <w:bottom w:w="0" w:type="dxa"/>
              <w:right w:w="15" w:type="dxa"/>
            </w:tcMar>
            <w:vAlign w:val="bottom"/>
            <w:hideMark/>
          </w:tcPr>
          <w:p w14:paraId="347F1A35" w14:textId="77777777" w:rsidR="00000000" w:rsidRDefault="00B8284C">
            <w:pPr>
              <w:pStyle w:val="a3"/>
              <w:spacing w:before="0" w:beforeAutospacing="0" w:after="0" w:afterAutospacing="0"/>
              <w:ind w:left="274"/>
              <w:rPr>
                <w:color w:val="000000"/>
                <w:sz w:val="20"/>
                <w:szCs w:val="20"/>
              </w:rPr>
            </w:pPr>
            <w:r>
              <w:rPr>
                <w:color w:val="000000"/>
                <w:sz w:val="20"/>
                <w:szCs w:val="20"/>
              </w:rPr>
              <w:t>Deferred commission expense</w:t>
            </w:r>
          </w:p>
        </w:tc>
        <w:tc>
          <w:tcPr>
            <w:tcW w:w="79" w:type="pct"/>
            <w:shd w:val="clear" w:color="auto" w:fill="FFFFFF"/>
            <w:tcMar>
              <w:top w:w="15" w:type="dxa"/>
              <w:left w:w="0" w:type="dxa"/>
              <w:bottom w:w="0" w:type="dxa"/>
              <w:right w:w="15" w:type="dxa"/>
            </w:tcMar>
            <w:vAlign w:val="bottom"/>
            <w:hideMark/>
          </w:tcPr>
          <w:p w14:paraId="0B1D21A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A182B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A20D8BD" w14:textId="77777777" w:rsidR="00000000" w:rsidRDefault="00B8284C">
            <w:pPr>
              <w:pStyle w:val="a3"/>
              <w:spacing w:before="0" w:beforeAutospacing="0" w:after="0" w:afterAutospacing="0"/>
              <w:jc w:val="right"/>
              <w:rPr>
                <w:color w:val="000000"/>
                <w:sz w:val="20"/>
                <w:szCs w:val="20"/>
              </w:rPr>
            </w:pPr>
            <w:r>
              <w:rPr>
                <w:color w:val="000000"/>
                <w:sz w:val="20"/>
                <w:szCs w:val="20"/>
              </w:rPr>
              <w:t>29,080</w:t>
            </w:r>
          </w:p>
        </w:tc>
        <w:tc>
          <w:tcPr>
            <w:tcW w:w="50" w:type="pct"/>
            <w:shd w:val="clear" w:color="auto" w:fill="FFFFFF"/>
            <w:noWrap/>
            <w:tcMar>
              <w:top w:w="15" w:type="dxa"/>
              <w:left w:w="0" w:type="dxa"/>
              <w:bottom w:w="0" w:type="dxa"/>
              <w:right w:w="15" w:type="dxa"/>
            </w:tcMar>
            <w:vAlign w:val="bottom"/>
            <w:hideMark/>
          </w:tcPr>
          <w:p w14:paraId="292782E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BD6CE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ADE6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C6B1755" w14:textId="77777777" w:rsidR="00000000" w:rsidRDefault="00B8284C">
            <w:pPr>
              <w:pStyle w:val="a3"/>
              <w:spacing w:before="0" w:beforeAutospacing="0" w:after="0" w:afterAutospacing="0"/>
              <w:jc w:val="right"/>
              <w:rPr>
                <w:color w:val="000000"/>
                <w:sz w:val="20"/>
                <w:szCs w:val="20"/>
              </w:rPr>
            </w:pPr>
            <w:r>
              <w:rPr>
                <w:color w:val="000000"/>
                <w:sz w:val="20"/>
                <w:szCs w:val="20"/>
              </w:rPr>
              <w:t>23,664</w:t>
            </w:r>
          </w:p>
        </w:tc>
        <w:tc>
          <w:tcPr>
            <w:tcW w:w="50" w:type="pct"/>
            <w:shd w:val="clear" w:color="auto" w:fill="FFFFFF"/>
            <w:noWrap/>
            <w:tcMar>
              <w:top w:w="15" w:type="dxa"/>
              <w:left w:w="0" w:type="dxa"/>
              <w:bottom w:w="0" w:type="dxa"/>
              <w:right w:w="15" w:type="dxa"/>
            </w:tcMar>
            <w:vAlign w:val="bottom"/>
            <w:hideMark/>
          </w:tcPr>
          <w:p w14:paraId="636B15C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EB378D8" w14:textId="77777777">
        <w:trPr>
          <w:divId w:val="2010055894"/>
        </w:trPr>
        <w:tc>
          <w:tcPr>
            <w:tcW w:w="3354" w:type="pct"/>
            <w:shd w:val="clear" w:color="auto" w:fill="CFF0FC"/>
            <w:tcMar>
              <w:top w:w="15" w:type="dxa"/>
              <w:left w:w="0" w:type="dxa"/>
              <w:bottom w:w="0" w:type="dxa"/>
              <w:right w:w="15" w:type="dxa"/>
            </w:tcMar>
            <w:vAlign w:val="bottom"/>
            <w:hideMark/>
          </w:tcPr>
          <w:p w14:paraId="7BD623C0" w14:textId="77777777" w:rsidR="00000000" w:rsidRDefault="00B8284C">
            <w:pPr>
              <w:pStyle w:val="a3"/>
              <w:spacing w:before="0" w:beforeAutospacing="0" w:after="0" w:afterAutospacing="0"/>
              <w:ind w:left="274"/>
              <w:rPr>
                <w:color w:val="000000"/>
                <w:sz w:val="20"/>
                <w:szCs w:val="20"/>
              </w:rPr>
            </w:pPr>
            <w:r>
              <w:rPr>
                <w:color w:val="000000"/>
                <w:sz w:val="20"/>
                <w:szCs w:val="20"/>
              </w:rPr>
              <w:t>Restricted cash</w:t>
            </w:r>
          </w:p>
        </w:tc>
        <w:tc>
          <w:tcPr>
            <w:tcW w:w="79" w:type="pct"/>
            <w:shd w:val="clear" w:color="auto" w:fill="CFF0FC"/>
            <w:tcMar>
              <w:top w:w="15" w:type="dxa"/>
              <w:left w:w="0" w:type="dxa"/>
              <w:bottom w:w="0" w:type="dxa"/>
              <w:right w:w="15" w:type="dxa"/>
            </w:tcMar>
            <w:vAlign w:val="bottom"/>
            <w:hideMark/>
          </w:tcPr>
          <w:p w14:paraId="612665B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19567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C177237" w14:textId="77777777" w:rsidR="00000000" w:rsidRDefault="00B8284C">
            <w:pPr>
              <w:pStyle w:val="a3"/>
              <w:spacing w:before="0" w:beforeAutospacing="0" w:after="0" w:afterAutospacing="0"/>
              <w:jc w:val="right"/>
              <w:rPr>
                <w:color w:val="000000"/>
                <w:sz w:val="20"/>
                <w:szCs w:val="20"/>
              </w:rPr>
            </w:pPr>
            <w:r>
              <w:rPr>
                <w:color w:val="000000"/>
                <w:sz w:val="20"/>
                <w:szCs w:val="20"/>
              </w:rPr>
              <w:t>6,019</w:t>
            </w:r>
          </w:p>
        </w:tc>
        <w:tc>
          <w:tcPr>
            <w:tcW w:w="50" w:type="pct"/>
            <w:shd w:val="clear" w:color="auto" w:fill="CFF0FC"/>
            <w:noWrap/>
            <w:tcMar>
              <w:top w:w="15" w:type="dxa"/>
              <w:left w:w="0" w:type="dxa"/>
              <w:bottom w:w="0" w:type="dxa"/>
              <w:right w:w="15" w:type="dxa"/>
            </w:tcMar>
            <w:vAlign w:val="bottom"/>
            <w:hideMark/>
          </w:tcPr>
          <w:p w14:paraId="2A85976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20E01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6785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46B78FC" w14:textId="77777777" w:rsidR="00000000" w:rsidRDefault="00B8284C">
            <w:pPr>
              <w:pStyle w:val="a3"/>
              <w:spacing w:before="0" w:beforeAutospacing="0" w:after="0" w:afterAutospacing="0"/>
              <w:jc w:val="right"/>
              <w:rPr>
                <w:color w:val="000000"/>
                <w:sz w:val="20"/>
                <w:szCs w:val="20"/>
              </w:rPr>
            </w:pPr>
            <w:r>
              <w:rPr>
                <w:color w:val="000000"/>
                <w:sz w:val="20"/>
                <w:szCs w:val="20"/>
              </w:rPr>
              <w:t>5,175</w:t>
            </w:r>
          </w:p>
        </w:tc>
        <w:tc>
          <w:tcPr>
            <w:tcW w:w="50" w:type="pct"/>
            <w:shd w:val="clear" w:color="auto" w:fill="CFF0FC"/>
            <w:noWrap/>
            <w:tcMar>
              <w:top w:w="15" w:type="dxa"/>
              <w:left w:w="0" w:type="dxa"/>
              <w:bottom w:w="0" w:type="dxa"/>
              <w:right w:w="15" w:type="dxa"/>
            </w:tcMar>
            <w:vAlign w:val="bottom"/>
            <w:hideMark/>
          </w:tcPr>
          <w:p w14:paraId="5A0D639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07F2CB1" w14:textId="77777777">
        <w:trPr>
          <w:divId w:val="2010055894"/>
        </w:trPr>
        <w:tc>
          <w:tcPr>
            <w:tcW w:w="3354" w:type="pct"/>
            <w:shd w:val="clear" w:color="auto" w:fill="FFFFFF"/>
            <w:tcMar>
              <w:top w:w="15" w:type="dxa"/>
              <w:left w:w="0" w:type="dxa"/>
              <w:bottom w:w="0" w:type="dxa"/>
              <w:right w:w="15" w:type="dxa"/>
            </w:tcMar>
            <w:vAlign w:val="bottom"/>
            <w:hideMark/>
          </w:tcPr>
          <w:p w14:paraId="562FC524" w14:textId="77777777" w:rsidR="00000000" w:rsidRDefault="00B8284C">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14:paraId="01AAEB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51ECC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598C56EF" w14:textId="77777777" w:rsidR="00000000" w:rsidRDefault="00B8284C">
            <w:pPr>
              <w:pStyle w:val="a3"/>
              <w:spacing w:before="0" w:beforeAutospacing="0" w:after="0" w:afterAutospacing="0"/>
              <w:jc w:val="right"/>
              <w:rPr>
                <w:color w:val="000000"/>
                <w:sz w:val="20"/>
                <w:szCs w:val="20"/>
              </w:rPr>
            </w:pPr>
            <w:r>
              <w:rPr>
                <w:color w:val="000000"/>
                <w:sz w:val="20"/>
                <w:szCs w:val="20"/>
              </w:rPr>
              <w:t>20,052</w:t>
            </w:r>
          </w:p>
        </w:tc>
        <w:tc>
          <w:tcPr>
            <w:tcW w:w="50" w:type="pct"/>
            <w:shd w:val="clear" w:color="auto" w:fill="FFFFFF"/>
            <w:noWrap/>
            <w:tcMar>
              <w:top w:w="15" w:type="dxa"/>
              <w:left w:w="0" w:type="dxa"/>
              <w:bottom w:w="0" w:type="dxa"/>
              <w:right w:w="15" w:type="dxa"/>
            </w:tcMar>
            <w:vAlign w:val="bottom"/>
            <w:hideMark/>
          </w:tcPr>
          <w:p w14:paraId="77EFE5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939596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826B56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0092D98" w14:textId="77777777" w:rsidR="00000000" w:rsidRDefault="00B8284C">
            <w:pPr>
              <w:pStyle w:val="a3"/>
              <w:spacing w:before="0" w:beforeAutospacing="0" w:after="0" w:afterAutospacing="0"/>
              <w:jc w:val="right"/>
              <w:rPr>
                <w:color w:val="000000"/>
                <w:sz w:val="20"/>
                <w:szCs w:val="20"/>
              </w:rPr>
            </w:pPr>
            <w:r>
              <w:rPr>
                <w:color w:val="000000"/>
                <w:sz w:val="20"/>
                <w:szCs w:val="20"/>
              </w:rPr>
              <w:t>14,229</w:t>
            </w:r>
          </w:p>
        </w:tc>
        <w:tc>
          <w:tcPr>
            <w:tcW w:w="50" w:type="pct"/>
            <w:shd w:val="clear" w:color="auto" w:fill="FFFFFF"/>
            <w:noWrap/>
            <w:tcMar>
              <w:top w:w="15" w:type="dxa"/>
              <w:left w:w="0" w:type="dxa"/>
              <w:bottom w:w="0" w:type="dxa"/>
              <w:right w:w="15" w:type="dxa"/>
            </w:tcMar>
            <w:vAlign w:val="bottom"/>
            <w:hideMark/>
          </w:tcPr>
          <w:p w14:paraId="3B26F48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FB38CEE" w14:textId="77777777">
        <w:trPr>
          <w:divId w:val="2010055894"/>
        </w:trPr>
        <w:tc>
          <w:tcPr>
            <w:tcW w:w="3354" w:type="pct"/>
            <w:shd w:val="clear" w:color="auto" w:fill="CFF0FC"/>
            <w:tcMar>
              <w:top w:w="15" w:type="dxa"/>
              <w:left w:w="0" w:type="dxa"/>
              <w:bottom w:w="0" w:type="dxa"/>
              <w:right w:w="15" w:type="dxa"/>
            </w:tcMar>
            <w:vAlign w:val="bottom"/>
            <w:hideMark/>
          </w:tcPr>
          <w:p w14:paraId="09E259BF" w14:textId="77777777" w:rsidR="00000000" w:rsidRDefault="00B8284C">
            <w:pPr>
              <w:pStyle w:val="a3"/>
              <w:spacing w:before="0" w:beforeAutospacing="0" w:after="0" w:afterAutospacing="0"/>
              <w:rPr>
                <w:color w:val="000000"/>
                <w:sz w:val="20"/>
                <w:szCs w:val="20"/>
              </w:rPr>
            </w:pPr>
            <w:r>
              <w:rPr>
                <w:color w:val="000000"/>
                <w:sz w:val="20"/>
                <w:szCs w:val="20"/>
              </w:rPr>
              <w:t>Total current assets</w:t>
            </w:r>
          </w:p>
        </w:tc>
        <w:tc>
          <w:tcPr>
            <w:tcW w:w="79" w:type="pct"/>
            <w:shd w:val="clear" w:color="auto" w:fill="CFF0FC"/>
            <w:tcMar>
              <w:top w:w="15" w:type="dxa"/>
              <w:left w:w="0" w:type="dxa"/>
              <w:bottom w:w="0" w:type="dxa"/>
              <w:right w:w="15" w:type="dxa"/>
            </w:tcMar>
            <w:vAlign w:val="bottom"/>
            <w:hideMark/>
          </w:tcPr>
          <w:p w14:paraId="4B99A6E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A43CA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7B721D1" w14:textId="77777777" w:rsidR="00000000" w:rsidRDefault="00B8284C">
            <w:pPr>
              <w:pStyle w:val="a3"/>
              <w:spacing w:before="0" w:beforeAutospacing="0" w:after="0" w:afterAutospacing="0"/>
              <w:jc w:val="right"/>
              <w:rPr>
                <w:color w:val="000000"/>
                <w:sz w:val="20"/>
                <w:szCs w:val="20"/>
              </w:rPr>
            </w:pPr>
            <w:r>
              <w:rPr>
                <w:color w:val="000000"/>
                <w:sz w:val="20"/>
                <w:szCs w:val="20"/>
              </w:rPr>
              <w:t>1,081,239</w:t>
            </w:r>
          </w:p>
        </w:tc>
        <w:tc>
          <w:tcPr>
            <w:tcW w:w="50" w:type="pct"/>
            <w:shd w:val="clear" w:color="auto" w:fill="CFF0FC"/>
            <w:noWrap/>
            <w:tcMar>
              <w:top w:w="15" w:type="dxa"/>
              <w:left w:w="0" w:type="dxa"/>
              <w:bottom w:w="0" w:type="dxa"/>
              <w:right w:w="15" w:type="dxa"/>
            </w:tcMar>
            <w:vAlign w:val="bottom"/>
            <w:hideMark/>
          </w:tcPr>
          <w:p w14:paraId="679918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745555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9E742D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7FB3AE4" w14:textId="77777777" w:rsidR="00000000" w:rsidRDefault="00B8284C">
            <w:pPr>
              <w:pStyle w:val="a3"/>
              <w:spacing w:before="0" w:beforeAutospacing="0" w:after="0" w:afterAutospacing="0"/>
              <w:jc w:val="right"/>
              <w:rPr>
                <w:color w:val="000000"/>
                <w:sz w:val="20"/>
                <w:szCs w:val="20"/>
              </w:rPr>
            </w:pPr>
            <w:r>
              <w:rPr>
                <w:color w:val="000000"/>
                <w:sz w:val="20"/>
                <w:szCs w:val="20"/>
              </w:rPr>
              <w:t>712,418</w:t>
            </w:r>
          </w:p>
        </w:tc>
        <w:tc>
          <w:tcPr>
            <w:tcW w:w="50" w:type="pct"/>
            <w:shd w:val="clear" w:color="auto" w:fill="CFF0FC"/>
            <w:noWrap/>
            <w:tcMar>
              <w:top w:w="15" w:type="dxa"/>
              <w:left w:w="0" w:type="dxa"/>
              <w:bottom w:w="0" w:type="dxa"/>
              <w:right w:w="15" w:type="dxa"/>
            </w:tcMar>
            <w:vAlign w:val="bottom"/>
            <w:hideMark/>
          </w:tcPr>
          <w:p w14:paraId="7C0F3D6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FE8895A" w14:textId="77777777">
        <w:trPr>
          <w:divId w:val="2010055894"/>
        </w:trPr>
        <w:tc>
          <w:tcPr>
            <w:tcW w:w="3354" w:type="pct"/>
            <w:shd w:val="clear" w:color="auto" w:fill="FFFFFF"/>
            <w:tcMar>
              <w:top w:w="15" w:type="dxa"/>
              <w:left w:w="0" w:type="dxa"/>
              <w:bottom w:w="0" w:type="dxa"/>
              <w:right w:w="15" w:type="dxa"/>
            </w:tcMar>
            <w:vAlign w:val="bottom"/>
            <w:hideMark/>
          </w:tcPr>
          <w:p w14:paraId="563271AF" w14:textId="77777777" w:rsidR="00000000" w:rsidRDefault="00B8284C">
            <w:pPr>
              <w:pStyle w:val="a3"/>
              <w:spacing w:before="0" w:beforeAutospacing="0" w:after="0" w:afterAutospacing="0"/>
              <w:rPr>
                <w:color w:val="000000"/>
                <w:sz w:val="20"/>
                <w:szCs w:val="20"/>
              </w:rPr>
            </w:pPr>
            <w:r>
              <w:rPr>
                <w:color w:val="000000"/>
                <w:sz w:val="20"/>
                <w:szCs w:val="20"/>
              </w:rPr>
              <w:t>Long-term investments</w:t>
            </w:r>
          </w:p>
        </w:tc>
        <w:tc>
          <w:tcPr>
            <w:tcW w:w="79" w:type="pct"/>
            <w:shd w:val="clear" w:color="auto" w:fill="FFFFFF"/>
            <w:tcMar>
              <w:top w:w="15" w:type="dxa"/>
              <w:left w:w="0" w:type="dxa"/>
              <w:bottom w:w="0" w:type="dxa"/>
              <w:right w:w="15" w:type="dxa"/>
            </w:tcMar>
            <w:vAlign w:val="bottom"/>
            <w:hideMark/>
          </w:tcPr>
          <w:p w14:paraId="68401D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EC0D8D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74B5E09" w14:textId="77777777" w:rsidR="00000000" w:rsidRDefault="00B8284C">
            <w:pPr>
              <w:pStyle w:val="a3"/>
              <w:spacing w:before="0" w:beforeAutospacing="0" w:after="0" w:afterAutospacing="0"/>
              <w:jc w:val="right"/>
              <w:rPr>
                <w:color w:val="000000"/>
                <w:sz w:val="20"/>
                <w:szCs w:val="20"/>
              </w:rPr>
            </w:pPr>
            <w:r>
              <w:rPr>
                <w:color w:val="000000"/>
                <w:sz w:val="20"/>
                <w:szCs w:val="20"/>
              </w:rPr>
              <w:t>59,783</w:t>
            </w:r>
          </w:p>
        </w:tc>
        <w:tc>
          <w:tcPr>
            <w:tcW w:w="50" w:type="pct"/>
            <w:shd w:val="clear" w:color="auto" w:fill="FFFFFF"/>
            <w:noWrap/>
            <w:tcMar>
              <w:top w:w="15" w:type="dxa"/>
              <w:left w:w="0" w:type="dxa"/>
              <w:bottom w:w="0" w:type="dxa"/>
              <w:right w:w="15" w:type="dxa"/>
            </w:tcMar>
            <w:vAlign w:val="bottom"/>
            <w:hideMark/>
          </w:tcPr>
          <w:p w14:paraId="316366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D5E01D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78D06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7DF9D3D" w14:textId="77777777" w:rsidR="00000000" w:rsidRDefault="00B8284C">
            <w:pPr>
              <w:pStyle w:val="a3"/>
              <w:spacing w:before="0" w:beforeAutospacing="0" w:after="0" w:afterAutospacing="0"/>
              <w:jc w:val="right"/>
              <w:rPr>
                <w:color w:val="000000"/>
                <w:sz w:val="20"/>
                <w:szCs w:val="20"/>
              </w:rPr>
            </w:pPr>
            <w:r>
              <w:rPr>
                <w:color w:val="000000"/>
                <w:sz w:val="20"/>
                <w:szCs w:val="20"/>
              </w:rPr>
              <w:t>11,450</w:t>
            </w:r>
          </w:p>
        </w:tc>
        <w:tc>
          <w:tcPr>
            <w:tcW w:w="50" w:type="pct"/>
            <w:shd w:val="clear" w:color="auto" w:fill="FFFFFF"/>
            <w:noWrap/>
            <w:tcMar>
              <w:top w:w="15" w:type="dxa"/>
              <w:left w:w="0" w:type="dxa"/>
              <w:bottom w:w="0" w:type="dxa"/>
              <w:right w:w="15" w:type="dxa"/>
            </w:tcMar>
            <w:vAlign w:val="bottom"/>
            <w:hideMark/>
          </w:tcPr>
          <w:p w14:paraId="58A0123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A4428BA" w14:textId="77777777">
        <w:trPr>
          <w:divId w:val="2010055894"/>
        </w:trPr>
        <w:tc>
          <w:tcPr>
            <w:tcW w:w="3354" w:type="pct"/>
            <w:shd w:val="clear" w:color="auto" w:fill="CFF0FC"/>
            <w:tcMar>
              <w:top w:w="15" w:type="dxa"/>
              <w:left w:w="0" w:type="dxa"/>
              <w:bottom w:w="0" w:type="dxa"/>
              <w:right w:w="15" w:type="dxa"/>
            </w:tcMar>
            <w:vAlign w:val="bottom"/>
            <w:hideMark/>
          </w:tcPr>
          <w:p w14:paraId="66E9F758" w14:textId="77777777" w:rsidR="00000000" w:rsidRDefault="00B8284C">
            <w:pPr>
              <w:pStyle w:val="a3"/>
              <w:spacing w:before="0" w:beforeAutospacing="0" w:after="0" w:afterAutospacing="0"/>
              <w:rPr>
                <w:color w:val="000000"/>
                <w:sz w:val="20"/>
                <w:szCs w:val="20"/>
              </w:rPr>
            </w:pPr>
            <w:r>
              <w:rPr>
                <w:color w:val="000000"/>
                <w:sz w:val="20"/>
                <w:szCs w:val="20"/>
              </w:rPr>
              <w:t>Property and equipment, net</w:t>
            </w:r>
          </w:p>
        </w:tc>
        <w:tc>
          <w:tcPr>
            <w:tcW w:w="79" w:type="pct"/>
            <w:shd w:val="clear" w:color="auto" w:fill="CFF0FC"/>
            <w:tcMar>
              <w:top w:w="15" w:type="dxa"/>
              <w:left w:w="0" w:type="dxa"/>
              <w:bottom w:w="0" w:type="dxa"/>
              <w:right w:w="15" w:type="dxa"/>
            </w:tcMar>
            <w:vAlign w:val="bottom"/>
            <w:hideMark/>
          </w:tcPr>
          <w:p w14:paraId="38C2C6E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55874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3327B58" w14:textId="77777777" w:rsidR="00000000" w:rsidRDefault="00B8284C">
            <w:pPr>
              <w:pStyle w:val="a3"/>
              <w:spacing w:before="0" w:beforeAutospacing="0" w:after="0" w:afterAutospacing="0"/>
              <w:jc w:val="right"/>
              <w:rPr>
                <w:color w:val="000000"/>
                <w:sz w:val="20"/>
                <w:szCs w:val="20"/>
              </w:rPr>
            </w:pPr>
            <w:r>
              <w:rPr>
                <w:color w:val="000000"/>
                <w:sz w:val="20"/>
                <w:szCs w:val="20"/>
              </w:rPr>
              <w:t>63,959</w:t>
            </w:r>
          </w:p>
        </w:tc>
        <w:tc>
          <w:tcPr>
            <w:tcW w:w="50" w:type="pct"/>
            <w:shd w:val="clear" w:color="auto" w:fill="CFF0FC"/>
            <w:noWrap/>
            <w:tcMar>
              <w:top w:w="15" w:type="dxa"/>
              <w:left w:w="0" w:type="dxa"/>
              <w:bottom w:w="0" w:type="dxa"/>
              <w:right w:w="15" w:type="dxa"/>
            </w:tcMar>
            <w:vAlign w:val="bottom"/>
            <w:hideMark/>
          </w:tcPr>
          <w:p w14:paraId="62B291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77DD3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157E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09074F0" w14:textId="77777777" w:rsidR="00000000" w:rsidRDefault="00B8284C">
            <w:pPr>
              <w:pStyle w:val="a3"/>
              <w:spacing w:before="0" w:beforeAutospacing="0" w:after="0" w:afterAutospacing="0"/>
              <w:jc w:val="right"/>
              <w:rPr>
                <w:color w:val="000000"/>
                <w:sz w:val="20"/>
                <w:szCs w:val="20"/>
              </w:rPr>
            </w:pPr>
            <w:r>
              <w:rPr>
                <w:color w:val="000000"/>
                <w:sz w:val="20"/>
                <w:szCs w:val="20"/>
              </w:rPr>
              <w:t>52,468</w:t>
            </w:r>
          </w:p>
        </w:tc>
        <w:tc>
          <w:tcPr>
            <w:tcW w:w="50" w:type="pct"/>
            <w:shd w:val="clear" w:color="auto" w:fill="CFF0FC"/>
            <w:noWrap/>
            <w:tcMar>
              <w:top w:w="15" w:type="dxa"/>
              <w:left w:w="0" w:type="dxa"/>
              <w:bottom w:w="0" w:type="dxa"/>
              <w:right w:w="15" w:type="dxa"/>
            </w:tcMar>
            <w:vAlign w:val="bottom"/>
            <w:hideMark/>
          </w:tcPr>
          <w:p w14:paraId="60E2DCF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0321B85" w14:textId="77777777">
        <w:trPr>
          <w:divId w:val="2010055894"/>
        </w:trPr>
        <w:tc>
          <w:tcPr>
            <w:tcW w:w="3354" w:type="pct"/>
            <w:shd w:val="clear" w:color="auto" w:fill="FFFFFF"/>
            <w:tcMar>
              <w:top w:w="15" w:type="dxa"/>
              <w:left w:w="0" w:type="dxa"/>
              <w:bottom w:w="0" w:type="dxa"/>
              <w:right w:w="15" w:type="dxa"/>
            </w:tcMar>
            <w:vAlign w:val="bottom"/>
            <w:hideMark/>
          </w:tcPr>
          <w:p w14:paraId="23DB5378" w14:textId="77777777" w:rsidR="00000000" w:rsidRDefault="00B8284C">
            <w:pPr>
              <w:pStyle w:val="a3"/>
              <w:spacing w:before="0" w:beforeAutospacing="0" w:after="0" w:afterAutospacing="0"/>
              <w:rPr>
                <w:color w:val="000000"/>
                <w:sz w:val="20"/>
                <w:szCs w:val="20"/>
              </w:rPr>
            </w:pPr>
            <w:r>
              <w:rPr>
                <w:color w:val="000000"/>
                <w:sz w:val="20"/>
                <w:szCs w:val="20"/>
              </w:rPr>
              <w:t>Capitalized software development costs, net</w:t>
            </w:r>
          </w:p>
        </w:tc>
        <w:tc>
          <w:tcPr>
            <w:tcW w:w="79" w:type="pct"/>
            <w:shd w:val="clear" w:color="auto" w:fill="FFFFFF"/>
            <w:tcMar>
              <w:top w:w="15" w:type="dxa"/>
              <w:left w:w="0" w:type="dxa"/>
              <w:bottom w:w="0" w:type="dxa"/>
              <w:right w:w="15" w:type="dxa"/>
            </w:tcMar>
            <w:vAlign w:val="bottom"/>
            <w:hideMark/>
          </w:tcPr>
          <w:p w14:paraId="301DEBA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E61CF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4F20B85" w14:textId="77777777" w:rsidR="00000000" w:rsidRDefault="00B8284C">
            <w:pPr>
              <w:pStyle w:val="a3"/>
              <w:spacing w:before="0" w:beforeAutospacing="0" w:after="0" w:afterAutospacing="0"/>
              <w:jc w:val="right"/>
              <w:rPr>
                <w:color w:val="000000"/>
                <w:sz w:val="20"/>
                <w:szCs w:val="20"/>
              </w:rPr>
            </w:pPr>
            <w:r>
              <w:rPr>
                <w:color w:val="000000"/>
                <w:sz w:val="20"/>
                <w:szCs w:val="20"/>
              </w:rPr>
              <w:t>15,095</w:t>
            </w:r>
          </w:p>
        </w:tc>
        <w:tc>
          <w:tcPr>
            <w:tcW w:w="50" w:type="pct"/>
            <w:shd w:val="clear" w:color="auto" w:fill="FFFFFF"/>
            <w:noWrap/>
            <w:tcMar>
              <w:top w:w="15" w:type="dxa"/>
              <w:left w:w="0" w:type="dxa"/>
              <w:bottom w:w="0" w:type="dxa"/>
              <w:right w:w="15" w:type="dxa"/>
            </w:tcMar>
            <w:vAlign w:val="bottom"/>
            <w:hideMark/>
          </w:tcPr>
          <w:p w14:paraId="14B0B4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A039B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77A0B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35DBC7D" w14:textId="77777777" w:rsidR="00000000" w:rsidRDefault="00B8284C">
            <w:pPr>
              <w:pStyle w:val="a3"/>
              <w:spacing w:before="0" w:beforeAutospacing="0" w:after="0" w:afterAutospacing="0"/>
              <w:jc w:val="right"/>
              <w:rPr>
                <w:color w:val="000000"/>
                <w:sz w:val="20"/>
                <w:szCs w:val="20"/>
              </w:rPr>
            </w:pPr>
            <w:r>
              <w:rPr>
                <w:color w:val="000000"/>
                <w:sz w:val="20"/>
                <w:szCs w:val="20"/>
              </w:rPr>
              <w:t>12,746</w:t>
            </w:r>
          </w:p>
        </w:tc>
        <w:tc>
          <w:tcPr>
            <w:tcW w:w="50" w:type="pct"/>
            <w:shd w:val="clear" w:color="auto" w:fill="FFFFFF"/>
            <w:noWrap/>
            <w:tcMar>
              <w:top w:w="15" w:type="dxa"/>
              <w:left w:w="0" w:type="dxa"/>
              <w:bottom w:w="0" w:type="dxa"/>
              <w:right w:w="15" w:type="dxa"/>
            </w:tcMar>
            <w:vAlign w:val="bottom"/>
            <w:hideMark/>
          </w:tcPr>
          <w:p w14:paraId="5E14D4B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A8FD2A4" w14:textId="77777777">
        <w:trPr>
          <w:divId w:val="2010055894"/>
        </w:trPr>
        <w:tc>
          <w:tcPr>
            <w:tcW w:w="3354" w:type="pct"/>
            <w:shd w:val="clear" w:color="auto" w:fill="CFF0FC"/>
            <w:tcMar>
              <w:top w:w="15" w:type="dxa"/>
              <w:left w:w="0" w:type="dxa"/>
              <w:bottom w:w="0" w:type="dxa"/>
              <w:right w:w="15" w:type="dxa"/>
            </w:tcMar>
            <w:vAlign w:val="bottom"/>
            <w:hideMark/>
          </w:tcPr>
          <w:p w14:paraId="7D569461" w14:textId="77777777" w:rsidR="00000000" w:rsidRDefault="00B8284C">
            <w:pPr>
              <w:pStyle w:val="a3"/>
              <w:spacing w:before="0" w:beforeAutospacing="0" w:after="0" w:afterAutospacing="0"/>
              <w:rPr>
                <w:color w:val="000000"/>
                <w:sz w:val="20"/>
                <w:szCs w:val="20"/>
              </w:rPr>
            </w:pPr>
            <w:r>
              <w:rPr>
                <w:color w:val="000000"/>
                <w:sz w:val="20"/>
                <w:szCs w:val="20"/>
              </w:rPr>
              <w:t>Right-of-use assets</w:t>
            </w:r>
          </w:p>
        </w:tc>
        <w:tc>
          <w:tcPr>
            <w:tcW w:w="79" w:type="pct"/>
            <w:shd w:val="clear" w:color="auto" w:fill="CFF0FC"/>
            <w:tcMar>
              <w:top w:w="15" w:type="dxa"/>
              <w:left w:w="0" w:type="dxa"/>
              <w:bottom w:w="0" w:type="dxa"/>
              <w:right w:w="15" w:type="dxa"/>
            </w:tcMar>
            <w:vAlign w:val="bottom"/>
            <w:hideMark/>
          </w:tcPr>
          <w:p w14:paraId="7D874F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B14756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AE8B7D3" w14:textId="77777777" w:rsidR="00000000" w:rsidRDefault="00B8284C">
            <w:pPr>
              <w:pStyle w:val="a3"/>
              <w:spacing w:before="0" w:beforeAutospacing="0" w:after="0" w:afterAutospacing="0"/>
              <w:jc w:val="right"/>
              <w:rPr>
                <w:color w:val="000000"/>
                <w:sz w:val="20"/>
                <w:szCs w:val="20"/>
              </w:rPr>
            </w:pPr>
            <w:r>
              <w:rPr>
                <w:color w:val="000000"/>
                <w:sz w:val="20"/>
                <w:szCs w:val="20"/>
              </w:rPr>
              <w:t>215,797</w:t>
            </w:r>
          </w:p>
        </w:tc>
        <w:tc>
          <w:tcPr>
            <w:tcW w:w="50" w:type="pct"/>
            <w:shd w:val="clear" w:color="auto" w:fill="CFF0FC"/>
            <w:noWrap/>
            <w:tcMar>
              <w:top w:w="15" w:type="dxa"/>
              <w:left w:w="0" w:type="dxa"/>
              <w:bottom w:w="0" w:type="dxa"/>
              <w:right w:w="15" w:type="dxa"/>
            </w:tcMar>
            <w:vAlign w:val="bottom"/>
            <w:hideMark/>
          </w:tcPr>
          <w:p w14:paraId="7CE0F77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5D8253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CDAD1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C75E7AE"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245CB2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74D5168" w14:textId="77777777">
        <w:trPr>
          <w:divId w:val="2010055894"/>
        </w:trPr>
        <w:tc>
          <w:tcPr>
            <w:tcW w:w="3354" w:type="pct"/>
            <w:shd w:val="clear" w:color="auto" w:fill="FFFFFF"/>
            <w:tcMar>
              <w:top w:w="15" w:type="dxa"/>
              <w:left w:w="0" w:type="dxa"/>
              <w:bottom w:w="0" w:type="dxa"/>
              <w:right w:w="15" w:type="dxa"/>
            </w:tcMar>
            <w:vAlign w:val="bottom"/>
            <w:hideMark/>
          </w:tcPr>
          <w:p w14:paraId="6A90A2E2" w14:textId="77777777" w:rsidR="00000000" w:rsidRDefault="00B8284C">
            <w:pPr>
              <w:pStyle w:val="a3"/>
              <w:spacing w:before="0" w:beforeAutospacing="0" w:after="0" w:afterAutospacing="0"/>
              <w:rPr>
                <w:color w:val="000000"/>
                <w:sz w:val="20"/>
                <w:szCs w:val="20"/>
              </w:rPr>
            </w:pPr>
            <w:r>
              <w:rPr>
                <w:color w:val="000000"/>
                <w:sz w:val="20"/>
                <w:szCs w:val="20"/>
              </w:rPr>
              <w:t>Deferred commission expense, net of current portion</w:t>
            </w:r>
          </w:p>
        </w:tc>
        <w:tc>
          <w:tcPr>
            <w:tcW w:w="79" w:type="pct"/>
            <w:shd w:val="clear" w:color="auto" w:fill="FFFFFF"/>
            <w:tcMar>
              <w:top w:w="15" w:type="dxa"/>
              <w:left w:w="0" w:type="dxa"/>
              <w:bottom w:w="0" w:type="dxa"/>
              <w:right w:w="15" w:type="dxa"/>
            </w:tcMar>
            <w:vAlign w:val="bottom"/>
            <w:hideMark/>
          </w:tcPr>
          <w:p w14:paraId="49C5B8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5638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3CF9122" w14:textId="77777777" w:rsidR="00000000" w:rsidRDefault="00B8284C">
            <w:pPr>
              <w:pStyle w:val="a3"/>
              <w:spacing w:before="0" w:beforeAutospacing="0" w:after="0" w:afterAutospacing="0"/>
              <w:jc w:val="right"/>
              <w:rPr>
                <w:color w:val="000000"/>
                <w:sz w:val="20"/>
                <w:szCs w:val="20"/>
              </w:rPr>
            </w:pPr>
            <w:r>
              <w:rPr>
                <w:color w:val="000000"/>
                <w:sz w:val="20"/>
                <w:szCs w:val="20"/>
              </w:rPr>
              <w:t>17,608</w:t>
            </w:r>
          </w:p>
        </w:tc>
        <w:tc>
          <w:tcPr>
            <w:tcW w:w="50" w:type="pct"/>
            <w:shd w:val="clear" w:color="auto" w:fill="FFFFFF"/>
            <w:noWrap/>
            <w:tcMar>
              <w:top w:w="15" w:type="dxa"/>
              <w:left w:w="0" w:type="dxa"/>
              <w:bottom w:w="0" w:type="dxa"/>
              <w:right w:w="15" w:type="dxa"/>
            </w:tcMar>
            <w:vAlign w:val="bottom"/>
            <w:hideMark/>
          </w:tcPr>
          <w:p w14:paraId="6CFF96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244EBAB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5D37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2222941" w14:textId="77777777" w:rsidR="00000000" w:rsidRDefault="00B8284C">
            <w:pPr>
              <w:pStyle w:val="a3"/>
              <w:spacing w:before="0" w:beforeAutospacing="0" w:after="0" w:afterAutospacing="0"/>
              <w:jc w:val="right"/>
              <w:rPr>
                <w:color w:val="000000"/>
                <w:sz w:val="20"/>
                <w:szCs w:val="20"/>
              </w:rPr>
            </w:pPr>
            <w:r>
              <w:rPr>
                <w:color w:val="000000"/>
                <w:sz w:val="20"/>
                <w:szCs w:val="20"/>
              </w:rPr>
              <w:t>18,114</w:t>
            </w:r>
          </w:p>
        </w:tc>
        <w:tc>
          <w:tcPr>
            <w:tcW w:w="50" w:type="pct"/>
            <w:shd w:val="clear" w:color="auto" w:fill="FFFFFF"/>
            <w:noWrap/>
            <w:tcMar>
              <w:top w:w="15" w:type="dxa"/>
              <w:left w:w="0" w:type="dxa"/>
              <w:bottom w:w="0" w:type="dxa"/>
              <w:right w:w="15" w:type="dxa"/>
            </w:tcMar>
            <w:vAlign w:val="bottom"/>
            <w:hideMark/>
          </w:tcPr>
          <w:p w14:paraId="3395724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61ED057" w14:textId="77777777">
        <w:trPr>
          <w:divId w:val="2010055894"/>
        </w:trPr>
        <w:tc>
          <w:tcPr>
            <w:tcW w:w="3354" w:type="pct"/>
            <w:shd w:val="clear" w:color="auto" w:fill="CFF0FC"/>
            <w:tcMar>
              <w:top w:w="15" w:type="dxa"/>
              <w:left w:w="0" w:type="dxa"/>
              <w:bottom w:w="0" w:type="dxa"/>
              <w:right w:w="15" w:type="dxa"/>
            </w:tcMar>
            <w:vAlign w:val="bottom"/>
            <w:hideMark/>
          </w:tcPr>
          <w:p w14:paraId="3C38A6D3" w14:textId="77777777" w:rsidR="00000000" w:rsidRDefault="00B8284C">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14:paraId="6464AE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7F2B3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AA9D11E" w14:textId="77777777" w:rsidR="00000000" w:rsidRDefault="00B8284C">
            <w:pPr>
              <w:pStyle w:val="a3"/>
              <w:spacing w:before="0" w:beforeAutospacing="0" w:after="0" w:afterAutospacing="0"/>
              <w:jc w:val="right"/>
              <w:rPr>
                <w:color w:val="000000"/>
                <w:sz w:val="20"/>
                <w:szCs w:val="20"/>
              </w:rPr>
            </w:pPr>
            <w:r>
              <w:rPr>
                <w:color w:val="000000"/>
                <w:sz w:val="20"/>
                <w:szCs w:val="20"/>
              </w:rPr>
              <w:t>7,894</w:t>
            </w:r>
          </w:p>
        </w:tc>
        <w:tc>
          <w:tcPr>
            <w:tcW w:w="50" w:type="pct"/>
            <w:shd w:val="clear" w:color="auto" w:fill="CFF0FC"/>
            <w:noWrap/>
            <w:tcMar>
              <w:top w:w="15" w:type="dxa"/>
              <w:left w:w="0" w:type="dxa"/>
              <w:bottom w:w="0" w:type="dxa"/>
              <w:right w:w="15" w:type="dxa"/>
            </w:tcMar>
            <w:vAlign w:val="bottom"/>
            <w:hideMark/>
          </w:tcPr>
          <w:p w14:paraId="5FC85A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447517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0CB4B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57EC28E" w14:textId="77777777" w:rsidR="00000000" w:rsidRDefault="00B8284C">
            <w:pPr>
              <w:pStyle w:val="a3"/>
              <w:spacing w:before="0" w:beforeAutospacing="0" w:after="0" w:afterAutospacing="0"/>
              <w:jc w:val="right"/>
              <w:rPr>
                <w:color w:val="000000"/>
                <w:sz w:val="20"/>
                <w:szCs w:val="20"/>
              </w:rPr>
            </w:pPr>
            <w:r>
              <w:rPr>
                <w:color w:val="000000"/>
                <w:sz w:val="20"/>
                <w:szCs w:val="20"/>
              </w:rPr>
              <w:t>6,888</w:t>
            </w:r>
          </w:p>
        </w:tc>
        <w:tc>
          <w:tcPr>
            <w:tcW w:w="50" w:type="pct"/>
            <w:shd w:val="clear" w:color="auto" w:fill="CFF0FC"/>
            <w:noWrap/>
            <w:tcMar>
              <w:top w:w="15" w:type="dxa"/>
              <w:left w:w="0" w:type="dxa"/>
              <w:bottom w:w="0" w:type="dxa"/>
              <w:right w:w="15" w:type="dxa"/>
            </w:tcMar>
            <w:vAlign w:val="bottom"/>
            <w:hideMark/>
          </w:tcPr>
          <w:p w14:paraId="6AFA79C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FF4AFD9" w14:textId="77777777">
        <w:trPr>
          <w:divId w:val="2010055894"/>
        </w:trPr>
        <w:tc>
          <w:tcPr>
            <w:tcW w:w="3354" w:type="pct"/>
            <w:shd w:val="clear" w:color="auto" w:fill="FFFFFF"/>
            <w:tcMar>
              <w:top w:w="15" w:type="dxa"/>
              <w:left w:w="0" w:type="dxa"/>
              <w:bottom w:w="0" w:type="dxa"/>
              <w:right w:w="15" w:type="dxa"/>
            </w:tcMar>
            <w:vAlign w:val="bottom"/>
            <w:hideMark/>
          </w:tcPr>
          <w:p w14:paraId="072B55A0" w14:textId="77777777" w:rsidR="00000000" w:rsidRDefault="00B8284C">
            <w:pPr>
              <w:pStyle w:val="a3"/>
              <w:spacing w:before="0" w:beforeAutospacing="0" w:after="0" w:afterAutospacing="0"/>
              <w:rPr>
                <w:color w:val="000000"/>
                <w:sz w:val="20"/>
                <w:szCs w:val="20"/>
              </w:rPr>
            </w:pPr>
            <w:r>
              <w:rPr>
                <w:color w:val="000000"/>
                <w:sz w:val="20"/>
                <w:szCs w:val="20"/>
              </w:rPr>
              <w:t>Intangible assets, net</w:t>
            </w:r>
          </w:p>
        </w:tc>
        <w:tc>
          <w:tcPr>
            <w:tcW w:w="79" w:type="pct"/>
            <w:shd w:val="clear" w:color="auto" w:fill="FFFFFF"/>
            <w:tcMar>
              <w:top w:w="15" w:type="dxa"/>
              <w:left w:w="0" w:type="dxa"/>
              <w:bottom w:w="0" w:type="dxa"/>
              <w:right w:w="15" w:type="dxa"/>
            </w:tcMar>
            <w:vAlign w:val="bottom"/>
            <w:hideMark/>
          </w:tcPr>
          <w:p w14:paraId="2480A1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C2BAE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A88DC20" w14:textId="77777777" w:rsidR="00000000" w:rsidRDefault="00B8284C">
            <w:pPr>
              <w:pStyle w:val="a3"/>
              <w:spacing w:before="0" w:beforeAutospacing="0" w:after="0" w:afterAutospacing="0"/>
              <w:jc w:val="right"/>
              <w:rPr>
                <w:color w:val="000000"/>
                <w:sz w:val="20"/>
                <w:szCs w:val="20"/>
              </w:rPr>
            </w:pPr>
            <w:r>
              <w:rPr>
                <w:color w:val="000000"/>
                <w:sz w:val="20"/>
                <w:szCs w:val="20"/>
              </w:rPr>
              <w:t>2,556</w:t>
            </w:r>
          </w:p>
        </w:tc>
        <w:tc>
          <w:tcPr>
            <w:tcW w:w="50" w:type="pct"/>
            <w:shd w:val="clear" w:color="auto" w:fill="FFFFFF"/>
            <w:noWrap/>
            <w:tcMar>
              <w:top w:w="15" w:type="dxa"/>
              <w:left w:w="0" w:type="dxa"/>
              <w:bottom w:w="0" w:type="dxa"/>
              <w:right w:w="15" w:type="dxa"/>
            </w:tcMar>
            <w:vAlign w:val="bottom"/>
            <w:hideMark/>
          </w:tcPr>
          <w:p w14:paraId="7F7198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3E3488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6204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8605C83" w14:textId="77777777" w:rsidR="00000000" w:rsidRDefault="00B8284C">
            <w:pPr>
              <w:pStyle w:val="a3"/>
              <w:spacing w:before="0" w:beforeAutospacing="0" w:after="0" w:afterAutospacing="0"/>
              <w:jc w:val="right"/>
              <w:rPr>
                <w:color w:val="000000"/>
                <w:sz w:val="20"/>
                <w:szCs w:val="20"/>
              </w:rPr>
            </w:pPr>
            <w:r>
              <w:rPr>
                <w:color w:val="000000"/>
                <w:sz w:val="20"/>
                <w:szCs w:val="20"/>
              </w:rPr>
              <w:t>4,919</w:t>
            </w:r>
          </w:p>
        </w:tc>
        <w:tc>
          <w:tcPr>
            <w:tcW w:w="50" w:type="pct"/>
            <w:shd w:val="clear" w:color="auto" w:fill="FFFFFF"/>
            <w:noWrap/>
            <w:tcMar>
              <w:top w:w="15" w:type="dxa"/>
              <w:left w:w="0" w:type="dxa"/>
              <w:bottom w:w="0" w:type="dxa"/>
              <w:right w:w="15" w:type="dxa"/>
            </w:tcMar>
            <w:vAlign w:val="bottom"/>
            <w:hideMark/>
          </w:tcPr>
          <w:p w14:paraId="13C9CE1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9968A2A" w14:textId="77777777">
        <w:trPr>
          <w:divId w:val="2010055894"/>
        </w:trPr>
        <w:tc>
          <w:tcPr>
            <w:tcW w:w="3354" w:type="pct"/>
            <w:shd w:val="clear" w:color="auto" w:fill="CFF0FC"/>
            <w:tcMar>
              <w:top w:w="15" w:type="dxa"/>
              <w:left w:w="0" w:type="dxa"/>
              <w:bottom w:w="0" w:type="dxa"/>
              <w:right w:w="15" w:type="dxa"/>
            </w:tcMar>
            <w:vAlign w:val="bottom"/>
            <w:hideMark/>
          </w:tcPr>
          <w:p w14:paraId="290AE559" w14:textId="77777777" w:rsidR="00000000" w:rsidRDefault="00B8284C">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CFF0FC"/>
            <w:tcMar>
              <w:top w:w="15" w:type="dxa"/>
              <w:left w:w="0" w:type="dxa"/>
              <w:bottom w:w="0" w:type="dxa"/>
              <w:right w:w="15" w:type="dxa"/>
            </w:tcMar>
            <w:vAlign w:val="bottom"/>
            <w:hideMark/>
          </w:tcPr>
          <w:p w14:paraId="220D4A7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EEAD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498FFF8D" w14:textId="77777777" w:rsidR="00000000" w:rsidRDefault="00B8284C">
            <w:pPr>
              <w:pStyle w:val="a3"/>
              <w:spacing w:before="0" w:beforeAutospacing="0" w:after="0" w:afterAutospacing="0"/>
              <w:jc w:val="right"/>
              <w:rPr>
                <w:color w:val="000000"/>
                <w:sz w:val="20"/>
                <w:szCs w:val="20"/>
              </w:rPr>
            </w:pPr>
            <w:r>
              <w:rPr>
                <w:color w:val="000000"/>
                <w:sz w:val="20"/>
                <w:szCs w:val="20"/>
              </w:rPr>
              <w:t>14,950</w:t>
            </w:r>
          </w:p>
        </w:tc>
        <w:tc>
          <w:tcPr>
            <w:tcW w:w="50" w:type="pct"/>
            <w:shd w:val="clear" w:color="auto" w:fill="CFF0FC"/>
            <w:noWrap/>
            <w:tcMar>
              <w:top w:w="15" w:type="dxa"/>
              <w:left w:w="0" w:type="dxa"/>
              <w:bottom w:w="0" w:type="dxa"/>
              <w:right w:w="15" w:type="dxa"/>
            </w:tcMar>
            <w:vAlign w:val="bottom"/>
            <w:hideMark/>
          </w:tcPr>
          <w:p w14:paraId="344B942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52802E8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A86DDD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42FA7726" w14:textId="77777777" w:rsidR="00000000" w:rsidRDefault="00B8284C">
            <w:pPr>
              <w:pStyle w:val="a3"/>
              <w:spacing w:before="0" w:beforeAutospacing="0" w:after="0" w:afterAutospacing="0"/>
              <w:jc w:val="right"/>
              <w:rPr>
                <w:color w:val="000000"/>
                <w:sz w:val="20"/>
                <w:szCs w:val="20"/>
              </w:rPr>
            </w:pPr>
            <w:r>
              <w:rPr>
                <w:color w:val="000000"/>
                <w:sz w:val="20"/>
                <w:szCs w:val="20"/>
              </w:rPr>
              <w:t>14,950</w:t>
            </w:r>
          </w:p>
        </w:tc>
        <w:tc>
          <w:tcPr>
            <w:tcW w:w="50" w:type="pct"/>
            <w:shd w:val="clear" w:color="auto" w:fill="CFF0FC"/>
            <w:noWrap/>
            <w:tcMar>
              <w:top w:w="15" w:type="dxa"/>
              <w:left w:w="0" w:type="dxa"/>
              <w:bottom w:w="0" w:type="dxa"/>
              <w:right w:w="15" w:type="dxa"/>
            </w:tcMar>
            <w:vAlign w:val="bottom"/>
            <w:hideMark/>
          </w:tcPr>
          <w:p w14:paraId="1DB9BD0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E00AF88" w14:textId="77777777">
        <w:trPr>
          <w:divId w:val="2010055894"/>
        </w:trPr>
        <w:tc>
          <w:tcPr>
            <w:tcW w:w="3354" w:type="pct"/>
            <w:shd w:val="clear" w:color="auto" w:fill="FFFFFF"/>
            <w:tcMar>
              <w:top w:w="15" w:type="dxa"/>
              <w:left w:w="0" w:type="dxa"/>
              <w:bottom w:w="0" w:type="dxa"/>
              <w:right w:w="15" w:type="dxa"/>
            </w:tcMar>
            <w:vAlign w:val="bottom"/>
            <w:hideMark/>
          </w:tcPr>
          <w:p w14:paraId="1F3F636C" w14:textId="77777777" w:rsidR="00000000" w:rsidRDefault="00B8284C">
            <w:pPr>
              <w:pStyle w:val="a3"/>
              <w:spacing w:before="0" w:beforeAutospacing="0" w:after="0" w:afterAutospacing="0"/>
              <w:rPr>
                <w:b/>
                <w:bCs/>
                <w:color w:val="000000"/>
                <w:sz w:val="20"/>
                <w:szCs w:val="20"/>
              </w:rPr>
            </w:pPr>
            <w:r>
              <w:rPr>
                <w:b/>
                <w:bCs/>
                <w:color w:val="000000"/>
                <w:sz w:val="20"/>
                <w:szCs w:val="20"/>
              </w:rPr>
              <w:t>Total assets</w:t>
            </w:r>
          </w:p>
        </w:tc>
        <w:tc>
          <w:tcPr>
            <w:tcW w:w="79" w:type="pct"/>
            <w:shd w:val="clear" w:color="auto" w:fill="FFFFFF"/>
            <w:tcMar>
              <w:top w:w="15" w:type="dxa"/>
              <w:left w:w="0" w:type="dxa"/>
              <w:bottom w:w="0" w:type="dxa"/>
              <w:right w:w="15" w:type="dxa"/>
            </w:tcMar>
            <w:vAlign w:val="bottom"/>
            <w:hideMark/>
          </w:tcPr>
          <w:p w14:paraId="5DD5EAF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A30F0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484FD9F" w14:textId="77777777" w:rsidR="00000000" w:rsidRDefault="00B8284C">
            <w:pPr>
              <w:pStyle w:val="a3"/>
              <w:spacing w:before="0" w:beforeAutospacing="0" w:after="0" w:afterAutospacing="0"/>
              <w:jc w:val="right"/>
              <w:rPr>
                <w:color w:val="000000"/>
                <w:sz w:val="20"/>
                <w:szCs w:val="20"/>
              </w:rPr>
            </w:pPr>
            <w:r>
              <w:rPr>
                <w:color w:val="000000"/>
                <w:sz w:val="20"/>
                <w:szCs w:val="20"/>
              </w:rPr>
              <w:t>1,478,881</w:t>
            </w:r>
          </w:p>
        </w:tc>
        <w:tc>
          <w:tcPr>
            <w:tcW w:w="50" w:type="pct"/>
            <w:shd w:val="clear" w:color="auto" w:fill="FFFFFF"/>
            <w:noWrap/>
            <w:tcMar>
              <w:top w:w="15" w:type="dxa"/>
              <w:left w:w="0" w:type="dxa"/>
              <w:bottom w:w="0" w:type="dxa"/>
              <w:right w:w="15" w:type="dxa"/>
            </w:tcMar>
            <w:vAlign w:val="bottom"/>
            <w:hideMark/>
          </w:tcPr>
          <w:p w14:paraId="2D02BA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CC7A51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1590B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5E88A3" w14:textId="77777777" w:rsidR="00000000" w:rsidRDefault="00B8284C">
            <w:pPr>
              <w:pStyle w:val="a3"/>
              <w:spacing w:before="0" w:beforeAutospacing="0" w:after="0" w:afterAutospacing="0"/>
              <w:jc w:val="right"/>
              <w:rPr>
                <w:color w:val="000000"/>
                <w:sz w:val="20"/>
                <w:szCs w:val="20"/>
              </w:rPr>
            </w:pPr>
            <w:r>
              <w:rPr>
                <w:color w:val="000000"/>
                <w:sz w:val="20"/>
                <w:szCs w:val="20"/>
              </w:rPr>
              <w:t>833,953</w:t>
            </w:r>
          </w:p>
        </w:tc>
        <w:tc>
          <w:tcPr>
            <w:tcW w:w="50" w:type="pct"/>
            <w:shd w:val="clear" w:color="auto" w:fill="FFFFFF"/>
            <w:noWrap/>
            <w:tcMar>
              <w:top w:w="15" w:type="dxa"/>
              <w:left w:w="0" w:type="dxa"/>
              <w:bottom w:w="0" w:type="dxa"/>
              <w:right w:w="15" w:type="dxa"/>
            </w:tcMar>
            <w:vAlign w:val="bottom"/>
            <w:hideMark/>
          </w:tcPr>
          <w:p w14:paraId="05ACB74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A6DBB47" w14:textId="77777777">
        <w:trPr>
          <w:divId w:val="2010055894"/>
        </w:trPr>
        <w:tc>
          <w:tcPr>
            <w:tcW w:w="3354" w:type="pct"/>
            <w:shd w:val="clear" w:color="auto" w:fill="CFF0FC"/>
            <w:tcMar>
              <w:top w:w="15" w:type="dxa"/>
              <w:left w:w="0" w:type="dxa"/>
              <w:bottom w:w="0" w:type="dxa"/>
              <w:right w:w="15" w:type="dxa"/>
            </w:tcMar>
            <w:vAlign w:val="bottom"/>
            <w:hideMark/>
          </w:tcPr>
          <w:p w14:paraId="0B5AD4D8" w14:textId="77777777" w:rsidR="00000000" w:rsidRDefault="00B8284C">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79" w:type="pct"/>
            <w:shd w:val="clear" w:color="auto" w:fill="CFF0FC"/>
            <w:tcMar>
              <w:top w:w="15" w:type="dxa"/>
              <w:left w:w="0" w:type="dxa"/>
              <w:bottom w:w="0" w:type="dxa"/>
              <w:right w:w="15" w:type="dxa"/>
            </w:tcMar>
            <w:vAlign w:val="bottom"/>
            <w:hideMark/>
          </w:tcPr>
          <w:p w14:paraId="36A40D2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E9A65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143D0CA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1C119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0DC291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92169F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51EBFAC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01A04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0E160BA" w14:textId="77777777">
        <w:trPr>
          <w:divId w:val="2010055894"/>
        </w:trPr>
        <w:tc>
          <w:tcPr>
            <w:tcW w:w="3354" w:type="pct"/>
            <w:shd w:val="clear" w:color="auto" w:fill="FFFFFF"/>
            <w:tcMar>
              <w:top w:w="15" w:type="dxa"/>
              <w:left w:w="0" w:type="dxa"/>
              <w:bottom w:w="0" w:type="dxa"/>
              <w:right w:w="15" w:type="dxa"/>
            </w:tcMar>
            <w:vAlign w:val="bottom"/>
            <w:hideMark/>
          </w:tcPr>
          <w:p w14:paraId="2EB64838" w14:textId="77777777" w:rsidR="00000000" w:rsidRDefault="00B8284C">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FFFFFF"/>
            <w:tcMar>
              <w:top w:w="15" w:type="dxa"/>
              <w:left w:w="0" w:type="dxa"/>
              <w:bottom w:w="0" w:type="dxa"/>
              <w:right w:w="15" w:type="dxa"/>
            </w:tcMar>
            <w:vAlign w:val="bottom"/>
            <w:hideMark/>
          </w:tcPr>
          <w:p w14:paraId="21FD536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746B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341A83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DF4FA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9FE7A7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AC79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DAACC1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638490"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0F4DC83" w14:textId="77777777">
        <w:trPr>
          <w:divId w:val="2010055894"/>
        </w:trPr>
        <w:tc>
          <w:tcPr>
            <w:tcW w:w="3354" w:type="pct"/>
            <w:shd w:val="clear" w:color="auto" w:fill="CFF0FC"/>
            <w:tcMar>
              <w:top w:w="15" w:type="dxa"/>
              <w:left w:w="0" w:type="dxa"/>
              <w:bottom w:w="0" w:type="dxa"/>
              <w:right w:w="15" w:type="dxa"/>
            </w:tcMar>
            <w:vAlign w:val="bottom"/>
            <w:hideMark/>
          </w:tcPr>
          <w:p w14:paraId="1148A64D" w14:textId="77777777" w:rsidR="00000000" w:rsidRDefault="00B8284C">
            <w:pPr>
              <w:pStyle w:val="a3"/>
              <w:spacing w:before="0" w:beforeAutospacing="0" w:after="0" w:afterAutospacing="0"/>
              <w:ind w:left="274"/>
              <w:rPr>
                <w:color w:val="000000"/>
                <w:sz w:val="20"/>
                <w:szCs w:val="20"/>
              </w:rPr>
            </w:pPr>
            <w:r>
              <w:rPr>
                <w:color w:val="000000"/>
                <w:sz w:val="20"/>
                <w:szCs w:val="20"/>
              </w:rPr>
              <w:t>Accounts payable</w:t>
            </w:r>
          </w:p>
        </w:tc>
        <w:tc>
          <w:tcPr>
            <w:tcW w:w="79" w:type="pct"/>
            <w:shd w:val="clear" w:color="auto" w:fill="CFF0FC"/>
            <w:tcMar>
              <w:top w:w="15" w:type="dxa"/>
              <w:left w:w="0" w:type="dxa"/>
              <w:bottom w:w="0" w:type="dxa"/>
              <w:right w:w="15" w:type="dxa"/>
            </w:tcMar>
            <w:vAlign w:val="bottom"/>
            <w:hideMark/>
          </w:tcPr>
          <w:p w14:paraId="2B208CA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C08A6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67898F6A" w14:textId="77777777" w:rsidR="00000000" w:rsidRDefault="00B8284C">
            <w:pPr>
              <w:pStyle w:val="a3"/>
              <w:spacing w:before="0" w:beforeAutospacing="0" w:after="0" w:afterAutospacing="0"/>
              <w:jc w:val="right"/>
              <w:rPr>
                <w:color w:val="000000"/>
                <w:sz w:val="20"/>
                <w:szCs w:val="20"/>
              </w:rPr>
            </w:pPr>
            <w:r>
              <w:rPr>
                <w:color w:val="000000"/>
                <w:sz w:val="20"/>
                <w:szCs w:val="20"/>
              </w:rPr>
              <w:t>14,882</w:t>
            </w:r>
          </w:p>
        </w:tc>
        <w:tc>
          <w:tcPr>
            <w:tcW w:w="50" w:type="pct"/>
            <w:shd w:val="clear" w:color="auto" w:fill="CFF0FC"/>
            <w:noWrap/>
            <w:tcMar>
              <w:top w:w="15" w:type="dxa"/>
              <w:left w:w="0" w:type="dxa"/>
              <w:bottom w:w="0" w:type="dxa"/>
              <w:right w:w="15" w:type="dxa"/>
            </w:tcMar>
            <w:vAlign w:val="bottom"/>
            <w:hideMark/>
          </w:tcPr>
          <w:p w14:paraId="234FD0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7EEE27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73B0F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1B5918F3" w14:textId="77777777" w:rsidR="00000000" w:rsidRDefault="00B8284C">
            <w:pPr>
              <w:pStyle w:val="a3"/>
              <w:spacing w:before="0" w:beforeAutospacing="0" w:after="0" w:afterAutospacing="0"/>
              <w:jc w:val="right"/>
              <w:rPr>
                <w:color w:val="000000"/>
                <w:sz w:val="20"/>
                <w:szCs w:val="20"/>
              </w:rPr>
            </w:pPr>
            <w:r>
              <w:rPr>
                <w:color w:val="000000"/>
                <w:sz w:val="20"/>
                <w:szCs w:val="20"/>
              </w:rPr>
              <w:t>7,810</w:t>
            </w:r>
          </w:p>
        </w:tc>
        <w:tc>
          <w:tcPr>
            <w:tcW w:w="50" w:type="pct"/>
            <w:shd w:val="clear" w:color="auto" w:fill="CFF0FC"/>
            <w:noWrap/>
            <w:tcMar>
              <w:top w:w="15" w:type="dxa"/>
              <w:left w:w="0" w:type="dxa"/>
              <w:bottom w:w="0" w:type="dxa"/>
              <w:right w:w="15" w:type="dxa"/>
            </w:tcMar>
            <w:vAlign w:val="bottom"/>
            <w:hideMark/>
          </w:tcPr>
          <w:p w14:paraId="441EE99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B3A5923" w14:textId="77777777">
        <w:trPr>
          <w:divId w:val="2010055894"/>
        </w:trPr>
        <w:tc>
          <w:tcPr>
            <w:tcW w:w="3354" w:type="pct"/>
            <w:shd w:val="clear" w:color="auto" w:fill="FFFFFF"/>
            <w:tcMar>
              <w:top w:w="15" w:type="dxa"/>
              <w:left w:w="0" w:type="dxa"/>
              <w:bottom w:w="0" w:type="dxa"/>
              <w:right w:w="15" w:type="dxa"/>
            </w:tcMar>
            <w:vAlign w:val="bottom"/>
            <w:hideMark/>
          </w:tcPr>
          <w:p w14:paraId="7CBC7B6E" w14:textId="77777777" w:rsidR="00000000" w:rsidRDefault="00B8284C">
            <w:pPr>
              <w:pStyle w:val="a3"/>
              <w:spacing w:before="0" w:beforeAutospacing="0" w:after="0" w:afterAutospacing="0"/>
              <w:ind w:left="274"/>
              <w:rPr>
                <w:color w:val="000000"/>
                <w:sz w:val="20"/>
                <w:szCs w:val="20"/>
              </w:rPr>
            </w:pPr>
            <w:r>
              <w:rPr>
                <w:color w:val="000000"/>
                <w:sz w:val="20"/>
                <w:szCs w:val="20"/>
              </w:rPr>
              <w:t>Accrued compensation costs</w:t>
            </w:r>
          </w:p>
        </w:tc>
        <w:tc>
          <w:tcPr>
            <w:tcW w:w="79" w:type="pct"/>
            <w:shd w:val="clear" w:color="auto" w:fill="FFFFFF"/>
            <w:tcMar>
              <w:top w:w="15" w:type="dxa"/>
              <w:left w:w="0" w:type="dxa"/>
              <w:bottom w:w="0" w:type="dxa"/>
              <w:right w:w="15" w:type="dxa"/>
            </w:tcMar>
            <w:vAlign w:val="bottom"/>
            <w:hideMark/>
          </w:tcPr>
          <w:p w14:paraId="65D8364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A628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B7A8A8A" w14:textId="77777777" w:rsidR="00000000" w:rsidRDefault="00B8284C">
            <w:pPr>
              <w:pStyle w:val="a3"/>
              <w:spacing w:before="0" w:beforeAutospacing="0" w:after="0" w:afterAutospacing="0"/>
              <w:jc w:val="right"/>
              <w:rPr>
                <w:color w:val="000000"/>
                <w:sz w:val="20"/>
                <w:szCs w:val="20"/>
              </w:rPr>
            </w:pPr>
            <w:r>
              <w:rPr>
                <w:color w:val="000000"/>
                <w:sz w:val="20"/>
                <w:szCs w:val="20"/>
              </w:rPr>
              <w:t>23,913</w:t>
            </w:r>
          </w:p>
        </w:tc>
        <w:tc>
          <w:tcPr>
            <w:tcW w:w="50" w:type="pct"/>
            <w:shd w:val="clear" w:color="auto" w:fill="FFFFFF"/>
            <w:noWrap/>
            <w:tcMar>
              <w:top w:w="15" w:type="dxa"/>
              <w:left w:w="0" w:type="dxa"/>
              <w:bottom w:w="0" w:type="dxa"/>
              <w:right w:w="15" w:type="dxa"/>
            </w:tcMar>
            <w:vAlign w:val="bottom"/>
            <w:hideMark/>
          </w:tcPr>
          <w:p w14:paraId="1721AB5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1B644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7A48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638B91E" w14:textId="77777777" w:rsidR="00000000" w:rsidRDefault="00B8284C">
            <w:pPr>
              <w:pStyle w:val="a3"/>
              <w:spacing w:before="0" w:beforeAutospacing="0" w:after="0" w:afterAutospacing="0"/>
              <w:jc w:val="right"/>
              <w:rPr>
                <w:color w:val="000000"/>
                <w:sz w:val="20"/>
                <w:szCs w:val="20"/>
              </w:rPr>
            </w:pPr>
            <w:r>
              <w:rPr>
                <w:color w:val="000000"/>
                <w:sz w:val="20"/>
                <w:szCs w:val="20"/>
              </w:rPr>
              <w:t>23,589</w:t>
            </w:r>
          </w:p>
        </w:tc>
        <w:tc>
          <w:tcPr>
            <w:tcW w:w="50" w:type="pct"/>
            <w:shd w:val="clear" w:color="auto" w:fill="FFFFFF"/>
            <w:noWrap/>
            <w:tcMar>
              <w:top w:w="15" w:type="dxa"/>
              <w:left w:w="0" w:type="dxa"/>
              <w:bottom w:w="0" w:type="dxa"/>
              <w:right w:w="15" w:type="dxa"/>
            </w:tcMar>
            <w:vAlign w:val="bottom"/>
            <w:hideMark/>
          </w:tcPr>
          <w:p w14:paraId="19227DA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6777B74" w14:textId="77777777">
        <w:trPr>
          <w:divId w:val="2010055894"/>
        </w:trPr>
        <w:tc>
          <w:tcPr>
            <w:tcW w:w="3354" w:type="pct"/>
            <w:shd w:val="clear" w:color="auto" w:fill="CFF0FC"/>
            <w:tcMar>
              <w:top w:w="15" w:type="dxa"/>
              <w:left w:w="0" w:type="dxa"/>
              <w:bottom w:w="0" w:type="dxa"/>
              <w:right w:w="15" w:type="dxa"/>
            </w:tcMar>
            <w:vAlign w:val="bottom"/>
            <w:hideMark/>
          </w:tcPr>
          <w:p w14:paraId="687A70C6" w14:textId="77777777" w:rsidR="00000000" w:rsidRDefault="00B8284C">
            <w:pPr>
              <w:pStyle w:val="a3"/>
              <w:spacing w:before="0" w:beforeAutospacing="0" w:after="0" w:afterAutospacing="0"/>
              <w:ind w:left="274"/>
              <w:rPr>
                <w:color w:val="000000"/>
                <w:sz w:val="20"/>
                <w:szCs w:val="20"/>
              </w:rPr>
            </w:pPr>
            <w:r>
              <w:rPr>
                <w:color w:val="000000"/>
                <w:sz w:val="20"/>
                <w:szCs w:val="20"/>
              </w:rPr>
              <w:t>Accrued expenses and other current liabilities</w:t>
            </w:r>
          </w:p>
        </w:tc>
        <w:tc>
          <w:tcPr>
            <w:tcW w:w="79" w:type="pct"/>
            <w:shd w:val="clear" w:color="auto" w:fill="CFF0FC"/>
            <w:tcMar>
              <w:top w:w="15" w:type="dxa"/>
              <w:left w:w="0" w:type="dxa"/>
              <w:bottom w:w="0" w:type="dxa"/>
              <w:right w:w="15" w:type="dxa"/>
            </w:tcMar>
            <w:vAlign w:val="bottom"/>
            <w:hideMark/>
          </w:tcPr>
          <w:p w14:paraId="3C454CB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9C30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803C819" w14:textId="77777777" w:rsidR="00000000" w:rsidRDefault="00B8284C">
            <w:pPr>
              <w:pStyle w:val="a3"/>
              <w:spacing w:before="0" w:beforeAutospacing="0" w:after="0" w:afterAutospacing="0"/>
              <w:jc w:val="right"/>
              <w:rPr>
                <w:color w:val="000000"/>
                <w:sz w:val="20"/>
                <w:szCs w:val="20"/>
              </w:rPr>
            </w:pPr>
            <w:r>
              <w:rPr>
                <w:color w:val="000000"/>
                <w:sz w:val="20"/>
                <w:szCs w:val="20"/>
              </w:rPr>
              <w:t>25,706</w:t>
            </w:r>
          </w:p>
        </w:tc>
        <w:tc>
          <w:tcPr>
            <w:tcW w:w="50" w:type="pct"/>
            <w:shd w:val="clear" w:color="auto" w:fill="CFF0FC"/>
            <w:noWrap/>
            <w:tcMar>
              <w:top w:w="15" w:type="dxa"/>
              <w:left w:w="0" w:type="dxa"/>
              <w:bottom w:w="0" w:type="dxa"/>
              <w:right w:w="15" w:type="dxa"/>
            </w:tcMar>
            <w:vAlign w:val="bottom"/>
            <w:hideMark/>
          </w:tcPr>
          <w:p w14:paraId="14200E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CD8E6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0D61C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46C07BF" w14:textId="77777777" w:rsidR="00000000" w:rsidRDefault="00B8284C">
            <w:pPr>
              <w:pStyle w:val="a3"/>
              <w:spacing w:before="0" w:beforeAutospacing="0" w:after="0" w:afterAutospacing="0"/>
              <w:jc w:val="right"/>
              <w:rPr>
                <w:color w:val="000000"/>
                <w:sz w:val="20"/>
                <w:szCs w:val="20"/>
              </w:rPr>
            </w:pPr>
            <w:r>
              <w:rPr>
                <w:color w:val="000000"/>
                <w:sz w:val="20"/>
                <w:szCs w:val="20"/>
              </w:rPr>
              <w:t>22,305</w:t>
            </w:r>
          </w:p>
        </w:tc>
        <w:tc>
          <w:tcPr>
            <w:tcW w:w="50" w:type="pct"/>
            <w:shd w:val="clear" w:color="auto" w:fill="CFF0FC"/>
            <w:noWrap/>
            <w:tcMar>
              <w:top w:w="15" w:type="dxa"/>
              <w:left w:w="0" w:type="dxa"/>
              <w:bottom w:w="0" w:type="dxa"/>
              <w:right w:w="15" w:type="dxa"/>
            </w:tcMar>
            <w:vAlign w:val="bottom"/>
            <w:hideMark/>
          </w:tcPr>
          <w:p w14:paraId="4F72140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B4133F4" w14:textId="77777777">
        <w:trPr>
          <w:divId w:val="2010055894"/>
        </w:trPr>
        <w:tc>
          <w:tcPr>
            <w:tcW w:w="3354" w:type="pct"/>
            <w:shd w:val="clear" w:color="auto" w:fill="FFFFFF"/>
            <w:tcMar>
              <w:top w:w="15" w:type="dxa"/>
              <w:left w:w="0" w:type="dxa"/>
              <w:bottom w:w="0" w:type="dxa"/>
              <w:right w:w="15" w:type="dxa"/>
            </w:tcMar>
            <w:vAlign w:val="bottom"/>
            <w:hideMark/>
          </w:tcPr>
          <w:p w14:paraId="10C7F759" w14:textId="77777777" w:rsidR="00000000" w:rsidRDefault="00B8284C">
            <w:pPr>
              <w:pStyle w:val="a3"/>
              <w:spacing w:before="0" w:beforeAutospacing="0" w:after="0" w:afterAutospacing="0"/>
              <w:ind w:left="274"/>
              <w:rPr>
                <w:color w:val="000000"/>
                <w:sz w:val="20"/>
                <w:szCs w:val="20"/>
              </w:rPr>
            </w:pPr>
            <w:r>
              <w:rPr>
                <w:color w:val="000000"/>
                <w:sz w:val="20"/>
                <w:szCs w:val="20"/>
              </w:rPr>
              <w:t>Lease liabilities</w:t>
            </w:r>
          </w:p>
        </w:tc>
        <w:tc>
          <w:tcPr>
            <w:tcW w:w="79" w:type="pct"/>
            <w:shd w:val="clear" w:color="auto" w:fill="FFFFFF"/>
            <w:tcMar>
              <w:top w:w="15" w:type="dxa"/>
              <w:left w:w="0" w:type="dxa"/>
              <w:bottom w:w="0" w:type="dxa"/>
              <w:right w:w="15" w:type="dxa"/>
            </w:tcMar>
            <w:vAlign w:val="bottom"/>
            <w:hideMark/>
          </w:tcPr>
          <w:p w14:paraId="6268BB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EE9AE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AB99BF5" w14:textId="77777777" w:rsidR="00000000" w:rsidRDefault="00B8284C">
            <w:pPr>
              <w:pStyle w:val="a3"/>
              <w:spacing w:before="0" w:beforeAutospacing="0" w:after="0" w:afterAutospacing="0"/>
              <w:jc w:val="right"/>
              <w:rPr>
                <w:color w:val="000000"/>
                <w:sz w:val="20"/>
                <w:szCs w:val="20"/>
              </w:rPr>
            </w:pPr>
            <w:r>
              <w:rPr>
                <w:color w:val="000000"/>
                <w:sz w:val="20"/>
                <w:szCs w:val="20"/>
              </w:rPr>
              <w:t>15,646</w:t>
            </w:r>
          </w:p>
        </w:tc>
        <w:tc>
          <w:tcPr>
            <w:tcW w:w="50" w:type="pct"/>
            <w:shd w:val="clear" w:color="auto" w:fill="FFFFFF"/>
            <w:noWrap/>
            <w:tcMar>
              <w:top w:w="15" w:type="dxa"/>
              <w:left w:w="0" w:type="dxa"/>
              <w:bottom w:w="0" w:type="dxa"/>
              <w:right w:w="15" w:type="dxa"/>
            </w:tcMar>
            <w:vAlign w:val="bottom"/>
            <w:hideMark/>
          </w:tcPr>
          <w:p w14:paraId="6DA0F2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283F2F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0BC4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D773D2D"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272DAC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CEAAAAC" w14:textId="77777777">
        <w:trPr>
          <w:divId w:val="2010055894"/>
        </w:trPr>
        <w:tc>
          <w:tcPr>
            <w:tcW w:w="3354" w:type="pct"/>
            <w:shd w:val="clear" w:color="auto" w:fill="CFF0FC"/>
            <w:tcMar>
              <w:top w:w="15" w:type="dxa"/>
              <w:left w:w="0" w:type="dxa"/>
              <w:bottom w:w="0" w:type="dxa"/>
              <w:right w:w="15" w:type="dxa"/>
            </w:tcMar>
            <w:vAlign w:val="bottom"/>
            <w:hideMark/>
          </w:tcPr>
          <w:p w14:paraId="3F73020A" w14:textId="77777777" w:rsidR="00000000" w:rsidRDefault="00B8284C">
            <w:pPr>
              <w:pStyle w:val="a3"/>
              <w:spacing w:before="0" w:beforeAutospacing="0" w:after="0" w:afterAutospacing="0"/>
              <w:ind w:left="274"/>
              <w:rPr>
                <w:color w:val="000000"/>
                <w:sz w:val="20"/>
                <w:szCs w:val="20"/>
              </w:rPr>
            </w:pPr>
            <w:r>
              <w:rPr>
                <w:color w:val="000000"/>
                <w:sz w:val="20"/>
                <w:szCs w:val="20"/>
              </w:rPr>
              <w:t>Deferred revenue</w:t>
            </w:r>
          </w:p>
        </w:tc>
        <w:tc>
          <w:tcPr>
            <w:tcW w:w="79" w:type="pct"/>
            <w:shd w:val="clear" w:color="auto" w:fill="CFF0FC"/>
            <w:tcMar>
              <w:top w:w="15" w:type="dxa"/>
              <w:left w:w="0" w:type="dxa"/>
              <w:bottom w:w="0" w:type="dxa"/>
              <w:right w:w="15" w:type="dxa"/>
            </w:tcMar>
            <w:vAlign w:val="bottom"/>
            <w:hideMark/>
          </w:tcPr>
          <w:p w14:paraId="3A2210C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EA5F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055647D1" w14:textId="77777777" w:rsidR="00000000" w:rsidRDefault="00B8284C">
            <w:pPr>
              <w:pStyle w:val="a3"/>
              <w:spacing w:before="0" w:beforeAutospacing="0" w:after="0" w:afterAutospacing="0"/>
              <w:jc w:val="right"/>
              <w:rPr>
                <w:color w:val="000000"/>
                <w:sz w:val="20"/>
                <w:szCs w:val="20"/>
              </w:rPr>
            </w:pPr>
            <w:r>
              <w:rPr>
                <w:color w:val="000000"/>
                <w:sz w:val="20"/>
                <w:szCs w:val="20"/>
              </w:rPr>
              <w:t>200,771</w:t>
            </w:r>
          </w:p>
        </w:tc>
        <w:tc>
          <w:tcPr>
            <w:tcW w:w="50" w:type="pct"/>
            <w:shd w:val="clear" w:color="auto" w:fill="CFF0FC"/>
            <w:noWrap/>
            <w:tcMar>
              <w:top w:w="15" w:type="dxa"/>
              <w:left w:w="0" w:type="dxa"/>
              <w:bottom w:w="0" w:type="dxa"/>
              <w:right w:w="15" w:type="dxa"/>
            </w:tcMar>
            <w:vAlign w:val="bottom"/>
            <w:hideMark/>
          </w:tcPr>
          <w:p w14:paraId="5A0DDD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0FD9A3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116F6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43EB3980" w14:textId="77777777" w:rsidR="00000000" w:rsidRDefault="00B8284C">
            <w:pPr>
              <w:pStyle w:val="a3"/>
              <w:spacing w:before="0" w:beforeAutospacing="0" w:after="0" w:afterAutospacing="0"/>
              <w:jc w:val="right"/>
              <w:rPr>
                <w:color w:val="000000"/>
                <w:sz w:val="20"/>
                <w:szCs w:val="20"/>
              </w:rPr>
            </w:pPr>
            <w:r>
              <w:rPr>
                <w:color w:val="000000"/>
                <w:sz w:val="20"/>
                <w:szCs w:val="20"/>
              </w:rPr>
              <w:t>183,305</w:t>
            </w:r>
          </w:p>
        </w:tc>
        <w:tc>
          <w:tcPr>
            <w:tcW w:w="50" w:type="pct"/>
            <w:shd w:val="clear" w:color="auto" w:fill="CFF0FC"/>
            <w:noWrap/>
            <w:tcMar>
              <w:top w:w="15" w:type="dxa"/>
              <w:left w:w="0" w:type="dxa"/>
              <w:bottom w:w="0" w:type="dxa"/>
              <w:right w:w="15" w:type="dxa"/>
            </w:tcMar>
            <w:vAlign w:val="bottom"/>
            <w:hideMark/>
          </w:tcPr>
          <w:p w14:paraId="3209CC2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BF79ABE" w14:textId="77777777">
        <w:trPr>
          <w:divId w:val="2010055894"/>
        </w:trPr>
        <w:tc>
          <w:tcPr>
            <w:tcW w:w="3354" w:type="pct"/>
            <w:shd w:val="clear" w:color="auto" w:fill="FFFFFF"/>
            <w:tcMar>
              <w:top w:w="15" w:type="dxa"/>
              <w:left w:w="0" w:type="dxa"/>
              <w:bottom w:w="0" w:type="dxa"/>
              <w:right w:w="15" w:type="dxa"/>
            </w:tcMar>
            <w:vAlign w:val="bottom"/>
            <w:hideMark/>
          </w:tcPr>
          <w:p w14:paraId="11A25789" w14:textId="77777777" w:rsidR="00000000" w:rsidRDefault="00B8284C">
            <w:pPr>
              <w:pStyle w:val="a3"/>
              <w:spacing w:before="0" w:beforeAutospacing="0" w:after="0" w:afterAutospacing="0"/>
              <w:rPr>
                <w:color w:val="000000"/>
                <w:sz w:val="20"/>
                <w:szCs w:val="20"/>
              </w:rPr>
            </w:pPr>
            <w:r>
              <w:rPr>
                <w:color w:val="000000"/>
                <w:sz w:val="20"/>
                <w:szCs w:val="20"/>
              </w:rPr>
              <w:t>Total current liabilities</w:t>
            </w:r>
          </w:p>
        </w:tc>
        <w:tc>
          <w:tcPr>
            <w:tcW w:w="79" w:type="pct"/>
            <w:shd w:val="clear" w:color="auto" w:fill="FFFFFF"/>
            <w:tcMar>
              <w:top w:w="15" w:type="dxa"/>
              <w:left w:w="0" w:type="dxa"/>
              <w:bottom w:w="0" w:type="dxa"/>
              <w:right w:w="15" w:type="dxa"/>
            </w:tcMar>
            <w:vAlign w:val="bottom"/>
            <w:hideMark/>
          </w:tcPr>
          <w:p w14:paraId="1C04EE7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43C76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1EA5E206" w14:textId="77777777" w:rsidR="00000000" w:rsidRDefault="00B8284C">
            <w:pPr>
              <w:pStyle w:val="a3"/>
              <w:spacing w:before="0" w:beforeAutospacing="0" w:after="0" w:afterAutospacing="0"/>
              <w:jc w:val="right"/>
              <w:rPr>
                <w:color w:val="000000"/>
                <w:sz w:val="20"/>
                <w:szCs w:val="20"/>
              </w:rPr>
            </w:pPr>
            <w:r>
              <w:rPr>
                <w:color w:val="000000"/>
                <w:sz w:val="20"/>
                <w:szCs w:val="20"/>
              </w:rPr>
              <w:t>280,918</w:t>
            </w:r>
          </w:p>
        </w:tc>
        <w:tc>
          <w:tcPr>
            <w:tcW w:w="50" w:type="pct"/>
            <w:shd w:val="clear" w:color="auto" w:fill="FFFFFF"/>
            <w:noWrap/>
            <w:tcMar>
              <w:top w:w="15" w:type="dxa"/>
              <w:left w:w="0" w:type="dxa"/>
              <w:bottom w:w="0" w:type="dxa"/>
              <w:right w:w="15" w:type="dxa"/>
            </w:tcMar>
            <w:vAlign w:val="bottom"/>
            <w:hideMark/>
          </w:tcPr>
          <w:p w14:paraId="5CDCD45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ECA4D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204FC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2448964A" w14:textId="77777777" w:rsidR="00000000" w:rsidRDefault="00B8284C">
            <w:pPr>
              <w:pStyle w:val="a3"/>
              <w:spacing w:before="0" w:beforeAutospacing="0" w:after="0" w:afterAutospacing="0"/>
              <w:jc w:val="right"/>
              <w:rPr>
                <w:color w:val="000000"/>
                <w:sz w:val="20"/>
                <w:szCs w:val="20"/>
              </w:rPr>
            </w:pPr>
            <w:r>
              <w:rPr>
                <w:color w:val="000000"/>
                <w:sz w:val="20"/>
                <w:szCs w:val="20"/>
              </w:rPr>
              <w:t>237,009</w:t>
            </w:r>
          </w:p>
        </w:tc>
        <w:tc>
          <w:tcPr>
            <w:tcW w:w="50" w:type="pct"/>
            <w:shd w:val="clear" w:color="auto" w:fill="FFFFFF"/>
            <w:noWrap/>
            <w:tcMar>
              <w:top w:w="15" w:type="dxa"/>
              <w:left w:w="0" w:type="dxa"/>
              <w:bottom w:w="0" w:type="dxa"/>
              <w:right w:w="15" w:type="dxa"/>
            </w:tcMar>
            <w:vAlign w:val="bottom"/>
            <w:hideMark/>
          </w:tcPr>
          <w:p w14:paraId="0FBA5FB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32C5C60" w14:textId="77777777">
        <w:trPr>
          <w:divId w:val="2010055894"/>
        </w:trPr>
        <w:tc>
          <w:tcPr>
            <w:tcW w:w="3354" w:type="pct"/>
            <w:shd w:val="clear" w:color="auto" w:fill="CFF0FC"/>
            <w:tcMar>
              <w:top w:w="15" w:type="dxa"/>
              <w:left w:w="0" w:type="dxa"/>
              <w:bottom w:w="0" w:type="dxa"/>
              <w:right w:w="15" w:type="dxa"/>
            </w:tcMar>
            <w:vAlign w:val="bottom"/>
            <w:hideMark/>
          </w:tcPr>
          <w:p w14:paraId="64F856FE" w14:textId="77777777" w:rsidR="00000000" w:rsidRDefault="00B8284C">
            <w:pPr>
              <w:pStyle w:val="a3"/>
              <w:spacing w:before="0" w:beforeAutospacing="0" w:after="0" w:afterAutospacing="0"/>
              <w:rPr>
                <w:color w:val="000000"/>
                <w:sz w:val="20"/>
                <w:szCs w:val="20"/>
              </w:rPr>
            </w:pPr>
            <w:r>
              <w:rPr>
                <w:color w:val="000000"/>
                <w:sz w:val="20"/>
                <w:szCs w:val="20"/>
              </w:rPr>
              <w:t>Lease liabilities, net of current portion</w:t>
            </w:r>
          </w:p>
        </w:tc>
        <w:tc>
          <w:tcPr>
            <w:tcW w:w="79" w:type="pct"/>
            <w:shd w:val="clear" w:color="auto" w:fill="CFF0FC"/>
            <w:tcMar>
              <w:top w:w="15" w:type="dxa"/>
              <w:left w:w="0" w:type="dxa"/>
              <w:bottom w:w="0" w:type="dxa"/>
              <w:right w:w="15" w:type="dxa"/>
            </w:tcMar>
            <w:vAlign w:val="bottom"/>
            <w:hideMark/>
          </w:tcPr>
          <w:p w14:paraId="262E44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0FC0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F6476E0" w14:textId="77777777" w:rsidR="00000000" w:rsidRDefault="00B8284C">
            <w:pPr>
              <w:pStyle w:val="a3"/>
              <w:spacing w:before="0" w:beforeAutospacing="0" w:after="0" w:afterAutospacing="0"/>
              <w:jc w:val="right"/>
              <w:rPr>
                <w:color w:val="000000"/>
                <w:sz w:val="20"/>
                <w:szCs w:val="20"/>
              </w:rPr>
            </w:pPr>
            <w:r>
              <w:rPr>
                <w:color w:val="000000"/>
                <w:sz w:val="20"/>
                <w:szCs w:val="20"/>
              </w:rPr>
              <w:t>225,628</w:t>
            </w:r>
          </w:p>
        </w:tc>
        <w:tc>
          <w:tcPr>
            <w:tcW w:w="50" w:type="pct"/>
            <w:shd w:val="clear" w:color="auto" w:fill="CFF0FC"/>
            <w:noWrap/>
            <w:tcMar>
              <w:top w:w="15" w:type="dxa"/>
              <w:left w:w="0" w:type="dxa"/>
              <w:bottom w:w="0" w:type="dxa"/>
              <w:right w:w="15" w:type="dxa"/>
            </w:tcMar>
            <w:vAlign w:val="bottom"/>
            <w:hideMark/>
          </w:tcPr>
          <w:p w14:paraId="7C31599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C48187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DFF9E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F83F1BB"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3DD7DB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80827AD" w14:textId="77777777">
        <w:trPr>
          <w:divId w:val="2010055894"/>
        </w:trPr>
        <w:tc>
          <w:tcPr>
            <w:tcW w:w="3354" w:type="pct"/>
            <w:shd w:val="clear" w:color="auto" w:fill="FFFFFF"/>
            <w:tcMar>
              <w:top w:w="15" w:type="dxa"/>
              <w:left w:w="0" w:type="dxa"/>
              <w:bottom w:w="0" w:type="dxa"/>
              <w:right w:w="15" w:type="dxa"/>
            </w:tcMar>
            <w:vAlign w:val="bottom"/>
            <w:hideMark/>
          </w:tcPr>
          <w:p w14:paraId="17E09DA1" w14:textId="77777777" w:rsidR="00000000" w:rsidRDefault="00B8284C">
            <w:pPr>
              <w:pStyle w:val="a3"/>
              <w:spacing w:before="0" w:beforeAutospacing="0" w:after="0" w:afterAutospacing="0"/>
              <w:rPr>
                <w:color w:val="000000"/>
                <w:sz w:val="20"/>
                <w:szCs w:val="20"/>
              </w:rPr>
            </w:pPr>
            <w:r>
              <w:rPr>
                <w:color w:val="000000"/>
                <w:sz w:val="20"/>
                <w:szCs w:val="20"/>
              </w:rPr>
              <w:t>Deferred rent, net of current portion</w:t>
            </w:r>
          </w:p>
        </w:tc>
        <w:tc>
          <w:tcPr>
            <w:tcW w:w="79" w:type="pct"/>
            <w:shd w:val="clear" w:color="auto" w:fill="FFFFFF"/>
            <w:tcMar>
              <w:top w:w="15" w:type="dxa"/>
              <w:left w:w="0" w:type="dxa"/>
              <w:bottom w:w="0" w:type="dxa"/>
              <w:right w:w="15" w:type="dxa"/>
            </w:tcMar>
            <w:vAlign w:val="bottom"/>
            <w:hideMark/>
          </w:tcPr>
          <w:p w14:paraId="1F0BD9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9BE7B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C16212B"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8032A7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C81DC4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EC1B4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8DE84CC" w14:textId="77777777" w:rsidR="00000000" w:rsidRDefault="00B8284C">
            <w:pPr>
              <w:pStyle w:val="a3"/>
              <w:spacing w:before="0" w:beforeAutospacing="0" w:after="0" w:afterAutospacing="0"/>
              <w:jc w:val="right"/>
              <w:rPr>
                <w:color w:val="000000"/>
                <w:sz w:val="20"/>
                <w:szCs w:val="20"/>
              </w:rPr>
            </w:pPr>
            <w:r>
              <w:rPr>
                <w:color w:val="000000"/>
                <w:sz w:val="20"/>
                <w:szCs w:val="20"/>
              </w:rPr>
              <w:t>26,445</w:t>
            </w:r>
          </w:p>
        </w:tc>
        <w:tc>
          <w:tcPr>
            <w:tcW w:w="50" w:type="pct"/>
            <w:shd w:val="clear" w:color="auto" w:fill="FFFFFF"/>
            <w:noWrap/>
            <w:tcMar>
              <w:top w:w="15" w:type="dxa"/>
              <w:left w:w="0" w:type="dxa"/>
              <w:bottom w:w="0" w:type="dxa"/>
              <w:right w:w="15" w:type="dxa"/>
            </w:tcMar>
            <w:vAlign w:val="bottom"/>
            <w:hideMark/>
          </w:tcPr>
          <w:p w14:paraId="3B996D70"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4268EF3" w14:textId="77777777">
        <w:trPr>
          <w:divId w:val="2010055894"/>
        </w:trPr>
        <w:tc>
          <w:tcPr>
            <w:tcW w:w="3354" w:type="pct"/>
            <w:shd w:val="clear" w:color="auto" w:fill="CFF0FC"/>
            <w:tcMar>
              <w:top w:w="15" w:type="dxa"/>
              <w:left w:w="0" w:type="dxa"/>
              <w:bottom w:w="0" w:type="dxa"/>
              <w:right w:w="15" w:type="dxa"/>
            </w:tcMar>
            <w:vAlign w:val="bottom"/>
            <w:hideMark/>
          </w:tcPr>
          <w:p w14:paraId="3BE6BDFD" w14:textId="77777777" w:rsidR="00000000" w:rsidRDefault="00B8284C">
            <w:pPr>
              <w:pStyle w:val="a3"/>
              <w:spacing w:before="0" w:beforeAutospacing="0" w:after="0" w:afterAutospacing="0"/>
              <w:rPr>
                <w:color w:val="000000"/>
                <w:sz w:val="20"/>
                <w:szCs w:val="20"/>
              </w:rPr>
            </w:pPr>
            <w:r>
              <w:rPr>
                <w:color w:val="000000"/>
                <w:sz w:val="20"/>
                <w:szCs w:val="20"/>
              </w:rPr>
              <w:t>Deferred revenue, net of current portion</w:t>
            </w:r>
          </w:p>
        </w:tc>
        <w:tc>
          <w:tcPr>
            <w:tcW w:w="79" w:type="pct"/>
            <w:shd w:val="clear" w:color="auto" w:fill="CFF0FC"/>
            <w:tcMar>
              <w:top w:w="15" w:type="dxa"/>
              <w:left w:w="0" w:type="dxa"/>
              <w:bottom w:w="0" w:type="dxa"/>
              <w:right w:w="15" w:type="dxa"/>
            </w:tcMar>
            <w:vAlign w:val="bottom"/>
            <w:hideMark/>
          </w:tcPr>
          <w:p w14:paraId="1E1357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1DD7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EE14820" w14:textId="77777777" w:rsidR="00000000" w:rsidRDefault="00B8284C">
            <w:pPr>
              <w:pStyle w:val="a3"/>
              <w:spacing w:before="0" w:beforeAutospacing="0" w:after="0" w:afterAutospacing="0"/>
              <w:jc w:val="right"/>
              <w:rPr>
                <w:color w:val="000000"/>
                <w:sz w:val="20"/>
                <w:szCs w:val="20"/>
              </w:rPr>
            </w:pPr>
            <w:r>
              <w:rPr>
                <w:color w:val="000000"/>
                <w:sz w:val="20"/>
                <w:szCs w:val="20"/>
              </w:rPr>
              <w:t>2,835</w:t>
            </w:r>
          </w:p>
        </w:tc>
        <w:tc>
          <w:tcPr>
            <w:tcW w:w="50" w:type="pct"/>
            <w:shd w:val="clear" w:color="auto" w:fill="CFF0FC"/>
            <w:noWrap/>
            <w:tcMar>
              <w:top w:w="15" w:type="dxa"/>
              <w:left w:w="0" w:type="dxa"/>
              <w:bottom w:w="0" w:type="dxa"/>
              <w:right w:w="15" w:type="dxa"/>
            </w:tcMar>
            <w:vAlign w:val="bottom"/>
            <w:hideMark/>
          </w:tcPr>
          <w:p w14:paraId="2398F2C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3DA69F9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4497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E7DA5CB" w14:textId="77777777" w:rsidR="00000000" w:rsidRDefault="00B8284C">
            <w:pPr>
              <w:pStyle w:val="a3"/>
              <w:spacing w:before="0" w:beforeAutospacing="0" w:after="0" w:afterAutospacing="0"/>
              <w:jc w:val="right"/>
              <w:rPr>
                <w:color w:val="000000"/>
                <w:sz w:val="20"/>
                <w:szCs w:val="20"/>
              </w:rPr>
            </w:pPr>
            <w:r>
              <w:rPr>
                <w:color w:val="000000"/>
                <w:sz w:val="20"/>
                <w:szCs w:val="20"/>
              </w:rPr>
              <w:t>2,179</w:t>
            </w:r>
          </w:p>
        </w:tc>
        <w:tc>
          <w:tcPr>
            <w:tcW w:w="50" w:type="pct"/>
            <w:shd w:val="clear" w:color="auto" w:fill="CFF0FC"/>
            <w:noWrap/>
            <w:tcMar>
              <w:top w:w="15" w:type="dxa"/>
              <w:left w:w="0" w:type="dxa"/>
              <w:bottom w:w="0" w:type="dxa"/>
              <w:right w:w="15" w:type="dxa"/>
            </w:tcMar>
            <w:vAlign w:val="bottom"/>
            <w:hideMark/>
          </w:tcPr>
          <w:p w14:paraId="254E33D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DFED3F6" w14:textId="77777777">
        <w:trPr>
          <w:divId w:val="2010055894"/>
        </w:trPr>
        <w:tc>
          <w:tcPr>
            <w:tcW w:w="3354" w:type="pct"/>
            <w:shd w:val="clear" w:color="auto" w:fill="FFFFFF"/>
            <w:tcMar>
              <w:top w:w="15" w:type="dxa"/>
              <w:left w:w="0" w:type="dxa"/>
              <w:bottom w:w="0" w:type="dxa"/>
              <w:right w:w="15" w:type="dxa"/>
            </w:tcMar>
            <w:vAlign w:val="bottom"/>
            <w:hideMark/>
          </w:tcPr>
          <w:p w14:paraId="1646D8B2" w14:textId="77777777" w:rsidR="00000000" w:rsidRDefault="00B8284C">
            <w:pPr>
              <w:pStyle w:val="a3"/>
              <w:spacing w:before="0" w:beforeAutospacing="0" w:after="0" w:afterAutospacing="0"/>
              <w:rPr>
                <w:color w:val="000000"/>
                <w:sz w:val="20"/>
                <w:szCs w:val="20"/>
              </w:rPr>
            </w:pPr>
            <w:r>
              <w:rPr>
                <w:color w:val="000000"/>
                <w:sz w:val="20"/>
                <w:szCs w:val="20"/>
              </w:rPr>
              <w:t>Other long-term liabilities</w:t>
            </w:r>
          </w:p>
        </w:tc>
        <w:tc>
          <w:tcPr>
            <w:tcW w:w="79" w:type="pct"/>
            <w:shd w:val="clear" w:color="auto" w:fill="FFFFFF"/>
            <w:tcMar>
              <w:top w:w="15" w:type="dxa"/>
              <w:left w:w="0" w:type="dxa"/>
              <w:bottom w:w="0" w:type="dxa"/>
              <w:right w:w="15" w:type="dxa"/>
            </w:tcMar>
            <w:vAlign w:val="bottom"/>
            <w:hideMark/>
          </w:tcPr>
          <w:p w14:paraId="36F3E5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A6188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006FA56" w14:textId="77777777" w:rsidR="00000000" w:rsidRDefault="00B8284C">
            <w:pPr>
              <w:pStyle w:val="a3"/>
              <w:spacing w:before="0" w:beforeAutospacing="0" w:after="0" w:afterAutospacing="0"/>
              <w:jc w:val="right"/>
              <w:rPr>
                <w:color w:val="000000"/>
                <w:sz w:val="20"/>
                <w:szCs w:val="20"/>
              </w:rPr>
            </w:pPr>
            <w:r>
              <w:rPr>
                <w:color w:val="000000"/>
                <w:sz w:val="20"/>
                <w:szCs w:val="20"/>
              </w:rPr>
              <w:t>6,182</w:t>
            </w:r>
          </w:p>
        </w:tc>
        <w:tc>
          <w:tcPr>
            <w:tcW w:w="50" w:type="pct"/>
            <w:shd w:val="clear" w:color="auto" w:fill="FFFFFF"/>
            <w:noWrap/>
            <w:tcMar>
              <w:top w:w="15" w:type="dxa"/>
              <w:left w:w="0" w:type="dxa"/>
              <w:bottom w:w="0" w:type="dxa"/>
              <w:right w:w="15" w:type="dxa"/>
            </w:tcMar>
            <w:vAlign w:val="bottom"/>
            <w:hideMark/>
          </w:tcPr>
          <w:p w14:paraId="76BE77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3EEF3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0272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5E85E33" w14:textId="77777777" w:rsidR="00000000" w:rsidRDefault="00B8284C">
            <w:pPr>
              <w:pStyle w:val="a3"/>
              <w:spacing w:before="0" w:beforeAutospacing="0" w:after="0" w:afterAutospacing="0"/>
              <w:jc w:val="right"/>
              <w:rPr>
                <w:color w:val="000000"/>
                <w:sz w:val="20"/>
                <w:szCs w:val="20"/>
              </w:rPr>
            </w:pPr>
            <w:r>
              <w:rPr>
                <w:color w:val="000000"/>
                <w:sz w:val="20"/>
                <w:szCs w:val="20"/>
              </w:rPr>
              <w:t>4,897</w:t>
            </w:r>
          </w:p>
        </w:tc>
        <w:tc>
          <w:tcPr>
            <w:tcW w:w="50" w:type="pct"/>
            <w:shd w:val="clear" w:color="auto" w:fill="FFFFFF"/>
            <w:noWrap/>
            <w:tcMar>
              <w:top w:w="15" w:type="dxa"/>
              <w:left w:w="0" w:type="dxa"/>
              <w:bottom w:w="0" w:type="dxa"/>
              <w:right w:w="15" w:type="dxa"/>
            </w:tcMar>
            <w:vAlign w:val="bottom"/>
            <w:hideMark/>
          </w:tcPr>
          <w:p w14:paraId="4E729D0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6E1EE58" w14:textId="77777777">
        <w:trPr>
          <w:divId w:val="2010055894"/>
        </w:trPr>
        <w:tc>
          <w:tcPr>
            <w:tcW w:w="3354" w:type="pct"/>
            <w:shd w:val="clear" w:color="auto" w:fill="CFF0FC"/>
            <w:tcMar>
              <w:top w:w="15" w:type="dxa"/>
              <w:left w:w="0" w:type="dxa"/>
              <w:bottom w:w="0" w:type="dxa"/>
              <w:right w:w="15" w:type="dxa"/>
            </w:tcMar>
            <w:vAlign w:val="bottom"/>
            <w:hideMark/>
          </w:tcPr>
          <w:p w14:paraId="5416439B" w14:textId="77777777" w:rsidR="00000000" w:rsidRDefault="00B8284C">
            <w:pPr>
              <w:pStyle w:val="a3"/>
              <w:spacing w:before="0" w:beforeAutospacing="0" w:after="0" w:afterAutospacing="0"/>
              <w:rPr>
                <w:color w:val="000000"/>
                <w:sz w:val="20"/>
                <w:szCs w:val="20"/>
              </w:rPr>
            </w:pPr>
            <w:r>
              <w:rPr>
                <w:color w:val="000000"/>
                <w:sz w:val="20"/>
                <w:szCs w:val="20"/>
              </w:rPr>
              <w:t>Convertible senior notes</w:t>
            </w:r>
          </w:p>
        </w:tc>
        <w:tc>
          <w:tcPr>
            <w:tcW w:w="79" w:type="pct"/>
            <w:shd w:val="clear" w:color="auto" w:fill="CFF0FC"/>
            <w:tcMar>
              <w:top w:w="15" w:type="dxa"/>
              <w:left w:w="0" w:type="dxa"/>
              <w:bottom w:w="0" w:type="dxa"/>
              <w:right w:w="15" w:type="dxa"/>
            </w:tcMar>
            <w:vAlign w:val="bottom"/>
            <w:hideMark/>
          </w:tcPr>
          <w:p w14:paraId="752C76D5"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D7CE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031242CF" w14:textId="77777777" w:rsidR="00000000" w:rsidRDefault="00B8284C">
            <w:pPr>
              <w:pStyle w:val="a3"/>
              <w:spacing w:before="0" w:beforeAutospacing="0" w:after="0" w:afterAutospacing="0"/>
              <w:jc w:val="right"/>
              <w:rPr>
                <w:color w:val="000000"/>
                <w:sz w:val="20"/>
                <w:szCs w:val="20"/>
              </w:rPr>
            </w:pPr>
            <w:r>
              <w:rPr>
                <w:color w:val="000000"/>
                <w:sz w:val="20"/>
                <w:szCs w:val="20"/>
              </w:rPr>
              <w:t>334,966</w:t>
            </w:r>
          </w:p>
        </w:tc>
        <w:tc>
          <w:tcPr>
            <w:tcW w:w="50" w:type="pct"/>
            <w:shd w:val="clear" w:color="auto" w:fill="CFF0FC"/>
            <w:noWrap/>
            <w:tcMar>
              <w:top w:w="15" w:type="dxa"/>
              <w:left w:w="0" w:type="dxa"/>
              <w:bottom w:w="0" w:type="dxa"/>
              <w:right w:w="15" w:type="dxa"/>
            </w:tcMar>
            <w:vAlign w:val="bottom"/>
            <w:hideMark/>
          </w:tcPr>
          <w:p w14:paraId="6E99A2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7042412"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4E88C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384F9E16" w14:textId="77777777" w:rsidR="00000000" w:rsidRDefault="00B8284C">
            <w:pPr>
              <w:pStyle w:val="a3"/>
              <w:spacing w:before="0" w:beforeAutospacing="0" w:after="0" w:afterAutospacing="0"/>
              <w:jc w:val="right"/>
              <w:rPr>
                <w:color w:val="000000"/>
                <w:sz w:val="20"/>
                <w:szCs w:val="20"/>
              </w:rPr>
            </w:pPr>
            <w:r>
              <w:rPr>
                <w:color w:val="000000"/>
                <w:sz w:val="20"/>
                <w:szCs w:val="20"/>
              </w:rPr>
              <w:t>318,782</w:t>
            </w:r>
          </w:p>
        </w:tc>
        <w:tc>
          <w:tcPr>
            <w:tcW w:w="50" w:type="pct"/>
            <w:shd w:val="clear" w:color="auto" w:fill="CFF0FC"/>
            <w:noWrap/>
            <w:tcMar>
              <w:top w:w="15" w:type="dxa"/>
              <w:left w:w="0" w:type="dxa"/>
              <w:bottom w:w="0" w:type="dxa"/>
              <w:right w:w="15" w:type="dxa"/>
            </w:tcMar>
            <w:vAlign w:val="bottom"/>
            <w:hideMark/>
          </w:tcPr>
          <w:p w14:paraId="617093C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8D3542B" w14:textId="77777777">
        <w:trPr>
          <w:divId w:val="2010055894"/>
        </w:trPr>
        <w:tc>
          <w:tcPr>
            <w:tcW w:w="3354" w:type="pct"/>
            <w:shd w:val="clear" w:color="auto" w:fill="FFFFFF"/>
            <w:tcMar>
              <w:top w:w="15" w:type="dxa"/>
              <w:left w:w="0" w:type="dxa"/>
              <w:bottom w:w="0" w:type="dxa"/>
              <w:right w:w="15" w:type="dxa"/>
            </w:tcMar>
            <w:vAlign w:val="bottom"/>
            <w:hideMark/>
          </w:tcPr>
          <w:p w14:paraId="14817086" w14:textId="77777777" w:rsidR="00000000" w:rsidRDefault="00B8284C">
            <w:pPr>
              <w:pStyle w:val="a3"/>
              <w:spacing w:before="0" w:beforeAutospacing="0" w:after="0" w:afterAutospacing="0"/>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14:paraId="44C6944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3257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5B8947" w14:textId="77777777" w:rsidR="00000000" w:rsidRDefault="00B8284C">
            <w:pPr>
              <w:pStyle w:val="a3"/>
              <w:spacing w:before="0" w:beforeAutospacing="0" w:after="0" w:afterAutospacing="0"/>
              <w:jc w:val="right"/>
              <w:rPr>
                <w:color w:val="000000"/>
                <w:sz w:val="20"/>
                <w:szCs w:val="20"/>
              </w:rPr>
            </w:pPr>
            <w:r>
              <w:rPr>
                <w:color w:val="000000"/>
                <w:sz w:val="20"/>
                <w:szCs w:val="20"/>
              </w:rPr>
              <w:t>850,529</w:t>
            </w:r>
          </w:p>
        </w:tc>
        <w:tc>
          <w:tcPr>
            <w:tcW w:w="50" w:type="pct"/>
            <w:shd w:val="clear" w:color="auto" w:fill="FFFFFF"/>
            <w:noWrap/>
            <w:tcMar>
              <w:top w:w="15" w:type="dxa"/>
              <w:left w:w="0" w:type="dxa"/>
              <w:bottom w:w="0" w:type="dxa"/>
              <w:right w:w="15" w:type="dxa"/>
            </w:tcMar>
            <w:vAlign w:val="bottom"/>
            <w:hideMark/>
          </w:tcPr>
          <w:p w14:paraId="79AE506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2F4FFA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A52941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D087DD1" w14:textId="77777777" w:rsidR="00000000" w:rsidRDefault="00B8284C">
            <w:pPr>
              <w:pStyle w:val="a3"/>
              <w:spacing w:before="0" w:beforeAutospacing="0" w:after="0" w:afterAutospacing="0"/>
              <w:jc w:val="right"/>
              <w:rPr>
                <w:color w:val="000000"/>
                <w:sz w:val="20"/>
                <w:szCs w:val="20"/>
              </w:rPr>
            </w:pPr>
            <w:r>
              <w:rPr>
                <w:color w:val="000000"/>
                <w:sz w:val="20"/>
                <w:szCs w:val="20"/>
              </w:rPr>
              <w:t>589,312</w:t>
            </w:r>
          </w:p>
        </w:tc>
        <w:tc>
          <w:tcPr>
            <w:tcW w:w="50" w:type="pct"/>
            <w:shd w:val="clear" w:color="auto" w:fill="FFFFFF"/>
            <w:noWrap/>
            <w:tcMar>
              <w:top w:w="15" w:type="dxa"/>
              <w:left w:w="0" w:type="dxa"/>
              <w:bottom w:w="0" w:type="dxa"/>
              <w:right w:w="15" w:type="dxa"/>
            </w:tcMar>
            <w:vAlign w:val="bottom"/>
            <w:hideMark/>
          </w:tcPr>
          <w:p w14:paraId="09CF82A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3BD36A5" w14:textId="77777777">
        <w:trPr>
          <w:divId w:val="2010055894"/>
        </w:trPr>
        <w:tc>
          <w:tcPr>
            <w:tcW w:w="3354" w:type="pct"/>
            <w:shd w:val="clear" w:color="auto" w:fill="CFF0FC"/>
            <w:tcMar>
              <w:top w:w="15" w:type="dxa"/>
              <w:left w:w="0" w:type="dxa"/>
              <w:bottom w:w="0" w:type="dxa"/>
              <w:right w:w="15" w:type="dxa"/>
            </w:tcMar>
            <w:vAlign w:val="bottom"/>
            <w:hideMark/>
          </w:tcPr>
          <w:p w14:paraId="5E50F539" w14:textId="77777777" w:rsidR="00000000" w:rsidRDefault="00B8284C">
            <w:pPr>
              <w:pStyle w:val="a3"/>
              <w:spacing w:before="0" w:beforeAutospacing="0" w:after="0" w:afterAutospacing="0"/>
              <w:rPr>
                <w:color w:val="000000"/>
                <w:sz w:val="20"/>
                <w:szCs w:val="20"/>
              </w:rPr>
            </w:pPr>
            <w:r>
              <w:rPr>
                <w:color w:val="000000"/>
                <w:sz w:val="20"/>
                <w:szCs w:val="20"/>
              </w:rPr>
              <w:t>Commitments and contingencies (Note 10)</w:t>
            </w:r>
          </w:p>
        </w:tc>
        <w:tc>
          <w:tcPr>
            <w:tcW w:w="79" w:type="pct"/>
            <w:shd w:val="clear" w:color="auto" w:fill="CFF0FC"/>
            <w:tcMar>
              <w:top w:w="15" w:type="dxa"/>
              <w:left w:w="0" w:type="dxa"/>
              <w:bottom w:w="0" w:type="dxa"/>
              <w:right w:w="15" w:type="dxa"/>
            </w:tcMar>
            <w:vAlign w:val="bottom"/>
            <w:hideMark/>
          </w:tcPr>
          <w:p w14:paraId="62DC726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1EE7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29BC8F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7A7A3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EAF3D7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D5BB9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698AAD5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294EB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44B7123" w14:textId="77777777">
        <w:trPr>
          <w:divId w:val="2010055894"/>
        </w:trPr>
        <w:tc>
          <w:tcPr>
            <w:tcW w:w="3354" w:type="pct"/>
            <w:shd w:val="clear" w:color="auto" w:fill="FFFFFF"/>
            <w:tcMar>
              <w:top w:w="15" w:type="dxa"/>
              <w:left w:w="0" w:type="dxa"/>
              <w:bottom w:w="0" w:type="dxa"/>
              <w:right w:w="15" w:type="dxa"/>
            </w:tcMar>
            <w:vAlign w:val="bottom"/>
            <w:hideMark/>
          </w:tcPr>
          <w:p w14:paraId="7CE616F4" w14:textId="77777777" w:rsidR="00000000" w:rsidRDefault="00B8284C">
            <w:pPr>
              <w:pStyle w:val="a3"/>
              <w:spacing w:before="0" w:beforeAutospacing="0" w:after="0" w:afterAutospacing="0"/>
              <w:rPr>
                <w:color w:val="000000"/>
                <w:sz w:val="20"/>
                <w:szCs w:val="20"/>
              </w:rPr>
            </w:pPr>
            <w:r>
              <w:rPr>
                <w:color w:val="000000"/>
                <w:sz w:val="20"/>
                <w:szCs w:val="20"/>
              </w:rPr>
              <w:t>Stockholders’ equity:</w:t>
            </w:r>
          </w:p>
        </w:tc>
        <w:tc>
          <w:tcPr>
            <w:tcW w:w="79" w:type="pct"/>
            <w:shd w:val="clear" w:color="auto" w:fill="FFFFFF"/>
            <w:tcMar>
              <w:top w:w="15" w:type="dxa"/>
              <w:left w:w="0" w:type="dxa"/>
              <w:bottom w:w="0" w:type="dxa"/>
              <w:right w:w="15" w:type="dxa"/>
            </w:tcMar>
            <w:vAlign w:val="bottom"/>
            <w:hideMark/>
          </w:tcPr>
          <w:p w14:paraId="220B85A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12360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8B04BE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5D3C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9F55A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A3AD7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643285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6F779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051A63A" w14:textId="77777777">
        <w:trPr>
          <w:divId w:val="2010055894"/>
        </w:trPr>
        <w:tc>
          <w:tcPr>
            <w:tcW w:w="3354" w:type="pct"/>
            <w:shd w:val="clear" w:color="auto" w:fill="CFF0FC"/>
            <w:tcMar>
              <w:top w:w="15" w:type="dxa"/>
              <w:left w:w="0" w:type="dxa"/>
              <w:bottom w:w="0" w:type="dxa"/>
              <w:right w:w="15" w:type="dxa"/>
            </w:tcMar>
            <w:vAlign w:val="bottom"/>
            <w:hideMark/>
          </w:tcPr>
          <w:p w14:paraId="4D4015AB" w14:textId="77777777" w:rsidR="00000000" w:rsidRDefault="00B8284C">
            <w:pPr>
              <w:pStyle w:val="a3"/>
              <w:spacing w:before="0" w:beforeAutospacing="0" w:after="0" w:afterAutospacing="0"/>
              <w:ind w:left="274"/>
              <w:rPr>
                <w:color w:val="000000"/>
                <w:sz w:val="20"/>
                <w:szCs w:val="20"/>
              </w:rPr>
            </w:pPr>
            <w:r>
              <w:rPr>
                <w:color w:val="000000"/>
                <w:sz w:val="20"/>
                <w:szCs w:val="20"/>
              </w:rPr>
              <w:t>Common stock</w:t>
            </w:r>
          </w:p>
        </w:tc>
        <w:tc>
          <w:tcPr>
            <w:tcW w:w="79" w:type="pct"/>
            <w:shd w:val="clear" w:color="auto" w:fill="CFF0FC"/>
            <w:tcMar>
              <w:top w:w="15" w:type="dxa"/>
              <w:left w:w="0" w:type="dxa"/>
              <w:bottom w:w="0" w:type="dxa"/>
              <w:right w:w="15" w:type="dxa"/>
            </w:tcMar>
            <w:vAlign w:val="bottom"/>
            <w:hideMark/>
          </w:tcPr>
          <w:p w14:paraId="2E8C25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8E2E8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69C7C63" w14:textId="77777777" w:rsidR="00000000" w:rsidRDefault="00B8284C">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14:paraId="4C5CBF6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D2799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330F2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7CEE05B" w14:textId="77777777" w:rsidR="00000000" w:rsidRDefault="00B8284C">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14:paraId="3681E59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DF6264E" w14:textId="77777777">
        <w:trPr>
          <w:divId w:val="2010055894"/>
        </w:trPr>
        <w:tc>
          <w:tcPr>
            <w:tcW w:w="3354" w:type="pct"/>
            <w:shd w:val="clear" w:color="auto" w:fill="FFFFFF"/>
            <w:tcMar>
              <w:top w:w="15" w:type="dxa"/>
              <w:left w:w="0" w:type="dxa"/>
              <w:bottom w:w="0" w:type="dxa"/>
              <w:right w:w="15" w:type="dxa"/>
            </w:tcMar>
            <w:vAlign w:val="bottom"/>
            <w:hideMark/>
          </w:tcPr>
          <w:p w14:paraId="4762C6C7" w14:textId="77777777" w:rsidR="00000000" w:rsidRDefault="00B8284C">
            <w:pPr>
              <w:pStyle w:val="a3"/>
              <w:spacing w:before="0" w:beforeAutospacing="0" w:after="0" w:afterAutospacing="0"/>
              <w:ind w:left="274"/>
              <w:rPr>
                <w:color w:val="000000"/>
                <w:sz w:val="20"/>
                <w:szCs w:val="20"/>
              </w:rPr>
            </w:pPr>
            <w:r>
              <w:rPr>
                <w:color w:val="000000"/>
                <w:sz w:val="20"/>
                <w:szCs w:val="20"/>
              </w:rPr>
              <w:t>Additional paid-in capital</w:t>
            </w:r>
          </w:p>
        </w:tc>
        <w:tc>
          <w:tcPr>
            <w:tcW w:w="79" w:type="pct"/>
            <w:shd w:val="clear" w:color="auto" w:fill="FFFFFF"/>
            <w:tcMar>
              <w:top w:w="15" w:type="dxa"/>
              <w:left w:w="0" w:type="dxa"/>
              <w:bottom w:w="0" w:type="dxa"/>
              <w:right w:w="15" w:type="dxa"/>
            </w:tcMar>
            <w:vAlign w:val="bottom"/>
            <w:hideMark/>
          </w:tcPr>
          <w:p w14:paraId="337093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DBC7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A78AF16" w14:textId="77777777" w:rsidR="00000000" w:rsidRDefault="00B8284C">
            <w:pPr>
              <w:pStyle w:val="a3"/>
              <w:spacing w:before="0" w:beforeAutospacing="0" w:after="0" w:afterAutospacing="0"/>
              <w:jc w:val="right"/>
              <w:rPr>
                <w:color w:val="000000"/>
                <w:sz w:val="20"/>
                <w:szCs w:val="20"/>
              </w:rPr>
            </w:pPr>
            <w:r>
              <w:rPr>
                <w:color w:val="000000"/>
                <w:sz w:val="20"/>
                <w:szCs w:val="20"/>
              </w:rPr>
              <w:t>1,017,046</w:t>
            </w:r>
          </w:p>
        </w:tc>
        <w:tc>
          <w:tcPr>
            <w:tcW w:w="50" w:type="pct"/>
            <w:shd w:val="clear" w:color="auto" w:fill="FFFFFF"/>
            <w:noWrap/>
            <w:tcMar>
              <w:top w:w="15" w:type="dxa"/>
              <w:left w:w="0" w:type="dxa"/>
              <w:bottom w:w="0" w:type="dxa"/>
              <w:right w:w="15" w:type="dxa"/>
            </w:tcMar>
            <w:vAlign w:val="bottom"/>
            <w:hideMark/>
          </w:tcPr>
          <w:p w14:paraId="52E18CA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1DCACD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E01D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5E17669" w14:textId="77777777" w:rsidR="00000000" w:rsidRDefault="00B8284C">
            <w:pPr>
              <w:pStyle w:val="a3"/>
              <w:spacing w:before="0" w:beforeAutospacing="0" w:after="0" w:afterAutospacing="0"/>
              <w:jc w:val="right"/>
              <w:rPr>
                <w:color w:val="000000"/>
                <w:sz w:val="20"/>
                <w:szCs w:val="20"/>
              </w:rPr>
            </w:pPr>
            <w:r>
              <w:rPr>
                <w:color w:val="000000"/>
                <w:sz w:val="20"/>
                <w:szCs w:val="20"/>
              </w:rPr>
              <w:t>589,708</w:t>
            </w:r>
          </w:p>
        </w:tc>
        <w:tc>
          <w:tcPr>
            <w:tcW w:w="50" w:type="pct"/>
            <w:shd w:val="clear" w:color="auto" w:fill="FFFFFF"/>
            <w:noWrap/>
            <w:tcMar>
              <w:top w:w="15" w:type="dxa"/>
              <w:left w:w="0" w:type="dxa"/>
              <w:bottom w:w="0" w:type="dxa"/>
              <w:right w:w="15" w:type="dxa"/>
            </w:tcMar>
            <w:vAlign w:val="bottom"/>
            <w:hideMark/>
          </w:tcPr>
          <w:p w14:paraId="55886E2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03EDE11" w14:textId="77777777">
        <w:trPr>
          <w:divId w:val="2010055894"/>
        </w:trPr>
        <w:tc>
          <w:tcPr>
            <w:tcW w:w="3354" w:type="pct"/>
            <w:shd w:val="clear" w:color="auto" w:fill="CFF0FC"/>
            <w:tcMar>
              <w:top w:w="15" w:type="dxa"/>
              <w:left w:w="0" w:type="dxa"/>
              <w:bottom w:w="0" w:type="dxa"/>
              <w:right w:w="15" w:type="dxa"/>
            </w:tcMar>
            <w:vAlign w:val="bottom"/>
            <w:hideMark/>
          </w:tcPr>
          <w:p w14:paraId="17286644" w14:textId="77777777" w:rsidR="00000000" w:rsidRDefault="00B8284C">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79" w:type="pct"/>
            <w:shd w:val="clear" w:color="auto" w:fill="CFF0FC"/>
            <w:tcMar>
              <w:top w:w="15" w:type="dxa"/>
              <w:left w:w="0" w:type="dxa"/>
              <w:bottom w:w="0" w:type="dxa"/>
              <w:right w:w="15" w:type="dxa"/>
            </w:tcMar>
            <w:vAlign w:val="bottom"/>
            <w:hideMark/>
          </w:tcPr>
          <w:p w14:paraId="03E7EFC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E6A48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2426C7D" w14:textId="77777777" w:rsidR="00000000" w:rsidRDefault="00B8284C">
            <w:pPr>
              <w:pStyle w:val="a3"/>
              <w:spacing w:before="0" w:beforeAutospacing="0" w:after="0" w:afterAutospacing="0"/>
              <w:jc w:val="right"/>
              <w:rPr>
                <w:color w:val="000000"/>
                <w:sz w:val="20"/>
                <w:szCs w:val="20"/>
              </w:rPr>
            </w:pPr>
            <w:r>
              <w:rPr>
                <w:color w:val="000000"/>
                <w:sz w:val="20"/>
                <w:szCs w:val="20"/>
              </w:rPr>
              <w:t>(909</w:t>
            </w:r>
          </w:p>
        </w:tc>
        <w:tc>
          <w:tcPr>
            <w:tcW w:w="50" w:type="pct"/>
            <w:shd w:val="clear" w:color="auto" w:fill="CFF0FC"/>
            <w:noWrap/>
            <w:tcMar>
              <w:top w:w="15" w:type="dxa"/>
              <w:left w:w="0" w:type="dxa"/>
              <w:bottom w:w="0" w:type="dxa"/>
              <w:right w:w="15" w:type="dxa"/>
            </w:tcMar>
            <w:vAlign w:val="bottom"/>
            <w:hideMark/>
          </w:tcPr>
          <w:p w14:paraId="7948E01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7BC97C6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B5DE6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B22A3D6" w14:textId="77777777" w:rsidR="00000000" w:rsidRDefault="00B8284C">
            <w:pPr>
              <w:pStyle w:val="a3"/>
              <w:spacing w:before="0" w:beforeAutospacing="0" w:after="0" w:afterAutospacing="0"/>
              <w:jc w:val="right"/>
              <w:rPr>
                <w:color w:val="000000"/>
                <w:sz w:val="20"/>
                <w:szCs w:val="20"/>
              </w:rPr>
            </w:pPr>
            <w:r>
              <w:rPr>
                <w:color w:val="000000"/>
                <w:sz w:val="20"/>
                <w:szCs w:val="20"/>
              </w:rPr>
              <w:t>(723</w:t>
            </w:r>
          </w:p>
        </w:tc>
        <w:tc>
          <w:tcPr>
            <w:tcW w:w="50" w:type="pct"/>
            <w:shd w:val="clear" w:color="auto" w:fill="CFF0FC"/>
            <w:noWrap/>
            <w:tcMar>
              <w:top w:w="15" w:type="dxa"/>
              <w:left w:w="0" w:type="dxa"/>
              <w:bottom w:w="0" w:type="dxa"/>
              <w:right w:w="15" w:type="dxa"/>
            </w:tcMar>
            <w:vAlign w:val="bottom"/>
            <w:hideMark/>
          </w:tcPr>
          <w:p w14:paraId="4AF4110C"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58B310BA" w14:textId="77777777">
        <w:trPr>
          <w:divId w:val="2010055894"/>
        </w:trPr>
        <w:tc>
          <w:tcPr>
            <w:tcW w:w="3354" w:type="pct"/>
            <w:shd w:val="clear" w:color="auto" w:fill="FFFFFF"/>
            <w:tcMar>
              <w:top w:w="15" w:type="dxa"/>
              <w:left w:w="0" w:type="dxa"/>
              <w:bottom w:w="0" w:type="dxa"/>
              <w:right w:w="15" w:type="dxa"/>
            </w:tcMar>
            <w:vAlign w:val="bottom"/>
            <w:hideMark/>
          </w:tcPr>
          <w:p w14:paraId="56D9EA72" w14:textId="77777777" w:rsidR="00000000" w:rsidRDefault="00B8284C">
            <w:pPr>
              <w:pStyle w:val="a3"/>
              <w:spacing w:before="0" w:beforeAutospacing="0" w:after="0" w:afterAutospacing="0"/>
              <w:ind w:left="274"/>
              <w:rPr>
                <w:color w:val="000000"/>
                <w:sz w:val="20"/>
                <w:szCs w:val="20"/>
              </w:rPr>
            </w:pPr>
            <w:r>
              <w:rPr>
                <w:color w:val="000000"/>
                <w:sz w:val="20"/>
                <w:szCs w:val="20"/>
              </w:rPr>
              <w:t>Accumulated deficit</w:t>
            </w:r>
          </w:p>
        </w:tc>
        <w:tc>
          <w:tcPr>
            <w:tcW w:w="79" w:type="pct"/>
            <w:shd w:val="clear" w:color="auto" w:fill="FFFFFF"/>
            <w:tcMar>
              <w:top w:w="15" w:type="dxa"/>
              <w:left w:w="0" w:type="dxa"/>
              <w:bottom w:w="0" w:type="dxa"/>
              <w:right w:w="15" w:type="dxa"/>
            </w:tcMar>
            <w:vAlign w:val="bottom"/>
            <w:hideMark/>
          </w:tcPr>
          <w:p w14:paraId="010401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1A9A1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33923CD7" w14:textId="77777777" w:rsidR="00000000" w:rsidRDefault="00B8284C">
            <w:pPr>
              <w:pStyle w:val="a3"/>
              <w:spacing w:before="0" w:beforeAutospacing="0" w:after="0" w:afterAutospacing="0"/>
              <w:jc w:val="right"/>
              <w:rPr>
                <w:color w:val="000000"/>
                <w:sz w:val="20"/>
                <w:szCs w:val="20"/>
              </w:rPr>
            </w:pPr>
            <w:r>
              <w:rPr>
                <w:color w:val="000000"/>
                <w:sz w:val="20"/>
                <w:szCs w:val="20"/>
              </w:rPr>
              <w:t>(387,828</w:t>
            </w:r>
          </w:p>
        </w:tc>
        <w:tc>
          <w:tcPr>
            <w:tcW w:w="50" w:type="pct"/>
            <w:shd w:val="clear" w:color="auto" w:fill="FFFFFF"/>
            <w:noWrap/>
            <w:tcMar>
              <w:top w:w="15" w:type="dxa"/>
              <w:left w:w="0" w:type="dxa"/>
              <w:bottom w:w="0" w:type="dxa"/>
              <w:right w:w="15" w:type="dxa"/>
            </w:tcMar>
            <w:vAlign w:val="bottom"/>
            <w:hideMark/>
          </w:tcPr>
          <w:p w14:paraId="0C34E02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63882AC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9DDAD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85BDF58" w14:textId="77777777" w:rsidR="00000000" w:rsidRDefault="00B8284C">
            <w:pPr>
              <w:pStyle w:val="a3"/>
              <w:spacing w:before="0" w:beforeAutospacing="0" w:after="0" w:afterAutospacing="0"/>
              <w:jc w:val="right"/>
              <w:rPr>
                <w:color w:val="000000"/>
                <w:sz w:val="20"/>
                <w:szCs w:val="20"/>
              </w:rPr>
            </w:pPr>
            <w:r>
              <w:rPr>
                <w:color w:val="000000"/>
                <w:sz w:val="20"/>
                <w:szCs w:val="20"/>
              </w:rPr>
              <w:t>(344,384</w:t>
            </w:r>
          </w:p>
        </w:tc>
        <w:tc>
          <w:tcPr>
            <w:tcW w:w="50" w:type="pct"/>
            <w:shd w:val="clear" w:color="auto" w:fill="FFFFFF"/>
            <w:noWrap/>
            <w:tcMar>
              <w:top w:w="15" w:type="dxa"/>
              <w:left w:w="0" w:type="dxa"/>
              <w:bottom w:w="0" w:type="dxa"/>
              <w:right w:w="15" w:type="dxa"/>
            </w:tcMar>
            <w:vAlign w:val="bottom"/>
            <w:hideMark/>
          </w:tcPr>
          <w:p w14:paraId="07942098"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7A72F607" w14:textId="77777777">
        <w:trPr>
          <w:divId w:val="2010055894"/>
        </w:trPr>
        <w:tc>
          <w:tcPr>
            <w:tcW w:w="3354" w:type="pct"/>
            <w:shd w:val="clear" w:color="auto" w:fill="CFF0FC"/>
            <w:tcMar>
              <w:top w:w="15" w:type="dxa"/>
              <w:left w:w="0" w:type="dxa"/>
              <w:bottom w:w="0" w:type="dxa"/>
              <w:right w:w="15" w:type="dxa"/>
            </w:tcMar>
            <w:vAlign w:val="bottom"/>
            <w:hideMark/>
          </w:tcPr>
          <w:p w14:paraId="6895A189" w14:textId="77777777" w:rsidR="00000000" w:rsidRDefault="00B8284C">
            <w:pPr>
              <w:pStyle w:val="a3"/>
              <w:spacing w:before="0" w:beforeAutospacing="0" w:after="0" w:afterAutospacing="0"/>
              <w:rPr>
                <w:color w:val="000000"/>
                <w:sz w:val="20"/>
                <w:szCs w:val="20"/>
              </w:rPr>
            </w:pPr>
            <w:r>
              <w:rPr>
                <w:color w:val="000000"/>
                <w:sz w:val="20"/>
                <w:szCs w:val="20"/>
              </w:rPr>
              <w:lastRenderedPageBreak/>
              <w:t>Total stockholders’ equity</w:t>
            </w:r>
          </w:p>
        </w:tc>
        <w:tc>
          <w:tcPr>
            <w:tcW w:w="79" w:type="pct"/>
            <w:shd w:val="clear" w:color="auto" w:fill="CFF0FC"/>
            <w:tcMar>
              <w:top w:w="15" w:type="dxa"/>
              <w:left w:w="0" w:type="dxa"/>
              <w:bottom w:w="0" w:type="dxa"/>
              <w:right w:w="15" w:type="dxa"/>
            </w:tcMar>
            <w:vAlign w:val="bottom"/>
            <w:hideMark/>
          </w:tcPr>
          <w:p w14:paraId="4F62E92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09826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7FAD3F2" w14:textId="77777777" w:rsidR="00000000" w:rsidRDefault="00B8284C">
            <w:pPr>
              <w:pStyle w:val="a3"/>
              <w:spacing w:before="0" w:beforeAutospacing="0" w:after="0" w:afterAutospacing="0"/>
              <w:jc w:val="right"/>
              <w:rPr>
                <w:color w:val="000000"/>
                <w:sz w:val="20"/>
                <w:szCs w:val="20"/>
              </w:rPr>
            </w:pPr>
            <w:r>
              <w:rPr>
                <w:color w:val="000000"/>
                <w:sz w:val="20"/>
                <w:szCs w:val="20"/>
              </w:rPr>
              <w:t>628,352</w:t>
            </w:r>
          </w:p>
        </w:tc>
        <w:tc>
          <w:tcPr>
            <w:tcW w:w="50" w:type="pct"/>
            <w:shd w:val="clear" w:color="auto" w:fill="CFF0FC"/>
            <w:noWrap/>
            <w:tcMar>
              <w:top w:w="15" w:type="dxa"/>
              <w:left w:w="0" w:type="dxa"/>
              <w:bottom w:w="0" w:type="dxa"/>
              <w:right w:w="15" w:type="dxa"/>
            </w:tcMar>
            <w:vAlign w:val="bottom"/>
            <w:hideMark/>
          </w:tcPr>
          <w:p w14:paraId="3CA1A1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FB36F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1B9753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2D35B43" w14:textId="77777777" w:rsidR="00000000" w:rsidRDefault="00B8284C">
            <w:pPr>
              <w:pStyle w:val="a3"/>
              <w:spacing w:before="0" w:beforeAutospacing="0" w:after="0" w:afterAutospacing="0"/>
              <w:jc w:val="right"/>
              <w:rPr>
                <w:color w:val="000000"/>
                <w:sz w:val="20"/>
                <w:szCs w:val="20"/>
              </w:rPr>
            </w:pPr>
            <w:r>
              <w:rPr>
                <w:color w:val="000000"/>
                <w:sz w:val="20"/>
                <w:szCs w:val="20"/>
              </w:rPr>
              <w:t>244,641</w:t>
            </w:r>
          </w:p>
        </w:tc>
        <w:tc>
          <w:tcPr>
            <w:tcW w:w="50" w:type="pct"/>
            <w:shd w:val="clear" w:color="auto" w:fill="CFF0FC"/>
            <w:noWrap/>
            <w:tcMar>
              <w:top w:w="15" w:type="dxa"/>
              <w:left w:w="0" w:type="dxa"/>
              <w:bottom w:w="0" w:type="dxa"/>
              <w:right w:w="15" w:type="dxa"/>
            </w:tcMar>
            <w:vAlign w:val="bottom"/>
            <w:hideMark/>
          </w:tcPr>
          <w:p w14:paraId="0160D25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5E578FF" w14:textId="77777777">
        <w:trPr>
          <w:divId w:val="2010055894"/>
        </w:trPr>
        <w:tc>
          <w:tcPr>
            <w:tcW w:w="3354" w:type="pct"/>
            <w:shd w:val="clear" w:color="auto" w:fill="FFFFFF"/>
            <w:tcMar>
              <w:top w:w="15" w:type="dxa"/>
              <w:left w:w="0" w:type="dxa"/>
              <w:bottom w:w="0" w:type="dxa"/>
              <w:right w:w="15" w:type="dxa"/>
            </w:tcMar>
            <w:vAlign w:val="bottom"/>
            <w:hideMark/>
          </w:tcPr>
          <w:p w14:paraId="27555CE1" w14:textId="77777777" w:rsidR="00000000" w:rsidRDefault="00B8284C">
            <w:pPr>
              <w:pStyle w:val="a3"/>
              <w:spacing w:before="0" w:beforeAutospacing="0" w:after="0" w:afterAutospacing="0"/>
              <w:rPr>
                <w:b/>
                <w:bCs/>
                <w:color w:val="000000"/>
                <w:sz w:val="20"/>
                <w:szCs w:val="20"/>
              </w:rPr>
            </w:pPr>
            <w:r>
              <w:rPr>
                <w:b/>
                <w:bCs/>
                <w:color w:val="000000"/>
                <w:sz w:val="20"/>
                <w:szCs w:val="20"/>
              </w:rPr>
              <w:t>Total liabilities and stockholders’ equity</w:t>
            </w:r>
          </w:p>
        </w:tc>
        <w:tc>
          <w:tcPr>
            <w:tcW w:w="79" w:type="pct"/>
            <w:shd w:val="clear" w:color="auto" w:fill="FFFFFF"/>
            <w:tcMar>
              <w:top w:w="15" w:type="dxa"/>
              <w:left w:w="0" w:type="dxa"/>
              <w:bottom w:w="0" w:type="dxa"/>
              <w:right w:w="15" w:type="dxa"/>
            </w:tcMar>
            <w:vAlign w:val="bottom"/>
            <w:hideMark/>
          </w:tcPr>
          <w:p w14:paraId="10D8F19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B8FD2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D3BB92" w14:textId="77777777" w:rsidR="00000000" w:rsidRDefault="00B8284C">
            <w:pPr>
              <w:pStyle w:val="a3"/>
              <w:spacing w:before="0" w:beforeAutospacing="0" w:after="0" w:afterAutospacing="0"/>
              <w:jc w:val="right"/>
              <w:rPr>
                <w:color w:val="000000"/>
                <w:sz w:val="20"/>
                <w:szCs w:val="20"/>
              </w:rPr>
            </w:pPr>
            <w:r>
              <w:rPr>
                <w:color w:val="000000"/>
                <w:sz w:val="20"/>
                <w:szCs w:val="20"/>
              </w:rPr>
              <w:t>1,478,881</w:t>
            </w:r>
          </w:p>
        </w:tc>
        <w:tc>
          <w:tcPr>
            <w:tcW w:w="50" w:type="pct"/>
            <w:shd w:val="clear" w:color="auto" w:fill="FFFFFF"/>
            <w:noWrap/>
            <w:tcMar>
              <w:top w:w="15" w:type="dxa"/>
              <w:left w:w="0" w:type="dxa"/>
              <w:bottom w:w="0" w:type="dxa"/>
              <w:right w:w="15" w:type="dxa"/>
            </w:tcMar>
            <w:vAlign w:val="bottom"/>
            <w:hideMark/>
          </w:tcPr>
          <w:p w14:paraId="11CFAF2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77E256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6EDFC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8AAD14" w14:textId="77777777" w:rsidR="00000000" w:rsidRDefault="00B8284C">
            <w:pPr>
              <w:pStyle w:val="a3"/>
              <w:spacing w:before="0" w:beforeAutospacing="0" w:after="0" w:afterAutospacing="0"/>
              <w:jc w:val="right"/>
              <w:rPr>
                <w:color w:val="000000"/>
                <w:sz w:val="20"/>
                <w:szCs w:val="20"/>
              </w:rPr>
            </w:pPr>
            <w:r>
              <w:rPr>
                <w:color w:val="000000"/>
                <w:sz w:val="20"/>
                <w:szCs w:val="20"/>
              </w:rPr>
              <w:t>833,953</w:t>
            </w:r>
          </w:p>
        </w:tc>
        <w:tc>
          <w:tcPr>
            <w:tcW w:w="50" w:type="pct"/>
            <w:shd w:val="clear" w:color="auto" w:fill="FFFFFF"/>
            <w:noWrap/>
            <w:tcMar>
              <w:top w:w="15" w:type="dxa"/>
              <w:left w:w="0" w:type="dxa"/>
              <w:bottom w:w="0" w:type="dxa"/>
              <w:right w:w="15" w:type="dxa"/>
            </w:tcMar>
            <w:vAlign w:val="bottom"/>
            <w:hideMark/>
          </w:tcPr>
          <w:p w14:paraId="501EBA7F"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0F5FA6D5" w14:textId="77777777" w:rsidR="00000000" w:rsidRDefault="00B8284C">
      <w:pPr>
        <w:pStyle w:val="a3"/>
        <w:spacing w:before="0" w:beforeAutospacing="0" w:after="0" w:afterAutospacing="0"/>
        <w:rPr>
          <w:sz w:val="20"/>
          <w:szCs w:val="20"/>
        </w:rPr>
      </w:pPr>
      <w:r>
        <w:rPr>
          <w:sz w:val="20"/>
          <w:szCs w:val="20"/>
        </w:rPr>
        <w:t> </w:t>
      </w:r>
    </w:p>
    <w:p w14:paraId="638FE4D6" w14:textId="77777777" w:rsidR="00000000" w:rsidRDefault="00B8284C">
      <w:pPr>
        <w:pStyle w:val="a3"/>
        <w:spacing w:before="40" w:beforeAutospacing="0" w:after="0" w:afterAutospacing="0"/>
        <w:rPr>
          <w:sz w:val="20"/>
          <w:szCs w:val="20"/>
        </w:rPr>
      </w:pPr>
      <w:r>
        <w:rPr>
          <w:sz w:val="20"/>
          <w:szCs w:val="20"/>
        </w:rPr>
        <w:t>The accompanying notes are an integral part of the consolidated financial statements.</w:t>
      </w:r>
    </w:p>
    <w:p w14:paraId="224ACD12" w14:textId="77777777" w:rsidR="00000000" w:rsidRDefault="00B8284C">
      <w:pPr>
        <w:pStyle w:val="a3"/>
        <w:spacing w:before="240" w:beforeAutospacing="0" w:after="0" w:afterAutospacing="0"/>
        <w:jc w:val="center"/>
        <w:rPr>
          <w:sz w:val="20"/>
          <w:szCs w:val="20"/>
        </w:rPr>
      </w:pPr>
      <w:r>
        <w:rPr>
          <w:sz w:val="20"/>
          <w:szCs w:val="20"/>
        </w:rPr>
        <w:t>4</w:t>
      </w:r>
    </w:p>
    <w:p w14:paraId="2AA9F186" w14:textId="77777777" w:rsidR="00000000" w:rsidRDefault="00B8284C">
      <w:pPr>
        <w:rPr>
          <w:rFonts w:eastAsia="Times New Roman"/>
        </w:rPr>
      </w:pPr>
      <w:r>
        <w:rPr>
          <w:rFonts w:eastAsia="Times New Roman"/>
        </w:rPr>
        <w:pict w14:anchorId="281A9EE3">
          <v:rect id="_x0000_i1028" style="width:0;height:1.5pt" o:hralign="center" o:hrstd="t" o:hr="t" fillcolor="#a0a0a0" stroked="f"/>
        </w:pict>
      </w:r>
    </w:p>
    <w:p w14:paraId="54A36E2E" w14:textId="77777777" w:rsidR="00000000" w:rsidRDefault="00B8284C">
      <w:pPr>
        <w:pStyle w:val="a3"/>
        <w:spacing w:before="0" w:beforeAutospacing="0" w:after="0" w:afterAutospacing="0"/>
        <w:rPr>
          <w:sz w:val="20"/>
          <w:szCs w:val="20"/>
        </w:rPr>
      </w:pPr>
      <w:r>
        <w:rPr>
          <w:sz w:val="20"/>
          <w:szCs w:val="20"/>
        </w:rPr>
        <w:t> </w:t>
      </w:r>
    </w:p>
    <w:p w14:paraId="1CC6C603" w14:textId="77777777" w:rsidR="00000000" w:rsidRDefault="00B8284C">
      <w:pPr>
        <w:pStyle w:val="a3"/>
        <w:spacing w:before="0" w:beforeAutospacing="0" w:after="0" w:afterAutospacing="0"/>
        <w:jc w:val="center"/>
        <w:rPr>
          <w:b/>
          <w:bCs/>
          <w:sz w:val="20"/>
          <w:szCs w:val="20"/>
        </w:rPr>
      </w:pPr>
      <w:r>
        <w:rPr>
          <w:b/>
          <w:bCs/>
          <w:sz w:val="20"/>
          <w:szCs w:val="20"/>
        </w:rPr>
        <w:t>HubSpot, Inc.</w:t>
      </w:r>
    </w:p>
    <w:p w14:paraId="10A718C4" w14:textId="77777777" w:rsidR="00000000" w:rsidRDefault="00B8284C">
      <w:pPr>
        <w:pStyle w:val="a3"/>
        <w:spacing w:before="0" w:beforeAutospacing="0" w:after="0" w:afterAutospacing="0"/>
        <w:jc w:val="center"/>
        <w:rPr>
          <w:b/>
          <w:bCs/>
          <w:sz w:val="20"/>
          <w:szCs w:val="20"/>
        </w:rPr>
      </w:pPr>
      <w:r>
        <w:rPr>
          <w:b/>
          <w:bCs/>
          <w:sz w:val="20"/>
          <w:szCs w:val="20"/>
        </w:rPr>
        <w:t>Unaudited Consolidated Statements of Operations</w:t>
      </w:r>
    </w:p>
    <w:p w14:paraId="756DC91A" w14:textId="77777777" w:rsidR="00000000" w:rsidRDefault="00B8284C">
      <w:pPr>
        <w:pStyle w:val="a3"/>
        <w:spacing w:before="0" w:beforeAutospacing="0" w:after="0" w:afterAutospacing="0"/>
        <w:jc w:val="center"/>
        <w:rPr>
          <w:b/>
          <w:bCs/>
          <w:sz w:val="20"/>
          <w:szCs w:val="20"/>
        </w:rPr>
      </w:pPr>
      <w:r>
        <w:rPr>
          <w:b/>
          <w:bCs/>
          <w:sz w:val="20"/>
          <w:szCs w:val="20"/>
        </w:rPr>
        <w:t>(in thousands, except per share data)</w:t>
      </w:r>
    </w:p>
    <w:p w14:paraId="0FC8E99A"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23"/>
        <w:gridCol w:w="115"/>
        <w:gridCol w:w="762"/>
        <w:gridCol w:w="82"/>
        <w:gridCol w:w="79"/>
        <w:gridCol w:w="115"/>
        <w:gridCol w:w="764"/>
        <w:gridCol w:w="82"/>
        <w:gridCol w:w="81"/>
        <w:gridCol w:w="115"/>
        <w:gridCol w:w="763"/>
        <w:gridCol w:w="82"/>
        <w:gridCol w:w="81"/>
        <w:gridCol w:w="115"/>
        <w:gridCol w:w="765"/>
        <w:gridCol w:w="82"/>
      </w:tblGrid>
      <w:tr w:rsidR="00000000" w14:paraId="6F0DF240" w14:textId="77777777">
        <w:trPr>
          <w:divId w:val="1264069354"/>
        </w:trPr>
        <w:tc>
          <w:tcPr>
            <w:tcW w:w="2548" w:type="pct"/>
            <w:shd w:val="clear" w:color="auto" w:fill="FFFFFF"/>
            <w:tcMar>
              <w:top w:w="15" w:type="dxa"/>
              <w:left w:w="0" w:type="dxa"/>
              <w:bottom w:w="0" w:type="dxa"/>
              <w:right w:w="15" w:type="dxa"/>
            </w:tcMar>
            <w:vAlign w:val="bottom"/>
            <w:hideMark/>
          </w:tcPr>
          <w:p w14:paraId="29B675DD" w14:textId="77777777" w:rsidR="00000000" w:rsidRDefault="00B8284C">
            <w:pPr>
              <w:pStyle w:val="a3"/>
              <w:spacing w:before="0" w:beforeAutospacing="0" w:after="0" w:afterAutospacing="0"/>
              <w:rPr>
                <w:sz w:val="20"/>
                <w:szCs w:val="20"/>
              </w:rPr>
            </w:pPr>
            <w:r>
              <w:rPr>
                <w:sz w:val="20"/>
                <w:szCs w:val="20"/>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14:paraId="57D46C9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For the Three Months Ended September 30,</w:t>
            </w:r>
          </w:p>
        </w:tc>
        <w:tc>
          <w:tcPr>
            <w:tcW w:w="50" w:type="pct"/>
            <w:shd w:val="clear" w:color="auto" w:fill="FFFFFF"/>
            <w:noWrap/>
            <w:tcMar>
              <w:top w:w="15" w:type="dxa"/>
              <w:left w:w="0" w:type="dxa"/>
              <w:bottom w:w="0" w:type="dxa"/>
              <w:right w:w="15" w:type="dxa"/>
            </w:tcMar>
            <w:vAlign w:val="bottom"/>
            <w:hideMark/>
          </w:tcPr>
          <w:p w14:paraId="0B5787E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805334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14:paraId="3A8C475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For the Nine Months Ended September 30,</w:t>
            </w:r>
          </w:p>
        </w:tc>
        <w:tc>
          <w:tcPr>
            <w:tcW w:w="50" w:type="pct"/>
            <w:shd w:val="clear" w:color="auto" w:fill="FFFFFF"/>
            <w:noWrap/>
            <w:tcMar>
              <w:top w:w="15" w:type="dxa"/>
              <w:left w:w="0" w:type="dxa"/>
              <w:bottom w:w="0" w:type="dxa"/>
              <w:right w:w="15" w:type="dxa"/>
            </w:tcMar>
            <w:vAlign w:val="bottom"/>
            <w:hideMark/>
          </w:tcPr>
          <w:p w14:paraId="329A933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4D9097A5" w14:textId="77777777">
        <w:trPr>
          <w:divId w:val="1264069354"/>
        </w:trPr>
        <w:tc>
          <w:tcPr>
            <w:tcW w:w="2548" w:type="pct"/>
            <w:shd w:val="clear" w:color="auto" w:fill="FFFFFF"/>
            <w:tcMar>
              <w:top w:w="15" w:type="dxa"/>
              <w:left w:w="0" w:type="dxa"/>
              <w:bottom w:w="0" w:type="dxa"/>
              <w:right w:w="15" w:type="dxa"/>
            </w:tcMar>
            <w:vAlign w:val="bottom"/>
            <w:hideMark/>
          </w:tcPr>
          <w:p w14:paraId="05138295"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852F0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869C90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D52E9B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DBE95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F9397B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C30B4B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913A1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56DDF4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31B10F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67993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16DD4F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483C40A" w14:textId="77777777">
        <w:trPr>
          <w:divId w:val="1264069354"/>
        </w:trPr>
        <w:tc>
          <w:tcPr>
            <w:tcW w:w="2548" w:type="pct"/>
            <w:shd w:val="clear" w:color="auto" w:fill="CFF0FC"/>
            <w:tcMar>
              <w:top w:w="15" w:type="dxa"/>
              <w:left w:w="0" w:type="dxa"/>
              <w:bottom w:w="0" w:type="dxa"/>
              <w:right w:w="15" w:type="dxa"/>
            </w:tcMar>
            <w:vAlign w:val="bottom"/>
            <w:hideMark/>
          </w:tcPr>
          <w:p w14:paraId="3F167573" w14:textId="77777777" w:rsidR="00000000" w:rsidRDefault="00B8284C">
            <w:pPr>
              <w:pStyle w:val="a3"/>
              <w:spacing w:before="0" w:beforeAutospacing="0" w:after="0" w:afterAutospacing="0"/>
              <w:rPr>
                <w:color w:val="000000"/>
                <w:sz w:val="20"/>
                <w:szCs w:val="20"/>
              </w:rPr>
            </w:pPr>
            <w:r>
              <w:rPr>
                <w:color w:val="000000"/>
                <w:sz w:val="20"/>
                <w:szCs w:val="20"/>
              </w:rPr>
              <w:t>Revenues: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BA494D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53EE002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8987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32217D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F8A6D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4725279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6CF9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ABC5DF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6DFCE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718B6BB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B0A18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F3276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EA12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17E1E04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65EEB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B182543" w14:textId="77777777">
        <w:trPr>
          <w:divId w:val="1264069354"/>
        </w:trPr>
        <w:tc>
          <w:tcPr>
            <w:tcW w:w="2548" w:type="pct"/>
            <w:shd w:val="clear" w:color="auto" w:fill="FFFFFF"/>
            <w:tcMar>
              <w:top w:w="15" w:type="dxa"/>
              <w:left w:w="0" w:type="dxa"/>
              <w:bottom w:w="0" w:type="dxa"/>
              <w:right w:w="15" w:type="dxa"/>
            </w:tcMar>
            <w:vAlign w:val="bottom"/>
            <w:hideMark/>
          </w:tcPr>
          <w:p w14:paraId="1E047A25" w14:textId="77777777" w:rsidR="00000000" w:rsidRDefault="00B8284C">
            <w:pPr>
              <w:pStyle w:val="a3"/>
              <w:spacing w:before="0" w:beforeAutospacing="0" w:after="0" w:afterAutospacing="0"/>
              <w:ind w:left="274"/>
              <w:rPr>
                <w:color w:val="000000"/>
                <w:sz w:val="20"/>
                <w:szCs w:val="20"/>
              </w:rPr>
            </w:pPr>
            <w:r>
              <w:rPr>
                <w:color w:val="000000"/>
                <w:sz w:val="20"/>
                <w:szCs w:val="20"/>
              </w:rPr>
              <w:t>Subscription</w:t>
            </w:r>
          </w:p>
        </w:tc>
        <w:tc>
          <w:tcPr>
            <w:tcW w:w="50" w:type="pct"/>
            <w:shd w:val="clear" w:color="auto" w:fill="FFFFFF"/>
            <w:noWrap/>
            <w:tcMar>
              <w:top w:w="15" w:type="dxa"/>
              <w:left w:w="0" w:type="dxa"/>
              <w:bottom w:w="0" w:type="dxa"/>
              <w:right w:w="15" w:type="dxa"/>
            </w:tcMar>
            <w:vAlign w:val="bottom"/>
            <w:hideMark/>
          </w:tcPr>
          <w:p w14:paraId="2CCE8DF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shd w:val="clear" w:color="auto" w:fill="FFFFFF"/>
            <w:noWrap/>
            <w:tcMar>
              <w:top w:w="15" w:type="dxa"/>
              <w:left w:w="0" w:type="dxa"/>
              <w:bottom w:w="0" w:type="dxa"/>
              <w:right w:w="15" w:type="dxa"/>
            </w:tcMar>
            <w:vAlign w:val="bottom"/>
            <w:hideMark/>
          </w:tcPr>
          <w:p w14:paraId="0B2A3E17" w14:textId="77777777" w:rsidR="00000000" w:rsidRDefault="00B8284C">
            <w:pPr>
              <w:pStyle w:val="a3"/>
              <w:spacing w:before="0" w:beforeAutospacing="0" w:after="0" w:afterAutospacing="0"/>
              <w:jc w:val="right"/>
              <w:rPr>
                <w:color w:val="000000"/>
                <w:sz w:val="20"/>
                <w:szCs w:val="20"/>
              </w:rPr>
            </w:pPr>
            <w:r>
              <w:rPr>
                <w:color w:val="000000"/>
                <w:sz w:val="20"/>
                <w:szCs w:val="20"/>
              </w:rPr>
              <w:t>167,078</w:t>
            </w:r>
          </w:p>
        </w:tc>
        <w:tc>
          <w:tcPr>
            <w:tcW w:w="50" w:type="pct"/>
            <w:shd w:val="clear" w:color="auto" w:fill="FFFFFF"/>
            <w:noWrap/>
            <w:tcMar>
              <w:top w:w="15" w:type="dxa"/>
              <w:left w:w="0" w:type="dxa"/>
              <w:bottom w:w="0" w:type="dxa"/>
              <w:right w:w="15" w:type="dxa"/>
            </w:tcMar>
            <w:vAlign w:val="bottom"/>
            <w:hideMark/>
          </w:tcPr>
          <w:p w14:paraId="6E9CB2A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C7E70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A65C3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shd w:val="clear" w:color="auto" w:fill="FFFFFF"/>
            <w:noWrap/>
            <w:tcMar>
              <w:top w:w="15" w:type="dxa"/>
              <w:left w:w="0" w:type="dxa"/>
              <w:bottom w:w="0" w:type="dxa"/>
              <w:right w:w="15" w:type="dxa"/>
            </w:tcMar>
            <w:vAlign w:val="bottom"/>
            <w:hideMark/>
          </w:tcPr>
          <w:p w14:paraId="2E2D6116" w14:textId="77777777" w:rsidR="00000000" w:rsidRDefault="00B8284C">
            <w:pPr>
              <w:pStyle w:val="a3"/>
              <w:spacing w:before="0" w:beforeAutospacing="0" w:after="0" w:afterAutospacing="0"/>
              <w:jc w:val="right"/>
              <w:rPr>
                <w:color w:val="000000"/>
                <w:sz w:val="20"/>
                <w:szCs w:val="20"/>
              </w:rPr>
            </w:pPr>
            <w:r>
              <w:rPr>
                <w:color w:val="000000"/>
                <w:sz w:val="20"/>
                <w:szCs w:val="20"/>
              </w:rPr>
              <w:t>125,478</w:t>
            </w:r>
          </w:p>
        </w:tc>
        <w:tc>
          <w:tcPr>
            <w:tcW w:w="50" w:type="pct"/>
            <w:shd w:val="clear" w:color="auto" w:fill="FFFFFF"/>
            <w:noWrap/>
            <w:tcMar>
              <w:top w:w="15" w:type="dxa"/>
              <w:left w:w="0" w:type="dxa"/>
              <w:bottom w:w="0" w:type="dxa"/>
              <w:right w:w="15" w:type="dxa"/>
            </w:tcMar>
            <w:vAlign w:val="bottom"/>
            <w:hideMark/>
          </w:tcPr>
          <w:p w14:paraId="1DF2431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2038DE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67057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shd w:val="clear" w:color="auto" w:fill="FFFFFF"/>
            <w:noWrap/>
            <w:tcMar>
              <w:top w:w="15" w:type="dxa"/>
              <w:left w:w="0" w:type="dxa"/>
              <w:bottom w:w="0" w:type="dxa"/>
              <w:right w:w="15" w:type="dxa"/>
            </w:tcMar>
            <w:vAlign w:val="bottom"/>
            <w:hideMark/>
          </w:tcPr>
          <w:p w14:paraId="4449BBDD" w14:textId="77777777" w:rsidR="00000000" w:rsidRDefault="00B8284C">
            <w:pPr>
              <w:pStyle w:val="a3"/>
              <w:spacing w:before="0" w:beforeAutospacing="0" w:after="0" w:afterAutospacing="0"/>
              <w:jc w:val="right"/>
              <w:rPr>
                <w:color w:val="000000"/>
                <w:sz w:val="20"/>
                <w:szCs w:val="20"/>
              </w:rPr>
            </w:pPr>
            <w:r>
              <w:rPr>
                <w:color w:val="000000"/>
                <w:sz w:val="20"/>
                <w:szCs w:val="20"/>
              </w:rPr>
              <w:t>467,180</w:t>
            </w:r>
          </w:p>
        </w:tc>
        <w:tc>
          <w:tcPr>
            <w:tcW w:w="50" w:type="pct"/>
            <w:shd w:val="clear" w:color="auto" w:fill="FFFFFF"/>
            <w:noWrap/>
            <w:tcMar>
              <w:top w:w="15" w:type="dxa"/>
              <w:left w:w="0" w:type="dxa"/>
              <w:bottom w:w="0" w:type="dxa"/>
              <w:right w:w="15" w:type="dxa"/>
            </w:tcMar>
            <w:vAlign w:val="bottom"/>
            <w:hideMark/>
          </w:tcPr>
          <w:p w14:paraId="5BB8DD0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E0379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62CDC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shd w:val="clear" w:color="auto" w:fill="FFFFFF"/>
            <w:noWrap/>
            <w:tcMar>
              <w:top w:w="15" w:type="dxa"/>
              <w:left w:w="0" w:type="dxa"/>
              <w:bottom w:w="0" w:type="dxa"/>
              <w:right w:w="15" w:type="dxa"/>
            </w:tcMar>
            <w:vAlign w:val="bottom"/>
            <w:hideMark/>
          </w:tcPr>
          <w:p w14:paraId="577C73DA" w14:textId="77777777" w:rsidR="00000000" w:rsidRDefault="00B8284C">
            <w:pPr>
              <w:pStyle w:val="a3"/>
              <w:spacing w:before="0" w:beforeAutospacing="0" w:after="0" w:afterAutospacing="0"/>
              <w:jc w:val="right"/>
              <w:rPr>
                <w:color w:val="000000"/>
                <w:sz w:val="20"/>
                <w:szCs w:val="20"/>
              </w:rPr>
            </w:pPr>
            <w:r>
              <w:rPr>
                <w:color w:val="000000"/>
                <w:sz w:val="20"/>
                <w:szCs w:val="20"/>
              </w:rPr>
              <w:t>350,646</w:t>
            </w:r>
          </w:p>
        </w:tc>
        <w:tc>
          <w:tcPr>
            <w:tcW w:w="50" w:type="pct"/>
            <w:shd w:val="clear" w:color="auto" w:fill="FFFFFF"/>
            <w:noWrap/>
            <w:tcMar>
              <w:top w:w="15" w:type="dxa"/>
              <w:left w:w="0" w:type="dxa"/>
              <w:bottom w:w="0" w:type="dxa"/>
              <w:right w:w="15" w:type="dxa"/>
            </w:tcMar>
            <w:vAlign w:val="bottom"/>
            <w:hideMark/>
          </w:tcPr>
          <w:p w14:paraId="5C754D0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9838FC6" w14:textId="77777777">
        <w:trPr>
          <w:divId w:val="1264069354"/>
        </w:trPr>
        <w:tc>
          <w:tcPr>
            <w:tcW w:w="2548" w:type="pct"/>
            <w:shd w:val="clear" w:color="auto" w:fill="CFF0FC"/>
            <w:tcMar>
              <w:top w:w="15" w:type="dxa"/>
              <w:left w:w="0" w:type="dxa"/>
              <w:bottom w:w="0" w:type="dxa"/>
              <w:right w:w="15" w:type="dxa"/>
            </w:tcMar>
            <w:vAlign w:val="bottom"/>
            <w:hideMark/>
          </w:tcPr>
          <w:p w14:paraId="085A4586" w14:textId="77777777" w:rsidR="00000000" w:rsidRDefault="00B8284C">
            <w:pPr>
              <w:pStyle w:val="a3"/>
              <w:spacing w:before="0" w:beforeAutospacing="0" w:after="0" w:afterAutospacing="0"/>
              <w:ind w:left="274"/>
              <w:rPr>
                <w:color w:val="000000"/>
                <w:sz w:val="20"/>
                <w:szCs w:val="20"/>
              </w:rPr>
            </w:pPr>
            <w:r>
              <w:rPr>
                <w:color w:val="000000"/>
                <w:sz w:val="20"/>
                <w:szCs w:val="20"/>
              </w:rPr>
              <w:t>Professional services and other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A29D26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0179F0D9" w14:textId="77777777" w:rsidR="00000000" w:rsidRDefault="00B8284C">
            <w:pPr>
              <w:pStyle w:val="a3"/>
              <w:spacing w:before="0" w:beforeAutospacing="0" w:after="0" w:afterAutospacing="0"/>
              <w:jc w:val="right"/>
              <w:rPr>
                <w:color w:val="000000"/>
                <w:sz w:val="20"/>
                <w:szCs w:val="20"/>
              </w:rPr>
            </w:pPr>
            <w:r>
              <w:rPr>
                <w:color w:val="000000"/>
                <w:sz w:val="20"/>
                <w:szCs w:val="20"/>
              </w:rPr>
              <w:t>6,543</w:t>
            </w:r>
          </w:p>
        </w:tc>
        <w:tc>
          <w:tcPr>
            <w:tcW w:w="50" w:type="pct"/>
            <w:shd w:val="clear" w:color="auto" w:fill="CFF0FC"/>
            <w:noWrap/>
            <w:tcMar>
              <w:top w:w="15" w:type="dxa"/>
              <w:left w:w="0" w:type="dxa"/>
              <w:bottom w:w="0" w:type="dxa"/>
              <w:right w:w="15" w:type="dxa"/>
            </w:tcMar>
            <w:vAlign w:val="bottom"/>
            <w:hideMark/>
          </w:tcPr>
          <w:p w14:paraId="3E195B1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DC9872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752049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5087A5D2" w14:textId="77777777" w:rsidR="00000000" w:rsidRDefault="00B8284C">
            <w:pPr>
              <w:pStyle w:val="a3"/>
              <w:spacing w:before="0" w:beforeAutospacing="0" w:after="0" w:afterAutospacing="0"/>
              <w:jc w:val="right"/>
              <w:rPr>
                <w:color w:val="000000"/>
                <w:sz w:val="20"/>
                <w:szCs w:val="20"/>
              </w:rPr>
            </w:pPr>
            <w:r>
              <w:rPr>
                <w:color w:val="000000"/>
                <w:sz w:val="20"/>
                <w:szCs w:val="20"/>
              </w:rPr>
              <w:t>6,348</w:t>
            </w:r>
          </w:p>
        </w:tc>
        <w:tc>
          <w:tcPr>
            <w:tcW w:w="50" w:type="pct"/>
            <w:shd w:val="clear" w:color="auto" w:fill="CFF0FC"/>
            <w:noWrap/>
            <w:tcMar>
              <w:top w:w="15" w:type="dxa"/>
              <w:left w:w="0" w:type="dxa"/>
              <w:bottom w:w="0" w:type="dxa"/>
              <w:right w:w="15" w:type="dxa"/>
            </w:tcMar>
            <w:vAlign w:val="bottom"/>
            <w:hideMark/>
          </w:tcPr>
          <w:p w14:paraId="7EF138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7084D6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8EA4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4F51C5B7" w14:textId="77777777" w:rsidR="00000000" w:rsidRDefault="00B8284C">
            <w:pPr>
              <w:pStyle w:val="a3"/>
              <w:spacing w:before="0" w:beforeAutospacing="0" w:after="0" w:afterAutospacing="0"/>
              <w:jc w:val="right"/>
              <w:rPr>
                <w:color w:val="000000"/>
                <w:sz w:val="20"/>
                <w:szCs w:val="20"/>
              </w:rPr>
            </w:pPr>
            <w:r>
              <w:rPr>
                <w:color w:val="000000"/>
                <w:sz w:val="20"/>
                <w:szCs w:val="20"/>
              </w:rPr>
              <w:t>21,494</w:t>
            </w:r>
          </w:p>
        </w:tc>
        <w:tc>
          <w:tcPr>
            <w:tcW w:w="50" w:type="pct"/>
            <w:shd w:val="clear" w:color="auto" w:fill="CFF0FC"/>
            <w:noWrap/>
            <w:tcMar>
              <w:top w:w="15" w:type="dxa"/>
              <w:left w:w="0" w:type="dxa"/>
              <w:bottom w:w="0" w:type="dxa"/>
              <w:right w:w="15" w:type="dxa"/>
            </w:tcMar>
            <w:vAlign w:val="bottom"/>
            <w:hideMark/>
          </w:tcPr>
          <w:p w14:paraId="0F1AD1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2D1C15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F267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55772F2B" w14:textId="77777777" w:rsidR="00000000" w:rsidRDefault="00B8284C">
            <w:pPr>
              <w:pStyle w:val="a3"/>
              <w:spacing w:before="0" w:beforeAutospacing="0" w:after="0" w:afterAutospacing="0"/>
              <w:jc w:val="right"/>
              <w:rPr>
                <w:color w:val="000000"/>
                <w:sz w:val="20"/>
                <w:szCs w:val="20"/>
              </w:rPr>
            </w:pPr>
            <w:r>
              <w:rPr>
                <w:color w:val="000000"/>
                <w:sz w:val="20"/>
                <w:szCs w:val="20"/>
              </w:rPr>
              <w:t>18,312</w:t>
            </w:r>
          </w:p>
        </w:tc>
        <w:tc>
          <w:tcPr>
            <w:tcW w:w="50" w:type="pct"/>
            <w:shd w:val="clear" w:color="auto" w:fill="CFF0FC"/>
            <w:noWrap/>
            <w:tcMar>
              <w:top w:w="15" w:type="dxa"/>
              <w:left w:w="0" w:type="dxa"/>
              <w:bottom w:w="0" w:type="dxa"/>
              <w:right w:w="15" w:type="dxa"/>
            </w:tcMar>
            <w:vAlign w:val="bottom"/>
            <w:hideMark/>
          </w:tcPr>
          <w:p w14:paraId="58596BA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9A5AB95" w14:textId="77777777">
        <w:trPr>
          <w:divId w:val="1264069354"/>
        </w:trPr>
        <w:tc>
          <w:tcPr>
            <w:tcW w:w="2548" w:type="pct"/>
            <w:shd w:val="clear" w:color="auto" w:fill="FFFFFF"/>
            <w:tcMar>
              <w:top w:w="15" w:type="dxa"/>
              <w:left w:w="0" w:type="dxa"/>
              <w:bottom w:w="0" w:type="dxa"/>
              <w:right w:w="15" w:type="dxa"/>
            </w:tcMar>
            <w:vAlign w:val="bottom"/>
            <w:hideMark/>
          </w:tcPr>
          <w:p w14:paraId="472FA247" w14:textId="77777777" w:rsidR="00000000" w:rsidRDefault="00B8284C">
            <w:pPr>
              <w:pStyle w:val="a3"/>
              <w:spacing w:before="0" w:beforeAutospacing="0" w:after="0" w:afterAutospacing="0"/>
              <w:ind w:left="821"/>
              <w:rPr>
                <w:color w:val="000000"/>
                <w:sz w:val="20"/>
                <w:szCs w:val="20"/>
              </w:rPr>
            </w:pPr>
            <w:r>
              <w:rPr>
                <w:color w:val="000000"/>
                <w:sz w:val="20"/>
                <w:szCs w:val="20"/>
              </w:rPr>
              <w:t>Total revenue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97167A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EA2D7D9" w14:textId="77777777" w:rsidR="00000000" w:rsidRDefault="00B8284C">
            <w:pPr>
              <w:pStyle w:val="a3"/>
              <w:spacing w:before="0" w:beforeAutospacing="0" w:after="0" w:afterAutospacing="0"/>
              <w:jc w:val="right"/>
              <w:rPr>
                <w:color w:val="000000"/>
                <w:sz w:val="20"/>
                <w:szCs w:val="20"/>
              </w:rPr>
            </w:pPr>
            <w:r>
              <w:rPr>
                <w:color w:val="000000"/>
                <w:sz w:val="20"/>
                <w:szCs w:val="20"/>
              </w:rPr>
              <w:t>173,621</w:t>
            </w:r>
          </w:p>
        </w:tc>
        <w:tc>
          <w:tcPr>
            <w:tcW w:w="50" w:type="pct"/>
            <w:shd w:val="clear" w:color="auto" w:fill="FFFFFF"/>
            <w:noWrap/>
            <w:tcMar>
              <w:top w:w="15" w:type="dxa"/>
              <w:left w:w="0" w:type="dxa"/>
              <w:bottom w:w="0" w:type="dxa"/>
              <w:right w:w="15" w:type="dxa"/>
            </w:tcMar>
            <w:vAlign w:val="bottom"/>
            <w:hideMark/>
          </w:tcPr>
          <w:p w14:paraId="283F79A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62B8D2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FD310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F3CFBF6" w14:textId="77777777" w:rsidR="00000000" w:rsidRDefault="00B8284C">
            <w:pPr>
              <w:pStyle w:val="a3"/>
              <w:spacing w:before="0" w:beforeAutospacing="0" w:after="0" w:afterAutospacing="0"/>
              <w:jc w:val="right"/>
              <w:rPr>
                <w:color w:val="000000"/>
                <w:sz w:val="20"/>
                <w:szCs w:val="20"/>
              </w:rPr>
            </w:pPr>
            <w:r>
              <w:rPr>
                <w:color w:val="000000"/>
                <w:sz w:val="20"/>
                <w:szCs w:val="20"/>
              </w:rPr>
              <w:t>131,826</w:t>
            </w:r>
          </w:p>
        </w:tc>
        <w:tc>
          <w:tcPr>
            <w:tcW w:w="50" w:type="pct"/>
            <w:shd w:val="clear" w:color="auto" w:fill="FFFFFF"/>
            <w:noWrap/>
            <w:tcMar>
              <w:top w:w="15" w:type="dxa"/>
              <w:left w:w="0" w:type="dxa"/>
              <w:bottom w:w="0" w:type="dxa"/>
              <w:right w:w="15" w:type="dxa"/>
            </w:tcMar>
            <w:vAlign w:val="bottom"/>
            <w:hideMark/>
          </w:tcPr>
          <w:p w14:paraId="319AD81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C61E93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33DAA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FB13C84" w14:textId="77777777" w:rsidR="00000000" w:rsidRDefault="00B8284C">
            <w:pPr>
              <w:pStyle w:val="a3"/>
              <w:spacing w:before="0" w:beforeAutospacing="0" w:after="0" w:afterAutospacing="0"/>
              <w:jc w:val="right"/>
              <w:rPr>
                <w:color w:val="000000"/>
                <w:sz w:val="20"/>
                <w:szCs w:val="20"/>
              </w:rPr>
            </w:pPr>
            <w:r>
              <w:rPr>
                <w:color w:val="000000"/>
                <w:sz w:val="20"/>
                <w:szCs w:val="20"/>
              </w:rPr>
              <w:t>488,674</w:t>
            </w:r>
          </w:p>
        </w:tc>
        <w:tc>
          <w:tcPr>
            <w:tcW w:w="50" w:type="pct"/>
            <w:shd w:val="clear" w:color="auto" w:fill="FFFFFF"/>
            <w:noWrap/>
            <w:tcMar>
              <w:top w:w="15" w:type="dxa"/>
              <w:left w:w="0" w:type="dxa"/>
              <w:bottom w:w="0" w:type="dxa"/>
              <w:right w:w="15" w:type="dxa"/>
            </w:tcMar>
            <w:vAlign w:val="bottom"/>
            <w:hideMark/>
          </w:tcPr>
          <w:p w14:paraId="6D6B699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CBEDD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14A768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B22CF4" w14:textId="77777777" w:rsidR="00000000" w:rsidRDefault="00B8284C">
            <w:pPr>
              <w:pStyle w:val="a3"/>
              <w:spacing w:before="0" w:beforeAutospacing="0" w:after="0" w:afterAutospacing="0"/>
              <w:jc w:val="right"/>
              <w:rPr>
                <w:color w:val="000000"/>
                <w:sz w:val="20"/>
                <w:szCs w:val="20"/>
              </w:rPr>
            </w:pPr>
            <w:r>
              <w:rPr>
                <w:color w:val="000000"/>
                <w:sz w:val="20"/>
                <w:szCs w:val="20"/>
              </w:rPr>
              <w:t>368,958</w:t>
            </w:r>
          </w:p>
        </w:tc>
        <w:tc>
          <w:tcPr>
            <w:tcW w:w="50" w:type="pct"/>
            <w:shd w:val="clear" w:color="auto" w:fill="FFFFFF"/>
            <w:noWrap/>
            <w:tcMar>
              <w:top w:w="15" w:type="dxa"/>
              <w:left w:w="0" w:type="dxa"/>
              <w:bottom w:w="0" w:type="dxa"/>
              <w:right w:w="15" w:type="dxa"/>
            </w:tcMar>
            <w:vAlign w:val="bottom"/>
            <w:hideMark/>
          </w:tcPr>
          <w:p w14:paraId="3E73558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C40B3D7" w14:textId="77777777">
        <w:trPr>
          <w:divId w:val="1264069354"/>
        </w:trPr>
        <w:tc>
          <w:tcPr>
            <w:tcW w:w="2548" w:type="pct"/>
            <w:shd w:val="clear" w:color="auto" w:fill="CFF0FC"/>
            <w:tcMar>
              <w:top w:w="15" w:type="dxa"/>
              <w:left w:w="0" w:type="dxa"/>
              <w:bottom w:w="0" w:type="dxa"/>
              <w:right w:w="15" w:type="dxa"/>
            </w:tcMar>
            <w:vAlign w:val="bottom"/>
            <w:hideMark/>
          </w:tcPr>
          <w:p w14:paraId="13B45729" w14:textId="77777777" w:rsidR="00000000" w:rsidRDefault="00B8284C">
            <w:pPr>
              <w:pStyle w:val="a3"/>
              <w:spacing w:before="0" w:beforeAutospacing="0" w:after="0" w:afterAutospacing="0"/>
              <w:rPr>
                <w:color w:val="000000"/>
                <w:sz w:val="20"/>
                <w:szCs w:val="20"/>
              </w:rPr>
            </w:pPr>
            <w:r>
              <w:rPr>
                <w:color w:val="000000"/>
                <w:sz w:val="20"/>
                <w:szCs w:val="20"/>
              </w:rPr>
              <w:t>Cost of revenues: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880862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45A854B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C7180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1F157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B0E1E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16D6217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CEE3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EF280E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47CA6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652D8D6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960E5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AB117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E7A7D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101EAD3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E7BCC0"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76274F7" w14:textId="77777777">
        <w:trPr>
          <w:divId w:val="1264069354"/>
        </w:trPr>
        <w:tc>
          <w:tcPr>
            <w:tcW w:w="2548" w:type="pct"/>
            <w:shd w:val="clear" w:color="auto" w:fill="FFFFFF"/>
            <w:tcMar>
              <w:top w:w="15" w:type="dxa"/>
              <w:left w:w="0" w:type="dxa"/>
              <w:bottom w:w="0" w:type="dxa"/>
              <w:right w:w="15" w:type="dxa"/>
            </w:tcMar>
            <w:vAlign w:val="bottom"/>
            <w:hideMark/>
          </w:tcPr>
          <w:p w14:paraId="094031C0" w14:textId="77777777" w:rsidR="00000000" w:rsidRDefault="00B8284C">
            <w:pPr>
              <w:pStyle w:val="a3"/>
              <w:spacing w:before="0" w:beforeAutospacing="0" w:after="0" w:afterAutospacing="0"/>
              <w:ind w:left="274"/>
              <w:rPr>
                <w:color w:val="000000"/>
                <w:sz w:val="20"/>
                <w:szCs w:val="20"/>
              </w:rPr>
            </w:pPr>
            <w:r>
              <w:rPr>
                <w:color w:val="000000"/>
                <w:sz w:val="20"/>
                <w:szCs w:val="20"/>
              </w:rPr>
              <w:t>Subscription</w:t>
            </w:r>
          </w:p>
        </w:tc>
        <w:tc>
          <w:tcPr>
            <w:tcW w:w="50" w:type="pct"/>
            <w:shd w:val="clear" w:color="auto" w:fill="FFFFFF"/>
            <w:noWrap/>
            <w:tcMar>
              <w:top w:w="15" w:type="dxa"/>
              <w:left w:w="0" w:type="dxa"/>
              <w:bottom w:w="0" w:type="dxa"/>
              <w:right w:w="15" w:type="dxa"/>
            </w:tcMar>
            <w:vAlign w:val="bottom"/>
            <w:hideMark/>
          </w:tcPr>
          <w:p w14:paraId="7EC142E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5731766E" w14:textId="77777777" w:rsidR="00000000" w:rsidRDefault="00B8284C">
            <w:pPr>
              <w:pStyle w:val="a3"/>
              <w:spacing w:before="0" w:beforeAutospacing="0" w:after="0" w:afterAutospacing="0"/>
              <w:jc w:val="right"/>
              <w:rPr>
                <w:color w:val="000000"/>
                <w:sz w:val="20"/>
                <w:szCs w:val="20"/>
              </w:rPr>
            </w:pPr>
            <w:r>
              <w:rPr>
                <w:color w:val="000000"/>
                <w:sz w:val="20"/>
                <w:szCs w:val="20"/>
              </w:rPr>
              <w:t>25,671</w:t>
            </w:r>
          </w:p>
        </w:tc>
        <w:tc>
          <w:tcPr>
            <w:tcW w:w="50" w:type="pct"/>
            <w:shd w:val="clear" w:color="auto" w:fill="FFFFFF"/>
            <w:noWrap/>
            <w:tcMar>
              <w:top w:w="15" w:type="dxa"/>
              <w:left w:w="0" w:type="dxa"/>
              <w:bottom w:w="0" w:type="dxa"/>
              <w:right w:w="15" w:type="dxa"/>
            </w:tcMar>
            <w:vAlign w:val="bottom"/>
            <w:hideMark/>
          </w:tcPr>
          <w:p w14:paraId="1F994F6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786E1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87C99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304DB139" w14:textId="77777777" w:rsidR="00000000" w:rsidRDefault="00B8284C">
            <w:pPr>
              <w:pStyle w:val="a3"/>
              <w:spacing w:before="0" w:beforeAutospacing="0" w:after="0" w:afterAutospacing="0"/>
              <w:jc w:val="right"/>
              <w:rPr>
                <w:color w:val="000000"/>
                <w:sz w:val="20"/>
                <w:szCs w:val="20"/>
              </w:rPr>
            </w:pPr>
            <w:r>
              <w:rPr>
                <w:color w:val="000000"/>
                <w:sz w:val="20"/>
                <w:szCs w:val="20"/>
              </w:rPr>
              <w:t>17,777</w:t>
            </w:r>
          </w:p>
        </w:tc>
        <w:tc>
          <w:tcPr>
            <w:tcW w:w="50" w:type="pct"/>
            <w:shd w:val="clear" w:color="auto" w:fill="FFFFFF"/>
            <w:noWrap/>
            <w:tcMar>
              <w:top w:w="15" w:type="dxa"/>
              <w:left w:w="0" w:type="dxa"/>
              <w:bottom w:w="0" w:type="dxa"/>
              <w:right w:w="15" w:type="dxa"/>
            </w:tcMar>
            <w:vAlign w:val="bottom"/>
            <w:hideMark/>
          </w:tcPr>
          <w:p w14:paraId="2F94ABD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591A35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34E01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5A8643FF" w14:textId="77777777" w:rsidR="00000000" w:rsidRDefault="00B8284C">
            <w:pPr>
              <w:pStyle w:val="a3"/>
              <w:spacing w:before="0" w:beforeAutospacing="0" w:after="0" w:afterAutospacing="0"/>
              <w:jc w:val="right"/>
              <w:rPr>
                <w:color w:val="000000"/>
                <w:sz w:val="20"/>
                <w:szCs w:val="20"/>
              </w:rPr>
            </w:pPr>
            <w:r>
              <w:rPr>
                <w:color w:val="000000"/>
                <w:sz w:val="20"/>
                <w:szCs w:val="20"/>
              </w:rPr>
              <w:t>70,550</w:t>
            </w:r>
          </w:p>
        </w:tc>
        <w:tc>
          <w:tcPr>
            <w:tcW w:w="50" w:type="pct"/>
            <w:shd w:val="clear" w:color="auto" w:fill="FFFFFF"/>
            <w:noWrap/>
            <w:tcMar>
              <w:top w:w="15" w:type="dxa"/>
              <w:left w:w="0" w:type="dxa"/>
              <w:bottom w:w="0" w:type="dxa"/>
              <w:right w:w="15" w:type="dxa"/>
            </w:tcMar>
            <w:vAlign w:val="bottom"/>
            <w:hideMark/>
          </w:tcPr>
          <w:p w14:paraId="6BEB85E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57C907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BFCD4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1732C34F" w14:textId="77777777" w:rsidR="00000000" w:rsidRDefault="00B8284C">
            <w:pPr>
              <w:pStyle w:val="a3"/>
              <w:spacing w:before="0" w:beforeAutospacing="0" w:after="0" w:afterAutospacing="0"/>
              <w:jc w:val="right"/>
              <w:rPr>
                <w:color w:val="000000"/>
                <w:sz w:val="20"/>
                <w:szCs w:val="20"/>
              </w:rPr>
            </w:pPr>
            <w:r>
              <w:rPr>
                <w:color w:val="000000"/>
                <w:sz w:val="20"/>
                <w:szCs w:val="20"/>
              </w:rPr>
              <w:t>49,976</w:t>
            </w:r>
          </w:p>
        </w:tc>
        <w:tc>
          <w:tcPr>
            <w:tcW w:w="50" w:type="pct"/>
            <w:shd w:val="clear" w:color="auto" w:fill="FFFFFF"/>
            <w:noWrap/>
            <w:tcMar>
              <w:top w:w="15" w:type="dxa"/>
              <w:left w:w="0" w:type="dxa"/>
              <w:bottom w:w="0" w:type="dxa"/>
              <w:right w:w="15" w:type="dxa"/>
            </w:tcMar>
            <w:vAlign w:val="bottom"/>
            <w:hideMark/>
          </w:tcPr>
          <w:p w14:paraId="117B6F1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CA149C6" w14:textId="77777777">
        <w:trPr>
          <w:divId w:val="1264069354"/>
        </w:trPr>
        <w:tc>
          <w:tcPr>
            <w:tcW w:w="2548" w:type="pct"/>
            <w:shd w:val="clear" w:color="auto" w:fill="CFF0FC"/>
            <w:tcMar>
              <w:top w:w="15" w:type="dxa"/>
              <w:left w:w="0" w:type="dxa"/>
              <w:bottom w:w="0" w:type="dxa"/>
              <w:right w:w="15" w:type="dxa"/>
            </w:tcMar>
            <w:vAlign w:val="bottom"/>
            <w:hideMark/>
          </w:tcPr>
          <w:p w14:paraId="272E01DF" w14:textId="77777777" w:rsidR="00000000" w:rsidRDefault="00B8284C">
            <w:pPr>
              <w:pStyle w:val="a3"/>
              <w:spacing w:before="0" w:beforeAutospacing="0" w:after="0" w:afterAutospacing="0"/>
              <w:ind w:left="274"/>
              <w:rPr>
                <w:color w:val="000000"/>
                <w:sz w:val="20"/>
                <w:szCs w:val="20"/>
              </w:rPr>
            </w:pPr>
            <w:r>
              <w:rPr>
                <w:color w:val="000000"/>
                <w:sz w:val="20"/>
                <w:szCs w:val="20"/>
              </w:rPr>
              <w:t>Professional services and other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B0A8F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4F243A12" w14:textId="77777777" w:rsidR="00000000" w:rsidRDefault="00B8284C">
            <w:pPr>
              <w:pStyle w:val="a3"/>
              <w:spacing w:before="0" w:beforeAutospacing="0" w:after="0" w:afterAutospacing="0"/>
              <w:jc w:val="right"/>
              <w:rPr>
                <w:color w:val="000000"/>
                <w:sz w:val="20"/>
                <w:szCs w:val="20"/>
              </w:rPr>
            </w:pPr>
            <w:r>
              <w:rPr>
                <w:color w:val="000000"/>
                <w:sz w:val="20"/>
                <w:szCs w:val="20"/>
              </w:rPr>
              <w:t>7,592</w:t>
            </w:r>
          </w:p>
        </w:tc>
        <w:tc>
          <w:tcPr>
            <w:tcW w:w="50" w:type="pct"/>
            <w:shd w:val="clear" w:color="auto" w:fill="CFF0FC"/>
            <w:noWrap/>
            <w:tcMar>
              <w:top w:w="15" w:type="dxa"/>
              <w:left w:w="0" w:type="dxa"/>
              <w:bottom w:w="0" w:type="dxa"/>
              <w:right w:w="15" w:type="dxa"/>
            </w:tcMar>
            <w:vAlign w:val="bottom"/>
            <w:hideMark/>
          </w:tcPr>
          <w:p w14:paraId="3BD494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548B25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EFAC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75C4D01E" w14:textId="77777777" w:rsidR="00000000" w:rsidRDefault="00B8284C">
            <w:pPr>
              <w:pStyle w:val="a3"/>
              <w:spacing w:before="0" w:beforeAutospacing="0" w:after="0" w:afterAutospacing="0"/>
              <w:jc w:val="right"/>
              <w:rPr>
                <w:color w:val="000000"/>
                <w:sz w:val="20"/>
                <w:szCs w:val="20"/>
              </w:rPr>
            </w:pPr>
            <w:r>
              <w:rPr>
                <w:color w:val="000000"/>
                <w:sz w:val="20"/>
                <w:szCs w:val="20"/>
              </w:rPr>
              <w:t>7,988</w:t>
            </w:r>
          </w:p>
        </w:tc>
        <w:tc>
          <w:tcPr>
            <w:tcW w:w="50" w:type="pct"/>
            <w:shd w:val="clear" w:color="auto" w:fill="CFF0FC"/>
            <w:noWrap/>
            <w:tcMar>
              <w:top w:w="15" w:type="dxa"/>
              <w:left w:w="0" w:type="dxa"/>
              <w:bottom w:w="0" w:type="dxa"/>
              <w:right w:w="15" w:type="dxa"/>
            </w:tcMar>
            <w:vAlign w:val="bottom"/>
            <w:hideMark/>
          </w:tcPr>
          <w:p w14:paraId="1A71101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E82886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B8FAD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037CE9E6" w14:textId="77777777" w:rsidR="00000000" w:rsidRDefault="00B8284C">
            <w:pPr>
              <w:pStyle w:val="a3"/>
              <w:spacing w:before="0" w:beforeAutospacing="0" w:after="0" w:afterAutospacing="0"/>
              <w:jc w:val="right"/>
              <w:rPr>
                <w:color w:val="000000"/>
                <w:sz w:val="20"/>
                <w:szCs w:val="20"/>
              </w:rPr>
            </w:pPr>
            <w:r>
              <w:rPr>
                <w:color w:val="000000"/>
                <w:sz w:val="20"/>
                <w:szCs w:val="20"/>
              </w:rPr>
              <w:t>23,433</w:t>
            </w:r>
          </w:p>
        </w:tc>
        <w:tc>
          <w:tcPr>
            <w:tcW w:w="50" w:type="pct"/>
            <w:shd w:val="clear" w:color="auto" w:fill="CFF0FC"/>
            <w:noWrap/>
            <w:tcMar>
              <w:top w:w="15" w:type="dxa"/>
              <w:left w:w="0" w:type="dxa"/>
              <w:bottom w:w="0" w:type="dxa"/>
              <w:right w:w="15" w:type="dxa"/>
            </w:tcMar>
            <w:vAlign w:val="bottom"/>
            <w:hideMark/>
          </w:tcPr>
          <w:p w14:paraId="6A25C88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68B218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916E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0039377C" w14:textId="77777777" w:rsidR="00000000" w:rsidRDefault="00B8284C">
            <w:pPr>
              <w:pStyle w:val="a3"/>
              <w:spacing w:before="0" w:beforeAutospacing="0" w:after="0" w:afterAutospacing="0"/>
              <w:jc w:val="right"/>
              <w:rPr>
                <w:color w:val="000000"/>
                <w:sz w:val="20"/>
                <w:szCs w:val="20"/>
              </w:rPr>
            </w:pPr>
            <w:r>
              <w:rPr>
                <w:color w:val="000000"/>
                <w:sz w:val="20"/>
                <w:szCs w:val="20"/>
              </w:rPr>
              <w:t>23,017</w:t>
            </w:r>
          </w:p>
        </w:tc>
        <w:tc>
          <w:tcPr>
            <w:tcW w:w="50" w:type="pct"/>
            <w:shd w:val="clear" w:color="auto" w:fill="CFF0FC"/>
            <w:noWrap/>
            <w:tcMar>
              <w:top w:w="15" w:type="dxa"/>
              <w:left w:w="0" w:type="dxa"/>
              <w:bottom w:w="0" w:type="dxa"/>
              <w:right w:w="15" w:type="dxa"/>
            </w:tcMar>
            <w:vAlign w:val="bottom"/>
            <w:hideMark/>
          </w:tcPr>
          <w:p w14:paraId="2E123C5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145F0A0" w14:textId="77777777">
        <w:trPr>
          <w:divId w:val="1264069354"/>
        </w:trPr>
        <w:tc>
          <w:tcPr>
            <w:tcW w:w="2548" w:type="pct"/>
            <w:shd w:val="clear" w:color="auto" w:fill="FFFFFF"/>
            <w:tcMar>
              <w:top w:w="15" w:type="dxa"/>
              <w:left w:w="0" w:type="dxa"/>
              <w:bottom w:w="0" w:type="dxa"/>
              <w:right w:w="15" w:type="dxa"/>
            </w:tcMar>
            <w:vAlign w:val="bottom"/>
            <w:hideMark/>
          </w:tcPr>
          <w:p w14:paraId="2297D7F8" w14:textId="77777777" w:rsidR="00000000" w:rsidRDefault="00B8284C">
            <w:pPr>
              <w:pStyle w:val="a3"/>
              <w:spacing w:before="0" w:beforeAutospacing="0" w:after="0" w:afterAutospacing="0"/>
              <w:ind w:left="821"/>
              <w:rPr>
                <w:color w:val="000000"/>
                <w:sz w:val="20"/>
                <w:szCs w:val="20"/>
              </w:rPr>
            </w:pPr>
            <w:r>
              <w:rPr>
                <w:color w:val="000000"/>
                <w:sz w:val="20"/>
                <w:szCs w:val="20"/>
              </w:rPr>
              <w:t>Total cost of revenues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64510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2A700AF" w14:textId="77777777" w:rsidR="00000000" w:rsidRDefault="00B8284C">
            <w:pPr>
              <w:pStyle w:val="a3"/>
              <w:spacing w:before="0" w:beforeAutospacing="0" w:after="0" w:afterAutospacing="0"/>
              <w:jc w:val="right"/>
              <w:rPr>
                <w:color w:val="000000"/>
                <w:sz w:val="20"/>
                <w:szCs w:val="20"/>
              </w:rPr>
            </w:pPr>
            <w:r>
              <w:rPr>
                <w:color w:val="000000"/>
                <w:sz w:val="20"/>
                <w:szCs w:val="20"/>
              </w:rPr>
              <w:t>33,263</w:t>
            </w:r>
          </w:p>
        </w:tc>
        <w:tc>
          <w:tcPr>
            <w:tcW w:w="50" w:type="pct"/>
            <w:shd w:val="clear" w:color="auto" w:fill="FFFFFF"/>
            <w:noWrap/>
            <w:tcMar>
              <w:top w:w="15" w:type="dxa"/>
              <w:left w:w="0" w:type="dxa"/>
              <w:bottom w:w="0" w:type="dxa"/>
              <w:right w:w="15" w:type="dxa"/>
            </w:tcMar>
            <w:vAlign w:val="bottom"/>
            <w:hideMark/>
          </w:tcPr>
          <w:p w14:paraId="2BD1EF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FEFF8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41766D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D03CC3" w14:textId="77777777" w:rsidR="00000000" w:rsidRDefault="00B8284C">
            <w:pPr>
              <w:pStyle w:val="a3"/>
              <w:spacing w:before="0" w:beforeAutospacing="0" w:after="0" w:afterAutospacing="0"/>
              <w:jc w:val="right"/>
              <w:rPr>
                <w:color w:val="000000"/>
                <w:sz w:val="20"/>
                <w:szCs w:val="20"/>
              </w:rPr>
            </w:pPr>
            <w:r>
              <w:rPr>
                <w:color w:val="000000"/>
                <w:sz w:val="20"/>
                <w:szCs w:val="20"/>
              </w:rPr>
              <w:t>25,765</w:t>
            </w:r>
          </w:p>
        </w:tc>
        <w:tc>
          <w:tcPr>
            <w:tcW w:w="50" w:type="pct"/>
            <w:shd w:val="clear" w:color="auto" w:fill="FFFFFF"/>
            <w:noWrap/>
            <w:tcMar>
              <w:top w:w="15" w:type="dxa"/>
              <w:left w:w="0" w:type="dxa"/>
              <w:bottom w:w="0" w:type="dxa"/>
              <w:right w:w="15" w:type="dxa"/>
            </w:tcMar>
            <w:vAlign w:val="bottom"/>
            <w:hideMark/>
          </w:tcPr>
          <w:p w14:paraId="3FB7E0B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C34276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7D8048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32FA79" w14:textId="77777777" w:rsidR="00000000" w:rsidRDefault="00B8284C">
            <w:pPr>
              <w:pStyle w:val="a3"/>
              <w:spacing w:before="0" w:beforeAutospacing="0" w:after="0" w:afterAutospacing="0"/>
              <w:jc w:val="right"/>
              <w:rPr>
                <w:color w:val="000000"/>
                <w:sz w:val="20"/>
                <w:szCs w:val="20"/>
              </w:rPr>
            </w:pPr>
            <w:r>
              <w:rPr>
                <w:color w:val="000000"/>
                <w:sz w:val="20"/>
                <w:szCs w:val="20"/>
              </w:rPr>
              <w:t>93,983</w:t>
            </w:r>
          </w:p>
        </w:tc>
        <w:tc>
          <w:tcPr>
            <w:tcW w:w="50" w:type="pct"/>
            <w:shd w:val="clear" w:color="auto" w:fill="FFFFFF"/>
            <w:noWrap/>
            <w:tcMar>
              <w:top w:w="15" w:type="dxa"/>
              <w:left w:w="0" w:type="dxa"/>
              <w:bottom w:w="0" w:type="dxa"/>
              <w:right w:w="15" w:type="dxa"/>
            </w:tcMar>
            <w:vAlign w:val="bottom"/>
            <w:hideMark/>
          </w:tcPr>
          <w:p w14:paraId="4FBFD3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D29F2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D4B6B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164609A" w14:textId="77777777" w:rsidR="00000000" w:rsidRDefault="00B8284C">
            <w:pPr>
              <w:pStyle w:val="a3"/>
              <w:spacing w:before="0" w:beforeAutospacing="0" w:after="0" w:afterAutospacing="0"/>
              <w:jc w:val="right"/>
              <w:rPr>
                <w:color w:val="000000"/>
                <w:sz w:val="20"/>
                <w:szCs w:val="20"/>
              </w:rPr>
            </w:pPr>
            <w:r>
              <w:rPr>
                <w:color w:val="000000"/>
                <w:sz w:val="20"/>
                <w:szCs w:val="20"/>
              </w:rPr>
              <w:t>72,993</w:t>
            </w:r>
          </w:p>
        </w:tc>
        <w:tc>
          <w:tcPr>
            <w:tcW w:w="50" w:type="pct"/>
            <w:shd w:val="clear" w:color="auto" w:fill="FFFFFF"/>
            <w:noWrap/>
            <w:tcMar>
              <w:top w:w="15" w:type="dxa"/>
              <w:left w:w="0" w:type="dxa"/>
              <w:bottom w:w="0" w:type="dxa"/>
              <w:right w:w="15" w:type="dxa"/>
            </w:tcMar>
            <w:vAlign w:val="bottom"/>
            <w:hideMark/>
          </w:tcPr>
          <w:p w14:paraId="32DADC6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6620788" w14:textId="77777777">
        <w:trPr>
          <w:divId w:val="1264069354"/>
        </w:trPr>
        <w:tc>
          <w:tcPr>
            <w:tcW w:w="2548" w:type="pct"/>
            <w:shd w:val="clear" w:color="auto" w:fill="CFF0FC"/>
            <w:tcMar>
              <w:top w:w="15" w:type="dxa"/>
              <w:left w:w="0" w:type="dxa"/>
              <w:bottom w:w="0" w:type="dxa"/>
              <w:right w:w="15" w:type="dxa"/>
            </w:tcMar>
            <w:vAlign w:val="bottom"/>
            <w:hideMark/>
          </w:tcPr>
          <w:p w14:paraId="432CED1C" w14:textId="77777777" w:rsidR="00000000" w:rsidRDefault="00B8284C">
            <w:pPr>
              <w:pStyle w:val="a3"/>
              <w:spacing w:before="0" w:beforeAutospacing="0" w:after="0" w:afterAutospacing="0"/>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D9133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67EDC28" w14:textId="77777777" w:rsidR="00000000" w:rsidRDefault="00B8284C">
            <w:pPr>
              <w:pStyle w:val="a3"/>
              <w:spacing w:before="0" w:beforeAutospacing="0" w:after="0" w:afterAutospacing="0"/>
              <w:jc w:val="right"/>
              <w:rPr>
                <w:color w:val="000000"/>
                <w:sz w:val="20"/>
                <w:szCs w:val="20"/>
              </w:rPr>
            </w:pPr>
            <w:r>
              <w:rPr>
                <w:color w:val="000000"/>
                <w:sz w:val="20"/>
                <w:szCs w:val="20"/>
              </w:rPr>
              <w:t>140,358</w:t>
            </w:r>
          </w:p>
        </w:tc>
        <w:tc>
          <w:tcPr>
            <w:tcW w:w="50" w:type="pct"/>
            <w:shd w:val="clear" w:color="auto" w:fill="CFF0FC"/>
            <w:noWrap/>
            <w:tcMar>
              <w:top w:w="15" w:type="dxa"/>
              <w:left w:w="0" w:type="dxa"/>
              <w:bottom w:w="0" w:type="dxa"/>
              <w:right w:w="15" w:type="dxa"/>
            </w:tcMar>
            <w:vAlign w:val="bottom"/>
            <w:hideMark/>
          </w:tcPr>
          <w:p w14:paraId="3BD0B9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16C54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FE4E3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E0B2C43" w14:textId="77777777" w:rsidR="00000000" w:rsidRDefault="00B8284C">
            <w:pPr>
              <w:pStyle w:val="a3"/>
              <w:spacing w:before="0" w:beforeAutospacing="0" w:after="0" w:afterAutospacing="0"/>
              <w:jc w:val="right"/>
              <w:rPr>
                <w:color w:val="000000"/>
                <w:sz w:val="20"/>
                <w:szCs w:val="20"/>
              </w:rPr>
            </w:pPr>
            <w:r>
              <w:rPr>
                <w:color w:val="000000"/>
                <w:sz w:val="20"/>
                <w:szCs w:val="20"/>
              </w:rPr>
              <w:t>106,061</w:t>
            </w:r>
          </w:p>
        </w:tc>
        <w:tc>
          <w:tcPr>
            <w:tcW w:w="50" w:type="pct"/>
            <w:shd w:val="clear" w:color="auto" w:fill="CFF0FC"/>
            <w:noWrap/>
            <w:tcMar>
              <w:top w:w="15" w:type="dxa"/>
              <w:left w:w="0" w:type="dxa"/>
              <w:bottom w:w="0" w:type="dxa"/>
              <w:right w:w="15" w:type="dxa"/>
            </w:tcMar>
            <w:vAlign w:val="bottom"/>
            <w:hideMark/>
          </w:tcPr>
          <w:p w14:paraId="5DADB41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BE3E26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0724F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585558" w14:textId="77777777" w:rsidR="00000000" w:rsidRDefault="00B8284C">
            <w:pPr>
              <w:pStyle w:val="a3"/>
              <w:spacing w:before="0" w:beforeAutospacing="0" w:after="0" w:afterAutospacing="0"/>
              <w:jc w:val="right"/>
              <w:rPr>
                <w:color w:val="000000"/>
                <w:sz w:val="20"/>
                <w:szCs w:val="20"/>
              </w:rPr>
            </w:pPr>
            <w:r>
              <w:rPr>
                <w:color w:val="000000"/>
                <w:sz w:val="20"/>
                <w:szCs w:val="20"/>
              </w:rPr>
              <w:t>394,691</w:t>
            </w:r>
          </w:p>
        </w:tc>
        <w:tc>
          <w:tcPr>
            <w:tcW w:w="50" w:type="pct"/>
            <w:shd w:val="clear" w:color="auto" w:fill="CFF0FC"/>
            <w:noWrap/>
            <w:tcMar>
              <w:top w:w="15" w:type="dxa"/>
              <w:left w:w="0" w:type="dxa"/>
              <w:bottom w:w="0" w:type="dxa"/>
              <w:right w:w="15" w:type="dxa"/>
            </w:tcMar>
            <w:vAlign w:val="bottom"/>
            <w:hideMark/>
          </w:tcPr>
          <w:p w14:paraId="43CF092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89F047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77C422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5016BEA" w14:textId="77777777" w:rsidR="00000000" w:rsidRDefault="00B8284C">
            <w:pPr>
              <w:pStyle w:val="a3"/>
              <w:spacing w:before="0" w:beforeAutospacing="0" w:after="0" w:afterAutospacing="0"/>
              <w:jc w:val="right"/>
              <w:rPr>
                <w:color w:val="000000"/>
                <w:sz w:val="20"/>
                <w:szCs w:val="20"/>
              </w:rPr>
            </w:pPr>
            <w:r>
              <w:rPr>
                <w:color w:val="000000"/>
                <w:sz w:val="20"/>
                <w:szCs w:val="20"/>
              </w:rPr>
              <w:t>295,965</w:t>
            </w:r>
          </w:p>
        </w:tc>
        <w:tc>
          <w:tcPr>
            <w:tcW w:w="50" w:type="pct"/>
            <w:shd w:val="clear" w:color="auto" w:fill="CFF0FC"/>
            <w:noWrap/>
            <w:tcMar>
              <w:top w:w="15" w:type="dxa"/>
              <w:left w:w="0" w:type="dxa"/>
              <w:bottom w:w="0" w:type="dxa"/>
              <w:right w:w="15" w:type="dxa"/>
            </w:tcMar>
            <w:vAlign w:val="bottom"/>
            <w:hideMark/>
          </w:tcPr>
          <w:p w14:paraId="6295C2E0"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E8B4A1A" w14:textId="77777777">
        <w:trPr>
          <w:divId w:val="1264069354"/>
        </w:trPr>
        <w:tc>
          <w:tcPr>
            <w:tcW w:w="2548" w:type="pct"/>
            <w:shd w:val="clear" w:color="auto" w:fill="FFFFFF"/>
            <w:tcMar>
              <w:top w:w="15" w:type="dxa"/>
              <w:left w:w="0" w:type="dxa"/>
              <w:bottom w:w="0" w:type="dxa"/>
              <w:right w:w="15" w:type="dxa"/>
            </w:tcMar>
            <w:vAlign w:val="bottom"/>
            <w:hideMark/>
          </w:tcPr>
          <w:p w14:paraId="19C7C56C" w14:textId="77777777" w:rsidR="00000000" w:rsidRDefault="00B8284C">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ED91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78062A8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9AE09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3A7402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254C13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5885BC9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A0C3A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B7D91A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B4903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1B0954C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05A5E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3B9E8A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E1E49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3AEEB62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CF1CA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2966F2C" w14:textId="77777777">
        <w:trPr>
          <w:divId w:val="1264069354"/>
        </w:trPr>
        <w:tc>
          <w:tcPr>
            <w:tcW w:w="2548" w:type="pct"/>
            <w:shd w:val="clear" w:color="auto" w:fill="CFF0FC"/>
            <w:tcMar>
              <w:top w:w="15" w:type="dxa"/>
              <w:left w:w="0" w:type="dxa"/>
              <w:bottom w:w="0" w:type="dxa"/>
              <w:right w:w="15" w:type="dxa"/>
            </w:tcMar>
            <w:vAlign w:val="bottom"/>
            <w:hideMark/>
          </w:tcPr>
          <w:p w14:paraId="10A67EAC" w14:textId="77777777" w:rsidR="00000000" w:rsidRDefault="00B8284C">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14:paraId="5E563AF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2D1FFAB5" w14:textId="77777777" w:rsidR="00000000" w:rsidRDefault="00B8284C">
            <w:pPr>
              <w:pStyle w:val="a3"/>
              <w:spacing w:before="0" w:beforeAutospacing="0" w:after="0" w:afterAutospacing="0"/>
              <w:jc w:val="right"/>
              <w:rPr>
                <w:color w:val="000000"/>
                <w:sz w:val="20"/>
                <w:szCs w:val="20"/>
              </w:rPr>
            </w:pPr>
            <w:r>
              <w:rPr>
                <w:color w:val="000000"/>
                <w:sz w:val="20"/>
                <w:szCs w:val="20"/>
              </w:rPr>
              <w:t>39,847</w:t>
            </w:r>
          </w:p>
        </w:tc>
        <w:tc>
          <w:tcPr>
            <w:tcW w:w="50" w:type="pct"/>
            <w:shd w:val="clear" w:color="auto" w:fill="CFF0FC"/>
            <w:noWrap/>
            <w:tcMar>
              <w:top w:w="15" w:type="dxa"/>
              <w:left w:w="0" w:type="dxa"/>
              <w:bottom w:w="0" w:type="dxa"/>
              <w:right w:w="15" w:type="dxa"/>
            </w:tcMar>
            <w:vAlign w:val="bottom"/>
            <w:hideMark/>
          </w:tcPr>
          <w:p w14:paraId="3EE1AC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29DADD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2222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069E5105" w14:textId="77777777" w:rsidR="00000000" w:rsidRDefault="00B8284C">
            <w:pPr>
              <w:pStyle w:val="a3"/>
              <w:spacing w:before="0" w:beforeAutospacing="0" w:after="0" w:afterAutospacing="0"/>
              <w:jc w:val="right"/>
              <w:rPr>
                <w:color w:val="000000"/>
                <w:sz w:val="20"/>
                <w:szCs w:val="20"/>
              </w:rPr>
            </w:pPr>
            <w:r>
              <w:rPr>
                <w:color w:val="000000"/>
                <w:sz w:val="20"/>
                <w:szCs w:val="20"/>
              </w:rPr>
              <w:t>30,761</w:t>
            </w:r>
          </w:p>
        </w:tc>
        <w:tc>
          <w:tcPr>
            <w:tcW w:w="50" w:type="pct"/>
            <w:shd w:val="clear" w:color="auto" w:fill="CFF0FC"/>
            <w:noWrap/>
            <w:tcMar>
              <w:top w:w="15" w:type="dxa"/>
              <w:left w:w="0" w:type="dxa"/>
              <w:bottom w:w="0" w:type="dxa"/>
              <w:right w:w="15" w:type="dxa"/>
            </w:tcMar>
            <w:vAlign w:val="bottom"/>
            <w:hideMark/>
          </w:tcPr>
          <w:p w14:paraId="0296DCE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0A614B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7669A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0FC13306" w14:textId="77777777" w:rsidR="00000000" w:rsidRDefault="00B8284C">
            <w:pPr>
              <w:pStyle w:val="a3"/>
              <w:spacing w:before="0" w:beforeAutospacing="0" w:after="0" w:afterAutospacing="0"/>
              <w:jc w:val="right"/>
              <w:rPr>
                <w:color w:val="000000"/>
                <w:sz w:val="20"/>
                <w:szCs w:val="20"/>
              </w:rPr>
            </w:pPr>
            <w:r>
              <w:rPr>
                <w:color w:val="000000"/>
                <w:sz w:val="20"/>
                <w:szCs w:val="20"/>
              </w:rPr>
              <w:t>115,480</w:t>
            </w:r>
          </w:p>
        </w:tc>
        <w:tc>
          <w:tcPr>
            <w:tcW w:w="50" w:type="pct"/>
            <w:shd w:val="clear" w:color="auto" w:fill="CFF0FC"/>
            <w:noWrap/>
            <w:tcMar>
              <w:top w:w="15" w:type="dxa"/>
              <w:left w:w="0" w:type="dxa"/>
              <w:bottom w:w="0" w:type="dxa"/>
              <w:right w:w="15" w:type="dxa"/>
            </w:tcMar>
            <w:vAlign w:val="bottom"/>
            <w:hideMark/>
          </w:tcPr>
          <w:p w14:paraId="01CF15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07851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ED971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0FC987AB" w14:textId="77777777" w:rsidR="00000000" w:rsidRDefault="00B8284C">
            <w:pPr>
              <w:pStyle w:val="a3"/>
              <w:spacing w:before="0" w:beforeAutospacing="0" w:after="0" w:afterAutospacing="0"/>
              <w:jc w:val="right"/>
              <w:rPr>
                <w:color w:val="000000"/>
                <w:sz w:val="20"/>
                <w:szCs w:val="20"/>
              </w:rPr>
            </w:pPr>
            <w:r>
              <w:rPr>
                <w:color w:val="000000"/>
                <w:sz w:val="20"/>
                <w:szCs w:val="20"/>
              </w:rPr>
              <w:t>85,598</w:t>
            </w:r>
          </w:p>
        </w:tc>
        <w:tc>
          <w:tcPr>
            <w:tcW w:w="50" w:type="pct"/>
            <w:shd w:val="clear" w:color="auto" w:fill="CFF0FC"/>
            <w:noWrap/>
            <w:tcMar>
              <w:top w:w="15" w:type="dxa"/>
              <w:left w:w="0" w:type="dxa"/>
              <w:bottom w:w="0" w:type="dxa"/>
              <w:right w:w="15" w:type="dxa"/>
            </w:tcMar>
            <w:vAlign w:val="bottom"/>
            <w:hideMark/>
          </w:tcPr>
          <w:p w14:paraId="416674A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F09183C" w14:textId="77777777">
        <w:trPr>
          <w:divId w:val="1264069354"/>
        </w:trPr>
        <w:tc>
          <w:tcPr>
            <w:tcW w:w="2548" w:type="pct"/>
            <w:shd w:val="clear" w:color="auto" w:fill="FFFFFF"/>
            <w:tcMar>
              <w:top w:w="15" w:type="dxa"/>
              <w:left w:w="0" w:type="dxa"/>
              <w:bottom w:w="0" w:type="dxa"/>
              <w:right w:w="15" w:type="dxa"/>
            </w:tcMar>
            <w:vAlign w:val="bottom"/>
            <w:hideMark/>
          </w:tcPr>
          <w:p w14:paraId="303398D7" w14:textId="77777777" w:rsidR="00000000" w:rsidRDefault="00B8284C">
            <w:pPr>
              <w:pStyle w:val="a3"/>
              <w:spacing w:before="0" w:beforeAutospacing="0" w:after="0" w:afterAutospacing="0"/>
              <w:ind w:left="274"/>
              <w:rPr>
                <w:color w:val="000000"/>
                <w:sz w:val="20"/>
                <w:szCs w:val="20"/>
              </w:rPr>
            </w:pPr>
            <w:r>
              <w:rPr>
                <w:color w:val="000000"/>
                <w:sz w:val="20"/>
                <w:szCs w:val="20"/>
              </w:rPr>
              <w:t>Sales and marketing</w:t>
            </w:r>
          </w:p>
        </w:tc>
        <w:tc>
          <w:tcPr>
            <w:tcW w:w="50" w:type="pct"/>
            <w:shd w:val="clear" w:color="auto" w:fill="FFFFFF"/>
            <w:noWrap/>
            <w:tcMar>
              <w:top w:w="15" w:type="dxa"/>
              <w:left w:w="0" w:type="dxa"/>
              <w:bottom w:w="0" w:type="dxa"/>
              <w:right w:w="15" w:type="dxa"/>
            </w:tcMar>
            <w:vAlign w:val="bottom"/>
            <w:hideMark/>
          </w:tcPr>
          <w:p w14:paraId="467B50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03C20FBA" w14:textId="77777777" w:rsidR="00000000" w:rsidRDefault="00B8284C">
            <w:pPr>
              <w:pStyle w:val="a3"/>
              <w:spacing w:before="0" w:beforeAutospacing="0" w:after="0" w:afterAutospacing="0"/>
              <w:jc w:val="right"/>
              <w:rPr>
                <w:color w:val="000000"/>
                <w:sz w:val="20"/>
                <w:szCs w:val="20"/>
              </w:rPr>
            </w:pPr>
            <w:r>
              <w:rPr>
                <w:color w:val="000000"/>
                <w:sz w:val="20"/>
                <w:szCs w:val="20"/>
              </w:rPr>
              <w:t>91,283</w:t>
            </w:r>
          </w:p>
        </w:tc>
        <w:tc>
          <w:tcPr>
            <w:tcW w:w="50" w:type="pct"/>
            <w:shd w:val="clear" w:color="auto" w:fill="FFFFFF"/>
            <w:noWrap/>
            <w:tcMar>
              <w:top w:w="15" w:type="dxa"/>
              <w:left w:w="0" w:type="dxa"/>
              <w:bottom w:w="0" w:type="dxa"/>
              <w:right w:w="15" w:type="dxa"/>
            </w:tcMar>
            <w:vAlign w:val="bottom"/>
            <w:hideMark/>
          </w:tcPr>
          <w:p w14:paraId="46E204B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7DB0E5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C2B6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1DD71630" w14:textId="77777777" w:rsidR="00000000" w:rsidRDefault="00B8284C">
            <w:pPr>
              <w:pStyle w:val="a3"/>
              <w:spacing w:before="0" w:beforeAutospacing="0" w:after="0" w:afterAutospacing="0"/>
              <w:jc w:val="right"/>
              <w:rPr>
                <w:color w:val="000000"/>
                <w:sz w:val="20"/>
                <w:szCs w:val="20"/>
              </w:rPr>
            </w:pPr>
            <w:r>
              <w:rPr>
                <w:color w:val="000000"/>
                <w:sz w:val="20"/>
                <w:szCs w:val="20"/>
              </w:rPr>
              <w:t>71,293</w:t>
            </w:r>
          </w:p>
        </w:tc>
        <w:tc>
          <w:tcPr>
            <w:tcW w:w="50" w:type="pct"/>
            <w:shd w:val="clear" w:color="auto" w:fill="FFFFFF"/>
            <w:noWrap/>
            <w:tcMar>
              <w:top w:w="15" w:type="dxa"/>
              <w:left w:w="0" w:type="dxa"/>
              <w:bottom w:w="0" w:type="dxa"/>
              <w:right w:w="15" w:type="dxa"/>
            </w:tcMar>
            <w:vAlign w:val="bottom"/>
            <w:hideMark/>
          </w:tcPr>
          <w:p w14:paraId="5F7AEDD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A03A9C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95DCA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153E37C7" w14:textId="77777777" w:rsidR="00000000" w:rsidRDefault="00B8284C">
            <w:pPr>
              <w:pStyle w:val="a3"/>
              <w:spacing w:before="0" w:beforeAutospacing="0" w:after="0" w:afterAutospacing="0"/>
              <w:jc w:val="right"/>
              <w:rPr>
                <w:color w:val="000000"/>
                <w:sz w:val="20"/>
                <w:szCs w:val="20"/>
              </w:rPr>
            </w:pPr>
            <w:r>
              <w:rPr>
                <w:color w:val="000000"/>
                <w:sz w:val="20"/>
                <w:szCs w:val="20"/>
              </w:rPr>
              <w:t>250,267</w:t>
            </w:r>
          </w:p>
        </w:tc>
        <w:tc>
          <w:tcPr>
            <w:tcW w:w="50" w:type="pct"/>
            <w:shd w:val="clear" w:color="auto" w:fill="FFFFFF"/>
            <w:noWrap/>
            <w:tcMar>
              <w:top w:w="15" w:type="dxa"/>
              <w:left w:w="0" w:type="dxa"/>
              <w:bottom w:w="0" w:type="dxa"/>
              <w:right w:w="15" w:type="dxa"/>
            </w:tcMar>
            <w:vAlign w:val="bottom"/>
            <w:hideMark/>
          </w:tcPr>
          <w:p w14:paraId="0EEE89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02207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98E7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58FB9F73" w14:textId="77777777" w:rsidR="00000000" w:rsidRDefault="00B8284C">
            <w:pPr>
              <w:pStyle w:val="a3"/>
              <w:spacing w:before="0" w:beforeAutospacing="0" w:after="0" w:afterAutospacing="0"/>
              <w:jc w:val="right"/>
              <w:rPr>
                <w:color w:val="000000"/>
                <w:sz w:val="20"/>
                <w:szCs w:val="20"/>
              </w:rPr>
            </w:pPr>
            <w:r>
              <w:rPr>
                <w:color w:val="000000"/>
                <w:sz w:val="20"/>
                <w:szCs w:val="20"/>
              </w:rPr>
              <w:t>196,484</w:t>
            </w:r>
          </w:p>
        </w:tc>
        <w:tc>
          <w:tcPr>
            <w:tcW w:w="50" w:type="pct"/>
            <w:shd w:val="clear" w:color="auto" w:fill="FFFFFF"/>
            <w:noWrap/>
            <w:tcMar>
              <w:top w:w="15" w:type="dxa"/>
              <w:left w:w="0" w:type="dxa"/>
              <w:bottom w:w="0" w:type="dxa"/>
              <w:right w:w="15" w:type="dxa"/>
            </w:tcMar>
            <w:vAlign w:val="bottom"/>
            <w:hideMark/>
          </w:tcPr>
          <w:p w14:paraId="4820D7F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F35CF60" w14:textId="77777777">
        <w:trPr>
          <w:divId w:val="1264069354"/>
        </w:trPr>
        <w:tc>
          <w:tcPr>
            <w:tcW w:w="2548" w:type="pct"/>
            <w:shd w:val="clear" w:color="auto" w:fill="CFF0FC"/>
            <w:tcMar>
              <w:top w:w="15" w:type="dxa"/>
              <w:left w:w="0" w:type="dxa"/>
              <w:bottom w:w="0" w:type="dxa"/>
              <w:right w:w="15" w:type="dxa"/>
            </w:tcMar>
            <w:vAlign w:val="bottom"/>
            <w:hideMark/>
          </w:tcPr>
          <w:p w14:paraId="0AF38DEB" w14:textId="77777777" w:rsidR="00000000" w:rsidRDefault="00B8284C">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C9814D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3165275F" w14:textId="77777777" w:rsidR="00000000" w:rsidRDefault="00B8284C">
            <w:pPr>
              <w:pStyle w:val="a3"/>
              <w:spacing w:before="0" w:beforeAutospacing="0" w:after="0" w:afterAutospacing="0"/>
              <w:jc w:val="right"/>
              <w:rPr>
                <w:color w:val="000000"/>
                <w:sz w:val="20"/>
                <w:szCs w:val="20"/>
              </w:rPr>
            </w:pPr>
            <w:r>
              <w:rPr>
                <w:color w:val="000000"/>
                <w:sz w:val="20"/>
                <w:szCs w:val="20"/>
              </w:rPr>
              <w:t>23,300</w:t>
            </w:r>
          </w:p>
        </w:tc>
        <w:tc>
          <w:tcPr>
            <w:tcW w:w="50" w:type="pct"/>
            <w:shd w:val="clear" w:color="auto" w:fill="CFF0FC"/>
            <w:noWrap/>
            <w:tcMar>
              <w:top w:w="15" w:type="dxa"/>
              <w:left w:w="0" w:type="dxa"/>
              <w:bottom w:w="0" w:type="dxa"/>
              <w:right w:w="15" w:type="dxa"/>
            </w:tcMar>
            <w:vAlign w:val="bottom"/>
            <w:hideMark/>
          </w:tcPr>
          <w:p w14:paraId="10A42D2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563CE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EDA0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17223B9D" w14:textId="77777777" w:rsidR="00000000" w:rsidRDefault="00B8284C">
            <w:pPr>
              <w:pStyle w:val="a3"/>
              <w:spacing w:before="0" w:beforeAutospacing="0" w:after="0" w:afterAutospacing="0"/>
              <w:jc w:val="right"/>
              <w:rPr>
                <w:color w:val="000000"/>
                <w:sz w:val="20"/>
                <w:szCs w:val="20"/>
              </w:rPr>
            </w:pPr>
            <w:r>
              <w:rPr>
                <w:color w:val="000000"/>
                <w:sz w:val="20"/>
                <w:szCs w:val="20"/>
              </w:rPr>
              <w:t>19,057</w:t>
            </w:r>
          </w:p>
        </w:tc>
        <w:tc>
          <w:tcPr>
            <w:tcW w:w="50" w:type="pct"/>
            <w:shd w:val="clear" w:color="auto" w:fill="CFF0FC"/>
            <w:noWrap/>
            <w:tcMar>
              <w:top w:w="15" w:type="dxa"/>
              <w:left w:w="0" w:type="dxa"/>
              <w:bottom w:w="0" w:type="dxa"/>
              <w:right w:w="15" w:type="dxa"/>
            </w:tcMar>
            <w:vAlign w:val="bottom"/>
            <w:hideMark/>
          </w:tcPr>
          <w:p w14:paraId="1755B9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EBBFC9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CD5E0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540BEE8D" w14:textId="77777777" w:rsidR="00000000" w:rsidRDefault="00B8284C">
            <w:pPr>
              <w:pStyle w:val="a3"/>
              <w:spacing w:before="0" w:beforeAutospacing="0" w:after="0" w:afterAutospacing="0"/>
              <w:jc w:val="right"/>
              <w:rPr>
                <w:color w:val="000000"/>
                <w:sz w:val="20"/>
                <w:szCs w:val="20"/>
              </w:rPr>
            </w:pPr>
            <w:r>
              <w:rPr>
                <w:color w:val="000000"/>
                <w:sz w:val="20"/>
                <w:szCs w:val="20"/>
              </w:rPr>
              <w:t>67,777</w:t>
            </w:r>
          </w:p>
        </w:tc>
        <w:tc>
          <w:tcPr>
            <w:tcW w:w="50" w:type="pct"/>
            <w:shd w:val="clear" w:color="auto" w:fill="CFF0FC"/>
            <w:noWrap/>
            <w:tcMar>
              <w:top w:w="15" w:type="dxa"/>
              <w:left w:w="0" w:type="dxa"/>
              <w:bottom w:w="0" w:type="dxa"/>
              <w:right w:w="15" w:type="dxa"/>
            </w:tcMar>
            <w:vAlign w:val="bottom"/>
            <w:hideMark/>
          </w:tcPr>
          <w:p w14:paraId="68CB709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FAC054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552A71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2EE10FB3" w14:textId="77777777" w:rsidR="00000000" w:rsidRDefault="00B8284C">
            <w:pPr>
              <w:pStyle w:val="a3"/>
              <w:spacing w:before="0" w:beforeAutospacing="0" w:after="0" w:afterAutospacing="0"/>
              <w:jc w:val="right"/>
              <w:rPr>
                <w:color w:val="000000"/>
                <w:sz w:val="20"/>
                <w:szCs w:val="20"/>
              </w:rPr>
            </w:pPr>
            <w:r>
              <w:rPr>
                <w:color w:val="000000"/>
                <w:sz w:val="20"/>
                <w:szCs w:val="20"/>
              </w:rPr>
              <w:t>54,309</w:t>
            </w:r>
          </w:p>
        </w:tc>
        <w:tc>
          <w:tcPr>
            <w:tcW w:w="50" w:type="pct"/>
            <w:shd w:val="clear" w:color="auto" w:fill="CFF0FC"/>
            <w:noWrap/>
            <w:tcMar>
              <w:top w:w="15" w:type="dxa"/>
              <w:left w:w="0" w:type="dxa"/>
              <w:bottom w:w="0" w:type="dxa"/>
              <w:right w:w="15" w:type="dxa"/>
            </w:tcMar>
            <w:vAlign w:val="bottom"/>
            <w:hideMark/>
          </w:tcPr>
          <w:p w14:paraId="0B24008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9186D41" w14:textId="77777777">
        <w:trPr>
          <w:divId w:val="1264069354"/>
        </w:trPr>
        <w:tc>
          <w:tcPr>
            <w:tcW w:w="2548" w:type="pct"/>
            <w:shd w:val="clear" w:color="auto" w:fill="FFFFFF"/>
            <w:tcMar>
              <w:top w:w="15" w:type="dxa"/>
              <w:left w:w="0" w:type="dxa"/>
              <w:bottom w:w="0" w:type="dxa"/>
              <w:right w:w="15" w:type="dxa"/>
            </w:tcMar>
            <w:vAlign w:val="bottom"/>
            <w:hideMark/>
          </w:tcPr>
          <w:p w14:paraId="4E6191E1" w14:textId="77777777" w:rsidR="00000000" w:rsidRDefault="00B8284C">
            <w:pPr>
              <w:pStyle w:val="a3"/>
              <w:spacing w:before="0" w:beforeAutospacing="0" w:after="0" w:afterAutospacing="0"/>
              <w:ind w:left="547"/>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26564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C7DC92" w14:textId="77777777" w:rsidR="00000000" w:rsidRDefault="00B8284C">
            <w:pPr>
              <w:pStyle w:val="a3"/>
              <w:spacing w:before="0" w:beforeAutospacing="0" w:after="0" w:afterAutospacing="0"/>
              <w:jc w:val="right"/>
              <w:rPr>
                <w:color w:val="000000"/>
                <w:sz w:val="20"/>
                <w:szCs w:val="20"/>
              </w:rPr>
            </w:pPr>
            <w:r>
              <w:rPr>
                <w:color w:val="000000"/>
                <w:sz w:val="20"/>
                <w:szCs w:val="20"/>
              </w:rPr>
              <w:t>154,430</w:t>
            </w:r>
          </w:p>
        </w:tc>
        <w:tc>
          <w:tcPr>
            <w:tcW w:w="50" w:type="pct"/>
            <w:shd w:val="clear" w:color="auto" w:fill="FFFFFF"/>
            <w:noWrap/>
            <w:tcMar>
              <w:top w:w="15" w:type="dxa"/>
              <w:left w:w="0" w:type="dxa"/>
              <w:bottom w:w="0" w:type="dxa"/>
              <w:right w:w="15" w:type="dxa"/>
            </w:tcMar>
            <w:vAlign w:val="bottom"/>
            <w:hideMark/>
          </w:tcPr>
          <w:p w14:paraId="7365A88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DFF14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C4CA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18B2A74" w14:textId="77777777" w:rsidR="00000000" w:rsidRDefault="00B8284C">
            <w:pPr>
              <w:pStyle w:val="a3"/>
              <w:spacing w:before="0" w:beforeAutospacing="0" w:after="0" w:afterAutospacing="0"/>
              <w:jc w:val="right"/>
              <w:rPr>
                <w:color w:val="000000"/>
                <w:sz w:val="20"/>
                <w:szCs w:val="20"/>
              </w:rPr>
            </w:pPr>
            <w:r>
              <w:rPr>
                <w:color w:val="000000"/>
                <w:sz w:val="20"/>
                <w:szCs w:val="20"/>
              </w:rPr>
              <w:t>121,111</w:t>
            </w:r>
          </w:p>
        </w:tc>
        <w:tc>
          <w:tcPr>
            <w:tcW w:w="50" w:type="pct"/>
            <w:shd w:val="clear" w:color="auto" w:fill="FFFFFF"/>
            <w:noWrap/>
            <w:tcMar>
              <w:top w:w="15" w:type="dxa"/>
              <w:left w:w="0" w:type="dxa"/>
              <w:bottom w:w="0" w:type="dxa"/>
              <w:right w:w="15" w:type="dxa"/>
            </w:tcMar>
            <w:vAlign w:val="bottom"/>
            <w:hideMark/>
          </w:tcPr>
          <w:p w14:paraId="32E8958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FBC6F4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B04A79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C9F292C" w14:textId="77777777" w:rsidR="00000000" w:rsidRDefault="00B8284C">
            <w:pPr>
              <w:pStyle w:val="a3"/>
              <w:spacing w:before="0" w:beforeAutospacing="0" w:after="0" w:afterAutospacing="0"/>
              <w:jc w:val="right"/>
              <w:rPr>
                <w:color w:val="000000"/>
                <w:sz w:val="20"/>
                <w:szCs w:val="20"/>
              </w:rPr>
            </w:pPr>
            <w:r>
              <w:rPr>
                <w:color w:val="000000"/>
                <w:sz w:val="20"/>
                <w:szCs w:val="20"/>
              </w:rPr>
              <w:t>433,524</w:t>
            </w:r>
          </w:p>
        </w:tc>
        <w:tc>
          <w:tcPr>
            <w:tcW w:w="50" w:type="pct"/>
            <w:shd w:val="clear" w:color="auto" w:fill="FFFFFF"/>
            <w:noWrap/>
            <w:tcMar>
              <w:top w:w="15" w:type="dxa"/>
              <w:left w:w="0" w:type="dxa"/>
              <w:bottom w:w="0" w:type="dxa"/>
              <w:right w:w="15" w:type="dxa"/>
            </w:tcMar>
            <w:vAlign w:val="bottom"/>
            <w:hideMark/>
          </w:tcPr>
          <w:p w14:paraId="20FB4F7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424FAF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9BDF64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9D11DB" w14:textId="77777777" w:rsidR="00000000" w:rsidRDefault="00B8284C">
            <w:pPr>
              <w:pStyle w:val="a3"/>
              <w:spacing w:before="0" w:beforeAutospacing="0" w:after="0" w:afterAutospacing="0"/>
              <w:jc w:val="right"/>
              <w:rPr>
                <w:color w:val="000000"/>
                <w:sz w:val="20"/>
                <w:szCs w:val="20"/>
              </w:rPr>
            </w:pPr>
            <w:r>
              <w:rPr>
                <w:color w:val="000000"/>
                <w:sz w:val="20"/>
                <w:szCs w:val="20"/>
              </w:rPr>
              <w:t>336,391</w:t>
            </w:r>
          </w:p>
        </w:tc>
        <w:tc>
          <w:tcPr>
            <w:tcW w:w="50" w:type="pct"/>
            <w:shd w:val="clear" w:color="auto" w:fill="FFFFFF"/>
            <w:noWrap/>
            <w:tcMar>
              <w:top w:w="15" w:type="dxa"/>
              <w:left w:w="0" w:type="dxa"/>
              <w:bottom w:w="0" w:type="dxa"/>
              <w:right w:w="15" w:type="dxa"/>
            </w:tcMar>
            <w:vAlign w:val="bottom"/>
            <w:hideMark/>
          </w:tcPr>
          <w:p w14:paraId="2FC2A3F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5878AE5" w14:textId="77777777">
        <w:trPr>
          <w:divId w:val="1264069354"/>
        </w:trPr>
        <w:tc>
          <w:tcPr>
            <w:tcW w:w="2548" w:type="pct"/>
            <w:shd w:val="clear" w:color="auto" w:fill="CFF0FC"/>
            <w:tcMar>
              <w:top w:w="15" w:type="dxa"/>
              <w:left w:w="0" w:type="dxa"/>
              <w:bottom w:w="0" w:type="dxa"/>
              <w:right w:w="15" w:type="dxa"/>
            </w:tcMar>
            <w:vAlign w:val="bottom"/>
            <w:hideMark/>
          </w:tcPr>
          <w:p w14:paraId="19243780" w14:textId="77777777" w:rsidR="00000000" w:rsidRDefault="00B8284C">
            <w:pPr>
              <w:pStyle w:val="a3"/>
              <w:spacing w:before="0" w:beforeAutospacing="0" w:after="0" w:afterAutospacing="0"/>
              <w:rPr>
                <w:color w:val="000000"/>
                <w:sz w:val="20"/>
                <w:szCs w:val="20"/>
              </w:rPr>
            </w:pPr>
            <w:r>
              <w:rPr>
                <w:color w:val="000000"/>
                <w:sz w:val="20"/>
                <w:szCs w:val="20"/>
              </w:rPr>
              <w:t>Loss from operations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D71D7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6B1DAD" w14:textId="77777777" w:rsidR="00000000" w:rsidRDefault="00B8284C">
            <w:pPr>
              <w:pStyle w:val="a3"/>
              <w:spacing w:before="0" w:beforeAutospacing="0" w:after="0" w:afterAutospacing="0"/>
              <w:jc w:val="right"/>
              <w:rPr>
                <w:color w:val="000000"/>
                <w:sz w:val="20"/>
                <w:szCs w:val="20"/>
              </w:rPr>
            </w:pPr>
            <w:r>
              <w:rPr>
                <w:color w:val="000000"/>
                <w:sz w:val="20"/>
                <w:szCs w:val="20"/>
              </w:rPr>
              <w:t>(14,072</w:t>
            </w:r>
          </w:p>
        </w:tc>
        <w:tc>
          <w:tcPr>
            <w:tcW w:w="50" w:type="pct"/>
            <w:shd w:val="clear" w:color="auto" w:fill="CFF0FC"/>
            <w:noWrap/>
            <w:tcMar>
              <w:top w:w="15" w:type="dxa"/>
              <w:left w:w="0" w:type="dxa"/>
              <w:bottom w:w="0" w:type="dxa"/>
              <w:right w:w="15" w:type="dxa"/>
            </w:tcMar>
            <w:vAlign w:val="bottom"/>
            <w:hideMark/>
          </w:tcPr>
          <w:p w14:paraId="2F5E40E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DED9E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D6919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59C9217" w14:textId="77777777" w:rsidR="00000000" w:rsidRDefault="00B8284C">
            <w:pPr>
              <w:pStyle w:val="a3"/>
              <w:spacing w:before="0" w:beforeAutospacing="0" w:after="0" w:afterAutospacing="0"/>
              <w:jc w:val="right"/>
              <w:rPr>
                <w:color w:val="000000"/>
                <w:sz w:val="20"/>
                <w:szCs w:val="20"/>
              </w:rPr>
            </w:pPr>
            <w:r>
              <w:rPr>
                <w:color w:val="000000"/>
                <w:sz w:val="20"/>
                <w:szCs w:val="20"/>
              </w:rPr>
              <w:t>(15,050</w:t>
            </w:r>
          </w:p>
        </w:tc>
        <w:tc>
          <w:tcPr>
            <w:tcW w:w="50" w:type="pct"/>
            <w:shd w:val="clear" w:color="auto" w:fill="CFF0FC"/>
            <w:noWrap/>
            <w:tcMar>
              <w:top w:w="15" w:type="dxa"/>
              <w:left w:w="0" w:type="dxa"/>
              <w:bottom w:w="0" w:type="dxa"/>
              <w:right w:w="15" w:type="dxa"/>
            </w:tcMar>
            <w:vAlign w:val="bottom"/>
            <w:hideMark/>
          </w:tcPr>
          <w:p w14:paraId="729D71B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D1F7E6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3FF21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C36D4DD" w14:textId="77777777" w:rsidR="00000000" w:rsidRDefault="00B8284C">
            <w:pPr>
              <w:pStyle w:val="a3"/>
              <w:spacing w:before="0" w:beforeAutospacing="0" w:after="0" w:afterAutospacing="0"/>
              <w:jc w:val="right"/>
              <w:rPr>
                <w:color w:val="000000"/>
                <w:sz w:val="20"/>
                <w:szCs w:val="20"/>
              </w:rPr>
            </w:pPr>
            <w:r>
              <w:rPr>
                <w:color w:val="000000"/>
                <w:sz w:val="20"/>
                <w:szCs w:val="20"/>
              </w:rPr>
              <w:t>(38,833</w:t>
            </w:r>
          </w:p>
        </w:tc>
        <w:tc>
          <w:tcPr>
            <w:tcW w:w="50" w:type="pct"/>
            <w:shd w:val="clear" w:color="auto" w:fill="CFF0FC"/>
            <w:noWrap/>
            <w:tcMar>
              <w:top w:w="15" w:type="dxa"/>
              <w:left w:w="0" w:type="dxa"/>
              <w:bottom w:w="0" w:type="dxa"/>
              <w:right w:w="15" w:type="dxa"/>
            </w:tcMar>
            <w:vAlign w:val="bottom"/>
            <w:hideMark/>
          </w:tcPr>
          <w:p w14:paraId="7E90F5D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A33B4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C9363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D5696EF" w14:textId="77777777" w:rsidR="00000000" w:rsidRDefault="00B8284C">
            <w:pPr>
              <w:pStyle w:val="a3"/>
              <w:spacing w:before="0" w:beforeAutospacing="0" w:after="0" w:afterAutospacing="0"/>
              <w:jc w:val="right"/>
              <w:rPr>
                <w:color w:val="000000"/>
                <w:sz w:val="20"/>
                <w:szCs w:val="20"/>
              </w:rPr>
            </w:pPr>
            <w:r>
              <w:rPr>
                <w:color w:val="000000"/>
                <w:sz w:val="20"/>
                <w:szCs w:val="20"/>
              </w:rPr>
              <w:t>(40,426</w:t>
            </w:r>
          </w:p>
        </w:tc>
        <w:tc>
          <w:tcPr>
            <w:tcW w:w="50" w:type="pct"/>
            <w:shd w:val="clear" w:color="auto" w:fill="CFF0FC"/>
            <w:noWrap/>
            <w:tcMar>
              <w:top w:w="15" w:type="dxa"/>
              <w:left w:w="0" w:type="dxa"/>
              <w:bottom w:w="0" w:type="dxa"/>
              <w:right w:w="15" w:type="dxa"/>
            </w:tcMar>
            <w:vAlign w:val="bottom"/>
            <w:hideMark/>
          </w:tcPr>
          <w:p w14:paraId="0DE92D9D"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60B706BB" w14:textId="77777777">
        <w:trPr>
          <w:divId w:val="1264069354"/>
        </w:trPr>
        <w:tc>
          <w:tcPr>
            <w:tcW w:w="2548" w:type="pct"/>
            <w:shd w:val="clear" w:color="auto" w:fill="FFFFFF"/>
            <w:tcMar>
              <w:top w:w="15" w:type="dxa"/>
              <w:left w:w="0" w:type="dxa"/>
              <w:bottom w:w="0" w:type="dxa"/>
              <w:right w:w="15" w:type="dxa"/>
            </w:tcMar>
            <w:vAlign w:val="bottom"/>
            <w:hideMark/>
          </w:tcPr>
          <w:p w14:paraId="7BE84921" w14:textId="77777777" w:rsidR="00000000" w:rsidRDefault="00B8284C">
            <w:pPr>
              <w:pStyle w:val="a3"/>
              <w:spacing w:before="0" w:beforeAutospacing="0" w:after="0" w:afterAutospacing="0"/>
              <w:rPr>
                <w:color w:val="000000"/>
                <w:sz w:val="20"/>
                <w:szCs w:val="20"/>
              </w:rPr>
            </w:pPr>
            <w:r>
              <w:rPr>
                <w:color w:val="000000"/>
                <w:sz w:val="20"/>
                <w:szCs w:val="20"/>
              </w:rPr>
              <w:t>Other expense: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94A844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5AC26DF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0271F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8DA7ED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1402E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764E949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A7C6C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281198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DBE39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15C1DF3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9C325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8432D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42C230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7C48AC8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0F302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0E047FA" w14:textId="77777777">
        <w:trPr>
          <w:divId w:val="1264069354"/>
        </w:trPr>
        <w:tc>
          <w:tcPr>
            <w:tcW w:w="2548" w:type="pct"/>
            <w:shd w:val="clear" w:color="auto" w:fill="CFF0FC"/>
            <w:tcMar>
              <w:top w:w="15" w:type="dxa"/>
              <w:left w:w="0" w:type="dxa"/>
              <w:bottom w:w="0" w:type="dxa"/>
              <w:right w:w="15" w:type="dxa"/>
            </w:tcMar>
            <w:vAlign w:val="bottom"/>
            <w:hideMark/>
          </w:tcPr>
          <w:p w14:paraId="688A2779" w14:textId="77777777" w:rsidR="00000000" w:rsidRDefault="00B8284C">
            <w:pPr>
              <w:pStyle w:val="a3"/>
              <w:spacing w:before="0" w:beforeAutospacing="0" w:after="0" w:afterAutospacing="0"/>
              <w:ind w:left="274"/>
              <w:rPr>
                <w:color w:val="000000"/>
                <w:sz w:val="20"/>
                <w:szCs w:val="20"/>
              </w:rPr>
            </w:pPr>
            <w:r>
              <w:rPr>
                <w:color w:val="000000"/>
                <w:sz w:val="20"/>
                <w:szCs w:val="20"/>
              </w:rPr>
              <w:t>Interest income</w:t>
            </w:r>
          </w:p>
        </w:tc>
        <w:tc>
          <w:tcPr>
            <w:tcW w:w="50" w:type="pct"/>
            <w:shd w:val="clear" w:color="auto" w:fill="CFF0FC"/>
            <w:noWrap/>
            <w:tcMar>
              <w:top w:w="15" w:type="dxa"/>
              <w:left w:w="0" w:type="dxa"/>
              <w:bottom w:w="0" w:type="dxa"/>
              <w:right w:w="15" w:type="dxa"/>
            </w:tcMar>
            <w:vAlign w:val="bottom"/>
            <w:hideMark/>
          </w:tcPr>
          <w:p w14:paraId="17192A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3B766BD5" w14:textId="77777777" w:rsidR="00000000" w:rsidRDefault="00B8284C">
            <w:pPr>
              <w:pStyle w:val="a3"/>
              <w:spacing w:before="0" w:beforeAutospacing="0" w:after="0" w:afterAutospacing="0"/>
              <w:jc w:val="right"/>
              <w:rPr>
                <w:color w:val="000000"/>
                <w:sz w:val="20"/>
                <w:szCs w:val="20"/>
              </w:rPr>
            </w:pPr>
            <w:r>
              <w:rPr>
                <w:color w:val="000000"/>
                <w:sz w:val="20"/>
                <w:szCs w:val="20"/>
              </w:rPr>
              <w:t>5,185</w:t>
            </w:r>
          </w:p>
        </w:tc>
        <w:tc>
          <w:tcPr>
            <w:tcW w:w="50" w:type="pct"/>
            <w:shd w:val="clear" w:color="auto" w:fill="CFF0FC"/>
            <w:noWrap/>
            <w:tcMar>
              <w:top w:w="15" w:type="dxa"/>
              <w:left w:w="0" w:type="dxa"/>
              <w:bottom w:w="0" w:type="dxa"/>
              <w:right w:w="15" w:type="dxa"/>
            </w:tcMar>
            <w:vAlign w:val="bottom"/>
            <w:hideMark/>
          </w:tcPr>
          <w:p w14:paraId="4913A60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1D4C6E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DFC23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652AB58F" w14:textId="77777777" w:rsidR="00000000" w:rsidRDefault="00B8284C">
            <w:pPr>
              <w:pStyle w:val="a3"/>
              <w:spacing w:before="0" w:beforeAutospacing="0" w:after="0" w:afterAutospacing="0"/>
              <w:jc w:val="right"/>
              <w:rPr>
                <w:color w:val="000000"/>
                <w:sz w:val="20"/>
                <w:szCs w:val="20"/>
              </w:rPr>
            </w:pPr>
            <w:r>
              <w:rPr>
                <w:color w:val="000000"/>
                <w:sz w:val="20"/>
                <w:szCs w:val="20"/>
              </w:rPr>
              <w:t>2,416</w:t>
            </w:r>
          </w:p>
        </w:tc>
        <w:tc>
          <w:tcPr>
            <w:tcW w:w="50" w:type="pct"/>
            <w:shd w:val="clear" w:color="auto" w:fill="CFF0FC"/>
            <w:noWrap/>
            <w:tcMar>
              <w:top w:w="15" w:type="dxa"/>
              <w:left w:w="0" w:type="dxa"/>
              <w:bottom w:w="0" w:type="dxa"/>
              <w:right w:w="15" w:type="dxa"/>
            </w:tcMar>
            <w:vAlign w:val="bottom"/>
            <w:hideMark/>
          </w:tcPr>
          <w:p w14:paraId="328419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0CA629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35956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05B22428" w14:textId="77777777" w:rsidR="00000000" w:rsidRDefault="00B8284C">
            <w:pPr>
              <w:pStyle w:val="a3"/>
              <w:spacing w:before="0" w:beforeAutospacing="0" w:after="0" w:afterAutospacing="0"/>
              <w:jc w:val="right"/>
              <w:rPr>
                <w:color w:val="000000"/>
                <w:sz w:val="20"/>
                <w:szCs w:val="20"/>
              </w:rPr>
            </w:pPr>
            <w:r>
              <w:rPr>
                <w:color w:val="000000"/>
                <w:sz w:val="20"/>
                <w:szCs w:val="20"/>
              </w:rPr>
              <w:t>14,783</w:t>
            </w:r>
          </w:p>
        </w:tc>
        <w:tc>
          <w:tcPr>
            <w:tcW w:w="50" w:type="pct"/>
            <w:shd w:val="clear" w:color="auto" w:fill="CFF0FC"/>
            <w:noWrap/>
            <w:tcMar>
              <w:top w:w="15" w:type="dxa"/>
              <w:left w:w="0" w:type="dxa"/>
              <w:bottom w:w="0" w:type="dxa"/>
              <w:right w:w="15" w:type="dxa"/>
            </w:tcMar>
            <w:vAlign w:val="bottom"/>
            <w:hideMark/>
          </w:tcPr>
          <w:p w14:paraId="1E21D6C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339EF6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A325F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7DF3D70E" w14:textId="77777777" w:rsidR="00000000" w:rsidRDefault="00B8284C">
            <w:pPr>
              <w:pStyle w:val="a3"/>
              <w:spacing w:before="0" w:beforeAutospacing="0" w:after="0" w:afterAutospacing="0"/>
              <w:jc w:val="right"/>
              <w:rPr>
                <w:color w:val="000000"/>
                <w:sz w:val="20"/>
                <w:szCs w:val="20"/>
              </w:rPr>
            </w:pPr>
            <w:r>
              <w:rPr>
                <w:color w:val="000000"/>
                <w:sz w:val="20"/>
                <w:szCs w:val="20"/>
              </w:rPr>
              <w:t>6,332</w:t>
            </w:r>
          </w:p>
        </w:tc>
        <w:tc>
          <w:tcPr>
            <w:tcW w:w="50" w:type="pct"/>
            <w:shd w:val="clear" w:color="auto" w:fill="CFF0FC"/>
            <w:noWrap/>
            <w:tcMar>
              <w:top w:w="15" w:type="dxa"/>
              <w:left w:w="0" w:type="dxa"/>
              <w:bottom w:w="0" w:type="dxa"/>
              <w:right w:w="15" w:type="dxa"/>
            </w:tcMar>
            <w:vAlign w:val="bottom"/>
            <w:hideMark/>
          </w:tcPr>
          <w:p w14:paraId="0E8E36F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88BAB75" w14:textId="77777777">
        <w:trPr>
          <w:divId w:val="1264069354"/>
        </w:trPr>
        <w:tc>
          <w:tcPr>
            <w:tcW w:w="2548" w:type="pct"/>
            <w:shd w:val="clear" w:color="auto" w:fill="FFFFFF"/>
            <w:tcMar>
              <w:top w:w="15" w:type="dxa"/>
              <w:left w:w="0" w:type="dxa"/>
              <w:bottom w:w="0" w:type="dxa"/>
              <w:right w:w="15" w:type="dxa"/>
            </w:tcMar>
            <w:vAlign w:val="bottom"/>
            <w:hideMark/>
          </w:tcPr>
          <w:p w14:paraId="373600E9" w14:textId="77777777" w:rsidR="00000000" w:rsidRDefault="00B8284C">
            <w:pPr>
              <w:pStyle w:val="a3"/>
              <w:spacing w:before="0" w:beforeAutospacing="0" w:after="0" w:afterAutospacing="0"/>
              <w:ind w:left="274"/>
              <w:rPr>
                <w:color w:val="000000"/>
                <w:sz w:val="20"/>
                <w:szCs w:val="20"/>
              </w:rPr>
            </w:pPr>
            <w:r>
              <w:rPr>
                <w:color w:val="000000"/>
                <w:sz w:val="20"/>
                <w:szCs w:val="20"/>
              </w:rPr>
              <w:t>Interest expense</w:t>
            </w:r>
          </w:p>
        </w:tc>
        <w:tc>
          <w:tcPr>
            <w:tcW w:w="50" w:type="pct"/>
            <w:shd w:val="clear" w:color="auto" w:fill="FFFFFF"/>
            <w:noWrap/>
            <w:tcMar>
              <w:top w:w="15" w:type="dxa"/>
              <w:left w:w="0" w:type="dxa"/>
              <w:bottom w:w="0" w:type="dxa"/>
              <w:right w:w="15" w:type="dxa"/>
            </w:tcMar>
            <w:vAlign w:val="bottom"/>
            <w:hideMark/>
          </w:tcPr>
          <w:p w14:paraId="2DCDC2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49A16A10" w14:textId="77777777" w:rsidR="00000000" w:rsidRDefault="00B8284C">
            <w:pPr>
              <w:pStyle w:val="a3"/>
              <w:spacing w:before="0" w:beforeAutospacing="0" w:after="0" w:afterAutospacing="0"/>
              <w:jc w:val="right"/>
              <w:rPr>
                <w:color w:val="000000"/>
                <w:sz w:val="20"/>
                <w:szCs w:val="20"/>
              </w:rPr>
            </w:pPr>
            <w:r>
              <w:rPr>
                <w:color w:val="000000"/>
                <w:sz w:val="20"/>
                <w:szCs w:val="20"/>
              </w:rPr>
              <w:t>(5,760</w:t>
            </w:r>
          </w:p>
        </w:tc>
        <w:tc>
          <w:tcPr>
            <w:tcW w:w="50" w:type="pct"/>
            <w:shd w:val="clear" w:color="auto" w:fill="FFFFFF"/>
            <w:noWrap/>
            <w:tcMar>
              <w:top w:w="15" w:type="dxa"/>
              <w:left w:w="0" w:type="dxa"/>
              <w:bottom w:w="0" w:type="dxa"/>
              <w:right w:w="15" w:type="dxa"/>
            </w:tcMar>
            <w:vAlign w:val="bottom"/>
            <w:hideMark/>
          </w:tcPr>
          <w:p w14:paraId="506EC1B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40AD5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A24DE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6392CC10" w14:textId="77777777" w:rsidR="00000000" w:rsidRDefault="00B8284C">
            <w:pPr>
              <w:pStyle w:val="a3"/>
              <w:spacing w:before="0" w:beforeAutospacing="0" w:after="0" w:afterAutospacing="0"/>
              <w:jc w:val="right"/>
              <w:rPr>
                <w:color w:val="000000"/>
                <w:sz w:val="20"/>
                <w:szCs w:val="20"/>
              </w:rPr>
            </w:pPr>
            <w:r>
              <w:rPr>
                <w:color w:val="000000"/>
                <w:sz w:val="20"/>
                <w:szCs w:val="20"/>
              </w:rPr>
              <w:t>(5,393</w:t>
            </w:r>
          </w:p>
        </w:tc>
        <w:tc>
          <w:tcPr>
            <w:tcW w:w="50" w:type="pct"/>
            <w:shd w:val="clear" w:color="auto" w:fill="FFFFFF"/>
            <w:noWrap/>
            <w:tcMar>
              <w:top w:w="15" w:type="dxa"/>
              <w:left w:w="0" w:type="dxa"/>
              <w:bottom w:w="0" w:type="dxa"/>
              <w:right w:w="15" w:type="dxa"/>
            </w:tcMar>
            <w:vAlign w:val="bottom"/>
            <w:hideMark/>
          </w:tcPr>
          <w:p w14:paraId="11AB707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907036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19CB9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01A4964F" w14:textId="77777777" w:rsidR="00000000" w:rsidRDefault="00B8284C">
            <w:pPr>
              <w:pStyle w:val="a3"/>
              <w:spacing w:before="0" w:beforeAutospacing="0" w:after="0" w:afterAutospacing="0"/>
              <w:jc w:val="right"/>
              <w:rPr>
                <w:color w:val="000000"/>
                <w:sz w:val="20"/>
                <w:szCs w:val="20"/>
              </w:rPr>
            </w:pPr>
            <w:r>
              <w:rPr>
                <w:color w:val="000000"/>
                <w:sz w:val="20"/>
                <w:szCs w:val="20"/>
              </w:rPr>
              <w:t>(16,946</w:t>
            </w:r>
          </w:p>
        </w:tc>
        <w:tc>
          <w:tcPr>
            <w:tcW w:w="50" w:type="pct"/>
            <w:shd w:val="clear" w:color="auto" w:fill="FFFFFF"/>
            <w:noWrap/>
            <w:tcMar>
              <w:top w:w="15" w:type="dxa"/>
              <w:left w:w="0" w:type="dxa"/>
              <w:bottom w:w="0" w:type="dxa"/>
              <w:right w:w="15" w:type="dxa"/>
            </w:tcMar>
            <w:vAlign w:val="bottom"/>
            <w:hideMark/>
          </w:tcPr>
          <w:p w14:paraId="2227137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023847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9EB2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4C271735" w14:textId="77777777" w:rsidR="00000000" w:rsidRDefault="00B8284C">
            <w:pPr>
              <w:pStyle w:val="a3"/>
              <w:spacing w:before="0" w:beforeAutospacing="0" w:after="0" w:afterAutospacing="0"/>
              <w:jc w:val="right"/>
              <w:rPr>
                <w:color w:val="000000"/>
                <w:sz w:val="20"/>
                <w:szCs w:val="20"/>
              </w:rPr>
            </w:pPr>
            <w:r>
              <w:rPr>
                <w:color w:val="000000"/>
                <w:sz w:val="20"/>
                <w:szCs w:val="20"/>
              </w:rPr>
              <w:t>(15,893</w:t>
            </w:r>
          </w:p>
        </w:tc>
        <w:tc>
          <w:tcPr>
            <w:tcW w:w="50" w:type="pct"/>
            <w:shd w:val="clear" w:color="auto" w:fill="FFFFFF"/>
            <w:noWrap/>
            <w:tcMar>
              <w:top w:w="15" w:type="dxa"/>
              <w:left w:w="0" w:type="dxa"/>
              <w:bottom w:w="0" w:type="dxa"/>
              <w:right w:w="15" w:type="dxa"/>
            </w:tcMar>
            <w:vAlign w:val="bottom"/>
            <w:hideMark/>
          </w:tcPr>
          <w:p w14:paraId="12B22D97"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49D45CF1" w14:textId="77777777">
        <w:trPr>
          <w:divId w:val="1264069354"/>
        </w:trPr>
        <w:tc>
          <w:tcPr>
            <w:tcW w:w="2548" w:type="pct"/>
            <w:shd w:val="clear" w:color="auto" w:fill="CFF0FC"/>
            <w:tcMar>
              <w:top w:w="15" w:type="dxa"/>
              <w:left w:w="0" w:type="dxa"/>
              <w:bottom w:w="0" w:type="dxa"/>
              <w:right w:w="15" w:type="dxa"/>
            </w:tcMar>
            <w:vAlign w:val="bottom"/>
            <w:hideMark/>
          </w:tcPr>
          <w:p w14:paraId="013D8ACA" w14:textId="77777777" w:rsidR="00000000" w:rsidRDefault="00B8284C">
            <w:pPr>
              <w:pStyle w:val="a3"/>
              <w:spacing w:before="0" w:beforeAutospacing="0" w:after="0" w:afterAutospacing="0"/>
              <w:ind w:left="274"/>
              <w:rPr>
                <w:color w:val="000000"/>
                <w:sz w:val="20"/>
                <w:szCs w:val="20"/>
              </w:rPr>
            </w:pPr>
            <w:r>
              <w:rPr>
                <w:color w:val="000000"/>
                <w:sz w:val="20"/>
                <w:szCs w:val="20"/>
              </w:rPr>
              <w:t>Other expense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020E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36ED3131" w14:textId="77777777" w:rsidR="00000000" w:rsidRDefault="00B8284C">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14:paraId="4485075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E788C2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A54FF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2DF99F7B" w14:textId="77777777" w:rsidR="00000000" w:rsidRDefault="00B8284C">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14:paraId="5C6808F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E2D29C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A776C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44857E53" w14:textId="77777777" w:rsidR="00000000" w:rsidRDefault="00B8284C">
            <w:pPr>
              <w:pStyle w:val="a3"/>
              <w:spacing w:before="0" w:beforeAutospacing="0" w:after="0" w:afterAutospacing="0"/>
              <w:jc w:val="right"/>
              <w:rPr>
                <w:color w:val="000000"/>
                <w:sz w:val="20"/>
                <w:szCs w:val="20"/>
              </w:rPr>
            </w:pPr>
            <w:r>
              <w:rPr>
                <w:color w:val="000000"/>
                <w:sz w:val="20"/>
                <w:szCs w:val="20"/>
              </w:rPr>
              <w:t>(773</w:t>
            </w:r>
          </w:p>
        </w:tc>
        <w:tc>
          <w:tcPr>
            <w:tcW w:w="50" w:type="pct"/>
            <w:shd w:val="clear" w:color="auto" w:fill="CFF0FC"/>
            <w:noWrap/>
            <w:tcMar>
              <w:top w:w="15" w:type="dxa"/>
              <w:left w:w="0" w:type="dxa"/>
              <w:bottom w:w="0" w:type="dxa"/>
              <w:right w:w="15" w:type="dxa"/>
            </w:tcMar>
            <w:vAlign w:val="bottom"/>
            <w:hideMark/>
          </w:tcPr>
          <w:p w14:paraId="504C068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FA425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735831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4AF28203" w14:textId="77777777" w:rsidR="00000000" w:rsidRDefault="00B8284C">
            <w:pPr>
              <w:pStyle w:val="a3"/>
              <w:spacing w:before="0" w:beforeAutospacing="0" w:after="0" w:afterAutospacing="0"/>
              <w:jc w:val="right"/>
              <w:rPr>
                <w:color w:val="000000"/>
                <w:sz w:val="20"/>
                <w:szCs w:val="20"/>
              </w:rPr>
            </w:pPr>
            <w:r>
              <w:rPr>
                <w:color w:val="000000"/>
                <w:sz w:val="20"/>
                <w:szCs w:val="20"/>
              </w:rPr>
              <w:t>(1,087</w:t>
            </w:r>
          </w:p>
        </w:tc>
        <w:tc>
          <w:tcPr>
            <w:tcW w:w="50" w:type="pct"/>
            <w:shd w:val="clear" w:color="auto" w:fill="CFF0FC"/>
            <w:noWrap/>
            <w:tcMar>
              <w:top w:w="15" w:type="dxa"/>
              <w:left w:w="0" w:type="dxa"/>
              <w:bottom w:w="0" w:type="dxa"/>
              <w:right w:w="15" w:type="dxa"/>
            </w:tcMar>
            <w:vAlign w:val="bottom"/>
            <w:hideMark/>
          </w:tcPr>
          <w:p w14:paraId="54728E92"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0C5DD934" w14:textId="77777777">
        <w:trPr>
          <w:divId w:val="1264069354"/>
        </w:trPr>
        <w:tc>
          <w:tcPr>
            <w:tcW w:w="2548" w:type="pct"/>
            <w:shd w:val="clear" w:color="auto" w:fill="FFFFFF"/>
            <w:tcMar>
              <w:top w:w="15" w:type="dxa"/>
              <w:left w:w="0" w:type="dxa"/>
              <w:bottom w:w="0" w:type="dxa"/>
              <w:right w:w="15" w:type="dxa"/>
            </w:tcMar>
            <w:vAlign w:val="bottom"/>
            <w:hideMark/>
          </w:tcPr>
          <w:p w14:paraId="72FE6496" w14:textId="77777777" w:rsidR="00000000" w:rsidRDefault="00B8284C">
            <w:pPr>
              <w:pStyle w:val="a3"/>
              <w:spacing w:before="0" w:beforeAutospacing="0" w:after="0" w:afterAutospacing="0"/>
              <w:ind w:left="547"/>
              <w:rPr>
                <w:color w:val="000000"/>
                <w:sz w:val="20"/>
                <w:szCs w:val="20"/>
              </w:rPr>
            </w:pPr>
            <w:r>
              <w:rPr>
                <w:color w:val="000000"/>
                <w:sz w:val="20"/>
                <w:szCs w:val="20"/>
              </w:rPr>
              <w:t>Total other expense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465C2E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F408CA" w14:textId="77777777" w:rsidR="00000000" w:rsidRDefault="00B8284C">
            <w:pPr>
              <w:pStyle w:val="a3"/>
              <w:spacing w:before="0" w:beforeAutospacing="0" w:after="0" w:afterAutospacing="0"/>
              <w:jc w:val="right"/>
              <w:rPr>
                <w:color w:val="000000"/>
                <w:sz w:val="20"/>
                <w:szCs w:val="20"/>
              </w:rPr>
            </w:pPr>
            <w:r>
              <w:rPr>
                <w:color w:val="000000"/>
                <w:sz w:val="20"/>
                <w:szCs w:val="20"/>
              </w:rPr>
              <w:t>(664</w:t>
            </w:r>
          </w:p>
        </w:tc>
        <w:tc>
          <w:tcPr>
            <w:tcW w:w="50" w:type="pct"/>
            <w:shd w:val="clear" w:color="auto" w:fill="FFFFFF"/>
            <w:noWrap/>
            <w:tcMar>
              <w:top w:w="15" w:type="dxa"/>
              <w:left w:w="0" w:type="dxa"/>
              <w:bottom w:w="0" w:type="dxa"/>
              <w:right w:w="15" w:type="dxa"/>
            </w:tcMar>
            <w:vAlign w:val="bottom"/>
            <w:hideMark/>
          </w:tcPr>
          <w:p w14:paraId="23020F8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11AF9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2D5F73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57A8201" w14:textId="77777777" w:rsidR="00000000" w:rsidRDefault="00B8284C">
            <w:pPr>
              <w:pStyle w:val="a3"/>
              <w:spacing w:before="0" w:beforeAutospacing="0" w:after="0" w:afterAutospacing="0"/>
              <w:jc w:val="right"/>
              <w:rPr>
                <w:color w:val="000000"/>
                <w:sz w:val="20"/>
                <w:szCs w:val="20"/>
              </w:rPr>
            </w:pPr>
            <w:r>
              <w:rPr>
                <w:color w:val="000000"/>
                <w:sz w:val="20"/>
                <w:szCs w:val="20"/>
              </w:rPr>
              <w:t>(3,254</w:t>
            </w:r>
          </w:p>
        </w:tc>
        <w:tc>
          <w:tcPr>
            <w:tcW w:w="50" w:type="pct"/>
            <w:shd w:val="clear" w:color="auto" w:fill="FFFFFF"/>
            <w:noWrap/>
            <w:tcMar>
              <w:top w:w="15" w:type="dxa"/>
              <w:left w:w="0" w:type="dxa"/>
              <w:bottom w:w="0" w:type="dxa"/>
              <w:right w:w="15" w:type="dxa"/>
            </w:tcMar>
            <w:vAlign w:val="bottom"/>
            <w:hideMark/>
          </w:tcPr>
          <w:p w14:paraId="47DA259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6E1322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84CE3C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8CAD6DC" w14:textId="77777777" w:rsidR="00000000" w:rsidRDefault="00B8284C">
            <w:pPr>
              <w:pStyle w:val="a3"/>
              <w:spacing w:before="0" w:beforeAutospacing="0" w:after="0" w:afterAutospacing="0"/>
              <w:jc w:val="right"/>
              <w:rPr>
                <w:color w:val="000000"/>
                <w:sz w:val="20"/>
                <w:szCs w:val="20"/>
              </w:rPr>
            </w:pPr>
            <w:r>
              <w:rPr>
                <w:color w:val="000000"/>
                <w:sz w:val="20"/>
                <w:szCs w:val="20"/>
              </w:rPr>
              <w:t>(2,936</w:t>
            </w:r>
          </w:p>
        </w:tc>
        <w:tc>
          <w:tcPr>
            <w:tcW w:w="50" w:type="pct"/>
            <w:shd w:val="clear" w:color="auto" w:fill="FFFFFF"/>
            <w:noWrap/>
            <w:tcMar>
              <w:top w:w="15" w:type="dxa"/>
              <w:left w:w="0" w:type="dxa"/>
              <w:bottom w:w="0" w:type="dxa"/>
              <w:right w:w="15" w:type="dxa"/>
            </w:tcMar>
            <w:vAlign w:val="bottom"/>
            <w:hideMark/>
          </w:tcPr>
          <w:p w14:paraId="38A164A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2A027E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5268C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2F63DD1" w14:textId="77777777" w:rsidR="00000000" w:rsidRDefault="00B8284C">
            <w:pPr>
              <w:pStyle w:val="a3"/>
              <w:spacing w:before="0" w:beforeAutospacing="0" w:after="0" w:afterAutospacing="0"/>
              <w:jc w:val="right"/>
              <w:rPr>
                <w:color w:val="000000"/>
                <w:sz w:val="20"/>
                <w:szCs w:val="20"/>
              </w:rPr>
            </w:pPr>
            <w:r>
              <w:rPr>
                <w:color w:val="000000"/>
                <w:sz w:val="20"/>
                <w:szCs w:val="20"/>
              </w:rPr>
              <w:t>(10,648</w:t>
            </w:r>
          </w:p>
        </w:tc>
        <w:tc>
          <w:tcPr>
            <w:tcW w:w="50" w:type="pct"/>
            <w:shd w:val="clear" w:color="auto" w:fill="FFFFFF"/>
            <w:noWrap/>
            <w:tcMar>
              <w:top w:w="15" w:type="dxa"/>
              <w:left w:w="0" w:type="dxa"/>
              <w:bottom w:w="0" w:type="dxa"/>
              <w:right w:w="15" w:type="dxa"/>
            </w:tcMar>
            <w:vAlign w:val="bottom"/>
            <w:hideMark/>
          </w:tcPr>
          <w:p w14:paraId="1BAE64CD"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49506708" w14:textId="77777777">
        <w:trPr>
          <w:divId w:val="1264069354"/>
        </w:trPr>
        <w:tc>
          <w:tcPr>
            <w:tcW w:w="2548" w:type="pct"/>
            <w:shd w:val="clear" w:color="auto" w:fill="CFF0FC"/>
            <w:tcMar>
              <w:top w:w="15" w:type="dxa"/>
              <w:left w:w="0" w:type="dxa"/>
              <w:bottom w:w="0" w:type="dxa"/>
              <w:right w:w="15" w:type="dxa"/>
            </w:tcMar>
            <w:vAlign w:val="bottom"/>
            <w:hideMark/>
          </w:tcPr>
          <w:p w14:paraId="0762535F" w14:textId="77777777" w:rsidR="00000000" w:rsidRDefault="00B8284C">
            <w:pPr>
              <w:pStyle w:val="a3"/>
              <w:spacing w:before="0" w:beforeAutospacing="0" w:after="0" w:afterAutospacing="0"/>
              <w:rPr>
                <w:color w:val="000000"/>
                <w:sz w:val="20"/>
                <w:szCs w:val="20"/>
              </w:rPr>
            </w:pPr>
            <w:r>
              <w:rPr>
                <w:color w:val="000000"/>
                <w:sz w:val="20"/>
                <w:szCs w:val="20"/>
              </w:rPr>
              <w:t>Loss before income tax expense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250ED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42B667AE" w14:textId="77777777" w:rsidR="00000000" w:rsidRDefault="00B8284C">
            <w:pPr>
              <w:pStyle w:val="a3"/>
              <w:spacing w:before="0" w:beforeAutospacing="0" w:after="0" w:afterAutospacing="0"/>
              <w:jc w:val="right"/>
              <w:rPr>
                <w:color w:val="000000"/>
                <w:sz w:val="20"/>
                <w:szCs w:val="20"/>
              </w:rPr>
            </w:pPr>
            <w:r>
              <w:rPr>
                <w:color w:val="000000"/>
                <w:sz w:val="20"/>
                <w:szCs w:val="20"/>
              </w:rPr>
              <w:t>(14,736</w:t>
            </w:r>
          </w:p>
        </w:tc>
        <w:tc>
          <w:tcPr>
            <w:tcW w:w="50" w:type="pct"/>
            <w:shd w:val="clear" w:color="auto" w:fill="CFF0FC"/>
            <w:noWrap/>
            <w:tcMar>
              <w:top w:w="15" w:type="dxa"/>
              <w:left w:w="0" w:type="dxa"/>
              <w:bottom w:w="0" w:type="dxa"/>
              <w:right w:w="15" w:type="dxa"/>
            </w:tcMar>
            <w:vAlign w:val="bottom"/>
            <w:hideMark/>
          </w:tcPr>
          <w:p w14:paraId="6AB44C6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1E5307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802B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7FFF8C6C" w14:textId="77777777" w:rsidR="00000000" w:rsidRDefault="00B8284C">
            <w:pPr>
              <w:pStyle w:val="a3"/>
              <w:spacing w:before="0" w:beforeAutospacing="0" w:after="0" w:afterAutospacing="0"/>
              <w:jc w:val="right"/>
              <w:rPr>
                <w:color w:val="000000"/>
                <w:sz w:val="20"/>
                <w:szCs w:val="20"/>
              </w:rPr>
            </w:pPr>
            <w:r>
              <w:rPr>
                <w:color w:val="000000"/>
                <w:sz w:val="20"/>
                <w:szCs w:val="20"/>
              </w:rPr>
              <w:t>(18,304</w:t>
            </w:r>
          </w:p>
        </w:tc>
        <w:tc>
          <w:tcPr>
            <w:tcW w:w="50" w:type="pct"/>
            <w:shd w:val="clear" w:color="auto" w:fill="CFF0FC"/>
            <w:noWrap/>
            <w:tcMar>
              <w:top w:w="15" w:type="dxa"/>
              <w:left w:w="0" w:type="dxa"/>
              <w:bottom w:w="0" w:type="dxa"/>
              <w:right w:w="15" w:type="dxa"/>
            </w:tcMar>
            <w:vAlign w:val="bottom"/>
            <w:hideMark/>
          </w:tcPr>
          <w:p w14:paraId="09BB063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6E9627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74235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5C7C707C" w14:textId="77777777" w:rsidR="00000000" w:rsidRDefault="00B8284C">
            <w:pPr>
              <w:pStyle w:val="a3"/>
              <w:spacing w:before="0" w:beforeAutospacing="0" w:after="0" w:afterAutospacing="0"/>
              <w:jc w:val="right"/>
              <w:rPr>
                <w:color w:val="000000"/>
                <w:sz w:val="20"/>
                <w:szCs w:val="20"/>
              </w:rPr>
            </w:pPr>
            <w:r>
              <w:rPr>
                <w:color w:val="000000"/>
                <w:sz w:val="20"/>
                <w:szCs w:val="20"/>
              </w:rPr>
              <w:t>(41,769</w:t>
            </w:r>
          </w:p>
        </w:tc>
        <w:tc>
          <w:tcPr>
            <w:tcW w:w="50" w:type="pct"/>
            <w:shd w:val="clear" w:color="auto" w:fill="CFF0FC"/>
            <w:noWrap/>
            <w:tcMar>
              <w:top w:w="15" w:type="dxa"/>
              <w:left w:w="0" w:type="dxa"/>
              <w:bottom w:w="0" w:type="dxa"/>
              <w:right w:w="15" w:type="dxa"/>
            </w:tcMar>
            <w:vAlign w:val="bottom"/>
            <w:hideMark/>
          </w:tcPr>
          <w:p w14:paraId="2CF4218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CB657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4BDE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7B9B2521" w14:textId="77777777" w:rsidR="00000000" w:rsidRDefault="00B8284C">
            <w:pPr>
              <w:pStyle w:val="a3"/>
              <w:spacing w:before="0" w:beforeAutospacing="0" w:after="0" w:afterAutospacing="0"/>
              <w:jc w:val="right"/>
              <w:rPr>
                <w:color w:val="000000"/>
                <w:sz w:val="20"/>
                <w:szCs w:val="20"/>
              </w:rPr>
            </w:pPr>
            <w:r>
              <w:rPr>
                <w:color w:val="000000"/>
                <w:sz w:val="20"/>
                <w:szCs w:val="20"/>
              </w:rPr>
              <w:t>(51,074</w:t>
            </w:r>
          </w:p>
        </w:tc>
        <w:tc>
          <w:tcPr>
            <w:tcW w:w="50" w:type="pct"/>
            <w:shd w:val="clear" w:color="auto" w:fill="CFF0FC"/>
            <w:noWrap/>
            <w:tcMar>
              <w:top w:w="15" w:type="dxa"/>
              <w:left w:w="0" w:type="dxa"/>
              <w:bottom w:w="0" w:type="dxa"/>
              <w:right w:w="15" w:type="dxa"/>
            </w:tcMar>
            <w:vAlign w:val="bottom"/>
            <w:hideMark/>
          </w:tcPr>
          <w:p w14:paraId="09EC4CF1"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6E591C59" w14:textId="77777777">
        <w:trPr>
          <w:divId w:val="1264069354"/>
        </w:trPr>
        <w:tc>
          <w:tcPr>
            <w:tcW w:w="2548" w:type="pct"/>
            <w:shd w:val="clear" w:color="auto" w:fill="FFFFFF"/>
            <w:tcMar>
              <w:top w:w="15" w:type="dxa"/>
              <w:left w:w="0" w:type="dxa"/>
              <w:bottom w:w="0" w:type="dxa"/>
              <w:right w:w="15" w:type="dxa"/>
            </w:tcMar>
            <w:vAlign w:val="bottom"/>
            <w:hideMark/>
          </w:tcPr>
          <w:p w14:paraId="2C8D8190" w14:textId="77777777" w:rsidR="00000000" w:rsidRDefault="00B8284C">
            <w:pPr>
              <w:pStyle w:val="a3"/>
              <w:spacing w:before="0" w:beforeAutospacing="0" w:after="0" w:afterAutospacing="0"/>
              <w:ind w:left="547"/>
              <w:rPr>
                <w:color w:val="000000"/>
                <w:sz w:val="20"/>
                <w:szCs w:val="20"/>
              </w:rPr>
            </w:pPr>
            <w:r>
              <w:rPr>
                <w:color w:val="000000"/>
                <w:sz w:val="20"/>
                <w:szCs w:val="20"/>
              </w:rPr>
              <w:t>Income tax expense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BB03B1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42D8C484" w14:textId="77777777" w:rsidR="00000000" w:rsidRDefault="00B8284C">
            <w:pPr>
              <w:pStyle w:val="a3"/>
              <w:spacing w:before="0" w:beforeAutospacing="0" w:after="0" w:afterAutospacing="0"/>
              <w:jc w:val="right"/>
              <w:rPr>
                <w:color w:val="000000"/>
                <w:sz w:val="20"/>
                <w:szCs w:val="20"/>
              </w:rPr>
            </w:pPr>
            <w:r>
              <w:rPr>
                <w:color w:val="000000"/>
                <w:sz w:val="20"/>
                <w:szCs w:val="20"/>
              </w:rPr>
              <w:t>(251</w:t>
            </w:r>
          </w:p>
        </w:tc>
        <w:tc>
          <w:tcPr>
            <w:tcW w:w="50" w:type="pct"/>
            <w:shd w:val="clear" w:color="auto" w:fill="FFFFFF"/>
            <w:noWrap/>
            <w:tcMar>
              <w:top w:w="15" w:type="dxa"/>
              <w:left w:w="0" w:type="dxa"/>
              <w:bottom w:w="0" w:type="dxa"/>
              <w:right w:w="15" w:type="dxa"/>
            </w:tcMar>
            <w:vAlign w:val="bottom"/>
            <w:hideMark/>
          </w:tcPr>
          <w:p w14:paraId="10F7D4E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EAF1F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F6A519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5CC83E21" w14:textId="77777777" w:rsidR="00000000" w:rsidRDefault="00B8284C">
            <w:pPr>
              <w:pStyle w:val="a3"/>
              <w:spacing w:before="0" w:beforeAutospacing="0" w:after="0" w:afterAutospacing="0"/>
              <w:jc w:val="right"/>
              <w:rPr>
                <w:color w:val="000000"/>
                <w:sz w:val="20"/>
                <w:szCs w:val="20"/>
              </w:rPr>
            </w:pPr>
            <w:r>
              <w:rPr>
                <w:color w:val="000000"/>
                <w:sz w:val="20"/>
                <w:szCs w:val="20"/>
              </w:rPr>
              <w:t>(359</w:t>
            </w:r>
          </w:p>
        </w:tc>
        <w:tc>
          <w:tcPr>
            <w:tcW w:w="50" w:type="pct"/>
            <w:shd w:val="clear" w:color="auto" w:fill="FFFFFF"/>
            <w:noWrap/>
            <w:tcMar>
              <w:top w:w="15" w:type="dxa"/>
              <w:left w:w="0" w:type="dxa"/>
              <w:bottom w:w="0" w:type="dxa"/>
              <w:right w:w="15" w:type="dxa"/>
            </w:tcMar>
            <w:vAlign w:val="bottom"/>
            <w:hideMark/>
          </w:tcPr>
          <w:p w14:paraId="09046E0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9FCD31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39D7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1D0240FC" w14:textId="77777777" w:rsidR="00000000" w:rsidRDefault="00B8284C">
            <w:pPr>
              <w:pStyle w:val="a3"/>
              <w:spacing w:before="0" w:beforeAutospacing="0" w:after="0" w:afterAutospacing="0"/>
              <w:jc w:val="right"/>
              <w:rPr>
                <w:color w:val="000000"/>
                <w:sz w:val="20"/>
                <w:szCs w:val="20"/>
              </w:rPr>
            </w:pPr>
            <w:r>
              <w:rPr>
                <w:color w:val="000000"/>
                <w:sz w:val="20"/>
                <w:szCs w:val="20"/>
              </w:rPr>
              <w:t>(1,675</w:t>
            </w:r>
          </w:p>
        </w:tc>
        <w:tc>
          <w:tcPr>
            <w:tcW w:w="50" w:type="pct"/>
            <w:shd w:val="clear" w:color="auto" w:fill="FFFFFF"/>
            <w:noWrap/>
            <w:tcMar>
              <w:top w:w="15" w:type="dxa"/>
              <w:left w:w="0" w:type="dxa"/>
              <w:bottom w:w="0" w:type="dxa"/>
              <w:right w:w="15" w:type="dxa"/>
            </w:tcMar>
            <w:vAlign w:val="bottom"/>
            <w:hideMark/>
          </w:tcPr>
          <w:p w14:paraId="7A83BB8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ABDAB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5980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09970AA1" w14:textId="77777777" w:rsidR="00000000" w:rsidRDefault="00B8284C">
            <w:pPr>
              <w:pStyle w:val="a3"/>
              <w:spacing w:before="0" w:beforeAutospacing="0" w:after="0" w:afterAutospacing="0"/>
              <w:jc w:val="right"/>
              <w:rPr>
                <w:color w:val="000000"/>
                <w:sz w:val="20"/>
                <w:szCs w:val="20"/>
              </w:rPr>
            </w:pPr>
            <w:r>
              <w:rPr>
                <w:color w:val="000000"/>
                <w:sz w:val="20"/>
                <w:szCs w:val="20"/>
              </w:rPr>
              <w:t>(1,262</w:t>
            </w:r>
          </w:p>
        </w:tc>
        <w:tc>
          <w:tcPr>
            <w:tcW w:w="50" w:type="pct"/>
            <w:shd w:val="clear" w:color="auto" w:fill="FFFFFF"/>
            <w:noWrap/>
            <w:tcMar>
              <w:top w:w="15" w:type="dxa"/>
              <w:left w:w="0" w:type="dxa"/>
              <w:bottom w:w="0" w:type="dxa"/>
              <w:right w:w="15" w:type="dxa"/>
            </w:tcMar>
            <w:vAlign w:val="bottom"/>
            <w:hideMark/>
          </w:tcPr>
          <w:p w14:paraId="027F7285"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527FC927" w14:textId="77777777">
        <w:trPr>
          <w:divId w:val="1264069354"/>
        </w:trPr>
        <w:tc>
          <w:tcPr>
            <w:tcW w:w="2548" w:type="pct"/>
            <w:shd w:val="clear" w:color="auto" w:fill="CFF0FC"/>
            <w:tcMar>
              <w:top w:w="15" w:type="dxa"/>
              <w:left w:w="0" w:type="dxa"/>
              <w:bottom w:w="0" w:type="dxa"/>
              <w:right w:w="15" w:type="dxa"/>
            </w:tcMar>
            <w:vAlign w:val="bottom"/>
            <w:hideMark/>
          </w:tcPr>
          <w:p w14:paraId="6BA17FD6" w14:textId="77777777" w:rsidR="00000000" w:rsidRDefault="00B8284C">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B22F1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C5C3C0" w14:textId="77777777" w:rsidR="00000000" w:rsidRDefault="00B8284C">
            <w:pPr>
              <w:pStyle w:val="a3"/>
              <w:spacing w:before="0" w:beforeAutospacing="0" w:after="0" w:afterAutospacing="0"/>
              <w:jc w:val="right"/>
              <w:rPr>
                <w:color w:val="000000"/>
                <w:sz w:val="20"/>
                <w:szCs w:val="20"/>
              </w:rPr>
            </w:pPr>
            <w:r>
              <w:rPr>
                <w:color w:val="000000"/>
                <w:sz w:val="20"/>
                <w:szCs w:val="20"/>
              </w:rPr>
              <w:t>(14,987</w:t>
            </w:r>
          </w:p>
        </w:tc>
        <w:tc>
          <w:tcPr>
            <w:tcW w:w="50" w:type="pct"/>
            <w:shd w:val="clear" w:color="auto" w:fill="CFF0FC"/>
            <w:noWrap/>
            <w:tcMar>
              <w:top w:w="15" w:type="dxa"/>
              <w:left w:w="0" w:type="dxa"/>
              <w:bottom w:w="0" w:type="dxa"/>
              <w:right w:w="15" w:type="dxa"/>
            </w:tcMar>
            <w:vAlign w:val="bottom"/>
            <w:hideMark/>
          </w:tcPr>
          <w:p w14:paraId="68F3654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C814E6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A997B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2D25B5" w14:textId="77777777" w:rsidR="00000000" w:rsidRDefault="00B8284C">
            <w:pPr>
              <w:pStyle w:val="a3"/>
              <w:spacing w:before="0" w:beforeAutospacing="0" w:after="0" w:afterAutospacing="0"/>
              <w:jc w:val="right"/>
              <w:rPr>
                <w:color w:val="000000"/>
                <w:sz w:val="20"/>
                <w:szCs w:val="20"/>
              </w:rPr>
            </w:pPr>
            <w:r>
              <w:rPr>
                <w:color w:val="000000"/>
                <w:sz w:val="20"/>
                <w:szCs w:val="20"/>
              </w:rPr>
              <w:t>(</w:t>
            </w:r>
            <w:r>
              <w:rPr>
                <w:color w:val="000000"/>
                <w:sz w:val="20"/>
                <w:szCs w:val="20"/>
              </w:rPr>
              <w:t>18,663</w:t>
            </w:r>
          </w:p>
        </w:tc>
        <w:tc>
          <w:tcPr>
            <w:tcW w:w="50" w:type="pct"/>
            <w:shd w:val="clear" w:color="auto" w:fill="CFF0FC"/>
            <w:noWrap/>
            <w:tcMar>
              <w:top w:w="15" w:type="dxa"/>
              <w:left w:w="0" w:type="dxa"/>
              <w:bottom w:w="0" w:type="dxa"/>
              <w:right w:w="15" w:type="dxa"/>
            </w:tcMar>
            <w:vAlign w:val="bottom"/>
            <w:hideMark/>
          </w:tcPr>
          <w:p w14:paraId="0F0C8AB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F33436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ADE95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DC77B4" w14:textId="77777777" w:rsidR="00000000" w:rsidRDefault="00B8284C">
            <w:pPr>
              <w:pStyle w:val="a3"/>
              <w:spacing w:before="0" w:beforeAutospacing="0" w:after="0" w:afterAutospacing="0"/>
              <w:jc w:val="right"/>
              <w:rPr>
                <w:color w:val="000000"/>
                <w:sz w:val="20"/>
                <w:szCs w:val="20"/>
              </w:rPr>
            </w:pPr>
            <w:r>
              <w:rPr>
                <w:color w:val="000000"/>
                <w:sz w:val="20"/>
                <w:szCs w:val="20"/>
              </w:rPr>
              <w:t>(43,444</w:t>
            </w:r>
          </w:p>
        </w:tc>
        <w:tc>
          <w:tcPr>
            <w:tcW w:w="50" w:type="pct"/>
            <w:shd w:val="clear" w:color="auto" w:fill="CFF0FC"/>
            <w:noWrap/>
            <w:tcMar>
              <w:top w:w="15" w:type="dxa"/>
              <w:left w:w="0" w:type="dxa"/>
              <w:bottom w:w="0" w:type="dxa"/>
              <w:right w:w="15" w:type="dxa"/>
            </w:tcMar>
            <w:vAlign w:val="bottom"/>
            <w:hideMark/>
          </w:tcPr>
          <w:p w14:paraId="62E925D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55D36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FB93C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5604A9F" w14:textId="77777777" w:rsidR="00000000" w:rsidRDefault="00B8284C">
            <w:pPr>
              <w:pStyle w:val="a3"/>
              <w:spacing w:before="0" w:beforeAutospacing="0" w:after="0" w:afterAutospacing="0"/>
              <w:jc w:val="right"/>
              <w:rPr>
                <w:color w:val="000000"/>
                <w:sz w:val="20"/>
                <w:szCs w:val="20"/>
              </w:rPr>
            </w:pPr>
            <w:r>
              <w:rPr>
                <w:color w:val="000000"/>
                <w:sz w:val="20"/>
                <w:szCs w:val="20"/>
              </w:rPr>
              <w:t>(52,336</w:t>
            </w:r>
          </w:p>
        </w:tc>
        <w:tc>
          <w:tcPr>
            <w:tcW w:w="50" w:type="pct"/>
            <w:shd w:val="clear" w:color="auto" w:fill="CFF0FC"/>
            <w:noWrap/>
            <w:tcMar>
              <w:top w:w="15" w:type="dxa"/>
              <w:left w:w="0" w:type="dxa"/>
              <w:bottom w:w="0" w:type="dxa"/>
              <w:right w:w="15" w:type="dxa"/>
            </w:tcMar>
            <w:vAlign w:val="bottom"/>
            <w:hideMark/>
          </w:tcPr>
          <w:p w14:paraId="3A1BAB1A"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133E71C6" w14:textId="77777777">
        <w:trPr>
          <w:divId w:val="1264069354"/>
        </w:trPr>
        <w:tc>
          <w:tcPr>
            <w:tcW w:w="2548" w:type="pct"/>
            <w:shd w:val="clear" w:color="auto" w:fill="FFFFFF"/>
            <w:tcMar>
              <w:top w:w="15" w:type="dxa"/>
              <w:left w:w="0" w:type="dxa"/>
              <w:bottom w:w="0" w:type="dxa"/>
              <w:right w:w="15" w:type="dxa"/>
            </w:tcMar>
            <w:vAlign w:val="bottom"/>
            <w:hideMark/>
          </w:tcPr>
          <w:p w14:paraId="0B54CCAA" w14:textId="77777777" w:rsidR="00000000" w:rsidRDefault="00B8284C">
            <w:pPr>
              <w:pStyle w:val="a3"/>
              <w:spacing w:before="0" w:beforeAutospacing="0" w:after="0" w:afterAutospacing="0"/>
              <w:rPr>
                <w:color w:val="000000"/>
                <w:sz w:val="20"/>
                <w:szCs w:val="20"/>
              </w:rPr>
            </w:pPr>
            <w:r>
              <w:rPr>
                <w:color w:val="000000"/>
                <w:sz w:val="20"/>
                <w:szCs w:val="20"/>
              </w:rPr>
              <w:t>Net loss per share, basic and diluted</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F3C540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double" w:sz="6" w:space="0" w:color="000000"/>
            </w:tcBorders>
            <w:shd w:val="clear" w:color="auto" w:fill="FFFFFF"/>
            <w:noWrap/>
            <w:tcMar>
              <w:top w:w="15" w:type="dxa"/>
              <w:left w:w="0" w:type="dxa"/>
              <w:bottom w:w="0" w:type="dxa"/>
              <w:right w:w="15" w:type="dxa"/>
            </w:tcMar>
            <w:vAlign w:val="bottom"/>
            <w:hideMark/>
          </w:tcPr>
          <w:p w14:paraId="587041D8" w14:textId="77777777" w:rsidR="00000000" w:rsidRDefault="00B8284C">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FFFFFF"/>
            <w:noWrap/>
            <w:tcMar>
              <w:top w:w="15" w:type="dxa"/>
              <w:left w:w="0" w:type="dxa"/>
              <w:bottom w:w="0" w:type="dxa"/>
              <w:right w:w="15" w:type="dxa"/>
            </w:tcMar>
            <w:vAlign w:val="bottom"/>
            <w:hideMark/>
          </w:tcPr>
          <w:p w14:paraId="659AE93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2F2A6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1FC61D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double" w:sz="6" w:space="0" w:color="000000"/>
            </w:tcBorders>
            <w:shd w:val="clear" w:color="auto" w:fill="FFFFFF"/>
            <w:noWrap/>
            <w:tcMar>
              <w:top w:w="15" w:type="dxa"/>
              <w:left w:w="0" w:type="dxa"/>
              <w:bottom w:w="0" w:type="dxa"/>
              <w:right w:w="15" w:type="dxa"/>
            </w:tcMar>
            <w:vAlign w:val="bottom"/>
            <w:hideMark/>
          </w:tcPr>
          <w:p w14:paraId="3A417415" w14:textId="77777777" w:rsidR="00000000" w:rsidRDefault="00B8284C">
            <w:pPr>
              <w:pStyle w:val="a3"/>
              <w:spacing w:before="0" w:beforeAutospacing="0" w:after="0" w:afterAutospacing="0"/>
              <w:jc w:val="right"/>
              <w:rPr>
                <w:color w:val="000000"/>
                <w:sz w:val="20"/>
                <w:szCs w:val="20"/>
              </w:rPr>
            </w:pPr>
            <w:r>
              <w:rPr>
                <w:color w:val="000000"/>
                <w:sz w:val="20"/>
                <w:szCs w:val="20"/>
              </w:rPr>
              <w:t>(0.48</w:t>
            </w:r>
          </w:p>
        </w:tc>
        <w:tc>
          <w:tcPr>
            <w:tcW w:w="50" w:type="pct"/>
            <w:shd w:val="clear" w:color="auto" w:fill="FFFFFF"/>
            <w:noWrap/>
            <w:tcMar>
              <w:top w:w="15" w:type="dxa"/>
              <w:left w:w="0" w:type="dxa"/>
              <w:bottom w:w="0" w:type="dxa"/>
              <w:right w:w="15" w:type="dxa"/>
            </w:tcMar>
            <w:vAlign w:val="bottom"/>
            <w:hideMark/>
          </w:tcPr>
          <w:p w14:paraId="7C0F1C5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ABF708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D4DB28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double" w:sz="6" w:space="0" w:color="000000"/>
            </w:tcBorders>
            <w:shd w:val="clear" w:color="auto" w:fill="FFFFFF"/>
            <w:noWrap/>
            <w:tcMar>
              <w:top w:w="15" w:type="dxa"/>
              <w:left w:w="0" w:type="dxa"/>
              <w:bottom w:w="0" w:type="dxa"/>
              <w:right w:w="15" w:type="dxa"/>
            </w:tcMar>
            <w:vAlign w:val="bottom"/>
            <w:hideMark/>
          </w:tcPr>
          <w:p w14:paraId="38C7C98D" w14:textId="77777777" w:rsidR="00000000" w:rsidRDefault="00B8284C">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FFFFFF"/>
            <w:noWrap/>
            <w:tcMar>
              <w:top w:w="15" w:type="dxa"/>
              <w:left w:w="0" w:type="dxa"/>
              <w:bottom w:w="0" w:type="dxa"/>
              <w:right w:w="15" w:type="dxa"/>
            </w:tcMar>
            <w:vAlign w:val="bottom"/>
            <w:hideMark/>
          </w:tcPr>
          <w:p w14:paraId="638C098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E5567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D6487A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double" w:sz="6" w:space="0" w:color="000000"/>
            </w:tcBorders>
            <w:shd w:val="clear" w:color="auto" w:fill="FFFFFF"/>
            <w:noWrap/>
            <w:tcMar>
              <w:top w:w="15" w:type="dxa"/>
              <w:left w:w="0" w:type="dxa"/>
              <w:bottom w:w="0" w:type="dxa"/>
              <w:right w:w="15" w:type="dxa"/>
            </w:tcMar>
            <w:vAlign w:val="bottom"/>
            <w:hideMark/>
          </w:tcPr>
          <w:p w14:paraId="14B53577" w14:textId="77777777" w:rsidR="00000000" w:rsidRDefault="00B8284C">
            <w:pPr>
              <w:pStyle w:val="a3"/>
              <w:spacing w:before="0" w:beforeAutospacing="0" w:after="0" w:afterAutospacing="0"/>
              <w:jc w:val="right"/>
              <w:rPr>
                <w:color w:val="000000"/>
                <w:sz w:val="20"/>
                <w:szCs w:val="20"/>
              </w:rPr>
            </w:pPr>
            <w:r>
              <w:rPr>
                <w:color w:val="000000"/>
                <w:sz w:val="20"/>
                <w:szCs w:val="20"/>
              </w:rPr>
              <w:t>(1.37</w:t>
            </w:r>
          </w:p>
        </w:tc>
        <w:tc>
          <w:tcPr>
            <w:tcW w:w="50" w:type="pct"/>
            <w:shd w:val="clear" w:color="auto" w:fill="FFFFFF"/>
            <w:noWrap/>
            <w:tcMar>
              <w:top w:w="15" w:type="dxa"/>
              <w:left w:w="0" w:type="dxa"/>
              <w:bottom w:w="0" w:type="dxa"/>
              <w:right w:w="15" w:type="dxa"/>
            </w:tcMar>
            <w:vAlign w:val="bottom"/>
            <w:hideMark/>
          </w:tcPr>
          <w:p w14:paraId="06D0CC68"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53405805" w14:textId="77777777">
        <w:trPr>
          <w:divId w:val="1264069354"/>
        </w:trPr>
        <w:tc>
          <w:tcPr>
            <w:tcW w:w="2548" w:type="pct"/>
            <w:shd w:val="clear" w:color="auto" w:fill="CFF0FC"/>
            <w:tcMar>
              <w:top w:w="15" w:type="dxa"/>
              <w:left w:w="0" w:type="dxa"/>
              <w:bottom w:w="0" w:type="dxa"/>
              <w:right w:w="15" w:type="dxa"/>
            </w:tcMar>
            <w:vAlign w:val="bottom"/>
            <w:hideMark/>
          </w:tcPr>
          <w:p w14:paraId="5D9F710D" w14:textId="77777777" w:rsidR="00000000" w:rsidRDefault="00B8284C">
            <w:pPr>
              <w:pStyle w:val="a3"/>
              <w:spacing w:before="0" w:beforeAutospacing="0" w:after="0" w:afterAutospacing="0"/>
              <w:rPr>
                <w:color w:val="000000"/>
                <w:sz w:val="20"/>
                <w:szCs w:val="20"/>
              </w:rPr>
            </w:pPr>
            <w:r>
              <w:rPr>
                <w:color w:val="000000"/>
                <w:sz w:val="20"/>
                <w:szCs w:val="20"/>
              </w:rPr>
              <w:t>Weighted average common shares used in computing basic</w:t>
            </w:r>
          </w:p>
          <w:p w14:paraId="48C0DB6F" w14:textId="77777777" w:rsidR="00000000" w:rsidRDefault="00B8284C">
            <w:pPr>
              <w:pStyle w:val="a3"/>
              <w:spacing w:before="0" w:beforeAutospacing="0" w:after="0" w:afterAutospacing="0"/>
              <w:rPr>
                <w:color w:val="000000"/>
                <w:sz w:val="20"/>
                <w:szCs w:val="20"/>
              </w:rPr>
            </w:pPr>
            <w:r>
              <w:rPr>
                <w:color w:val="000000"/>
                <w:sz w:val="20"/>
                <w:szCs w:val="20"/>
              </w:rPr>
              <w:t>   and diluted net loss per share:</w:t>
            </w:r>
          </w:p>
        </w:tc>
        <w:tc>
          <w:tcPr>
            <w:tcW w:w="50" w:type="pct"/>
            <w:shd w:val="clear" w:color="auto" w:fill="CFF0FC"/>
            <w:noWrap/>
            <w:tcMar>
              <w:top w:w="15" w:type="dxa"/>
              <w:left w:w="0" w:type="dxa"/>
              <w:bottom w:w="0" w:type="dxa"/>
              <w:right w:w="15" w:type="dxa"/>
            </w:tcMar>
            <w:vAlign w:val="bottom"/>
            <w:hideMark/>
          </w:tcPr>
          <w:p w14:paraId="29AF17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3D2F0634" w14:textId="77777777" w:rsidR="00000000" w:rsidRDefault="00B8284C">
            <w:pPr>
              <w:pStyle w:val="a3"/>
              <w:spacing w:before="0" w:beforeAutospacing="0" w:after="0" w:afterAutospacing="0"/>
              <w:jc w:val="right"/>
              <w:rPr>
                <w:color w:val="000000"/>
                <w:sz w:val="20"/>
                <w:szCs w:val="20"/>
              </w:rPr>
            </w:pPr>
            <w:r>
              <w:rPr>
                <w:color w:val="000000"/>
                <w:sz w:val="20"/>
                <w:szCs w:val="20"/>
              </w:rPr>
              <w:t>42,531</w:t>
            </w:r>
          </w:p>
        </w:tc>
        <w:tc>
          <w:tcPr>
            <w:tcW w:w="50" w:type="pct"/>
            <w:shd w:val="clear" w:color="auto" w:fill="CFF0FC"/>
            <w:noWrap/>
            <w:tcMar>
              <w:top w:w="15" w:type="dxa"/>
              <w:left w:w="0" w:type="dxa"/>
              <w:bottom w:w="0" w:type="dxa"/>
              <w:right w:w="15" w:type="dxa"/>
            </w:tcMar>
            <w:vAlign w:val="bottom"/>
            <w:hideMark/>
          </w:tcPr>
          <w:p w14:paraId="500DD07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D03E57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87A7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44440B2B" w14:textId="77777777" w:rsidR="00000000" w:rsidRDefault="00B8284C">
            <w:pPr>
              <w:pStyle w:val="a3"/>
              <w:spacing w:before="0" w:beforeAutospacing="0" w:after="0" w:afterAutospacing="0"/>
              <w:jc w:val="right"/>
              <w:rPr>
                <w:color w:val="000000"/>
                <w:sz w:val="20"/>
                <w:szCs w:val="20"/>
              </w:rPr>
            </w:pPr>
            <w:r>
              <w:rPr>
                <w:color w:val="000000"/>
                <w:sz w:val="20"/>
                <w:szCs w:val="20"/>
              </w:rPr>
              <w:t>38,762</w:t>
            </w:r>
          </w:p>
        </w:tc>
        <w:tc>
          <w:tcPr>
            <w:tcW w:w="50" w:type="pct"/>
            <w:shd w:val="clear" w:color="auto" w:fill="CFF0FC"/>
            <w:noWrap/>
            <w:tcMar>
              <w:top w:w="15" w:type="dxa"/>
              <w:left w:w="0" w:type="dxa"/>
              <w:bottom w:w="0" w:type="dxa"/>
              <w:right w:w="15" w:type="dxa"/>
            </w:tcMar>
            <w:vAlign w:val="bottom"/>
            <w:hideMark/>
          </w:tcPr>
          <w:p w14:paraId="016D59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B0788E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B1D07E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33C3F385" w14:textId="77777777" w:rsidR="00000000" w:rsidRDefault="00B8284C">
            <w:pPr>
              <w:pStyle w:val="a3"/>
              <w:spacing w:before="0" w:beforeAutospacing="0" w:after="0" w:afterAutospacing="0"/>
              <w:jc w:val="right"/>
              <w:rPr>
                <w:color w:val="000000"/>
                <w:sz w:val="20"/>
                <w:szCs w:val="20"/>
              </w:rPr>
            </w:pPr>
            <w:r>
              <w:rPr>
                <w:color w:val="000000"/>
                <w:sz w:val="20"/>
                <w:szCs w:val="20"/>
              </w:rPr>
              <w:t>41,749</w:t>
            </w:r>
          </w:p>
        </w:tc>
        <w:tc>
          <w:tcPr>
            <w:tcW w:w="50" w:type="pct"/>
            <w:shd w:val="clear" w:color="auto" w:fill="CFF0FC"/>
            <w:noWrap/>
            <w:tcMar>
              <w:top w:w="15" w:type="dxa"/>
              <w:left w:w="0" w:type="dxa"/>
              <w:bottom w:w="0" w:type="dxa"/>
              <w:right w:w="15" w:type="dxa"/>
            </w:tcMar>
            <w:vAlign w:val="bottom"/>
            <w:hideMark/>
          </w:tcPr>
          <w:p w14:paraId="7F61F24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B9994F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F5BB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57250943" w14:textId="77777777" w:rsidR="00000000" w:rsidRDefault="00B8284C">
            <w:pPr>
              <w:pStyle w:val="a3"/>
              <w:spacing w:before="0" w:beforeAutospacing="0" w:after="0" w:afterAutospacing="0"/>
              <w:jc w:val="right"/>
              <w:rPr>
                <w:color w:val="000000"/>
                <w:sz w:val="20"/>
                <w:szCs w:val="20"/>
              </w:rPr>
            </w:pPr>
            <w:r>
              <w:rPr>
                <w:color w:val="000000"/>
                <w:sz w:val="20"/>
                <w:szCs w:val="20"/>
              </w:rPr>
              <w:t>38,319</w:t>
            </w:r>
          </w:p>
        </w:tc>
        <w:tc>
          <w:tcPr>
            <w:tcW w:w="50" w:type="pct"/>
            <w:shd w:val="clear" w:color="auto" w:fill="CFF0FC"/>
            <w:noWrap/>
            <w:tcMar>
              <w:top w:w="15" w:type="dxa"/>
              <w:left w:w="0" w:type="dxa"/>
              <w:bottom w:w="0" w:type="dxa"/>
              <w:right w:w="15" w:type="dxa"/>
            </w:tcMar>
            <w:vAlign w:val="bottom"/>
            <w:hideMark/>
          </w:tcPr>
          <w:p w14:paraId="42E12B21"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667D9925" w14:textId="77777777" w:rsidR="00000000" w:rsidRDefault="00B8284C">
      <w:pPr>
        <w:pStyle w:val="a3"/>
        <w:spacing w:before="0" w:beforeAutospacing="0" w:after="0" w:afterAutospacing="0"/>
        <w:rPr>
          <w:sz w:val="20"/>
          <w:szCs w:val="20"/>
        </w:rPr>
      </w:pPr>
      <w:r>
        <w:rPr>
          <w:sz w:val="20"/>
          <w:szCs w:val="20"/>
        </w:rPr>
        <w:t> </w:t>
      </w:r>
    </w:p>
    <w:p w14:paraId="7B691EC4" w14:textId="77777777" w:rsidR="00000000" w:rsidRDefault="00B8284C">
      <w:pPr>
        <w:pStyle w:val="a3"/>
        <w:spacing w:before="40" w:beforeAutospacing="0" w:after="0" w:afterAutospacing="0"/>
        <w:rPr>
          <w:sz w:val="20"/>
          <w:szCs w:val="20"/>
        </w:rPr>
      </w:pPr>
      <w:r>
        <w:rPr>
          <w:sz w:val="20"/>
          <w:szCs w:val="20"/>
        </w:rPr>
        <w:t>The accompanying notes are an integral part of the consolidated financial statements.</w:t>
      </w:r>
    </w:p>
    <w:p w14:paraId="0ACE4EDA" w14:textId="77777777" w:rsidR="00000000" w:rsidRDefault="00B8284C">
      <w:pPr>
        <w:pStyle w:val="a3"/>
        <w:spacing w:before="240" w:beforeAutospacing="0" w:after="0" w:afterAutospacing="0"/>
        <w:jc w:val="center"/>
        <w:rPr>
          <w:sz w:val="20"/>
          <w:szCs w:val="20"/>
        </w:rPr>
      </w:pPr>
      <w:r>
        <w:rPr>
          <w:sz w:val="20"/>
          <w:szCs w:val="20"/>
        </w:rPr>
        <w:t>5</w:t>
      </w:r>
    </w:p>
    <w:p w14:paraId="27B3A83C" w14:textId="77777777" w:rsidR="00000000" w:rsidRDefault="00B8284C">
      <w:pPr>
        <w:rPr>
          <w:rFonts w:eastAsia="Times New Roman"/>
        </w:rPr>
      </w:pPr>
      <w:r>
        <w:rPr>
          <w:rFonts w:eastAsia="Times New Roman"/>
        </w:rPr>
        <w:pict w14:anchorId="204E3851">
          <v:rect id="_x0000_i1029" style="width:0;height:1.5pt" o:hralign="center" o:hrstd="t" o:hr="t" fillcolor="#a0a0a0" stroked="f"/>
        </w:pict>
      </w:r>
    </w:p>
    <w:p w14:paraId="3249D1A0" w14:textId="77777777" w:rsidR="00000000" w:rsidRDefault="00B8284C">
      <w:pPr>
        <w:pStyle w:val="a3"/>
        <w:spacing w:before="0" w:beforeAutospacing="0" w:after="0" w:afterAutospacing="0"/>
        <w:rPr>
          <w:sz w:val="20"/>
          <w:szCs w:val="20"/>
        </w:rPr>
      </w:pPr>
      <w:r>
        <w:rPr>
          <w:sz w:val="20"/>
          <w:szCs w:val="20"/>
        </w:rPr>
        <w:t> </w:t>
      </w:r>
    </w:p>
    <w:p w14:paraId="54FBBA12" w14:textId="77777777" w:rsidR="00000000" w:rsidRDefault="00B8284C">
      <w:pPr>
        <w:pStyle w:val="a3"/>
        <w:spacing w:before="0" w:beforeAutospacing="0" w:after="0" w:afterAutospacing="0"/>
        <w:jc w:val="center"/>
        <w:rPr>
          <w:b/>
          <w:bCs/>
          <w:sz w:val="20"/>
          <w:szCs w:val="20"/>
        </w:rPr>
      </w:pPr>
      <w:r>
        <w:rPr>
          <w:b/>
          <w:bCs/>
          <w:sz w:val="20"/>
          <w:szCs w:val="20"/>
        </w:rPr>
        <w:t>HubSpot, Inc.</w:t>
      </w:r>
    </w:p>
    <w:p w14:paraId="581E214D" w14:textId="77777777" w:rsidR="00000000" w:rsidRDefault="00B8284C">
      <w:pPr>
        <w:pStyle w:val="a3"/>
        <w:spacing w:before="0" w:beforeAutospacing="0" w:after="0" w:afterAutospacing="0"/>
        <w:jc w:val="center"/>
        <w:rPr>
          <w:b/>
          <w:bCs/>
          <w:sz w:val="20"/>
          <w:szCs w:val="20"/>
        </w:rPr>
      </w:pPr>
      <w:r>
        <w:rPr>
          <w:b/>
          <w:bCs/>
          <w:sz w:val="20"/>
          <w:szCs w:val="20"/>
        </w:rPr>
        <w:t>Unaudited Consolidated Statements of Comprehensive Loss</w:t>
      </w:r>
    </w:p>
    <w:p w14:paraId="16F05BDF" w14:textId="77777777" w:rsidR="00000000" w:rsidRDefault="00B8284C">
      <w:pPr>
        <w:pStyle w:val="a3"/>
        <w:spacing w:before="0" w:beforeAutospacing="0" w:after="0" w:afterAutospacing="0"/>
        <w:jc w:val="center"/>
        <w:rPr>
          <w:b/>
          <w:bCs/>
          <w:sz w:val="20"/>
          <w:szCs w:val="20"/>
        </w:rPr>
      </w:pPr>
      <w:r>
        <w:rPr>
          <w:b/>
          <w:bCs/>
          <w:sz w:val="20"/>
          <w:szCs w:val="20"/>
        </w:rPr>
        <w:t>(in thousands)</w:t>
      </w:r>
    </w:p>
    <w:p w14:paraId="1E0125C6"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23"/>
        <w:gridCol w:w="115"/>
        <w:gridCol w:w="762"/>
        <w:gridCol w:w="82"/>
        <w:gridCol w:w="79"/>
        <w:gridCol w:w="115"/>
        <w:gridCol w:w="764"/>
        <w:gridCol w:w="82"/>
        <w:gridCol w:w="81"/>
        <w:gridCol w:w="115"/>
        <w:gridCol w:w="763"/>
        <w:gridCol w:w="82"/>
        <w:gridCol w:w="81"/>
        <w:gridCol w:w="115"/>
        <w:gridCol w:w="765"/>
        <w:gridCol w:w="82"/>
      </w:tblGrid>
      <w:tr w:rsidR="00000000" w14:paraId="3D43E895" w14:textId="77777777">
        <w:trPr>
          <w:divId w:val="606935668"/>
        </w:trPr>
        <w:tc>
          <w:tcPr>
            <w:tcW w:w="2548" w:type="pct"/>
            <w:shd w:val="clear" w:color="auto" w:fill="FFFFFF"/>
            <w:tcMar>
              <w:top w:w="15" w:type="dxa"/>
              <w:left w:w="0" w:type="dxa"/>
              <w:bottom w:w="0" w:type="dxa"/>
              <w:right w:w="15" w:type="dxa"/>
            </w:tcMar>
            <w:vAlign w:val="bottom"/>
            <w:hideMark/>
          </w:tcPr>
          <w:p w14:paraId="2D12D367" w14:textId="77777777" w:rsidR="00000000" w:rsidRDefault="00B8284C">
            <w:pPr>
              <w:pStyle w:val="a3"/>
              <w:spacing w:before="0" w:beforeAutospacing="0" w:after="0" w:afterAutospacing="0"/>
              <w:rPr>
                <w:sz w:val="20"/>
                <w:szCs w:val="20"/>
              </w:rPr>
            </w:pPr>
            <w:r>
              <w:rPr>
                <w:sz w:val="20"/>
                <w:szCs w:val="20"/>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14:paraId="4644F24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For the Three Months Ended September 30,</w:t>
            </w:r>
          </w:p>
        </w:tc>
        <w:tc>
          <w:tcPr>
            <w:tcW w:w="50" w:type="pct"/>
            <w:shd w:val="clear" w:color="auto" w:fill="FFFFFF"/>
            <w:noWrap/>
            <w:tcMar>
              <w:top w:w="15" w:type="dxa"/>
              <w:left w:w="0" w:type="dxa"/>
              <w:bottom w:w="0" w:type="dxa"/>
              <w:right w:w="15" w:type="dxa"/>
            </w:tcMar>
            <w:vAlign w:val="bottom"/>
            <w:hideMark/>
          </w:tcPr>
          <w:p w14:paraId="5E0F822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40115B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14:paraId="08ABF25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For the Nine Months Ended September 30,</w:t>
            </w:r>
          </w:p>
        </w:tc>
        <w:tc>
          <w:tcPr>
            <w:tcW w:w="50" w:type="pct"/>
            <w:shd w:val="clear" w:color="auto" w:fill="FFFFFF"/>
            <w:noWrap/>
            <w:tcMar>
              <w:top w:w="15" w:type="dxa"/>
              <w:left w:w="0" w:type="dxa"/>
              <w:bottom w:w="0" w:type="dxa"/>
              <w:right w:w="15" w:type="dxa"/>
            </w:tcMar>
            <w:vAlign w:val="bottom"/>
            <w:hideMark/>
          </w:tcPr>
          <w:p w14:paraId="477DB98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942F599" w14:textId="77777777">
        <w:trPr>
          <w:divId w:val="606935668"/>
        </w:trPr>
        <w:tc>
          <w:tcPr>
            <w:tcW w:w="2548" w:type="pct"/>
            <w:shd w:val="clear" w:color="auto" w:fill="FFFFFF"/>
            <w:tcMar>
              <w:top w:w="15" w:type="dxa"/>
              <w:left w:w="0" w:type="dxa"/>
              <w:bottom w:w="0" w:type="dxa"/>
              <w:right w:w="15" w:type="dxa"/>
            </w:tcMar>
            <w:vAlign w:val="bottom"/>
            <w:hideMark/>
          </w:tcPr>
          <w:p w14:paraId="713E62DC"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1637DB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0DBCA8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6AF6459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D9546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088C30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9AE867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769291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85966F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8CFD9E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E6B03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503AE4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3B58866" w14:textId="77777777">
        <w:trPr>
          <w:divId w:val="606935668"/>
        </w:trPr>
        <w:tc>
          <w:tcPr>
            <w:tcW w:w="2548" w:type="pct"/>
            <w:shd w:val="clear" w:color="auto" w:fill="CFF0FC"/>
            <w:tcMar>
              <w:top w:w="15" w:type="dxa"/>
              <w:left w:w="0" w:type="dxa"/>
              <w:bottom w:w="0" w:type="dxa"/>
              <w:right w:w="15" w:type="dxa"/>
            </w:tcMar>
            <w:vAlign w:val="bottom"/>
            <w:hideMark/>
          </w:tcPr>
          <w:p w14:paraId="78D4D3CF" w14:textId="77777777" w:rsidR="00000000" w:rsidRDefault="00B8284C">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CE954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6B408533" w14:textId="77777777" w:rsidR="00000000" w:rsidRDefault="00B8284C">
            <w:pPr>
              <w:pStyle w:val="a3"/>
              <w:spacing w:before="0" w:beforeAutospacing="0" w:after="0" w:afterAutospacing="0"/>
              <w:jc w:val="right"/>
              <w:rPr>
                <w:color w:val="000000"/>
                <w:sz w:val="20"/>
                <w:szCs w:val="20"/>
              </w:rPr>
            </w:pPr>
            <w:r>
              <w:rPr>
                <w:color w:val="000000"/>
                <w:sz w:val="20"/>
                <w:szCs w:val="20"/>
              </w:rPr>
              <w:t>(14,987</w:t>
            </w:r>
          </w:p>
        </w:tc>
        <w:tc>
          <w:tcPr>
            <w:tcW w:w="50" w:type="pct"/>
            <w:shd w:val="clear" w:color="auto" w:fill="CFF0FC"/>
            <w:noWrap/>
            <w:tcMar>
              <w:top w:w="15" w:type="dxa"/>
              <w:left w:w="0" w:type="dxa"/>
              <w:bottom w:w="0" w:type="dxa"/>
              <w:right w:w="15" w:type="dxa"/>
            </w:tcMar>
            <w:vAlign w:val="bottom"/>
            <w:hideMark/>
          </w:tcPr>
          <w:p w14:paraId="2542E44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23C16E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46EAE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09AEF4CB" w14:textId="77777777" w:rsidR="00000000" w:rsidRDefault="00B8284C">
            <w:pPr>
              <w:pStyle w:val="a3"/>
              <w:spacing w:before="0" w:beforeAutospacing="0" w:after="0" w:afterAutospacing="0"/>
              <w:jc w:val="right"/>
              <w:rPr>
                <w:color w:val="000000"/>
                <w:sz w:val="20"/>
                <w:szCs w:val="20"/>
              </w:rPr>
            </w:pPr>
            <w:r>
              <w:rPr>
                <w:color w:val="000000"/>
                <w:sz w:val="20"/>
                <w:szCs w:val="20"/>
              </w:rPr>
              <w:t>(18,663</w:t>
            </w:r>
          </w:p>
        </w:tc>
        <w:tc>
          <w:tcPr>
            <w:tcW w:w="50" w:type="pct"/>
            <w:shd w:val="clear" w:color="auto" w:fill="CFF0FC"/>
            <w:noWrap/>
            <w:tcMar>
              <w:top w:w="15" w:type="dxa"/>
              <w:left w:w="0" w:type="dxa"/>
              <w:bottom w:w="0" w:type="dxa"/>
              <w:right w:w="15" w:type="dxa"/>
            </w:tcMar>
            <w:vAlign w:val="bottom"/>
            <w:hideMark/>
          </w:tcPr>
          <w:p w14:paraId="17F1C4C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11790A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15995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07A827FA" w14:textId="77777777" w:rsidR="00000000" w:rsidRDefault="00B8284C">
            <w:pPr>
              <w:pStyle w:val="a3"/>
              <w:spacing w:before="0" w:beforeAutospacing="0" w:after="0" w:afterAutospacing="0"/>
              <w:jc w:val="right"/>
              <w:rPr>
                <w:color w:val="000000"/>
                <w:sz w:val="20"/>
                <w:szCs w:val="20"/>
              </w:rPr>
            </w:pPr>
            <w:r>
              <w:rPr>
                <w:color w:val="000000"/>
                <w:sz w:val="20"/>
                <w:szCs w:val="20"/>
              </w:rPr>
              <w:t>(43,444</w:t>
            </w:r>
          </w:p>
        </w:tc>
        <w:tc>
          <w:tcPr>
            <w:tcW w:w="50" w:type="pct"/>
            <w:shd w:val="clear" w:color="auto" w:fill="CFF0FC"/>
            <w:noWrap/>
            <w:tcMar>
              <w:top w:w="15" w:type="dxa"/>
              <w:left w:w="0" w:type="dxa"/>
              <w:bottom w:w="0" w:type="dxa"/>
              <w:right w:w="15" w:type="dxa"/>
            </w:tcMar>
            <w:vAlign w:val="bottom"/>
            <w:hideMark/>
          </w:tcPr>
          <w:p w14:paraId="59124A0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DAFE9A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A495F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551947AB" w14:textId="77777777" w:rsidR="00000000" w:rsidRDefault="00B8284C">
            <w:pPr>
              <w:pStyle w:val="a3"/>
              <w:spacing w:before="0" w:beforeAutospacing="0" w:after="0" w:afterAutospacing="0"/>
              <w:jc w:val="right"/>
              <w:rPr>
                <w:color w:val="000000"/>
                <w:sz w:val="20"/>
                <w:szCs w:val="20"/>
              </w:rPr>
            </w:pPr>
            <w:r>
              <w:rPr>
                <w:color w:val="000000"/>
                <w:sz w:val="20"/>
                <w:szCs w:val="20"/>
              </w:rPr>
              <w:t>(52,336</w:t>
            </w:r>
          </w:p>
        </w:tc>
        <w:tc>
          <w:tcPr>
            <w:tcW w:w="50" w:type="pct"/>
            <w:shd w:val="clear" w:color="auto" w:fill="CFF0FC"/>
            <w:noWrap/>
            <w:tcMar>
              <w:top w:w="15" w:type="dxa"/>
              <w:left w:w="0" w:type="dxa"/>
              <w:bottom w:w="0" w:type="dxa"/>
              <w:right w:w="15" w:type="dxa"/>
            </w:tcMar>
            <w:vAlign w:val="bottom"/>
            <w:hideMark/>
          </w:tcPr>
          <w:p w14:paraId="45DF5465"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27380F95" w14:textId="77777777">
        <w:trPr>
          <w:divId w:val="606935668"/>
        </w:trPr>
        <w:tc>
          <w:tcPr>
            <w:tcW w:w="2548" w:type="pct"/>
            <w:shd w:val="clear" w:color="auto" w:fill="FFFFFF"/>
            <w:tcMar>
              <w:top w:w="15" w:type="dxa"/>
              <w:left w:w="0" w:type="dxa"/>
              <w:bottom w:w="0" w:type="dxa"/>
              <w:right w:w="15" w:type="dxa"/>
            </w:tcMar>
            <w:vAlign w:val="bottom"/>
            <w:hideMark/>
          </w:tcPr>
          <w:p w14:paraId="063E8581" w14:textId="77777777" w:rsidR="00000000" w:rsidRDefault="00B8284C">
            <w:pPr>
              <w:pStyle w:val="a3"/>
              <w:spacing w:before="0" w:beforeAutospacing="0" w:after="0" w:afterAutospacing="0"/>
              <w:rPr>
                <w:color w:val="000000"/>
                <w:sz w:val="20"/>
                <w:szCs w:val="20"/>
              </w:rPr>
            </w:pPr>
            <w:r>
              <w:rPr>
                <w:color w:val="000000"/>
                <w:sz w:val="20"/>
                <w:szCs w:val="20"/>
              </w:rPr>
              <w:t>Other comprehensive loss:</w:t>
            </w:r>
          </w:p>
        </w:tc>
        <w:tc>
          <w:tcPr>
            <w:tcW w:w="50" w:type="pct"/>
            <w:shd w:val="clear" w:color="auto" w:fill="FFFFFF"/>
            <w:noWrap/>
            <w:tcMar>
              <w:top w:w="15" w:type="dxa"/>
              <w:left w:w="0" w:type="dxa"/>
              <w:bottom w:w="0" w:type="dxa"/>
              <w:right w:w="15" w:type="dxa"/>
            </w:tcMar>
            <w:vAlign w:val="bottom"/>
            <w:hideMark/>
          </w:tcPr>
          <w:p w14:paraId="27944E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7F87E38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314B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D2944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25E5B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1FEB9D7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059A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B0DB50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E59C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6EA8995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0EB69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0802D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6435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5F5B294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4B1A2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B2081B1" w14:textId="77777777">
        <w:trPr>
          <w:divId w:val="606935668"/>
        </w:trPr>
        <w:tc>
          <w:tcPr>
            <w:tcW w:w="2548" w:type="pct"/>
            <w:shd w:val="clear" w:color="auto" w:fill="CFF0FC"/>
            <w:tcMar>
              <w:top w:w="15" w:type="dxa"/>
              <w:left w:w="0" w:type="dxa"/>
              <w:bottom w:w="0" w:type="dxa"/>
              <w:right w:w="15" w:type="dxa"/>
            </w:tcMar>
            <w:vAlign w:val="bottom"/>
            <w:hideMark/>
          </w:tcPr>
          <w:p w14:paraId="2CBA9BCD" w14:textId="77777777" w:rsidR="00000000" w:rsidRDefault="00B8284C">
            <w:pPr>
              <w:pStyle w:val="a3"/>
              <w:spacing w:before="0" w:beforeAutospacing="0" w:after="0" w:afterAutospacing="0"/>
              <w:ind w:left="274"/>
              <w:rPr>
                <w:color w:val="000000"/>
                <w:sz w:val="20"/>
                <w:szCs w:val="20"/>
              </w:rPr>
            </w:pPr>
            <w:r>
              <w:rPr>
                <w:color w:val="000000"/>
                <w:sz w:val="20"/>
                <w:szCs w:val="20"/>
              </w:rPr>
              <w:lastRenderedPageBreak/>
              <w:t>Foreign currency translation adjustment</w:t>
            </w:r>
          </w:p>
        </w:tc>
        <w:tc>
          <w:tcPr>
            <w:tcW w:w="50" w:type="pct"/>
            <w:shd w:val="clear" w:color="auto" w:fill="CFF0FC"/>
            <w:noWrap/>
            <w:tcMar>
              <w:top w:w="15" w:type="dxa"/>
              <w:left w:w="0" w:type="dxa"/>
              <w:bottom w:w="0" w:type="dxa"/>
              <w:right w:w="15" w:type="dxa"/>
            </w:tcMar>
            <w:vAlign w:val="bottom"/>
            <w:hideMark/>
          </w:tcPr>
          <w:p w14:paraId="0DF7C4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75417D22" w14:textId="77777777" w:rsidR="00000000" w:rsidRDefault="00B8284C">
            <w:pPr>
              <w:pStyle w:val="a3"/>
              <w:spacing w:before="0" w:beforeAutospacing="0" w:after="0" w:afterAutospacing="0"/>
              <w:jc w:val="right"/>
              <w:rPr>
                <w:color w:val="000000"/>
                <w:sz w:val="20"/>
                <w:szCs w:val="20"/>
              </w:rPr>
            </w:pPr>
            <w:r>
              <w:rPr>
                <w:color w:val="000000"/>
                <w:sz w:val="20"/>
                <w:szCs w:val="20"/>
              </w:rPr>
              <w:t>(947</w:t>
            </w:r>
          </w:p>
        </w:tc>
        <w:tc>
          <w:tcPr>
            <w:tcW w:w="50" w:type="pct"/>
            <w:shd w:val="clear" w:color="auto" w:fill="CFF0FC"/>
            <w:noWrap/>
            <w:tcMar>
              <w:top w:w="15" w:type="dxa"/>
              <w:left w:w="0" w:type="dxa"/>
              <w:bottom w:w="0" w:type="dxa"/>
              <w:right w:w="15" w:type="dxa"/>
            </w:tcMar>
            <w:vAlign w:val="bottom"/>
            <w:hideMark/>
          </w:tcPr>
          <w:p w14:paraId="6C6A827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D1B74C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5BF2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2F5FBF92" w14:textId="77777777" w:rsidR="00000000" w:rsidRDefault="00B8284C">
            <w:pPr>
              <w:pStyle w:val="a3"/>
              <w:spacing w:before="0" w:beforeAutospacing="0" w:after="0" w:afterAutospacing="0"/>
              <w:jc w:val="right"/>
              <w:rPr>
                <w:color w:val="000000"/>
                <w:sz w:val="20"/>
                <w:szCs w:val="20"/>
              </w:rPr>
            </w:pPr>
            <w:r>
              <w:rPr>
                <w:color w:val="000000"/>
                <w:sz w:val="20"/>
                <w:szCs w:val="20"/>
              </w:rPr>
              <w:t>(127</w:t>
            </w:r>
          </w:p>
        </w:tc>
        <w:tc>
          <w:tcPr>
            <w:tcW w:w="50" w:type="pct"/>
            <w:shd w:val="clear" w:color="auto" w:fill="CFF0FC"/>
            <w:noWrap/>
            <w:tcMar>
              <w:top w:w="15" w:type="dxa"/>
              <w:left w:w="0" w:type="dxa"/>
              <w:bottom w:w="0" w:type="dxa"/>
              <w:right w:w="15" w:type="dxa"/>
            </w:tcMar>
            <w:vAlign w:val="bottom"/>
            <w:hideMark/>
          </w:tcPr>
          <w:p w14:paraId="0745082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E5677E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432B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69DEBE44" w14:textId="77777777" w:rsidR="00000000" w:rsidRDefault="00B8284C">
            <w:pPr>
              <w:pStyle w:val="a3"/>
              <w:spacing w:before="0" w:beforeAutospacing="0" w:after="0" w:afterAutospacing="0"/>
              <w:jc w:val="right"/>
              <w:rPr>
                <w:color w:val="000000"/>
                <w:sz w:val="20"/>
                <w:szCs w:val="20"/>
              </w:rPr>
            </w:pPr>
            <w:r>
              <w:rPr>
                <w:color w:val="000000"/>
                <w:sz w:val="20"/>
                <w:szCs w:val="20"/>
              </w:rPr>
              <w:t>(997</w:t>
            </w:r>
          </w:p>
        </w:tc>
        <w:tc>
          <w:tcPr>
            <w:tcW w:w="50" w:type="pct"/>
            <w:shd w:val="clear" w:color="auto" w:fill="CFF0FC"/>
            <w:noWrap/>
            <w:tcMar>
              <w:top w:w="15" w:type="dxa"/>
              <w:left w:w="0" w:type="dxa"/>
              <w:bottom w:w="0" w:type="dxa"/>
              <w:right w:w="15" w:type="dxa"/>
            </w:tcMar>
            <w:vAlign w:val="bottom"/>
            <w:hideMark/>
          </w:tcPr>
          <w:p w14:paraId="2136214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4A6795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8966A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3F330388" w14:textId="77777777" w:rsidR="00000000" w:rsidRDefault="00B8284C">
            <w:pPr>
              <w:pStyle w:val="a3"/>
              <w:spacing w:before="0" w:beforeAutospacing="0" w:after="0" w:afterAutospacing="0"/>
              <w:jc w:val="right"/>
              <w:rPr>
                <w:color w:val="000000"/>
                <w:sz w:val="20"/>
                <w:szCs w:val="20"/>
              </w:rPr>
            </w:pPr>
            <w:r>
              <w:rPr>
                <w:color w:val="000000"/>
                <w:sz w:val="20"/>
                <w:szCs w:val="20"/>
              </w:rPr>
              <w:t>(548</w:t>
            </w:r>
          </w:p>
        </w:tc>
        <w:tc>
          <w:tcPr>
            <w:tcW w:w="50" w:type="pct"/>
            <w:shd w:val="clear" w:color="auto" w:fill="CFF0FC"/>
            <w:noWrap/>
            <w:tcMar>
              <w:top w:w="15" w:type="dxa"/>
              <w:left w:w="0" w:type="dxa"/>
              <w:bottom w:w="0" w:type="dxa"/>
              <w:right w:w="15" w:type="dxa"/>
            </w:tcMar>
            <w:vAlign w:val="bottom"/>
            <w:hideMark/>
          </w:tcPr>
          <w:p w14:paraId="231B588B"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79A3C069" w14:textId="77777777">
        <w:trPr>
          <w:divId w:val="606935668"/>
        </w:trPr>
        <w:tc>
          <w:tcPr>
            <w:tcW w:w="2548" w:type="pct"/>
            <w:shd w:val="clear" w:color="auto" w:fill="FFFFFF"/>
            <w:tcMar>
              <w:top w:w="15" w:type="dxa"/>
              <w:left w:w="0" w:type="dxa"/>
              <w:bottom w:w="0" w:type="dxa"/>
              <w:right w:w="15" w:type="dxa"/>
            </w:tcMar>
            <w:vAlign w:val="bottom"/>
            <w:hideMark/>
          </w:tcPr>
          <w:p w14:paraId="591C6227" w14:textId="77777777" w:rsidR="00000000" w:rsidRDefault="00B8284C">
            <w:pPr>
              <w:pStyle w:val="a3"/>
              <w:spacing w:before="0" w:beforeAutospacing="0" w:after="0" w:afterAutospacing="0"/>
              <w:ind w:left="274"/>
              <w:rPr>
                <w:color w:val="000000"/>
                <w:sz w:val="20"/>
                <w:szCs w:val="20"/>
              </w:rPr>
            </w:pPr>
            <w:r>
              <w:rPr>
                <w:color w:val="000000"/>
                <w:sz w:val="20"/>
                <w:szCs w:val="20"/>
              </w:rPr>
              <w:t>Changes in unrealized gain (loss) on investments, net of income</w:t>
            </w:r>
          </w:p>
          <w:p w14:paraId="30EE5FF0" w14:textId="77777777" w:rsidR="00000000" w:rsidRDefault="00B8284C">
            <w:pPr>
              <w:pStyle w:val="a3"/>
              <w:spacing w:before="0" w:beforeAutospacing="0" w:after="0" w:afterAutospacing="0"/>
              <w:ind w:left="274"/>
              <w:rPr>
                <w:color w:val="000000"/>
                <w:sz w:val="20"/>
                <w:szCs w:val="20"/>
              </w:rPr>
            </w:pPr>
            <w:r>
              <w:rPr>
                <w:color w:val="000000"/>
                <w:sz w:val="20"/>
                <w:szCs w:val="20"/>
              </w:rPr>
              <w:t xml:space="preserve">   taxes of $(12) thousand and $257 thousand for the three and </w:t>
            </w:r>
            <w:r>
              <w:rPr>
                <w:color w:val="000000"/>
                <w:sz w:val="20"/>
                <w:szCs w:val="20"/>
              </w:rPr>
              <w:br/>
              <w:t xml:space="preserve">   nine months ended September 30, 2019, respectively, and $0 </w:t>
            </w:r>
            <w:r>
              <w:rPr>
                <w:color w:val="000000"/>
                <w:sz w:val="20"/>
                <w:szCs w:val="20"/>
              </w:rPr>
              <w:br/>
              <w:t>   for the three and nine months ended September 30, 2018.</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E357F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03B3BB5D" w14:textId="77777777" w:rsidR="00000000" w:rsidRDefault="00B8284C">
            <w:pPr>
              <w:pStyle w:val="a3"/>
              <w:spacing w:before="0" w:beforeAutospacing="0" w:after="0" w:afterAutospacing="0"/>
              <w:jc w:val="right"/>
              <w:rPr>
                <w:color w:val="000000"/>
                <w:sz w:val="20"/>
                <w:szCs w:val="20"/>
              </w:rPr>
            </w:pPr>
            <w:r>
              <w:rPr>
                <w:color w:val="000000"/>
                <w:sz w:val="20"/>
                <w:szCs w:val="20"/>
              </w:rPr>
              <w:t>(203</w:t>
            </w:r>
          </w:p>
        </w:tc>
        <w:tc>
          <w:tcPr>
            <w:tcW w:w="50" w:type="pct"/>
            <w:shd w:val="clear" w:color="auto" w:fill="FFFFFF"/>
            <w:noWrap/>
            <w:tcMar>
              <w:top w:w="15" w:type="dxa"/>
              <w:left w:w="0" w:type="dxa"/>
              <w:bottom w:w="0" w:type="dxa"/>
              <w:right w:w="15" w:type="dxa"/>
            </w:tcMar>
            <w:vAlign w:val="bottom"/>
            <w:hideMark/>
          </w:tcPr>
          <w:p w14:paraId="21279D9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7D4F27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F674F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0973BD88" w14:textId="77777777" w:rsidR="00000000" w:rsidRDefault="00B8284C">
            <w:pPr>
              <w:pStyle w:val="a3"/>
              <w:spacing w:before="0" w:beforeAutospacing="0" w:after="0" w:afterAutospacing="0"/>
              <w:jc w:val="right"/>
              <w:rPr>
                <w:color w:val="000000"/>
                <w:sz w:val="20"/>
                <w:szCs w:val="20"/>
              </w:rPr>
            </w:pPr>
            <w:r>
              <w:rPr>
                <w:color w:val="000000"/>
                <w:sz w:val="20"/>
                <w:szCs w:val="20"/>
              </w:rPr>
              <w:t>72</w:t>
            </w:r>
          </w:p>
        </w:tc>
        <w:tc>
          <w:tcPr>
            <w:tcW w:w="50" w:type="pct"/>
            <w:shd w:val="clear" w:color="auto" w:fill="FFFFFF"/>
            <w:noWrap/>
            <w:tcMar>
              <w:top w:w="15" w:type="dxa"/>
              <w:left w:w="0" w:type="dxa"/>
              <w:bottom w:w="0" w:type="dxa"/>
              <w:right w:w="15" w:type="dxa"/>
            </w:tcMar>
            <w:vAlign w:val="bottom"/>
            <w:hideMark/>
          </w:tcPr>
          <w:p w14:paraId="383AB51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F4307E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9318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6B10D94A" w14:textId="77777777" w:rsidR="00000000" w:rsidRDefault="00B8284C">
            <w:pPr>
              <w:pStyle w:val="a3"/>
              <w:spacing w:before="0" w:beforeAutospacing="0" w:after="0" w:afterAutospacing="0"/>
              <w:jc w:val="right"/>
              <w:rPr>
                <w:color w:val="000000"/>
                <w:sz w:val="20"/>
                <w:szCs w:val="20"/>
              </w:rPr>
            </w:pPr>
            <w:r>
              <w:rPr>
                <w:color w:val="000000"/>
                <w:sz w:val="20"/>
                <w:szCs w:val="20"/>
              </w:rPr>
              <w:t>811</w:t>
            </w:r>
          </w:p>
        </w:tc>
        <w:tc>
          <w:tcPr>
            <w:tcW w:w="50" w:type="pct"/>
            <w:shd w:val="clear" w:color="auto" w:fill="FFFFFF"/>
            <w:noWrap/>
            <w:tcMar>
              <w:top w:w="15" w:type="dxa"/>
              <w:left w:w="0" w:type="dxa"/>
              <w:bottom w:w="0" w:type="dxa"/>
              <w:right w:w="15" w:type="dxa"/>
            </w:tcMar>
            <w:vAlign w:val="bottom"/>
            <w:hideMark/>
          </w:tcPr>
          <w:p w14:paraId="006CD4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A0F235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1CB20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48BD5630" w14:textId="77777777" w:rsidR="00000000" w:rsidRDefault="00B8284C">
            <w:pPr>
              <w:pStyle w:val="a3"/>
              <w:spacing w:before="0" w:beforeAutospacing="0" w:after="0" w:afterAutospacing="0"/>
              <w:jc w:val="right"/>
              <w:rPr>
                <w:color w:val="000000"/>
                <w:sz w:val="20"/>
                <w:szCs w:val="20"/>
              </w:rPr>
            </w:pPr>
            <w:r>
              <w:rPr>
                <w:color w:val="000000"/>
                <w:sz w:val="20"/>
                <w:szCs w:val="20"/>
              </w:rPr>
              <w:t>(164</w:t>
            </w:r>
          </w:p>
        </w:tc>
        <w:tc>
          <w:tcPr>
            <w:tcW w:w="50" w:type="pct"/>
            <w:shd w:val="clear" w:color="auto" w:fill="FFFFFF"/>
            <w:noWrap/>
            <w:tcMar>
              <w:top w:w="15" w:type="dxa"/>
              <w:left w:w="0" w:type="dxa"/>
              <w:bottom w:w="0" w:type="dxa"/>
              <w:right w:w="15" w:type="dxa"/>
            </w:tcMar>
            <w:vAlign w:val="bottom"/>
            <w:hideMark/>
          </w:tcPr>
          <w:p w14:paraId="22A045D5"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01A05188" w14:textId="77777777">
        <w:trPr>
          <w:divId w:val="606935668"/>
        </w:trPr>
        <w:tc>
          <w:tcPr>
            <w:tcW w:w="2548" w:type="pct"/>
            <w:shd w:val="clear" w:color="auto" w:fill="CFF0FC"/>
            <w:tcMar>
              <w:top w:w="15" w:type="dxa"/>
              <w:left w:w="0" w:type="dxa"/>
              <w:bottom w:w="0" w:type="dxa"/>
              <w:right w:w="15" w:type="dxa"/>
            </w:tcMar>
            <w:vAlign w:val="bottom"/>
            <w:hideMark/>
          </w:tcPr>
          <w:p w14:paraId="1A1979A7" w14:textId="77777777" w:rsidR="00000000" w:rsidRDefault="00B8284C">
            <w:pPr>
              <w:pStyle w:val="a3"/>
              <w:spacing w:before="0" w:beforeAutospacing="0" w:after="0" w:afterAutospacing="0"/>
              <w:rPr>
                <w:color w:val="000000"/>
                <w:sz w:val="20"/>
                <w:szCs w:val="20"/>
              </w:rPr>
            </w:pPr>
            <w:r>
              <w:rPr>
                <w:color w:val="000000"/>
                <w:sz w:val="20"/>
                <w:szCs w:val="20"/>
              </w:rPr>
              <w:t>Comprehensive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5CB8B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627DF90" w14:textId="77777777" w:rsidR="00000000" w:rsidRDefault="00B8284C">
            <w:pPr>
              <w:pStyle w:val="a3"/>
              <w:spacing w:before="0" w:beforeAutospacing="0" w:after="0" w:afterAutospacing="0"/>
              <w:jc w:val="right"/>
              <w:rPr>
                <w:color w:val="000000"/>
                <w:sz w:val="20"/>
                <w:szCs w:val="20"/>
              </w:rPr>
            </w:pPr>
            <w:r>
              <w:rPr>
                <w:color w:val="000000"/>
                <w:sz w:val="20"/>
                <w:szCs w:val="20"/>
              </w:rPr>
              <w:t>(16,137</w:t>
            </w:r>
          </w:p>
        </w:tc>
        <w:tc>
          <w:tcPr>
            <w:tcW w:w="50" w:type="pct"/>
            <w:shd w:val="clear" w:color="auto" w:fill="CFF0FC"/>
            <w:noWrap/>
            <w:tcMar>
              <w:top w:w="15" w:type="dxa"/>
              <w:left w:w="0" w:type="dxa"/>
              <w:bottom w:w="0" w:type="dxa"/>
              <w:right w:w="15" w:type="dxa"/>
            </w:tcMar>
            <w:vAlign w:val="bottom"/>
            <w:hideMark/>
          </w:tcPr>
          <w:p w14:paraId="62B853E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478A94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02DE2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10BA48" w14:textId="77777777" w:rsidR="00000000" w:rsidRDefault="00B8284C">
            <w:pPr>
              <w:pStyle w:val="a3"/>
              <w:spacing w:before="0" w:beforeAutospacing="0" w:after="0" w:afterAutospacing="0"/>
              <w:jc w:val="right"/>
              <w:rPr>
                <w:color w:val="000000"/>
                <w:sz w:val="20"/>
                <w:szCs w:val="20"/>
              </w:rPr>
            </w:pPr>
            <w:r>
              <w:rPr>
                <w:color w:val="000000"/>
                <w:sz w:val="20"/>
                <w:szCs w:val="20"/>
              </w:rPr>
              <w:t>(18,718</w:t>
            </w:r>
          </w:p>
        </w:tc>
        <w:tc>
          <w:tcPr>
            <w:tcW w:w="50" w:type="pct"/>
            <w:shd w:val="clear" w:color="auto" w:fill="CFF0FC"/>
            <w:noWrap/>
            <w:tcMar>
              <w:top w:w="15" w:type="dxa"/>
              <w:left w:w="0" w:type="dxa"/>
              <w:bottom w:w="0" w:type="dxa"/>
              <w:right w:w="15" w:type="dxa"/>
            </w:tcMar>
            <w:vAlign w:val="bottom"/>
            <w:hideMark/>
          </w:tcPr>
          <w:p w14:paraId="35C746A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8ED6CA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6EE8B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E1787C" w14:textId="77777777" w:rsidR="00000000" w:rsidRDefault="00B8284C">
            <w:pPr>
              <w:pStyle w:val="a3"/>
              <w:spacing w:before="0" w:beforeAutospacing="0" w:after="0" w:afterAutospacing="0"/>
              <w:jc w:val="right"/>
              <w:rPr>
                <w:color w:val="000000"/>
                <w:sz w:val="20"/>
                <w:szCs w:val="20"/>
              </w:rPr>
            </w:pPr>
            <w:r>
              <w:rPr>
                <w:color w:val="000000"/>
                <w:sz w:val="20"/>
                <w:szCs w:val="20"/>
              </w:rPr>
              <w:t>(43,630</w:t>
            </w:r>
          </w:p>
        </w:tc>
        <w:tc>
          <w:tcPr>
            <w:tcW w:w="50" w:type="pct"/>
            <w:shd w:val="clear" w:color="auto" w:fill="CFF0FC"/>
            <w:noWrap/>
            <w:tcMar>
              <w:top w:w="15" w:type="dxa"/>
              <w:left w:w="0" w:type="dxa"/>
              <w:bottom w:w="0" w:type="dxa"/>
              <w:right w:w="15" w:type="dxa"/>
            </w:tcMar>
            <w:vAlign w:val="bottom"/>
            <w:hideMark/>
          </w:tcPr>
          <w:p w14:paraId="18D8110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41112A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06635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61E0169" w14:textId="77777777" w:rsidR="00000000" w:rsidRDefault="00B8284C">
            <w:pPr>
              <w:pStyle w:val="a3"/>
              <w:spacing w:before="0" w:beforeAutospacing="0" w:after="0" w:afterAutospacing="0"/>
              <w:jc w:val="right"/>
              <w:rPr>
                <w:color w:val="000000"/>
                <w:sz w:val="20"/>
                <w:szCs w:val="20"/>
              </w:rPr>
            </w:pPr>
            <w:r>
              <w:rPr>
                <w:color w:val="000000"/>
                <w:sz w:val="20"/>
                <w:szCs w:val="20"/>
              </w:rPr>
              <w:t>(53,048</w:t>
            </w:r>
          </w:p>
        </w:tc>
        <w:tc>
          <w:tcPr>
            <w:tcW w:w="50" w:type="pct"/>
            <w:shd w:val="clear" w:color="auto" w:fill="CFF0FC"/>
            <w:noWrap/>
            <w:tcMar>
              <w:top w:w="15" w:type="dxa"/>
              <w:left w:w="0" w:type="dxa"/>
              <w:bottom w:w="0" w:type="dxa"/>
              <w:right w:w="15" w:type="dxa"/>
            </w:tcMar>
            <w:vAlign w:val="bottom"/>
            <w:hideMark/>
          </w:tcPr>
          <w:p w14:paraId="6828D5D6" w14:textId="77777777" w:rsidR="00000000" w:rsidRDefault="00B8284C">
            <w:pPr>
              <w:pStyle w:val="a3"/>
              <w:spacing w:before="0" w:beforeAutospacing="0" w:after="0" w:afterAutospacing="0"/>
              <w:rPr>
                <w:color w:val="000000"/>
                <w:sz w:val="20"/>
                <w:szCs w:val="20"/>
              </w:rPr>
            </w:pPr>
            <w:r>
              <w:rPr>
                <w:color w:val="000000"/>
                <w:sz w:val="20"/>
                <w:szCs w:val="20"/>
              </w:rPr>
              <w:t>)</w:t>
            </w:r>
          </w:p>
        </w:tc>
      </w:tr>
    </w:tbl>
    <w:p w14:paraId="7E647943" w14:textId="77777777" w:rsidR="00000000" w:rsidRDefault="00B8284C">
      <w:pPr>
        <w:pStyle w:val="a3"/>
        <w:spacing w:before="0" w:beforeAutospacing="0" w:after="0" w:afterAutospacing="0"/>
        <w:rPr>
          <w:sz w:val="20"/>
          <w:szCs w:val="20"/>
        </w:rPr>
      </w:pPr>
      <w:r>
        <w:rPr>
          <w:sz w:val="20"/>
          <w:szCs w:val="20"/>
        </w:rPr>
        <w:t> </w:t>
      </w:r>
    </w:p>
    <w:p w14:paraId="6F8CFBA5" w14:textId="77777777" w:rsidR="00000000" w:rsidRDefault="00B8284C">
      <w:pPr>
        <w:pStyle w:val="a3"/>
        <w:spacing w:before="40" w:beforeAutospacing="0" w:after="0" w:afterAutospacing="0"/>
        <w:rPr>
          <w:sz w:val="20"/>
          <w:szCs w:val="20"/>
        </w:rPr>
      </w:pPr>
      <w:r>
        <w:rPr>
          <w:sz w:val="20"/>
          <w:szCs w:val="20"/>
        </w:rPr>
        <w:t>The accompanying notes are an integral part of the consolidated financial statements.</w:t>
      </w:r>
    </w:p>
    <w:p w14:paraId="0E9EDB83" w14:textId="77777777" w:rsidR="00000000" w:rsidRDefault="00B8284C">
      <w:pPr>
        <w:pStyle w:val="a3"/>
        <w:spacing w:before="240" w:beforeAutospacing="0" w:after="0" w:afterAutospacing="0"/>
        <w:jc w:val="center"/>
        <w:rPr>
          <w:sz w:val="20"/>
          <w:szCs w:val="20"/>
        </w:rPr>
      </w:pPr>
      <w:r>
        <w:rPr>
          <w:sz w:val="20"/>
          <w:szCs w:val="20"/>
        </w:rPr>
        <w:t>6</w:t>
      </w:r>
    </w:p>
    <w:p w14:paraId="7F57D9B9" w14:textId="77777777" w:rsidR="00000000" w:rsidRDefault="00B8284C">
      <w:pPr>
        <w:rPr>
          <w:rFonts w:eastAsia="Times New Roman"/>
        </w:rPr>
      </w:pPr>
      <w:r>
        <w:rPr>
          <w:rFonts w:eastAsia="Times New Roman"/>
        </w:rPr>
        <w:pict w14:anchorId="73D34AB2">
          <v:rect id="_x0000_i1030" style="width:0;height:1.5pt" o:hralign="center" o:hrstd="t" o:hr="t" fillcolor="#a0a0a0" stroked="f"/>
        </w:pict>
      </w:r>
    </w:p>
    <w:p w14:paraId="684883B1" w14:textId="77777777" w:rsidR="00000000" w:rsidRDefault="00B8284C">
      <w:pPr>
        <w:pStyle w:val="a3"/>
        <w:spacing w:before="0" w:beforeAutospacing="0" w:after="0" w:afterAutospacing="0"/>
        <w:rPr>
          <w:sz w:val="20"/>
          <w:szCs w:val="20"/>
        </w:rPr>
      </w:pPr>
      <w:r>
        <w:rPr>
          <w:sz w:val="20"/>
          <w:szCs w:val="20"/>
        </w:rPr>
        <w:t> </w:t>
      </w:r>
    </w:p>
    <w:p w14:paraId="40F1164F" w14:textId="77777777" w:rsidR="00000000" w:rsidRDefault="00B8284C">
      <w:pPr>
        <w:pStyle w:val="a3"/>
        <w:spacing w:before="0" w:beforeAutospacing="0" w:after="0" w:afterAutospacing="0"/>
        <w:jc w:val="center"/>
        <w:rPr>
          <w:b/>
          <w:bCs/>
          <w:sz w:val="20"/>
          <w:szCs w:val="20"/>
        </w:rPr>
      </w:pPr>
      <w:r>
        <w:rPr>
          <w:b/>
          <w:bCs/>
          <w:sz w:val="20"/>
          <w:szCs w:val="20"/>
        </w:rPr>
        <w:t>HubSpot, Inc.</w:t>
      </w:r>
    </w:p>
    <w:p w14:paraId="7BF1BBF2" w14:textId="77777777" w:rsidR="00000000" w:rsidRDefault="00B8284C">
      <w:pPr>
        <w:pStyle w:val="a3"/>
        <w:spacing w:before="0" w:beforeAutospacing="0" w:after="0" w:afterAutospacing="0"/>
        <w:jc w:val="center"/>
        <w:rPr>
          <w:b/>
          <w:bCs/>
          <w:sz w:val="20"/>
          <w:szCs w:val="20"/>
        </w:rPr>
      </w:pPr>
      <w:r>
        <w:rPr>
          <w:b/>
          <w:bCs/>
          <w:sz w:val="20"/>
          <w:szCs w:val="20"/>
        </w:rPr>
        <w:t>Unaudited Consolidated Statements of Cash Flows</w:t>
      </w:r>
    </w:p>
    <w:p w14:paraId="03C43EA9" w14:textId="77777777" w:rsidR="00000000" w:rsidRDefault="00B8284C">
      <w:pPr>
        <w:pStyle w:val="a3"/>
        <w:spacing w:before="40" w:beforeAutospacing="0" w:after="0" w:afterAutospacing="0"/>
        <w:jc w:val="center"/>
        <w:rPr>
          <w:b/>
          <w:bCs/>
          <w:sz w:val="20"/>
          <w:szCs w:val="20"/>
        </w:rPr>
      </w:pPr>
      <w:r>
        <w:rPr>
          <w:b/>
          <w:bCs/>
          <w:sz w:val="20"/>
          <w:szCs w:val="20"/>
        </w:rPr>
        <w:t>(in thousands)</w:t>
      </w:r>
    </w:p>
    <w:p w14:paraId="1AA483BB"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14:paraId="3CFC40DE" w14:textId="77777777">
        <w:trPr>
          <w:divId w:val="396712005"/>
        </w:trPr>
        <w:tc>
          <w:tcPr>
            <w:tcW w:w="3349" w:type="pct"/>
            <w:shd w:val="clear" w:color="auto" w:fill="FFFFFF"/>
            <w:tcMar>
              <w:top w:w="15" w:type="dxa"/>
              <w:left w:w="0" w:type="dxa"/>
              <w:bottom w:w="0" w:type="dxa"/>
              <w:right w:w="15" w:type="dxa"/>
            </w:tcMar>
            <w:vAlign w:val="bottom"/>
            <w:hideMark/>
          </w:tcPr>
          <w:p w14:paraId="345E6876" w14:textId="77777777" w:rsidR="00000000" w:rsidRDefault="00B8284C">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24DA544E"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66E0FB3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For the Nine Months Ended September 30,</w:t>
            </w:r>
          </w:p>
        </w:tc>
        <w:tc>
          <w:tcPr>
            <w:tcW w:w="50" w:type="pct"/>
            <w:shd w:val="clear" w:color="auto" w:fill="FFFFFF"/>
            <w:noWrap/>
            <w:tcMar>
              <w:top w:w="15" w:type="dxa"/>
              <w:left w:w="0" w:type="dxa"/>
              <w:bottom w:w="0" w:type="dxa"/>
              <w:right w:w="15" w:type="dxa"/>
            </w:tcMar>
            <w:vAlign w:val="bottom"/>
            <w:hideMark/>
          </w:tcPr>
          <w:p w14:paraId="601266B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75FDBBE" w14:textId="77777777">
        <w:trPr>
          <w:divId w:val="396712005"/>
        </w:trPr>
        <w:tc>
          <w:tcPr>
            <w:tcW w:w="3349" w:type="pct"/>
            <w:shd w:val="clear" w:color="auto" w:fill="FFFFFF"/>
            <w:tcMar>
              <w:top w:w="15" w:type="dxa"/>
              <w:left w:w="0" w:type="dxa"/>
              <w:bottom w:w="0" w:type="dxa"/>
              <w:right w:w="15" w:type="dxa"/>
            </w:tcMar>
            <w:vAlign w:val="bottom"/>
            <w:hideMark/>
          </w:tcPr>
          <w:p w14:paraId="3451672E"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31F02415"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A5015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931139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5AC8548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608BE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CE2E45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DC10B8E" w14:textId="77777777">
        <w:trPr>
          <w:divId w:val="396712005"/>
        </w:trPr>
        <w:tc>
          <w:tcPr>
            <w:tcW w:w="3349" w:type="pct"/>
            <w:shd w:val="clear" w:color="auto" w:fill="CFF0FC"/>
            <w:tcMar>
              <w:top w:w="15" w:type="dxa"/>
              <w:left w:w="0" w:type="dxa"/>
              <w:bottom w:w="0" w:type="dxa"/>
              <w:right w:w="15" w:type="dxa"/>
            </w:tcMar>
            <w:vAlign w:val="bottom"/>
            <w:hideMark/>
          </w:tcPr>
          <w:p w14:paraId="037DC997" w14:textId="77777777" w:rsidR="00000000" w:rsidRDefault="00B8284C">
            <w:pPr>
              <w:pStyle w:val="a3"/>
              <w:spacing w:before="0" w:beforeAutospacing="0" w:after="0" w:afterAutospacing="0"/>
              <w:rPr>
                <w:b/>
                <w:bCs/>
                <w:color w:val="000000"/>
                <w:sz w:val="20"/>
                <w:szCs w:val="20"/>
              </w:rPr>
            </w:pPr>
            <w:r>
              <w:rPr>
                <w:b/>
                <w:bCs/>
                <w:color w:val="000000"/>
                <w:sz w:val="20"/>
                <w:szCs w:val="20"/>
              </w:rPr>
              <w:t>Operating Activities:</w:t>
            </w:r>
          </w:p>
        </w:tc>
        <w:tc>
          <w:tcPr>
            <w:tcW w:w="81" w:type="pct"/>
            <w:shd w:val="clear" w:color="auto" w:fill="CFF0FC"/>
            <w:tcMar>
              <w:top w:w="15" w:type="dxa"/>
              <w:left w:w="0" w:type="dxa"/>
              <w:bottom w:w="0" w:type="dxa"/>
              <w:right w:w="15" w:type="dxa"/>
            </w:tcMar>
            <w:vAlign w:val="bottom"/>
            <w:hideMark/>
          </w:tcPr>
          <w:p w14:paraId="0BAB56D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3007D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8A8CB3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890B9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A8DAC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2F74C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FA00C7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0A71E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7EAC859" w14:textId="77777777">
        <w:trPr>
          <w:divId w:val="396712005"/>
        </w:trPr>
        <w:tc>
          <w:tcPr>
            <w:tcW w:w="3349" w:type="pct"/>
            <w:shd w:val="clear" w:color="auto" w:fill="FFFFFF"/>
            <w:tcMar>
              <w:top w:w="15" w:type="dxa"/>
              <w:left w:w="0" w:type="dxa"/>
              <w:bottom w:w="0" w:type="dxa"/>
              <w:right w:w="15" w:type="dxa"/>
            </w:tcMar>
            <w:vAlign w:val="bottom"/>
            <w:hideMark/>
          </w:tcPr>
          <w:p w14:paraId="41E50F7E" w14:textId="77777777" w:rsidR="00000000" w:rsidRDefault="00B8284C">
            <w:pPr>
              <w:pStyle w:val="a3"/>
              <w:spacing w:before="0" w:beforeAutospacing="0" w:after="0" w:afterAutospacing="0"/>
              <w:ind w:left="274"/>
              <w:rPr>
                <w:color w:val="000000"/>
                <w:sz w:val="20"/>
                <w:szCs w:val="20"/>
              </w:rPr>
            </w:pPr>
            <w:r>
              <w:rPr>
                <w:color w:val="000000"/>
                <w:sz w:val="20"/>
                <w:szCs w:val="20"/>
              </w:rPr>
              <w:t>Net loss</w:t>
            </w:r>
          </w:p>
        </w:tc>
        <w:tc>
          <w:tcPr>
            <w:tcW w:w="81" w:type="pct"/>
            <w:shd w:val="clear" w:color="auto" w:fill="FFFFFF"/>
            <w:tcMar>
              <w:top w:w="15" w:type="dxa"/>
              <w:left w:w="0" w:type="dxa"/>
              <w:bottom w:w="0" w:type="dxa"/>
              <w:right w:w="15" w:type="dxa"/>
            </w:tcMar>
            <w:vAlign w:val="bottom"/>
            <w:hideMark/>
          </w:tcPr>
          <w:p w14:paraId="0B9024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D5002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0D7437E8" w14:textId="77777777" w:rsidR="00000000" w:rsidRDefault="00B8284C">
            <w:pPr>
              <w:pStyle w:val="a3"/>
              <w:spacing w:before="0" w:beforeAutospacing="0" w:after="0" w:afterAutospacing="0"/>
              <w:jc w:val="right"/>
              <w:rPr>
                <w:color w:val="000000"/>
                <w:sz w:val="20"/>
                <w:szCs w:val="20"/>
              </w:rPr>
            </w:pPr>
            <w:r>
              <w:rPr>
                <w:color w:val="000000"/>
                <w:sz w:val="20"/>
                <w:szCs w:val="20"/>
              </w:rPr>
              <w:t>(43,444</w:t>
            </w:r>
          </w:p>
        </w:tc>
        <w:tc>
          <w:tcPr>
            <w:tcW w:w="50" w:type="pct"/>
            <w:shd w:val="clear" w:color="auto" w:fill="FFFFFF"/>
            <w:noWrap/>
            <w:tcMar>
              <w:top w:w="15" w:type="dxa"/>
              <w:left w:w="0" w:type="dxa"/>
              <w:bottom w:w="0" w:type="dxa"/>
              <w:right w:w="15" w:type="dxa"/>
            </w:tcMar>
            <w:vAlign w:val="bottom"/>
            <w:hideMark/>
          </w:tcPr>
          <w:p w14:paraId="3E91814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6F19F5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DB1FF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5E66D0CD" w14:textId="77777777" w:rsidR="00000000" w:rsidRDefault="00B8284C">
            <w:pPr>
              <w:pStyle w:val="a3"/>
              <w:spacing w:before="0" w:beforeAutospacing="0" w:after="0" w:afterAutospacing="0"/>
              <w:jc w:val="right"/>
              <w:rPr>
                <w:color w:val="000000"/>
                <w:sz w:val="20"/>
                <w:szCs w:val="20"/>
              </w:rPr>
            </w:pPr>
            <w:r>
              <w:rPr>
                <w:color w:val="000000"/>
                <w:sz w:val="20"/>
                <w:szCs w:val="20"/>
              </w:rPr>
              <w:t>(52,336</w:t>
            </w:r>
          </w:p>
        </w:tc>
        <w:tc>
          <w:tcPr>
            <w:tcW w:w="50" w:type="pct"/>
            <w:shd w:val="clear" w:color="auto" w:fill="FFFFFF"/>
            <w:noWrap/>
            <w:tcMar>
              <w:top w:w="15" w:type="dxa"/>
              <w:left w:w="0" w:type="dxa"/>
              <w:bottom w:w="0" w:type="dxa"/>
              <w:right w:w="15" w:type="dxa"/>
            </w:tcMar>
            <w:vAlign w:val="bottom"/>
            <w:hideMark/>
          </w:tcPr>
          <w:p w14:paraId="2965228A"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2AF86D8A" w14:textId="77777777">
        <w:trPr>
          <w:divId w:val="396712005"/>
        </w:trPr>
        <w:tc>
          <w:tcPr>
            <w:tcW w:w="3349" w:type="pct"/>
            <w:shd w:val="clear" w:color="auto" w:fill="CFF0FC"/>
            <w:tcMar>
              <w:top w:w="15" w:type="dxa"/>
              <w:left w:w="0" w:type="dxa"/>
              <w:bottom w:w="0" w:type="dxa"/>
              <w:right w:w="15" w:type="dxa"/>
            </w:tcMar>
            <w:vAlign w:val="bottom"/>
            <w:hideMark/>
          </w:tcPr>
          <w:p w14:paraId="7514CB5B" w14:textId="77777777" w:rsidR="00000000" w:rsidRDefault="00B8284C">
            <w:pPr>
              <w:pStyle w:val="a3"/>
              <w:spacing w:before="0" w:beforeAutospacing="0" w:after="0" w:afterAutospacing="0"/>
              <w:ind w:left="274"/>
              <w:rPr>
                <w:color w:val="000000"/>
                <w:sz w:val="20"/>
                <w:szCs w:val="20"/>
              </w:rPr>
            </w:pPr>
            <w:r>
              <w:rPr>
                <w:color w:val="000000"/>
                <w:sz w:val="20"/>
                <w:szCs w:val="20"/>
              </w:rPr>
              <w:t>Adjustments to reconcile net loss to net cash and cash equivalents provided</w:t>
            </w:r>
          </w:p>
          <w:p w14:paraId="39CA57C6" w14:textId="77777777" w:rsidR="00000000" w:rsidRDefault="00B8284C">
            <w:pPr>
              <w:pStyle w:val="a3"/>
              <w:spacing w:before="0" w:beforeAutospacing="0" w:after="0" w:afterAutospacing="0"/>
              <w:ind w:left="274"/>
              <w:rPr>
                <w:color w:val="000000"/>
                <w:sz w:val="20"/>
                <w:szCs w:val="20"/>
              </w:rPr>
            </w:pPr>
            <w:r>
              <w:rPr>
                <w:color w:val="000000"/>
                <w:sz w:val="20"/>
                <w:szCs w:val="20"/>
              </w:rPr>
              <w:t>   by operating activities</w:t>
            </w:r>
          </w:p>
        </w:tc>
        <w:tc>
          <w:tcPr>
            <w:tcW w:w="81" w:type="pct"/>
            <w:shd w:val="clear" w:color="auto" w:fill="CFF0FC"/>
            <w:tcMar>
              <w:top w:w="15" w:type="dxa"/>
              <w:left w:w="0" w:type="dxa"/>
              <w:bottom w:w="0" w:type="dxa"/>
              <w:right w:w="15" w:type="dxa"/>
            </w:tcMar>
            <w:vAlign w:val="bottom"/>
            <w:hideMark/>
          </w:tcPr>
          <w:p w14:paraId="229608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C521A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5A90C6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4E050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92341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8FA7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A2B690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68F12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D495B5C" w14:textId="77777777">
        <w:trPr>
          <w:divId w:val="396712005"/>
        </w:trPr>
        <w:tc>
          <w:tcPr>
            <w:tcW w:w="3349" w:type="pct"/>
            <w:shd w:val="clear" w:color="auto" w:fill="FFFFFF"/>
            <w:tcMar>
              <w:top w:w="15" w:type="dxa"/>
              <w:left w:w="0" w:type="dxa"/>
              <w:bottom w:w="0" w:type="dxa"/>
              <w:right w:w="15" w:type="dxa"/>
            </w:tcMar>
            <w:vAlign w:val="bottom"/>
            <w:hideMark/>
          </w:tcPr>
          <w:p w14:paraId="178F1117" w14:textId="77777777" w:rsidR="00000000" w:rsidRDefault="00B8284C">
            <w:pPr>
              <w:pStyle w:val="a3"/>
              <w:spacing w:before="0" w:beforeAutospacing="0" w:after="0" w:afterAutospacing="0"/>
              <w:ind w:left="547"/>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14:paraId="668F5D8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0494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BC3FD7A" w14:textId="77777777" w:rsidR="00000000" w:rsidRDefault="00B8284C">
            <w:pPr>
              <w:pStyle w:val="a3"/>
              <w:spacing w:before="0" w:beforeAutospacing="0" w:after="0" w:afterAutospacing="0"/>
              <w:jc w:val="right"/>
              <w:rPr>
                <w:color w:val="000000"/>
                <w:sz w:val="20"/>
                <w:szCs w:val="20"/>
              </w:rPr>
            </w:pPr>
            <w:r>
              <w:rPr>
                <w:color w:val="000000"/>
                <w:sz w:val="20"/>
                <w:szCs w:val="20"/>
              </w:rPr>
              <w:t>21,248</w:t>
            </w:r>
          </w:p>
        </w:tc>
        <w:tc>
          <w:tcPr>
            <w:tcW w:w="50" w:type="pct"/>
            <w:shd w:val="clear" w:color="auto" w:fill="FFFFFF"/>
            <w:noWrap/>
            <w:tcMar>
              <w:top w:w="15" w:type="dxa"/>
              <w:left w:w="0" w:type="dxa"/>
              <w:bottom w:w="0" w:type="dxa"/>
              <w:right w:w="15" w:type="dxa"/>
            </w:tcMar>
            <w:vAlign w:val="bottom"/>
            <w:hideMark/>
          </w:tcPr>
          <w:p w14:paraId="68E00E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6A2EF5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C56FD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85F8536" w14:textId="77777777" w:rsidR="00000000" w:rsidRDefault="00B8284C">
            <w:pPr>
              <w:pStyle w:val="a3"/>
              <w:spacing w:before="0" w:beforeAutospacing="0" w:after="0" w:afterAutospacing="0"/>
              <w:jc w:val="right"/>
              <w:rPr>
                <w:color w:val="000000"/>
                <w:sz w:val="20"/>
                <w:szCs w:val="20"/>
              </w:rPr>
            </w:pPr>
            <w:r>
              <w:rPr>
                <w:color w:val="000000"/>
                <w:sz w:val="20"/>
                <w:szCs w:val="20"/>
              </w:rPr>
              <w:t>16,539</w:t>
            </w:r>
          </w:p>
        </w:tc>
        <w:tc>
          <w:tcPr>
            <w:tcW w:w="50" w:type="pct"/>
            <w:shd w:val="clear" w:color="auto" w:fill="FFFFFF"/>
            <w:noWrap/>
            <w:tcMar>
              <w:top w:w="15" w:type="dxa"/>
              <w:left w:w="0" w:type="dxa"/>
              <w:bottom w:w="0" w:type="dxa"/>
              <w:right w:w="15" w:type="dxa"/>
            </w:tcMar>
            <w:vAlign w:val="bottom"/>
            <w:hideMark/>
          </w:tcPr>
          <w:p w14:paraId="73862BC0"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22659B5" w14:textId="77777777">
        <w:trPr>
          <w:divId w:val="396712005"/>
        </w:trPr>
        <w:tc>
          <w:tcPr>
            <w:tcW w:w="3349" w:type="pct"/>
            <w:shd w:val="clear" w:color="auto" w:fill="CFF0FC"/>
            <w:tcMar>
              <w:top w:w="15" w:type="dxa"/>
              <w:left w:w="0" w:type="dxa"/>
              <w:bottom w:w="0" w:type="dxa"/>
              <w:right w:w="15" w:type="dxa"/>
            </w:tcMar>
            <w:vAlign w:val="bottom"/>
            <w:hideMark/>
          </w:tcPr>
          <w:p w14:paraId="0242C6F2" w14:textId="77777777" w:rsidR="00000000" w:rsidRDefault="00B8284C">
            <w:pPr>
              <w:pStyle w:val="a3"/>
              <w:spacing w:before="0" w:beforeAutospacing="0" w:after="0" w:afterAutospacing="0"/>
              <w:ind w:left="547"/>
              <w:rPr>
                <w:color w:val="000000"/>
                <w:sz w:val="20"/>
                <w:szCs w:val="20"/>
              </w:rPr>
            </w:pPr>
            <w:r>
              <w:rPr>
                <w:color w:val="000000"/>
                <w:sz w:val="20"/>
                <w:szCs w:val="20"/>
              </w:rPr>
              <w:t>Stock-based compensation</w:t>
            </w:r>
          </w:p>
        </w:tc>
        <w:tc>
          <w:tcPr>
            <w:tcW w:w="81" w:type="pct"/>
            <w:shd w:val="clear" w:color="auto" w:fill="CFF0FC"/>
            <w:tcMar>
              <w:top w:w="15" w:type="dxa"/>
              <w:left w:w="0" w:type="dxa"/>
              <w:bottom w:w="0" w:type="dxa"/>
              <w:right w:w="15" w:type="dxa"/>
            </w:tcMar>
            <w:vAlign w:val="bottom"/>
            <w:hideMark/>
          </w:tcPr>
          <w:p w14:paraId="56D6E26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B8042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A8507C5" w14:textId="77777777" w:rsidR="00000000" w:rsidRDefault="00B8284C">
            <w:pPr>
              <w:pStyle w:val="a3"/>
              <w:spacing w:before="0" w:beforeAutospacing="0" w:after="0" w:afterAutospacing="0"/>
              <w:jc w:val="right"/>
              <w:rPr>
                <w:color w:val="000000"/>
                <w:sz w:val="20"/>
                <w:szCs w:val="20"/>
              </w:rPr>
            </w:pPr>
            <w:r>
              <w:rPr>
                <w:color w:val="000000"/>
                <w:sz w:val="20"/>
                <w:szCs w:val="20"/>
              </w:rPr>
              <w:t>73,659</w:t>
            </w:r>
          </w:p>
        </w:tc>
        <w:tc>
          <w:tcPr>
            <w:tcW w:w="50" w:type="pct"/>
            <w:shd w:val="clear" w:color="auto" w:fill="CFF0FC"/>
            <w:noWrap/>
            <w:tcMar>
              <w:top w:w="15" w:type="dxa"/>
              <w:left w:w="0" w:type="dxa"/>
              <w:bottom w:w="0" w:type="dxa"/>
              <w:right w:w="15" w:type="dxa"/>
            </w:tcMar>
            <w:vAlign w:val="bottom"/>
            <w:hideMark/>
          </w:tcPr>
          <w:p w14:paraId="2C87C6B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FE0270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457C9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5C8EF30" w14:textId="77777777" w:rsidR="00000000" w:rsidRDefault="00B8284C">
            <w:pPr>
              <w:pStyle w:val="a3"/>
              <w:spacing w:before="0" w:beforeAutospacing="0" w:after="0" w:afterAutospacing="0"/>
              <w:jc w:val="right"/>
              <w:rPr>
                <w:color w:val="000000"/>
                <w:sz w:val="20"/>
                <w:szCs w:val="20"/>
              </w:rPr>
            </w:pPr>
            <w:r>
              <w:rPr>
                <w:color w:val="000000"/>
                <w:sz w:val="20"/>
                <w:szCs w:val="20"/>
              </w:rPr>
              <w:t>55,334</w:t>
            </w:r>
          </w:p>
        </w:tc>
        <w:tc>
          <w:tcPr>
            <w:tcW w:w="50" w:type="pct"/>
            <w:shd w:val="clear" w:color="auto" w:fill="CFF0FC"/>
            <w:noWrap/>
            <w:tcMar>
              <w:top w:w="15" w:type="dxa"/>
              <w:left w:w="0" w:type="dxa"/>
              <w:bottom w:w="0" w:type="dxa"/>
              <w:right w:w="15" w:type="dxa"/>
            </w:tcMar>
            <w:vAlign w:val="bottom"/>
            <w:hideMark/>
          </w:tcPr>
          <w:p w14:paraId="188CF1D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4FB9B43" w14:textId="77777777">
        <w:trPr>
          <w:divId w:val="396712005"/>
        </w:trPr>
        <w:tc>
          <w:tcPr>
            <w:tcW w:w="3349" w:type="pct"/>
            <w:shd w:val="clear" w:color="auto" w:fill="FFFFFF"/>
            <w:tcMar>
              <w:top w:w="15" w:type="dxa"/>
              <w:left w:w="0" w:type="dxa"/>
              <w:bottom w:w="0" w:type="dxa"/>
              <w:right w:w="15" w:type="dxa"/>
            </w:tcMar>
            <w:vAlign w:val="bottom"/>
            <w:hideMark/>
          </w:tcPr>
          <w:p w14:paraId="444C7315" w14:textId="77777777" w:rsidR="00000000" w:rsidRDefault="00B8284C">
            <w:pPr>
              <w:pStyle w:val="a3"/>
              <w:spacing w:before="0" w:beforeAutospacing="0" w:after="0" w:afterAutospacing="0"/>
              <w:ind w:left="547"/>
              <w:rPr>
                <w:color w:val="000000"/>
                <w:sz w:val="20"/>
                <w:szCs w:val="20"/>
              </w:rPr>
            </w:pPr>
            <w:r>
              <w:rPr>
                <w:color w:val="000000"/>
                <w:sz w:val="20"/>
                <w:szCs w:val="20"/>
              </w:rPr>
              <w:t>Provision for deferred income taxes</w:t>
            </w:r>
          </w:p>
        </w:tc>
        <w:tc>
          <w:tcPr>
            <w:tcW w:w="81" w:type="pct"/>
            <w:shd w:val="clear" w:color="auto" w:fill="FFFFFF"/>
            <w:tcMar>
              <w:top w:w="15" w:type="dxa"/>
              <w:left w:w="0" w:type="dxa"/>
              <w:bottom w:w="0" w:type="dxa"/>
              <w:right w:w="15" w:type="dxa"/>
            </w:tcMar>
            <w:vAlign w:val="bottom"/>
            <w:hideMark/>
          </w:tcPr>
          <w:p w14:paraId="43E7D0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25AA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312EB19" w14:textId="77777777" w:rsidR="00000000" w:rsidRDefault="00B8284C">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14:paraId="17D1F5E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CD34DE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6046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56EFDE2" w14:textId="77777777" w:rsidR="00000000" w:rsidRDefault="00B8284C">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14:paraId="6E0EB32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CC5A42B" w14:textId="77777777">
        <w:trPr>
          <w:divId w:val="396712005"/>
        </w:trPr>
        <w:tc>
          <w:tcPr>
            <w:tcW w:w="3349" w:type="pct"/>
            <w:shd w:val="clear" w:color="auto" w:fill="CFF0FC"/>
            <w:tcMar>
              <w:top w:w="15" w:type="dxa"/>
              <w:left w:w="0" w:type="dxa"/>
              <w:bottom w:w="0" w:type="dxa"/>
              <w:right w:w="15" w:type="dxa"/>
            </w:tcMar>
            <w:vAlign w:val="bottom"/>
            <w:hideMark/>
          </w:tcPr>
          <w:p w14:paraId="038026E5" w14:textId="77777777" w:rsidR="00000000" w:rsidRDefault="00B8284C">
            <w:pPr>
              <w:pStyle w:val="a3"/>
              <w:spacing w:before="0" w:beforeAutospacing="0" w:after="0" w:afterAutospacing="0"/>
              <w:ind w:left="547"/>
              <w:rPr>
                <w:color w:val="000000"/>
                <w:sz w:val="20"/>
                <w:szCs w:val="20"/>
              </w:rPr>
            </w:pPr>
            <w:r>
              <w:rPr>
                <w:color w:val="000000"/>
                <w:sz w:val="20"/>
                <w:szCs w:val="20"/>
              </w:rPr>
              <w:t>Amortization of debt discount and issuance costs</w:t>
            </w:r>
          </w:p>
        </w:tc>
        <w:tc>
          <w:tcPr>
            <w:tcW w:w="81" w:type="pct"/>
            <w:shd w:val="clear" w:color="auto" w:fill="CFF0FC"/>
            <w:tcMar>
              <w:top w:w="15" w:type="dxa"/>
              <w:left w:w="0" w:type="dxa"/>
              <w:bottom w:w="0" w:type="dxa"/>
              <w:right w:w="15" w:type="dxa"/>
            </w:tcMar>
            <w:vAlign w:val="bottom"/>
            <w:hideMark/>
          </w:tcPr>
          <w:p w14:paraId="6660D2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7BDBE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9B0CA3F" w14:textId="77777777" w:rsidR="00000000" w:rsidRDefault="00B8284C">
            <w:pPr>
              <w:pStyle w:val="a3"/>
              <w:spacing w:before="0" w:beforeAutospacing="0" w:after="0" w:afterAutospacing="0"/>
              <w:jc w:val="right"/>
              <w:rPr>
                <w:color w:val="000000"/>
                <w:sz w:val="20"/>
                <w:szCs w:val="20"/>
              </w:rPr>
            </w:pPr>
            <w:r>
              <w:rPr>
                <w:color w:val="000000"/>
                <w:sz w:val="20"/>
                <w:szCs w:val="20"/>
              </w:rPr>
              <w:t>16,184</w:t>
            </w:r>
          </w:p>
        </w:tc>
        <w:tc>
          <w:tcPr>
            <w:tcW w:w="50" w:type="pct"/>
            <w:shd w:val="clear" w:color="auto" w:fill="CFF0FC"/>
            <w:noWrap/>
            <w:tcMar>
              <w:top w:w="15" w:type="dxa"/>
              <w:left w:w="0" w:type="dxa"/>
              <w:bottom w:w="0" w:type="dxa"/>
              <w:right w:w="15" w:type="dxa"/>
            </w:tcMar>
            <w:vAlign w:val="bottom"/>
            <w:hideMark/>
          </w:tcPr>
          <w:p w14:paraId="1E4BA0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66241E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884E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234CACB" w14:textId="77777777" w:rsidR="00000000" w:rsidRDefault="00B8284C">
            <w:pPr>
              <w:pStyle w:val="a3"/>
              <w:spacing w:before="0" w:beforeAutospacing="0" w:after="0" w:afterAutospacing="0"/>
              <w:jc w:val="right"/>
              <w:rPr>
                <w:color w:val="000000"/>
                <w:sz w:val="20"/>
                <w:szCs w:val="20"/>
              </w:rPr>
            </w:pPr>
            <w:r>
              <w:rPr>
                <w:color w:val="000000"/>
                <w:sz w:val="20"/>
                <w:szCs w:val="20"/>
              </w:rPr>
              <w:t>15,103</w:t>
            </w:r>
          </w:p>
        </w:tc>
        <w:tc>
          <w:tcPr>
            <w:tcW w:w="50" w:type="pct"/>
            <w:shd w:val="clear" w:color="auto" w:fill="CFF0FC"/>
            <w:noWrap/>
            <w:tcMar>
              <w:top w:w="15" w:type="dxa"/>
              <w:left w:w="0" w:type="dxa"/>
              <w:bottom w:w="0" w:type="dxa"/>
              <w:right w:w="15" w:type="dxa"/>
            </w:tcMar>
            <w:vAlign w:val="bottom"/>
            <w:hideMark/>
          </w:tcPr>
          <w:p w14:paraId="0E548D8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7DD03C8" w14:textId="77777777">
        <w:trPr>
          <w:divId w:val="396712005"/>
        </w:trPr>
        <w:tc>
          <w:tcPr>
            <w:tcW w:w="3349" w:type="pct"/>
            <w:shd w:val="clear" w:color="auto" w:fill="FFFFFF"/>
            <w:tcMar>
              <w:top w:w="15" w:type="dxa"/>
              <w:left w:w="0" w:type="dxa"/>
              <w:bottom w:w="0" w:type="dxa"/>
              <w:right w:w="15" w:type="dxa"/>
            </w:tcMar>
            <w:vAlign w:val="bottom"/>
            <w:hideMark/>
          </w:tcPr>
          <w:p w14:paraId="2537EDB3" w14:textId="77777777" w:rsidR="00000000" w:rsidRDefault="00B8284C">
            <w:pPr>
              <w:pStyle w:val="a3"/>
              <w:spacing w:before="0" w:beforeAutospacing="0" w:after="0" w:afterAutospacing="0"/>
              <w:ind w:left="547"/>
              <w:rPr>
                <w:color w:val="000000"/>
                <w:sz w:val="20"/>
                <w:szCs w:val="20"/>
              </w:rPr>
            </w:pPr>
            <w:r>
              <w:rPr>
                <w:color w:val="000000"/>
                <w:sz w:val="20"/>
                <w:szCs w:val="20"/>
              </w:rPr>
              <w:t>Accretion of bond discount</w:t>
            </w:r>
          </w:p>
        </w:tc>
        <w:tc>
          <w:tcPr>
            <w:tcW w:w="81" w:type="pct"/>
            <w:shd w:val="clear" w:color="auto" w:fill="FFFFFF"/>
            <w:tcMar>
              <w:top w:w="15" w:type="dxa"/>
              <w:left w:w="0" w:type="dxa"/>
              <w:bottom w:w="0" w:type="dxa"/>
              <w:right w:w="15" w:type="dxa"/>
            </w:tcMar>
            <w:vAlign w:val="bottom"/>
            <w:hideMark/>
          </w:tcPr>
          <w:p w14:paraId="6DA6AA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F9B5C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FBE4F81" w14:textId="77777777" w:rsidR="00000000" w:rsidRDefault="00B8284C">
            <w:pPr>
              <w:pStyle w:val="a3"/>
              <w:spacing w:before="0" w:beforeAutospacing="0" w:after="0" w:afterAutospacing="0"/>
              <w:jc w:val="right"/>
              <w:rPr>
                <w:color w:val="000000"/>
                <w:sz w:val="20"/>
                <w:szCs w:val="20"/>
              </w:rPr>
            </w:pPr>
            <w:r>
              <w:rPr>
                <w:color w:val="000000"/>
                <w:sz w:val="20"/>
                <w:szCs w:val="20"/>
              </w:rPr>
              <w:t>(10,889</w:t>
            </w:r>
          </w:p>
        </w:tc>
        <w:tc>
          <w:tcPr>
            <w:tcW w:w="50" w:type="pct"/>
            <w:shd w:val="clear" w:color="auto" w:fill="FFFFFF"/>
            <w:noWrap/>
            <w:tcMar>
              <w:top w:w="15" w:type="dxa"/>
              <w:left w:w="0" w:type="dxa"/>
              <w:bottom w:w="0" w:type="dxa"/>
              <w:right w:w="15" w:type="dxa"/>
            </w:tcMar>
            <w:vAlign w:val="bottom"/>
            <w:hideMark/>
          </w:tcPr>
          <w:p w14:paraId="22FCF00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5C908F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D8A8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2BE1AD9" w14:textId="77777777" w:rsidR="00000000" w:rsidRDefault="00B8284C">
            <w:pPr>
              <w:pStyle w:val="a3"/>
              <w:spacing w:before="0" w:beforeAutospacing="0" w:after="0" w:afterAutospacing="0"/>
              <w:jc w:val="right"/>
              <w:rPr>
                <w:color w:val="000000"/>
                <w:sz w:val="20"/>
                <w:szCs w:val="20"/>
              </w:rPr>
            </w:pPr>
            <w:r>
              <w:rPr>
                <w:color w:val="000000"/>
                <w:sz w:val="20"/>
                <w:szCs w:val="20"/>
              </w:rPr>
              <w:t>(4,517</w:t>
            </w:r>
          </w:p>
        </w:tc>
        <w:tc>
          <w:tcPr>
            <w:tcW w:w="50" w:type="pct"/>
            <w:shd w:val="clear" w:color="auto" w:fill="FFFFFF"/>
            <w:noWrap/>
            <w:tcMar>
              <w:top w:w="15" w:type="dxa"/>
              <w:left w:w="0" w:type="dxa"/>
              <w:bottom w:w="0" w:type="dxa"/>
              <w:right w:w="15" w:type="dxa"/>
            </w:tcMar>
            <w:vAlign w:val="bottom"/>
            <w:hideMark/>
          </w:tcPr>
          <w:p w14:paraId="5218AE21"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502D89F6" w14:textId="77777777">
        <w:trPr>
          <w:divId w:val="396712005"/>
        </w:trPr>
        <w:tc>
          <w:tcPr>
            <w:tcW w:w="3349" w:type="pct"/>
            <w:shd w:val="clear" w:color="auto" w:fill="CFF0FC"/>
            <w:tcMar>
              <w:top w:w="15" w:type="dxa"/>
              <w:left w:w="0" w:type="dxa"/>
              <w:bottom w:w="0" w:type="dxa"/>
              <w:right w:w="15" w:type="dxa"/>
            </w:tcMar>
            <w:vAlign w:val="bottom"/>
            <w:hideMark/>
          </w:tcPr>
          <w:p w14:paraId="14E6C755" w14:textId="77777777" w:rsidR="00000000" w:rsidRDefault="00B8284C">
            <w:pPr>
              <w:pStyle w:val="a3"/>
              <w:spacing w:before="0" w:beforeAutospacing="0" w:after="0" w:afterAutospacing="0"/>
              <w:ind w:left="547"/>
              <w:rPr>
                <w:color w:val="000000"/>
                <w:sz w:val="20"/>
                <w:szCs w:val="20"/>
              </w:rPr>
            </w:pPr>
            <w:r>
              <w:rPr>
                <w:color w:val="000000"/>
                <w:sz w:val="20"/>
                <w:szCs w:val="20"/>
              </w:rPr>
              <w:t>Noncash lease expense</w:t>
            </w:r>
          </w:p>
        </w:tc>
        <w:tc>
          <w:tcPr>
            <w:tcW w:w="81" w:type="pct"/>
            <w:shd w:val="clear" w:color="auto" w:fill="CFF0FC"/>
            <w:tcMar>
              <w:top w:w="15" w:type="dxa"/>
              <w:left w:w="0" w:type="dxa"/>
              <w:bottom w:w="0" w:type="dxa"/>
              <w:right w:w="15" w:type="dxa"/>
            </w:tcMar>
            <w:vAlign w:val="bottom"/>
            <w:hideMark/>
          </w:tcPr>
          <w:p w14:paraId="7479B9C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D9067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CD926B2"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1AE48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60F800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AE795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F70A876" w14:textId="77777777" w:rsidR="00000000" w:rsidRDefault="00B8284C">
            <w:pPr>
              <w:pStyle w:val="a3"/>
              <w:spacing w:before="0" w:beforeAutospacing="0" w:after="0" w:afterAutospacing="0"/>
              <w:jc w:val="right"/>
              <w:rPr>
                <w:color w:val="000000"/>
                <w:sz w:val="20"/>
                <w:szCs w:val="20"/>
              </w:rPr>
            </w:pPr>
            <w:r>
              <w:rPr>
                <w:color w:val="000000"/>
                <w:sz w:val="20"/>
                <w:szCs w:val="20"/>
              </w:rPr>
              <w:t>1,972</w:t>
            </w:r>
          </w:p>
        </w:tc>
        <w:tc>
          <w:tcPr>
            <w:tcW w:w="50" w:type="pct"/>
            <w:shd w:val="clear" w:color="auto" w:fill="CFF0FC"/>
            <w:noWrap/>
            <w:tcMar>
              <w:top w:w="15" w:type="dxa"/>
              <w:left w:w="0" w:type="dxa"/>
              <w:bottom w:w="0" w:type="dxa"/>
              <w:right w:w="15" w:type="dxa"/>
            </w:tcMar>
            <w:vAlign w:val="bottom"/>
            <w:hideMark/>
          </w:tcPr>
          <w:p w14:paraId="5FFB8BC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262BF6B" w14:textId="77777777">
        <w:trPr>
          <w:divId w:val="396712005"/>
        </w:trPr>
        <w:tc>
          <w:tcPr>
            <w:tcW w:w="3349" w:type="pct"/>
            <w:shd w:val="clear" w:color="auto" w:fill="FFFFFF"/>
            <w:tcMar>
              <w:top w:w="15" w:type="dxa"/>
              <w:left w:w="0" w:type="dxa"/>
              <w:bottom w:w="0" w:type="dxa"/>
              <w:right w:w="15" w:type="dxa"/>
            </w:tcMar>
            <w:vAlign w:val="bottom"/>
            <w:hideMark/>
          </w:tcPr>
          <w:p w14:paraId="7E127F33" w14:textId="77777777" w:rsidR="00000000" w:rsidRDefault="00B8284C">
            <w:pPr>
              <w:pStyle w:val="a3"/>
              <w:spacing w:before="0" w:beforeAutospacing="0" w:after="0" w:afterAutospacing="0"/>
              <w:ind w:left="547"/>
              <w:rPr>
                <w:color w:val="000000"/>
                <w:sz w:val="20"/>
                <w:szCs w:val="20"/>
              </w:rPr>
            </w:pPr>
            <w:r>
              <w:rPr>
                <w:color w:val="000000"/>
                <w:sz w:val="20"/>
                <w:szCs w:val="20"/>
              </w:rPr>
              <w:t>Unrealized currency translation</w:t>
            </w:r>
          </w:p>
        </w:tc>
        <w:tc>
          <w:tcPr>
            <w:tcW w:w="81" w:type="pct"/>
            <w:shd w:val="clear" w:color="auto" w:fill="FFFFFF"/>
            <w:tcMar>
              <w:top w:w="15" w:type="dxa"/>
              <w:left w:w="0" w:type="dxa"/>
              <w:bottom w:w="0" w:type="dxa"/>
              <w:right w:w="15" w:type="dxa"/>
            </w:tcMar>
            <w:vAlign w:val="bottom"/>
            <w:hideMark/>
          </w:tcPr>
          <w:p w14:paraId="26A6C9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96BF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D34587D" w14:textId="77777777" w:rsidR="00000000" w:rsidRDefault="00B8284C">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FFFFFF"/>
            <w:noWrap/>
            <w:tcMar>
              <w:top w:w="15" w:type="dxa"/>
              <w:left w:w="0" w:type="dxa"/>
              <w:bottom w:w="0" w:type="dxa"/>
              <w:right w:w="15" w:type="dxa"/>
            </w:tcMar>
            <w:vAlign w:val="bottom"/>
            <w:hideMark/>
          </w:tcPr>
          <w:p w14:paraId="7C33838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5F48F2B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94EE5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888437E" w14:textId="77777777" w:rsidR="00000000" w:rsidRDefault="00B8284C">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14:paraId="2E9201F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1C27E2D" w14:textId="77777777">
        <w:trPr>
          <w:divId w:val="396712005"/>
        </w:trPr>
        <w:tc>
          <w:tcPr>
            <w:tcW w:w="3349" w:type="pct"/>
            <w:shd w:val="clear" w:color="auto" w:fill="CFF0FC"/>
            <w:tcMar>
              <w:top w:w="15" w:type="dxa"/>
              <w:left w:w="0" w:type="dxa"/>
              <w:bottom w:w="0" w:type="dxa"/>
              <w:right w:w="15" w:type="dxa"/>
            </w:tcMar>
            <w:vAlign w:val="bottom"/>
            <w:hideMark/>
          </w:tcPr>
          <w:p w14:paraId="11563F6B" w14:textId="77777777" w:rsidR="00000000" w:rsidRDefault="00B8284C">
            <w:pPr>
              <w:pStyle w:val="a3"/>
              <w:spacing w:before="0" w:beforeAutospacing="0" w:after="0" w:afterAutospacing="0"/>
              <w:ind w:left="547"/>
              <w:rPr>
                <w:color w:val="000000"/>
                <w:sz w:val="20"/>
                <w:szCs w:val="20"/>
              </w:rPr>
            </w:pPr>
            <w:r>
              <w:rPr>
                <w:color w:val="000000"/>
                <w:sz w:val="20"/>
                <w:szCs w:val="20"/>
              </w:rPr>
              <w:t>Changes in assets and liabilities</w:t>
            </w:r>
          </w:p>
        </w:tc>
        <w:tc>
          <w:tcPr>
            <w:tcW w:w="81" w:type="pct"/>
            <w:shd w:val="clear" w:color="auto" w:fill="CFF0FC"/>
            <w:tcMar>
              <w:top w:w="15" w:type="dxa"/>
              <w:left w:w="0" w:type="dxa"/>
              <w:bottom w:w="0" w:type="dxa"/>
              <w:right w:w="15" w:type="dxa"/>
            </w:tcMar>
            <w:vAlign w:val="bottom"/>
            <w:hideMark/>
          </w:tcPr>
          <w:p w14:paraId="34CBB3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B7E7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B4A771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C8C7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B92326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A589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3AB9B8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7B7EF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2B25F73" w14:textId="77777777">
        <w:trPr>
          <w:divId w:val="396712005"/>
        </w:trPr>
        <w:tc>
          <w:tcPr>
            <w:tcW w:w="3349" w:type="pct"/>
            <w:shd w:val="clear" w:color="auto" w:fill="FFFFFF"/>
            <w:tcMar>
              <w:top w:w="15" w:type="dxa"/>
              <w:left w:w="0" w:type="dxa"/>
              <w:bottom w:w="0" w:type="dxa"/>
              <w:right w:w="15" w:type="dxa"/>
            </w:tcMar>
            <w:vAlign w:val="bottom"/>
            <w:hideMark/>
          </w:tcPr>
          <w:p w14:paraId="4D6F8A3E" w14:textId="77777777" w:rsidR="00000000" w:rsidRDefault="00B8284C">
            <w:pPr>
              <w:pStyle w:val="a3"/>
              <w:spacing w:before="0" w:beforeAutospacing="0" w:after="0" w:afterAutospacing="0"/>
              <w:ind w:left="821"/>
              <w:rPr>
                <w:color w:val="000000"/>
                <w:sz w:val="20"/>
                <w:szCs w:val="20"/>
              </w:rPr>
            </w:pPr>
            <w:r>
              <w:rPr>
                <w:color w:val="000000"/>
                <w:sz w:val="20"/>
                <w:szCs w:val="20"/>
              </w:rPr>
              <w:t>Accounts receivable</w:t>
            </w:r>
          </w:p>
        </w:tc>
        <w:tc>
          <w:tcPr>
            <w:tcW w:w="81" w:type="pct"/>
            <w:shd w:val="clear" w:color="auto" w:fill="FFFFFF"/>
            <w:tcMar>
              <w:top w:w="15" w:type="dxa"/>
              <w:left w:w="0" w:type="dxa"/>
              <w:bottom w:w="0" w:type="dxa"/>
              <w:right w:w="15" w:type="dxa"/>
            </w:tcMar>
            <w:vAlign w:val="bottom"/>
            <w:hideMark/>
          </w:tcPr>
          <w:p w14:paraId="4B175D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5D08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E0E33A8" w14:textId="77777777" w:rsidR="00000000" w:rsidRDefault="00B8284C">
            <w:pPr>
              <w:pStyle w:val="a3"/>
              <w:spacing w:before="0" w:beforeAutospacing="0" w:after="0" w:afterAutospacing="0"/>
              <w:jc w:val="right"/>
              <w:rPr>
                <w:color w:val="000000"/>
                <w:sz w:val="20"/>
                <w:szCs w:val="20"/>
              </w:rPr>
            </w:pPr>
            <w:r>
              <w:rPr>
                <w:color w:val="000000"/>
                <w:sz w:val="20"/>
                <w:szCs w:val="20"/>
              </w:rPr>
              <w:t>(1,346</w:t>
            </w:r>
          </w:p>
        </w:tc>
        <w:tc>
          <w:tcPr>
            <w:tcW w:w="50" w:type="pct"/>
            <w:shd w:val="clear" w:color="auto" w:fill="FFFFFF"/>
            <w:noWrap/>
            <w:tcMar>
              <w:top w:w="15" w:type="dxa"/>
              <w:left w:w="0" w:type="dxa"/>
              <w:bottom w:w="0" w:type="dxa"/>
              <w:right w:w="15" w:type="dxa"/>
            </w:tcMar>
            <w:vAlign w:val="bottom"/>
            <w:hideMark/>
          </w:tcPr>
          <w:p w14:paraId="41E0810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5CC3EB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39D8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D39A648" w14:textId="77777777" w:rsidR="00000000" w:rsidRDefault="00B8284C">
            <w:pPr>
              <w:pStyle w:val="a3"/>
              <w:spacing w:before="0" w:beforeAutospacing="0" w:after="0" w:afterAutospacing="0"/>
              <w:jc w:val="right"/>
              <w:rPr>
                <w:color w:val="000000"/>
                <w:sz w:val="20"/>
                <w:szCs w:val="20"/>
              </w:rPr>
            </w:pPr>
            <w:r>
              <w:rPr>
                <w:color w:val="000000"/>
                <w:sz w:val="20"/>
                <w:szCs w:val="20"/>
              </w:rPr>
              <w:t>(3,266</w:t>
            </w:r>
          </w:p>
        </w:tc>
        <w:tc>
          <w:tcPr>
            <w:tcW w:w="50" w:type="pct"/>
            <w:shd w:val="clear" w:color="auto" w:fill="FFFFFF"/>
            <w:noWrap/>
            <w:tcMar>
              <w:top w:w="15" w:type="dxa"/>
              <w:left w:w="0" w:type="dxa"/>
              <w:bottom w:w="0" w:type="dxa"/>
              <w:right w:w="15" w:type="dxa"/>
            </w:tcMar>
            <w:vAlign w:val="bottom"/>
            <w:hideMark/>
          </w:tcPr>
          <w:p w14:paraId="67ACFEA8"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5E9C846B" w14:textId="77777777">
        <w:trPr>
          <w:divId w:val="396712005"/>
        </w:trPr>
        <w:tc>
          <w:tcPr>
            <w:tcW w:w="3349" w:type="pct"/>
            <w:shd w:val="clear" w:color="auto" w:fill="CFF0FC"/>
            <w:tcMar>
              <w:top w:w="15" w:type="dxa"/>
              <w:left w:w="0" w:type="dxa"/>
              <w:bottom w:w="0" w:type="dxa"/>
              <w:right w:w="15" w:type="dxa"/>
            </w:tcMar>
            <w:vAlign w:val="bottom"/>
            <w:hideMark/>
          </w:tcPr>
          <w:p w14:paraId="4004B89C" w14:textId="77777777" w:rsidR="00000000" w:rsidRDefault="00B8284C">
            <w:pPr>
              <w:pStyle w:val="a3"/>
              <w:spacing w:before="0" w:beforeAutospacing="0" w:after="0" w:afterAutospacing="0"/>
              <w:ind w:left="821"/>
              <w:rPr>
                <w:color w:val="000000"/>
                <w:sz w:val="20"/>
                <w:szCs w:val="20"/>
              </w:rPr>
            </w:pPr>
            <w:r>
              <w:rPr>
                <w:color w:val="000000"/>
                <w:sz w:val="20"/>
                <w:szCs w:val="20"/>
              </w:rPr>
              <w:t>Prepaid expenses and other assets</w:t>
            </w:r>
          </w:p>
        </w:tc>
        <w:tc>
          <w:tcPr>
            <w:tcW w:w="81" w:type="pct"/>
            <w:shd w:val="clear" w:color="auto" w:fill="CFF0FC"/>
            <w:tcMar>
              <w:top w:w="15" w:type="dxa"/>
              <w:left w:w="0" w:type="dxa"/>
              <w:bottom w:w="0" w:type="dxa"/>
              <w:right w:w="15" w:type="dxa"/>
            </w:tcMar>
            <w:vAlign w:val="bottom"/>
            <w:hideMark/>
          </w:tcPr>
          <w:p w14:paraId="102B20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7765F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C90410D" w14:textId="77777777" w:rsidR="00000000" w:rsidRDefault="00B8284C">
            <w:pPr>
              <w:pStyle w:val="a3"/>
              <w:spacing w:before="0" w:beforeAutospacing="0" w:after="0" w:afterAutospacing="0"/>
              <w:jc w:val="right"/>
              <w:rPr>
                <w:color w:val="000000"/>
                <w:sz w:val="20"/>
                <w:szCs w:val="20"/>
              </w:rPr>
            </w:pPr>
            <w:r>
              <w:rPr>
                <w:color w:val="000000"/>
                <w:sz w:val="20"/>
                <w:szCs w:val="20"/>
              </w:rPr>
              <w:t>(6,217</w:t>
            </w:r>
          </w:p>
        </w:tc>
        <w:tc>
          <w:tcPr>
            <w:tcW w:w="50" w:type="pct"/>
            <w:shd w:val="clear" w:color="auto" w:fill="CFF0FC"/>
            <w:noWrap/>
            <w:tcMar>
              <w:top w:w="15" w:type="dxa"/>
              <w:left w:w="0" w:type="dxa"/>
              <w:bottom w:w="0" w:type="dxa"/>
              <w:right w:w="15" w:type="dxa"/>
            </w:tcMar>
            <w:vAlign w:val="bottom"/>
            <w:hideMark/>
          </w:tcPr>
          <w:p w14:paraId="051C54A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2AE88F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C5577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BB862D7" w14:textId="77777777" w:rsidR="00000000" w:rsidRDefault="00B8284C">
            <w:pPr>
              <w:pStyle w:val="a3"/>
              <w:spacing w:before="0" w:beforeAutospacing="0" w:after="0" w:afterAutospacing="0"/>
              <w:jc w:val="right"/>
              <w:rPr>
                <w:color w:val="000000"/>
                <w:sz w:val="20"/>
                <w:szCs w:val="20"/>
              </w:rPr>
            </w:pPr>
            <w:r>
              <w:rPr>
                <w:color w:val="000000"/>
                <w:sz w:val="20"/>
                <w:szCs w:val="20"/>
              </w:rPr>
              <w:t>823</w:t>
            </w:r>
          </w:p>
        </w:tc>
        <w:tc>
          <w:tcPr>
            <w:tcW w:w="50" w:type="pct"/>
            <w:shd w:val="clear" w:color="auto" w:fill="CFF0FC"/>
            <w:noWrap/>
            <w:tcMar>
              <w:top w:w="15" w:type="dxa"/>
              <w:left w:w="0" w:type="dxa"/>
              <w:bottom w:w="0" w:type="dxa"/>
              <w:right w:w="15" w:type="dxa"/>
            </w:tcMar>
            <w:vAlign w:val="bottom"/>
            <w:hideMark/>
          </w:tcPr>
          <w:p w14:paraId="7BB4B54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331AE5A" w14:textId="77777777">
        <w:trPr>
          <w:divId w:val="396712005"/>
        </w:trPr>
        <w:tc>
          <w:tcPr>
            <w:tcW w:w="3349" w:type="pct"/>
            <w:shd w:val="clear" w:color="auto" w:fill="FFFFFF"/>
            <w:tcMar>
              <w:top w:w="15" w:type="dxa"/>
              <w:left w:w="0" w:type="dxa"/>
              <w:bottom w:w="0" w:type="dxa"/>
              <w:right w:w="15" w:type="dxa"/>
            </w:tcMar>
            <w:vAlign w:val="bottom"/>
            <w:hideMark/>
          </w:tcPr>
          <w:p w14:paraId="3590EC4A" w14:textId="77777777" w:rsidR="00000000" w:rsidRDefault="00B8284C">
            <w:pPr>
              <w:pStyle w:val="a3"/>
              <w:spacing w:before="0" w:beforeAutospacing="0" w:after="0" w:afterAutospacing="0"/>
              <w:ind w:left="821"/>
              <w:rPr>
                <w:color w:val="000000"/>
                <w:sz w:val="20"/>
                <w:szCs w:val="20"/>
              </w:rPr>
            </w:pPr>
            <w:r>
              <w:rPr>
                <w:color w:val="000000"/>
                <w:sz w:val="20"/>
                <w:szCs w:val="20"/>
              </w:rPr>
              <w:t>Deferred commission expense</w:t>
            </w:r>
          </w:p>
        </w:tc>
        <w:tc>
          <w:tcPr>
            <w:tcW w:w="81" w:type="pct"/>
            <w:shd w:val="clear" w:color="auto" w:fill="FFFFFF"/>
            <w:tcMar>
              <w:top w:w="15" w:type="dxa"/>
              <w:left w:w="0" w:type="dxa"/>
              <w:bottom w:w="0" w:type="dxa"/>
              <w:right w:w="15" w:type="dxa"/>
            </w:tcMar>
            <w:vAlign w:val="bottom"/>
            <w:hideMark/>
          </w:tcPr>
          <w:p w14:paraId="13C5B0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12A0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F9BD78D" w14:textId="77777777" w:rsidR="00000000" w:rsidRDefault="00B8284C">
            <w:pPr>
              <w:pStyle w:val="a3"/>
              <w:spacing w:before="0" w:beforeAutospacing="0" w:after="0" w:afterAutospacing="0"/>
              <w:jc w:val="right"/>
              <w:rPr>
                <w:color w:val="000000"/>
                <w:sz w:val="20"/>
                <w:szCs w:val="20"/>
              </w:rPr>
            </w:pPr>
            <w:r>
              <w:rPr>
                <w:color w:val="000000"/>
                <w:sz w:val="20"/>
                <w:szCs w:val="20"/>
              </w:rPr>
              <w:t>(5,551</w:t>
            </w:r>
          </w:p>
        </w:tc>
        <w:tc>
          <w:tcPr>
            <w:tcW w:w="50" w:type="pct"/>
            <w:shd w:val="clear" w:color="auto" w:fill="FFFFFF"/>
            <w:noWrap/>
            <w:tcMar>
              <w:top w:w="15" w:type="dxa"/>
              <w:left w:w="0" w:type="dxa"/>
              <w:bottom w:w="0" w:type="dxa"/>
              <w:right w:w="15" w:type="dxa"/>
            </w:tcMar>
            <w:vAlign w:val="bottom"/>
            <w:hideMark/>
          </w:tcPr>
          <w:p w14:paraId="58A91D8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6ADFA8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520C8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3B67E43" w14:textId="77777777" w:rsidR="00000000" w:rsidRDefault="00B8284C">
            <w:pPr>
              <w:pStyle w:val="a3"/>
              <w:spacing w:before="0" w:beforeAutospacing="0" w:after="0" w:afterAutospacing="0"/>
              <w:jc w:val="right"/>
              <w:rPr>
                <w:color w:val="000000"/>
                <w:sz w:val="20"/>
                <w:szCs w:val="20"/>
              </w:rPr>
            </w:pPr>
            <w:r>
              <w:rPr>
                <w:color w:val="000000"/>
                <w:sz w:val="20"/>
                <w:szCs w:val="20"/>
              </w:rPr>
              <w:t>(15,887</w:t>
            </w:r>
          </w:p>
        </w:tc>
        <w:tc>
          <w:tcPr>
            <w:tcW w:w="50" w:type="pct"/>
            <w:shd w:val="clear" w:color="auto" w:fill="FFFFFF"/>
            <w:noWrap/>
            <w:tcMar>
              <w:top w:w="15" w:type="dxa"/>
              <w:left w:w="0" w:type="dxa"/>
              <w:bottom w:w="0" w:type="dxa"/>
              <w:right w:w="15" w:type="dxa"/>
            </w:tcMar>
            <w:vAlign w:val="bottom"/>
            <w:hideMark/>
          </w:tcPr>
          <w:p w14:paraId="6B16C287"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758215F4" w14:textId="77777777">
        <w:trPr>
          <w:divId w:val="396712005"/>
        </w:trPr>
        <w:tc>
          <w:tcPr>
            <w:tcW w:w="3349" w:type="pct"/>
            <w:shd w:val="clear" w:color="auto" w:fill="CFF0FC"/>
            <w:tcMar>
              <w:top w:w="15" w:type="dxa"/>
              <w:left w:w="0" w:type="dxa"/>
              <w:bottom w:w="0" w:type="dxa"/>
              <w:right w:w="15" w:type="dxa"/>
            </w:tcMar>
            <w:vAlign w:val="bottom"/>
            <w:hideMark/>
          </w:tcPr>
          <w:p w14:paraId="03FA8F89" w14:textId="77777777" w:rsidR="00000000" w:rsidRDefault="00B8284C">
            <w:pPr>
              <w:pStyle w:val="a3"/>
              <w:spacing w:before="0" w:beforeAutospacing="0" w:after="0" w:afterAutospacing="0"/>
              <w:ind w:left="821"/>
              <w:rPr>
                <w:color w:val="000000"/>
                <w:sz w:val="20"/>
                <w:szCs w:val="20"/>
              </w:rPr>
            </w:pPr>
            <w:r>
              <w:rPr>
                <w:color w:val="000000"/>
                <w:sz w:val="20"/>
                <w:szCs w:val="20"/>
              </w:rPr>
              <w:t>Right-of-use assets</w:t>
            </w:r>
          </w:p>
        </w:tc>
        <w:tc>
          <w:tcPr>
            <w:tcW w:w="81" w:type="pct"/>
            <w:shd w:val="clear" w:color="auto" w:fill="CFF0FC"/>
            <w:tcMar>
              <w:top w:w="15" w:type="dxa"/>
              <w:left w:w="0" w:type="dxa"/>
              <w:bottom w:w="0" w:type="dxa"/>
              <w:right w:w="15" w:type="dxa"/>
            </w:tcMar>
            <w:vAlign w:val="bottom"/>
            <w:hideMark/>
          </w:tcPr>
          <w:p w14:paraId="3E61304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8595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CB48A62" w14:textId="77777777" w:rsidR="00000000" w:rsidRDefault="00B8284C">
            <w:pPr>
              <w:pStyle w:val="a3"/>
              <w:spacing w:before="0" w:beforeAutospacing="0" w:after="0" w:afterAutospacing="0"/>
              <w:jc w:val="right"/>
              <w:rPr>
                <w:color w:val="000000"/>
                <w:sz w:val="20"/>
                <w:szCs w:val="20"/>
              </w:rPr>
            </w:pPr>
            <w:r>
              <w:rPr>
                <w:color w:val="000000"/>
                <w:sz w:val="20"/>
                <w:szCs w:val="20"/>
              </w:rPr>
              <w:t>14,310</w:t>
            </w:r>
          </w:p>
        </w:tc>
        <w:tc>
          <w:tcPr>
            <w:tcW w:w="50" w:type="pct"/>
            <w:shd w:val="clear" w:color="auto" w:fill="CFF0FC"/>
            <w:noWrap/>
            <w:tcMar>
              <w:top w:w="15" w:type="dxa"/>
              <w:left w:w="0" w:type="dxa"/>
              <w:bottom w:w="0" w:type="dxa"/>
              <w:right w:w="15" w:type="dxa"/>
            </w:tcMar>
            <w:vAlign w:val="bottom"/>
            <w:hideMark/>
          </w:tcPr>
          <w:p w14:paraId="652DD04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99D202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E7F7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D156A75"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9A1F6B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7EA0AF0" w14:textId="77777777">
        <w:trPr>
          <w:divId w:val="396712005"/>
        </w:trPr>
        <w:tc>
          <w:tcPr>
            <w:tcW w:w="3349" w:type="pct"/>
            <w:shd w:val="clear" w:color="auto" w:fill="FFFFFF"/>
            <w:tcMar>
              <w:top w:w="15" w:type="dxa"/>
              <w:left w:w="0" w:type="dxa"/>
              <w:bottom w:w="0" w:type="dxa"/>
              <w:right w:w="15" w:type="dxa"/>
            </w:tcMar>
            <w:vAlign w:val="bottom"/>
            <w:hideMark/>
          </w:tcPr>
          <w:p w14:paraId="1A91252F" w14:textId="77777777" w:rsidR="00000000" w:rsidRDefault="00B8284C">
            <w:pPr>
              <w:pStyle w:val="a3"/>
              <w:spacing w:before="0" w:beforeAutospacing="0" w:after="0" w:afterAutospacing="0"/>
              <w:ind w:left="821"/>
              <w:rPr>
                <w:color w:val="000000"/>
                <w:sz w:val="20"/>
                <w:szCs w:val="20"/>
              </w:rPr>
            </w:pPr>
            <w:r>
              <w:rPr>
                <w:color w:val="000000"/>
                <w:sz w:val="20"/>
                <w:szCs w:val="20"/>
              </w:rPr>
              <w:t>Accounts payable</w:t>
            </w:r>
          </w:p>
        </w:tc>
        <w:tc>
          <w:tcPr>
            <w:tcW w:w="81" w:type="pct"/>
            <w:shd w:val="clear" w:color="auto" w:fill="FFFFFF"/>
            <w:tcMar>
              <w:top w:w="15" w:type="dxa"/>
              <w:left w:w="0" w:type="dxa"/>
              <w:bottom w:w="0" w:type="dxa"/>
              <w:right w:w="15" w:type="dxa"/>
            </w:tcMar>
            <w:vAlign w:val="bottom"/>
            <w:hideMark/>
          </w:tcPr>
          <w:p w14:paraId="4D4C332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52FFA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E27D656" w14:textId="77777777" w:rsidR="00000000" w:rsidRDefault="00B8284C">
            <w:pPr>
              <w:pStyle w:val="a3"/>
              <w:spacing w:before="0" w:beforeAutospacing="0" w:after="0" w:afterAutospacing="0"/>
              <w:jc w:val="right"/>
              <w:rPr>
                <w:color w:val="000000"/>
                <w:sz w:val="20"/>
                <w:szCs w:val="20"/>
              </w:rPr>
            </w:pPr>
            <w:r>
              <w:rPr>
                <w:color w:val="000000"/>
                <w:sz w:val="20"/>
                <w:szCs w:val="20"/>
              </w:rPr>
              <w:t>6,195</w:t>
            </w:r>
          </w:p>
        </w:tc>
        <w:tc>
          <w:tcPr>
            <w:tcW w:w="50" w:type="pct"/>
            <w:shd w:val="clear" w:color="auto" w:fill="FFFFFF"/>
            <w:noWrap/>
            <w:tcMar>
              <w:top w:w="15" w:type="dxa"/>
              <w:left w:w="0" w:type="dxa"/>
              <w:bottom w:w="0" w:type="dxa"/>
              <w:right w:w="15" w:type="dxa"/>
            </w:tcMar>
            <w:vAlign w:val="bottom"/>
            <w:hideMark/>
          </w:tcPr>
          <w:p w14:paraId="49565B2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0F41D6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187B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65794A2" w14:textId="77777777" w:rsidR="00000000" w:rsidRDefault="00B8284C">
            <w:pPr>
              <w:pStyle w:val="a3"/>
              <w:spacing w:before="0" w:beforeAutospacing="0" w:after="0" w:afterAutospacing="0"/>
              <w:jc w:val="right"/>
              <w:rPr>
                <w:color w:val="000000"/>
                <w:sz w:val="20"/>
                <w:szCs w:val="20"/>
              </w:rPr>
            </w:pPr>
            <w:r>
              <w:rPr>
                <w:color w:val="000000"/>
                <w:sz w:val="20"/>
                <w:szCs w:val="20"/>
              </w:rPr>
              <w:t>4,262</w:t>
            </w:r>
          </w:p>
        </w:tc>
        <w:tc>
          <w:tcPr>
            <w:tcW w:w="50" w:type="pct"/>
            <w:shd w:val="clear" w:color="auto" w:fill="FFFFFF"/>
            <w:noWrap/>
            <w:tcMar>
              <w:top w:w="15" w:type="dxa"/>
              <w:left w:w="0" w:type="dxa"/>
              <w:bottom w:w="0" w:type="dxa"/>
              <w:right w:w="15" w:type="dxa"/>
            </w:tcMar>
            <w:vAlign w:val="bottom"/>
            <w:hideMark/>
          </w:tcPr>
          <w:p w14:paraId="28EDDAA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A3BCA8F" w14:textId="77777777">
        <w:trPr>
          <w:divId w:val="396712005"/>
        </w:trPr>
        <w:tc>
          <w:tcPr>
            <w:tcW w:w="3349" w:type="pct"/>
            <w:shd w:val="clear" w:color="auto" w:fill="CFF0FC"/>
            <w:tcMar>
              <w:top w:w="15" w:type="dxa"/>
              <w:left w:w="0" w:type="dxa"/>
              <w:bottom w:w="0" w:type="dxa"/>
              <w:right w:w="15" w:type="dxa"/>
            </w:tcMar>
            <w:vAlign w:val="bottom"/>
            <w:hideMark/>
          </w:tcPr>
          <w:p w14:paraId="78B283F5" w14:textId="77777777" w:rsidR="00000000" w:rsidRDefault="00B8284C">
            <w:pPr>
              <w:pStyle w:val="a3"/>
              <w:spacing w:before="0" w:beforeAutospacing="0" w:after="0" w:afterAutospacing="0"/>
              <w:ind w:left="821"/>
              <w:rPr>
                <w:color w:val="000000"/>
                <w:sz w:val="20"/>
                <w:szCs w:val="20"/>
              </w:rPr>
            </w:pPr>
            <w:r>
              <w:rPr>
                <w:color w:val="000000"/>
                <w:sz w:val="20"/>
                <w:szCs w:val="20"/>
              </w:rPr>
              <w:t>Accrued expenses and other liabilities</w:t>
            </w:r>
          </w:p>
        </w:tc>
        <w:tc>
          <w:tcPr>
            <w:tcW w:w="81" w:type="pct"/>
            <w:shd w:val="clear" w:color="auto" w:fill="CFF0FC"/>
            <w:tcMar>
              <w:top w:w="15" w:type="dxa"/>
              <w:left w:w="0" w:type="dxa"/>
              <w:bottom w:w="0" w:type="dxa"/>
              <w:right w:w="15" w:type="dxa"/>
            </w:tcMar>
            <w:vAlign w:val="bottom"/>
            <w:hideMark/>
          </w:tcPr>
          <w:p w14:paraId="737D47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3F83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7AAC0A4" w14:textId="77777777" w:rsidR="00000000" w:rsidRDefault="00B8284C">
            <w:pPr>
              <w:pStyle w:val="a3"/>
              <w:spacing w:before="0" w:beforeAutospacing="0" w:after="0" w:afterAutospacing="0"/>
              <w:jc w:val="right"/>
              <w:rPr>
                <w:color w:val="000000"/>
                <w:sz w:val="20"/>
                <w:szCs w:val="20"/>
              </w:rPr>
            </w:pPr>
            <w:r>
              <w:rPr>
                <w:color w:val="000000"/>
                <w:sz w:val="20"/>
                <w:szCs w:val="20"/>
              </w:rPr>
              <w:t>955</w:t>
            </w:r>
          </w:p>
        </w:tc>
        <w:tc>
          <w:tcPr>
            <w:tcW w:w="50" w:type="pct"/>
            <w:shd w:val="clear" w:color="auto" w:fill="CFF0FC"/>
            <w:noWrap/>
            <w:tcMar>
              <w:top w:w="15" w:type="dxa"/>
              <w:left w:w="0" w:type="dxa"/>
              <w:bottom w:w="0" w:type="dxa"/>
              <w:right w:w="15" w:type="dxa"/>
            </w:tcMar>
            <w:vAlign w:val="bottom"/>
            <w:hideMark/>
          </w:tcPr>
          <w:p w14:paraId="5CAD09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559113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F6E70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F0A45F9" w14:textId="77777777" w:rsidR="00000000" w:rsidRDefault="00B8284C">
            <w:pPr>
              <w:pStyle w:val="a3"/>
              <w:spacing w:before="0" w:beforeAutospacing="0" w:after="0" w:afterAutospacing="0"/>
              <w:jc w:val="right"/>
              <w:rPr>
                <w:color w:val="000000"/>
                <w:sz w:val="20"/>
                <w:szCs w:val="20"/>
              </w:rPr>
            </w:pPr>
            <w:r>
              <w:rPr>
                <w:color w:val="000000"/>
                <w:sz w:val="20"/>
                <w:szCs w:val="20"/>
              </w:rPr>
              <w:t>3,755</w:t>
            </w:r>
          </w:p>
        </w:tc>
        <w:tc>
          <w:tcPr>
            <w:tcW w:w="50" w:type="pct"/>
            <w:shd w:val="clear" w:color="auto" w:fill="CFF0FC"/>
            <w:noWrap/>
            <w:tcMar>
              <w:top w:w="15" w:type="dxa"/>
              <w:left w:w="0" w:type="dxa"/>
              <w:bottom w:w="0" w:type="dxa"/>
              <w:right w:w="15" w:type="dxa"/>
            </w:tcMar>
            <w:vAlign w:val="bottom"/>
            <w:hideMark/>
          </w:tcPr>
          <w:p w14:paraId="082B251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4428B9C" w14:textId="77777777">
        <w:trPr>
          <w:divId w:val="396712005"/>
        </w:trPr>
        <w:tc>
          <w:tcPr>
            <w:tcW w:w="3349" w:type="pct"/>
            <w:shd w:val="clear" w:color="auto" w:fill="FFFFFF"/>
            <w:tcMar>
              <w:top w:w="15" w:type="dxa"/>
              <w:left w:w="0" w:type="dxa"/>
              <w:bottom w:w="0" w:type="dxa"/>
              <w:right w:w="15" w:type="dxa"/>
            </w:tcMar>
            <w:vAlign w:val="bottom"/>
            <w:hideMark/>
          </w:tcPr>
          <w:p w14:paraId="62D6C7E8" w14:textId="77777777" w:rsidR="00000000" w:rsidRDefault="00B8284C">
            <w:pPr>
              <w:pStyle w:val="a3"/>
              <w:spacing w:before="0" w:beforeAutospacing="0" w:after="0" w:afterAutospacing="0"/>
              <w:ind w:left="821"/>
              <w:rPr>
                <w:color w:val="000000"/>
                <w:sz w:val="20"/>
                <w:szCs w:val="20"/>
              </w:rPr>
            </w:pPr>
            <w:r>
              <w:rPr>
                <w:color w:val="000000"/>
                <w:sz w:val="20"/>
                <w:szCs w:val="20"/>
              </w:rPr>
              <w:t>Lease liabilities</w:t>
            </w:r>
          </w:p>
        </w:tc>
        <w:tc>
          <w:tcPr>
            <w:tcW w:w="81" w:type="pct"/>
            <w:shd w:val="clear" w:color="auto" w:fill="FFFFFF"/>
            <w:tcMar>
              <w:top w:w="15" w:type="dxa"/>
              <w:left w:w="0" w:type="dxa"/>
              <w:bottom w:w="0" w:type="dxa"/>
              <w:right w:w="15" w:type="dxa"/>
            </w:tcMar>
            <w:vAlign w:val="bottom"/>
            <w:hideMark/>
          </w:tcPr>
          <w:p w14:paraId="64C008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05266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E9EB7F2" w14:textId="77777777" w:rsidR="00000000" w:rsidRDefault="00B8284C">
            <w:pPr>
              <w:pStyle w:val="a3"/>
              <w:spacing w:before="0" w:beforeAutospacing="0" w:after="0" w:afterAutospacing="0"/>
              <w:jc w:val="right"/>
              <w:rPr>
                <w:color w:val="000000"/>
                <w:sz w:val="20"/>
                <w:szCs w:val="20"/>
              </w:rPr>
            </w:pPr>
            <w:r>
              <w:rPr>
                <w:color w:val="000000"/>
                <w:sz w:val="20"/>
                <w:szCs w:val="20"/>
              </w:rPr>
              <w:t>(14,788</w:t>
            </w:r>
          </w:p>
        </w:tc>
        <w:tc>
          <w:tcPr>
            <w:tcW w:w="50" w:type="pct"/>
            <w:shd w:val="clear" w:color="auto" w:fill="FFFFFF"/>
            <w:noWrap/>
            <w:tcMar>
              <w:top w:w="15" w:type="dxa"/>
              <w:left w:w="0" w:type="dxa"/>
              <w:bottom w:w="0" w:type="dxa"/>
              <w:right w:w="15" w:type="dxa"/>
            </w:tcMar>
            <w:vAlign w:val="bottom"/>
            <w:hideMark/>
          </w:tcPr>
          <w:p w14:paraId="2A03B52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6B4964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B17DB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9309027"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716E45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C1C315F" w14:textId="77777777">
        <w:trPr>
          <w:divId w:val="396712005"/>
        </w:trPr>
        <w:tc>
          <w:tcPr>
            <w:tcW w:w="3349" w:type="pct"/>
            <w:shd w:val="clear" w:color="auto" w:fill="CFF0FC"/>
            <w:tcMar>
              <w:top w:w="15" w:type="dxa"/>
              <w:left w:w="0" w:type="dxa"/>
              <w:bottom w:w="0" w:type="dxa"/>
              <w:right w:w="15" w:type="dxa"/>
            </w:tcMar>
            <w:vAlign w:val="bottom"/>
            <w:hideMark/>
          </w:tcPr>
          <w:p w14:paraId="17F2CDBF" w14:textId="77777777" w:rsidR="00000000" w:rsidRDefault="00B8284C">
            <w:pPr>
              <w:pStyle w:val="a3"/>
              <w:spacing w:before="0" w:beforeAutospacing="0" w:after="0" w:afterAutospacing="0"/>
              <w:ind w:left="821"/>
              <w:rPr>
                <w:color w:val="000000"/>
                <w:sz w:val="20"/>
                <w:szCs w:val="20"/>
              </w:rPr>
            </w:pPr>
            <w:r>
              <w:rPr>
                <w:color w:val="000000"/>
                <w:sz w:val="20"/>
                <w:szCs w:val="20"/>
              </w:rPr>
              <w:t>Deferred rent</w:t>
            </w:r>
          </w:p>
        </w:tc>
        <w:tc>
          <w:tcPr>
            <w:tcW w:w="81" w:type="pct"/>
            <w:shd w:val="clear" w:color="auto" w:fill="CFF0FC"/>
            <w:tcMar>
              <w:top w:w="15" w:type="dxa"/>
              <w:left w:w="0" w:type="dxa"/>
              <w:bottom w:w="0" w:type="dxa"/>
              <w:right w:w="15" w:type="dxa"/>
            </w:tcMar>
            <w:vAlign w:val="bottom"/>
            <w:hideMark/>
          </w:tcPr>
          <w:p w14:paraId="58CBC55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5E9A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44EC9E7"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DA49D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F3278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361F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D679D49" w14:textId="77777777" w:rsidR="00000000" w:rsidRDefault="00B8284C">
            <w:pPr>
              <w:pStyle w:val="a3"/>
              <w:spacing w:before="0" w:beforeAutospacing="0" w:after="0" w:afterAutospacing="0"/>
              <w:jc w:val="right"/>
              <w:rPr>
                <w:color w:val="000000"/>
                <w:sz w:val="20"/>
                <w:szCs w:val="20"/>
              </w:rPr>
            </w:pPr>
            <w:r>
              <w:rPr>
                <w:color w:val="000000"/>
                <w:sz w:val="20"/>
                <w:szCs w:val="20"/>
              </w:rPr>
              <w:t>3,987</w:t>
            </w:r>
          </w:p>
        </w:tc>
        <w:tc>
          <w:tcPr>
            <w:tcW w:w="50" w:type="pct"/>
            <w:shd w:val="clear" w:color="auto" w:fill="CFF0FC"/>
            <w:noWrap/>
            <w:tcMar>
              <w:top w:w="15" w:type="dxa"/>
              <w:left w:w="0" w:type="dxa"/>
              <w:bottom w:w="0" w:type="dxa"/>
              <w:right w:w="15" w:type="dxa"/>
            </w:tcMar>
            <w:vAlign w:val="bottom"/>
            <w:hideMark/>
          </w:tcPr>
          <w:p w14:paraId="5B09A56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278BDB0" w14:textId="77777777">
        <w:trPr>
          <w:divId w:val="396712005"/>
        </w:trPr>
        <w:tc>
          <w:tcPr>
            <w:tcW w:w="3349" w:type="pct"/>
            <w:shd w:val="clear" w:color="auto" w:fill="FFFFFF"/>
            <w:tcMar>
              <w:top w:w="15" w:type="dxa"/>
              <w:left w:w="0" w:type="dxa"/>
              <w:bottom w:w="0" w:type="dxa"/>
              <w:right w:w="15" w:type="dxa"/>
            </w:tcMar>
            <w:vAlign w:val="bottom"/>
            <w:hideMark/>
          </w:tcPr>
          <w:p w14:paraId="009EDD23" w14:textId="77777777" w:rsidR="00000000" w:rsidRDefault="00B8284C">
            <w:pPr>
              <w:pStyle w:val="a3"/>
              <w:spacing w:before="0" w:beforeAutospacing="0" w:after="0" w:afterAutospacing="0"/>
              <w:ind w:left="821"/>
              <w:rPr>
                <w:color w:val="000000"/>
                <w:sz w:val="20"/>
                <w:szCs w:val="20"/>
              </w:rPr>
            </w:pPr>
            <w:r>
              <w:rPr>
                <w:color w:val="000000"/>
                <w:sz w:val="20"/>
                <w:szCs w:val="20"/>
              </w:rPr>
              <w:t>Deferred revenue</w:t>
            </w:r>
          </w:p>
        </w:tc>
        <w:tc>
          <w:tcPr>
            <w:tcW w:w="81" w:type="pct"/>
            <w:shd w:val="clear" w:color="auto" w:fill="FFFFFF"/>
            <w:tcMar>
              <w:top w:w="15" w:type="dxa"/>
              <w:left w:w="0" w:type="dxa"/>
              <w:bottom w:w="0" w:type="dxa"/>
              <w:right w:w="15" w:type="dxa"/>
            </w:tcMar>
            <w:vAlign w:val="bottom"/>
            <w:hideMark/>
          </w:tcPr>
          <w:p w14:paraId="6996301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1C02B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45606FF" w14:textId="77777777" w:rsidR="00000000" w:rsidRDefault="00B8284C">
            <w:pPr>
              <w:pStyle w:val="a3"/>
              <w:spacing w:before="0" w:beforeAutospacing="0" w:after="0" w:afterAutospacing="0"/>
              <w:jc w:val="right"/>
              <w:rPr>
                <w:color w:val="000000"/>
                <w:sz w:val="20"/>
                <w:szCs w:val="20"/>
              </w:rPr>
            </w:pPr>
            <w:r>
              <w:rPr>
                <w:color w:val="000000"/>
                <w:sz w:val="20"/>
                <w:szCs w:val="20"/>
              </w:rPr>
              <w:t>20,910</w:t>
            </w:r>
          </w:p>
        </w:tc>
        <w:tc>
          <w:tcPr>
            <w:tcW w:w="50" w:type="pct"/>
            <w:shd w:val="clear" w:color="auto" w:fill="FFFFFF"/>
            <w:noWrap/>
            <w:tcMar>
              <w:top w:w="15" w:type="dxa"/>
              <w:left w:w="0" w:type="dxa"/>
              <w:bottom w:w="0" w:type="dxa"/>
              <w:right w:w="15" w:type="dxa"/>
            </w:tcMar>
            <w:vAlign w:val="bottom"/>
            <w:hideMark/>
          </w:tcPr>
          <w:p w14:paraId="735719C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F841F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B3FE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262D40B4" w14:textId="77777777" w:rsidR="00000000" w:rsidRDefault="00B8284C">
            <w:pPr>
              <w:pStyle w:val="a3"/>
              <w:spacing w:before="0" w:beforeAutospacing="0" w:after="0" w:afterAutospacing="0"/>
              <w:jc w:val="right"/>
              <w:rPr>
                <w:color w:val="000000"/>
                <w:sz w:val="20"/>
                <w:szCs w:val="20"/>
              </w:rPr>
            </w:pPr>
            <w:r>
              <w:rPr>
                <w:color w:val="000000"/>
                <w:sz w:val="20"/>
                <w:szCs w:val="20"/>
              </w:rPr>
              <w:t>25,713</w:t>
            </w:r>
          </w:p>
        </w:tc>
        <w:tc>
          <w:tcPr>
            <w:tcW w:w="50" w:type="pct"/>
            <w:shd w:val="clear" w:color="auto" w:fill="FFFFFF"/>
            <w:noWrap/>
            <w:tcMar>
              <w:top w:w="15" w:type="dxa"/>
              <w:left w:w="0" w:type="dxa"/>
              <w:bottom w:w="0" w:type="dxa"/>
              <w:right w:w="15" w:type="dxa"/>
            </w:tcMar>
            <w:vAlign w:val="bottom"/>
            <w:hideMark/>
          </w:tcPr>
          <w:p w14:paraId="31180B5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E211109" w14:textId="77777777">
        <w:trPr>
          <w:divId w:val="396712005"/>
        </w:trPr>
        <w:tc>
          <w:tcPr>
            <w:tcW w:w="3349" w:type="pct"/>
            <w:shd w:val="clear" w:color="auto" w:fill="CFF0FC"/>
            <w:tcMar>
              <w:top w:w="15" w:type="dxa"/>
              <w:left w:w="0" w:type="dxa"/>
              <w:bottom w:w="0" w:type="dxa"/>
              <w:right w:w="15" w:type="dxa"/>
            </w:tcMar>
            <w:vAlign w:val="bottom"/>
            <w:hideMark/>
          </w:tcPr>
          <w:p w14:paraId="6D11C6AD" w14:textId="77777777" w:rsidR="00000000" w:rsidRDefault="00B8284C">
            <w:pPr>
              <w:pStyle w:val="a3"/>
              <w:spacing w:before="0" w:beforeAutospacing="0" w:after="0" w:afterAutospacing="0"/>
              <w:ind w:left="1094"/>
              <w:rPr>
                <w:color w:val="000000"/>
                <w:sz w:val="20"/>
                <w:szCs w:val="20"/>
              </w:rPr>
            </w:pPr>
            <w:r>
              <w:rPr>
                <w:color w:val="000000"/>
                <w:sz w:val="20"/>
                <w:szCs w:val="20"/>
              </w:rPr>
              <w:t>Net cash and cash equivalents provided by operating activities</w:t>
            </w:r>
          </w:p>
        </w:tc>
        <w:tc>
          <w:tcPr>
            <w:tcW w:w="81" w:type="pct"/>
            <w:shd w:val="clear" w:color="auto" w:fill="CFF0FC"/>
            <w:tcMar>
              <w:top w:w="15" w:type="dxa"/>
              <w:left w:w="0" w:type="dxa"/>
              <w:bottom w:w="0" w:type="dxa"/>
              <w:right w:w="15" w:type="dxa"/>
            </w:tcMar>
            <w:vAlign w:val="bottom"/>
            <w:hideMark/>
          </w:tcPr>
          <w:p w14:paraId="5DFFCE7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9A0802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D601DBF" w14:textId="77777777" w:rsidR="00000000" w:rsidRDefault="00B8284C">
            <w:pPr>
              <w:pStyle w:val="a3"/>
              <w:spacing w:before="0" w:beforeAutospacing="0" w:after="0" w:afterAutospacing="0"/>
              <w:jc w:val="right"/>
              <w:rPr>
                <w:color w:val="000000"/>
                <w:sz w:val="20"/>
                <w:szCs w:val="20"/>
              </w:rPr>
            </w:pPr>
            <w:r>
              <w:rPr>
                <w:color w:val="000000"/>
                <w:sz w:val="20"/>
                <w:szCs w:val="20"/>
              </w:rPr>
              <w:t>71,082</w:t>
            </w:r>
          </w:p>
        </w:tc>
        <w:tc>
          <w:tcPr>
            <w:tcW w:w="50" w:type="pct"/>
            <w:shd w:val="clear" w:color="auto" w:fill="CFF0FC"/>
            <w:noWrap/>
            <w:tcMar>
              <w:top w:w="15" w:type="dxa"/>
              <w:left w:w="0" w:type="dxa"/>
              <w:bottom w:w="0" w:type="dxa"/>
              <w:right w:w="15" w:type="dxa"/>
            </w:tcMar>
            <w:vAlign w:val="bottom"/>
            <w:hideMark/>
          </w:tcPr>
          <w:p w14:paraId="4B62053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A6F379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7B3AA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28F1ED7" w14:textId="77777777" w:rsidR="00000000" w:rsidRDefault="00B8284C">
            <w:pPr>
              <w:pStyle w:val="a3"/>
              <w:spacing w:before="0" w:beforeAutospacing="0" w:after="0" w:afterAutospacing="0"/>
              <w:jc w:val="right"/>
              <w:rPr>
                <w:color w:val="000000"/>
                <w:sz w:val="20"/>
                <w:szCs w:val="20"/>
              </w:rPr>
            </w:pPr>
            <w:r>
              <w:rPr>
                <w:color w:val="000000"/>
                <w:sz w:val="20"/>
                <w:szCs w:val="20"/>
              </w:rPr>
              <w:t>51,740</w:t>
            </w:r>
          </w:p>
        </w:tc>
        <w:tc>
          <w:tcPr>
            <w:tcW w:w="50" w:type="pct"/>
            <w:shd w:val="clear" w:color="auto" w:fill="CFF0FC"/>
            <w:noWrap/>
            <w:tcMar>
              <w:top w:w="15" w:type="dxa"/>
              <w:left w:w="0" w:type="dxa"/>
              <w:bottom w:w="0" w:type="dxa"/>
              <w:right w:w="15" w:type="dxa"/>
            </w:tcMar>
            <w:vAlign w:val="bottom"/>
            <w:hideMark/>
          </w:tcPr>
          <w:p w14:paraId="779F1CC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D2EA2DE" w14:textId="77777777">
        <w:trPr>
          <w:divId w:val="396712005"/>
        </w:trPr>
        <w:tc>
          <w:tcPr>
            <w:tcW w:w="3349" w:type="pct"/>
            <w:shd w:val="clear" w:color="auto" w:fill="FFFFFF"/>
            <w:tcMar>
              <w:top w:w="15" w:type="dxa"/>
              <w:left w:w="0" w:type="dxa"/>
              <w:bottom w:w="0" w:type="dxa"/>
              <w:right w:w="15" w:type="dxa"/>
            </w:tcMar>
            <w:vAlign w:val="bottom"/>
            <w:hideMark/>
          </w:tcPr>
          <w:p w14:paraId="45974609" w14:textId="77777777" w:rsidR="00000000" w:rsidRDefault="00B8284C">
            <w:pPr>
              <w:pStyle w:val="a3"/>
              <w:spacing w:before="0" w:beforeAutospacing="0" w:after="0" w:afterAutospacing="0"/>
              <w:rPr>
                <w:b/>
                <w:bCs/>
                <w:color w:val="000000"/>
                <w:sz w:val="20"/>
                <w:szCs w:val="20"/>
              </w:rPr>
            </w:pPr>
            <w:r>
              <w:rPr>
                <w:b/>
                <w:bCs/>
                <w:color w:val="000000"/>
                <w:sz w:val="20"/>
                <w:szCs w:val="20"/>
              </w:rPr>
              <w:t>Investing Activities:</w:t>
            </w:r>
          </w:p>
        </w:tc>
        <w:tc>
          <w:tcPr>
            <w:tcW w:w="81" w:type="pct"/>
            <w:shd w:val="clear" w:color="auto" w:fill="FFFFFF"/>
            <w:tcMar>
              <w:top w:w="15" w:type="dxa"/>
              <w:left w:w="0" w:type="dxa"/>
              <w:bottom w:w="0" w:type="dxa"/>
              <w:right w:w="15" w:type="dxa"/>
            </w:tcMar>
            <w:vAlign w:val="bottom"/>
            <w:hideMark/>
          </w:tcPr>
          <w:p w14:paraId="576690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4CFBC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008EF59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70452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9198B7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40900B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486DDEB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06426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F942ABE" w14:textId="77777777">
        <w:trPr>
          <w:divId w:val="396712005"/>
        </w:trPr>
        <w:tc>
          <w:tcPr>
            <w:tcW w:w="3349" w:type="pct"/>
            <w:shd w:val="clear" w:color="auto" w:fill="CFF0FC"/>
            <w:tcMar>
              <w:top w:w="15" w:type="dxa"/>
              <w:left w:w="0" w:type="dxa"/>
              <w:bottom w:w="0" w:type="dxa"/>
              <w:right w:w="15" w:type="dxa"/>
            </w:tcMar>
            <w:vAlign w:val="bottom"/>
            <w:hideMark/>
          </w:tcPr>
          <w:p w14:paraId="212AE7A1" w14:textId="77777777" w:rsidR="00000000" w:rsidRDefault="00B8284C">
            <w:pPr>
              <w:pStyle w:val="a3"/>
              <w:spacing w:before="0" w:beforeAutospacing="0" w:after="0" w:afterAutospacing="0"/>
              <w:ind w:left="274"/>
              <w:rPr>
                <w:color w:val="000000"/>
                <w:sz w:val="20"/>
                <w:szCs w:val="20"/>
              </w:rPr>
            </w:pPr>
            <w:r>
              <w:rPr>
                <w:color w:val="000000"/>
                <w:sz w:val="20"/>
                <w:szCs w:val="20"/>
              </w:rPr>
              <w:t>Purchases of investments</w:t>
            </w:r>
          </w:p>
        </w:tc>
        <w:tc>
          <w:tcPr>
            <w:tcW w:w="81" w:type="pct"/>
            <w:shd w:val="clear" w:color="auto" w:fill="CFF0FC"/>
            <w:tcMar>
              <w:top w:w="15" w:type="dxa"/>
              <w:left w:w="0" w:type="dxa"/>
              <w:bottom w:w="0" w:type="dxa"/>
              <w:right w:w="15" w:type="dxa"/>
            </w:tcMar>
            <w:vAlign w:val="bottom"/>
            <w:hideMark/>
          </w:tcPr>
          <w:p w14:paraId="0604E2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65DEA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31A406B" w14:textId="77777777" w:rsidR="00000000" w:rsidRDefault="00B8284C">
            <w:pPr>
              <w:pStyle w:val="a3"/>
              <w:spacing w:before="0" w:beforeAutospacing="0" w:after="0" w:afterAutospacing="0"/>
              <w:jc w:val="right"/>
              <w:rPr>
                <w:color w:val="000000"/>
                <w:sz w:val="20"/>
                <w:szCs w:val="20"/>
              </w:rPr>
            </w:pPr>
            <w:r>
              <w:rPr>
                <w:color w:val="000000"/>
                <w:sz w:val="20"/>
                <w:szCs w:val="20"/>
              </w:rPr>
              <w:t>(967,994</w:t>
            </w:r>
          </w:p>
        </w:tc>
        <w:tc>
          <w:tcPr>
            <w:tcW w:w="50" w:type="pct"/>
            <w:shd w:val="clear" w:color="auto" w:fill="CFF0FC"/>
            <w:noWrap/>
            <w:tcMar>
              <w:top w:w="15" w:type="dxa"/>
              <w:left w:w="0" w:type="dxa"/>
              <w:bottom w:w="0" w:type="dxa"/>
              <w:right w:w="15" w:type="dxa"/>
            </w:tcMar>
            <w:vAlign w:val="bottom"/>
            <w:hideMark/>
          </w:tcPr>
          <w:p w14:paraId="31262DB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20B4FEC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9EF9B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FDE26F7" w14:textId="77777777" w:rsidR="00000000" w:rsidRDefault="00B8284C">
            <w:pPr>
              <w:pStyle w:val="a3"/>
              <w:spacing w:before="0" w:beforeAutospacing="0" w:after="0" w:afterAutospacing="0"/>
              <w:jc w:val="right"/>
              <w:rPr>
                <w:color w:val="000000"/>
                <w:sz w:val="20"/>
                <w:szCs w:val="20"/>
              </w:rPr>
            </w:pPr>
            <w:r>
              <w:rPr>
                <w:color w:val="000000"/>
                <w:sz w:val="20"/>
                <w:szCs w:val="20"/>
              </w:rPr>
              <w:t>(524,838</w:t>
            </w:r>
          </w:p>
        </w:tc>
        <w:tc>
          <w:tcPr>
            <w:tcW w:w="50" w:type="pct"/>
            <w:shd w:val="clear" w:color="auto" w:fill="CFF0FC"/>
            <w:noWrap/>
            <w:tcMar>
              <w:top w:w="15" w:type="dxa"/>
              <w:left w:w="0" w:type="dxa"/>
              <w:bottom w:w="0" w:type="dxa"/>
              <w:right w:w="15" w:type="dxa"/>
            </w:tcMar>
            <w:vAlign w:val="bottom"/>
            <w:hideMark/>
          </w:tcPr>
          <w:p w14:paraId="28898A87"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798A107B" w14:textId="77777777">
        <w:trPr>
          <w:divId w:val="396712005"/>
        </w:trPr>
        <w:tc>
          <w:tcPr>
            <w:tcW w:w="3349" w:type="pct"/>
            <w:shd w:val="clear" w:color="auto" w:fill="FFFFFF"/>
            <w:tcMar>
              <w:top w:w="15" w:type="dxa"/>
              <w:left w:w="0" w:type="dxa"/>
              <w:bottom w:w="0" w:type="dxa"/>
              <w:right w:w="15" w:type="dxa"/>
            </w:tcMar>
            <w:vAlign w:val="bottom"/>
            <w:hideMark/>
          </w:tcPr>
          <w:p w14:paraId="3238A2BA" w14:textId="77777777" w:rsidR="00000000" w:rsidRDefault="00B8284C">
            <w:pPr>
              <w:pStyle w:val="a3"/>
              <w:spacing w:before="0" w:beforeAutospacing="0" w:after="0" w:afterAutospacing="0"/>
              <w:ind w:left="274"/>
              <w:rPr>
                <w:color w:val="000000"/>
                <w:sz w:val="20"/>
                <w:szCs w:val="20"/>
              </w:rPr>
            </w:pPr>
            <w:r>
              <w:rPr>
                <w:color w:val="000000"/>
                <w:sz w:val="20"/>
                <w:szCs w:val="20"/>
              </w:rPr>
              <w:t>Maturities of investments</w:t>
            </w:r>
          </w:p>
        </w:tc>
        <w:tc>
          <w:tcPr>
            <w:tcW w:w="81" w:type="pct"/>
            <w:shd w:val="clear" w:color="auto" w:fill="FFFFFF"/>
            <w:tcMar>
              <w:top w:w="15" w:type="dxa"/>
              <w:left w:w="0" w:type="dxa"/>
              <w:bottom w:w="0" w:type="dxa"/>
              <w:right w:w="15" w:type="dxa"/>
            </w:tcMar>
            <w:vAlign w:val="bottom"/>
            <w:hideMark/>
          </w:tcPr>
          <w:p w14:paraId="41C77C0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EE1D2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5E1C16D" w14:textId="77777777" w:rsidR="00000000" w:rsidRDefault="00B8284C">
            <w:pPr>
              <w:pStyle w:val="a3"/>
              <w:spacing w:before="0" w:beforeAutospacing="0" w:after="0" w:afterAutospacing="0"/>
              <w:jc w:val="right"/>
              <w:rPr>
                <w:color w:val="000000"/>
                <w:sz w:val="20"/>
                <w:szCs w:val="20"/>
              </w:rPr>
            </w:pPr>
            <w:r>
              <w:rPr>
                <w:color w:val="000000"/>
                <w:sz w:val="20"/>
                <w:szCs w:val="20"/>
              </w:rPr>
              <w:t>689,614</w:t>
            </w:r>
          </w:p>
        </w:tc>
        <w:tc>
          <w:tcPr>
            <w:tcW w:w="50" w:type="pct"/>
            <w:shd w:val="clear" w:color="auto" w:fill="FFFFFF"/>
            <w:noWrap/>
            <w:tcMar>
              <w:top w:w="15" w:type="dxa"/>
              <w:left w:w="0" w:type="dxa"/>
              <w:bottom w:w="0" w:type="dxa"/>
              <w:right w:w="15" w:type="dxa"/>
            </w:tcMar>
            <w:vAlign w:val="bottom"/>
            <w:hideMark/>
          </w:tcPr>
          <w:p w14:paraId="70C6656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062C6B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1CFE7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05B6D2F" w14:textId="77777777" w:rsidR="00000000" w:rsidRDefault="00B8284C">
            <w:pPr>
              <w:pStyle w:val="a3"/>
              <w:spacing w:before="0" w:beforeAutospacing="0" w:after="0" w:afterAutospacing="0"/>
              <w:jc w:val="right"/>
              <w:rPr>
                <w:color w:val="000000"/>
                <w:sz w:val="20"/>
                <w:szCs w:val="20"/>
              </w:rPr>
            </w:pPr>
            <w:r>
              <w:rPr>
                <w:color w:val="000000"/>
                <w:sz w:val="20"/>
                <w:szCs w:val="20"/>
              </w:rPr>
              <w:t>498,850</w:t>
            </w:r>
          </w:p>
        </w:tc>
        <w:tc>
          <w:tcPr>
            <w:tcW w:w="50" w:type="pct"/>
            <w:shd w:val="clear" w:color="auto" w:fill="FFFFFF"/>
            <w:noWrap/>
            <w:tcMar>
              <w:top w:w="15" w:type="dxa"/>
              <w:left w:w="0" w:type="dxa"/>
              <w:bottom w:w="0" w:type="dxa"/>
              <w:right w:w="15" w:type="dxa"/>
            </w:tcMar>
            <w:vAlign w:val="bottom"/>
            <w:hideMark/>
          </w:tcPr>
          <w:p w14:paraId="4E78560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718B734" w14:textId="77777777">
        <w:trPr>
          <w:divId w:val="396712005"/>
        </w:trPr>
        <w:tc>
          <w:tcPr>
            <w:tcW w:w="3349" w:type="pct"/>
            <w:shd w:val="clear" w:color="auto" w:fill="CFF0FC"/>
            <w:tcMar>
              <w:top w:w="15" w:type="dxa"/>
              <w:left w:w="0" w:type="dxa"/>
              <w:bottom w:w="0" w:type="dxa"/>
              <w:right w:w="15" w:type="dxa"/>
            </w:tcMar>
            <w:vAlign w:val="bottom"/>
            <w:hideMark/>
          </w:tcPr>
          <w:p w14:paraId="40A72C27" w14:textId="77777777" w:rsidR="00000000" w:rsidRDefault="00B8284C">
            <w:pPr>
              <w:pStyle w:val="a3"/>
              <w:spacing w:before="0" w:beforeAutospacing="0" w:after="0" w:afterAutospacing="0"/>
              <w:ind w:left="274"/>
              <w:rPr>
                <w:color w:val="000000"/>
                <w:sz w:val="20"/>
                <w:szCs w:val="20"/>
              </w:rPr>
            </w:pPr>
            <w:r>
              <w:rPr>
                <w:color w:val="000000"/>
                <w:sz w:val="20"/>
                <w:szCs w:val="20"/>
              </w:rPr>
              <w:t>Purchases of property and equipment</w:t>
            </w:r>
          </w:p>
        </w:tc>
        <w:tc>
          <w:tcPr>
            <w:tcW w:w="81" w:type="pct"/>
            <w:shd w:val="clear" w:color="auto" w:fill="CFF0FC"/>
            <w:tcMar>
              <w:top w:w="15" w:type="dxa"/>
              <w:left w:w="0" w:type="dxa"/>
              <w:bottom w:w="0" w:type="dxa"/>
              <w:right w:w="15" w:type="dxa"/>
            </w:tcMar>
            <w:vAlign w:val="bottom"/>
            <w:hideMark/>
          </w:tcPr>
          <w:p w14:paraId="6855BC8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2EFB4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16BE53B" w14:textId="77777777" w:rsidR="00000000" w:rsidRDefault="00B8284C">
            <w:pPr>
              <w:pStyle w:val="a3"/>
              <w:spacing w:before="0" w:beforeAutospacing="0" w:after="0" w:afterAutospacing="0"/>
              <w:jc w:val="right"/>
              <w:rPr>
                <w:color w:val="000000"/>
                <w:sz w:val="20"/>
                <w:szCs w:val="20"/>
              </w:rPr>
            </w:pPr>
            <w:r>
              <w:rPr>
                <w:color w:val="000000"/>
                <w:sz w:val="20"/>
                <w:szCs w:val="20"/>
              </w:rPr>
              <w:t>(21,197</w:t>
            </w:r>
          </w:p>
        </w:tc>
        <w:tc>
          <w:tcPr>
            <w:tcW w:w="50" w:type="pct"/>
            <w:shd w:val="clear" w:color="auto" w:fill="CFF0FC"/>
            <w:noWrap/>
            <w:tcMar>
              <w:top w:w="15" w:type="dxa"/>
              <w:left w:w="0" w:type="dxa"/>
              <w:bottom w:w="0" w:type="dxa"/>
              <w:right w:w="15" w:type="dxa"/>
            </w:tcMar>
            <w:vAlign w:val="bottom"/>
            <w:hideMark/>
          </w:tcPr>
          <w:p w14:paraId="5345F8F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3E6D62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57F87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AE31831" w14:textId="77777777" w:rsidR="00000000" w:rsidRDefault="00B8284C">
            <w:pPr>
              <w:pStyle w:val="a3"/>
              <w:spacing w:before="0" w:beforeAutospacing="0" w:after="0" w:afterAutospacing="0"/>
              <w:jc w:val="right"/>
              <w:rPr>
                <w:color w:val="000000"/>
                <w:sz w:val="20"/>
                <w:szCs w:val="20"/>
              </w:rPr>
            </w:pPr>
            <w:r>
              <w:rPr>
                <w:color w:val="000000"/>
                <w:sz w:val="20"/>
                <w:szCs w:val="20"/>
              </w:rPr>
              <w:t>(16,688</w:t>
            </w:r>
          </w:p>
        </w:tc>
        <w:tc>
          <w:tcPr>
            <w:tcW w:w="50" w:type="pct"/>
            <w:shd w:val="clear" w:color="auto" w:fill="CFF0FC"/>
            <w:noWrap/>
            <w:tcMar>
              <w:top w:w="15" w:type="dxa"/>
              <w:left w:w="0" w:type="dxa"/>
              <w:bottom w:w="0" w:type="dxa"/>
              <w:right w:w="15" w:type="dxa"/>
            </w:tcMar>
            <w:vAlign w:val="bottom"/>
            <w:hideMark/>
          </w:tcPr>
          <w:p w14:paraId="1523BD0F"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7F0B82F5" w14:textId="77777777">
        <w:trPr>
          <w:divId w:val="396712005"/>
        </w:trPr>
        <w:tc>
          <w:tcPr>
            <w:tcW w:w="3349" w:type="pct"/>
            <w:shd w:val="clear" w:color="auto" w:fill="FFFFFF"/>
            <w:tcMar>
              <w:top w:w="15" w:type="dxa"/>
              <w:left w:w="0" w:type="dxa"/>
              <w:bottom w:w="0" w:type="dxa"/>
              <w:right w:w="15" w:type="dxa"/>
            </w:tcMar>
            <w:vAlign w:val="bottom"/>
            <w:hideMark/>
          </w:tcPr>
          <w:p w14:paraId="2A38F5B2" w14:textId="77777777" w:rsidR="00000000" w:rsidRDefault="00B8284C">
            <w:pPr>
              <w:pStyle w:val="a3"/>
              <w:spacing w:before="0" w:beforeAutospacing="0" w:after="0" w:afterAutospacing="0"/>
              <w:ind w:left="274"/>
              <w:rPr>
                <w:color w:val="000000"/>
                <w:sz w:val="20"/>
                <w:szCs w:val="20"/>
              </w:rPr>
            </w:pPr>
            <w:r>
              <w:rPr>
                <w:color w:val="000000"/>
                <w:sz w:val="20"/>
                <w:szCs w:val="20"/>
              </w:rPr>
              <w:t>Capitalization of software development costs</w:t>
            </w:r>
          </w:p>
        </w:tc>
        <w:tc>
          <w:tcPr>
            <w:tcW w:w="81" w:type="pct"/>
            <w:shd w:val="clear" w:color="auto" w:fill="FFFFFF"/>
            <w:tcMar>
              <w:top w:w="15" w:type="dxa"/>
              <w:left w:w="0" w:type="dxa"/>
              <w:bottom w:w="0" w:type="dxa"/>
              <w:right w:w="15" w:type="dxa"/>
            </w:tcMar>
            <w:vAlign w:val="bottom"/>
            <w:hideMark/>
          </w:tcPr>
          <w:p w14:paraId="6636832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52790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AFA307F" w14:textId="77777777" w:rsidR="00000000" w:rsidRDefault="00B8284C">
            <w:pPr>
              <w:pStyle w:val="a3"/>
              <w:spacing w:before="0" w:beforeAutospacing="0" w:after="0" w:afterAutospacing="0"/>
              <w:jc w:val="right"/>
              <w:rPr>
                <w:color w:val="000000"/>
                <w:sz w:val="20"/>
                <w:szCs w:val="20"/>
              </w:rPr>
            </w:pPr>
            <w:r>
              <w:rPr>
                <w:color w:val="000000"/>
                <w:sz w:val="20"/>
                <w:szCs w:val="20"/>
              </w:rPr>
              <w:t>(9,139</w:t>
            </w:r>
          </w:p>
        </w:tc>
        <w:tc>
          <w:tcPr>
            <w:tcW w:w="50" w:type="pct"/>
            <w:shd w:val="clear" w:color="auto" w:fill="FFFFFF"/>
            <w:noWrap/>
            <w:tcMar>
              <w:top w:w="15" w:type="dxa"/>
              <w:left w:w="0" w:type="dxa"/>
              <w:bottom w:w="0" w:type="dxa"/>
              <w:right w:w="15" w:type="dxa"/>
            </w:tcMar>
            <w:vAlign w:val="bottom"/>
            <w:hideMark/>
          </w:tcPr>
          <w:p w14:paraId="6B237D5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4B8D0A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E2BAA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1203E8A" w14:textId="77777777" w:rsidR="00000000" w:rsidRDefault="00B8284C">
            <w:pPr>
              <w:pStyle w:val="a3"/>
              <w:spacing w:before="0" w:beforeAutospacing="0" w:after="0" w:afterAutospacing="0"/>
              <w:jc w:val="right"/>
              <w:rPr>
                <w:color w:val="000000"/>
                <w:sz w:val="20"/>
                <w:szCs w:val="20"/>
              </w:rPr>
            </w:pPr>
            <w:r>
              <w:rPr>
                <w:color w:val="000000"/>
                <w:sz w:val="20"/>
                <w:szCs w:val="20"/>
              </w:rPr>
              <w:t>(8,726</w:t>
            </w:r>
          </w:p>
        </w:tc>
        <w:tc>
          <w:tcPr>
            <w:tcW w:w="50" w:type="pct"/>
            <w:shd w:val="clear" w:color="auto" w:fill="FFFFFF"/>
            <w:noWrap/>
            <w:tcMar>
              <w:top w:w="15" w:type="dxa"/>
              <w:left w:w="0" w:type="dxa"/>
              <w:bottom w:w="0" w:type="dxa"/>
              <w:right w:w="15" w:type="dxa"/>
            </w:tcMar>
            <w:vAlign w:val="bottom"/>
            <w:hideMark/>
          </w:tcPr>
          <w:p w14:paraId="6D0BF6E4"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54E2B61B" w14:textId="77777777">
        <w:trPr>
          <w:divId w:val="396712005"/>
        </w:trPr>
        <w:tc>
          <w:tcPr>
            <w:tcW w:w="3349" w:type="pct"/>
            <w:shd w:val="clear" w:color="auto" w:fill="CFF0FC"/>
            <w:tcMar>
              <w:top w:w="15" w:type="dxa"/>
              <w:left w:w="0" w:type="dxa"/>
              <w:bottom w:w="0" w:type="dxa"/>
              <w:right w:w="15" w:type="dxa"/>
            </w:tcMar>
            <w:vAlign w:val="bottom"/>
            <w:hideMark/>
          </w:tcPr>
          <w:p w14:paraId="77ABF433" w14:textId="77777777" w:rsidR="00000000" w:rsidRDefault="00B8284C">
            <w:pPr>
              <w:pStyle w:val="a3"/>
              <w:spacing w:before="0" w:beforeAutospacing="0" w:after="0" w:afterAutospacing="0"/>
              <w:ind w:left="274"/>
              <w:rPr>
                <w:color w:val="000000"/>
                <w:sz w:val="20"/>
                <w:szCs w:val="20"/>
              </w:rPr>
            </w:pPr>
            <w:r>
              <w:rPr>
                <w:color w:val="000000"/>
                <w:sz w:val="20"/>
                <w:szCs w:val="20"/>
              </w:rPr>
              <w:t>Purchases of strategic investments</w:t>
            </w:r>
          </w:p>
        </w:tc>
        <w:tc>
          <w:tcPr>
            <w:tcW w:w="81" w:type="pct"/>
            <w:shd w:val="clear" w:color="auto" w:fill="CFF0FC"/>
            <w:tcMar>
              <w:top w:w="15" w:type="dxa"/>
              <w:left w:w="0" w:type="dxa"/>
              <w:bottom w:w="0" w:type="dxa"/>
              <w:right w:w="15" w:type="dxa"/>
            </w:tcMar>
            <w:vAlign w:val="bottom"/>
            <w:hideMark/>
          </w:tcPr>
          <w:p w14:paraId="1AC44AD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7777C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3DDF2B82" w14:textId="77777777" w:rsidR="00000000" w:rsidRDefault="00B8284C">
            <w:pPr>
              <w:pStyle w:val="a3"/>
              <w:spacing w:before="0" w:beforeAutospacing="0" w:after="0" w:afterAutospacing="0"/>
              <w:jc w:val="right"/>
              <w:rPr>
                <w:color w:val="000000"/>
                <w:sz w:val="20"/>
                <w:szCs w:val="20"/>
              </w:rPr>
            </w:pPr>
            <w:r>
              <w:rPr>
                <w:color w:val="000000"/>
                <w:sz w:val="20"/>
                <w:szCs w:val="20"/>
              </w:rPr>
              <w:t>(553</w:t>
            </w:r>
          </w:p>
        </w:tc>
        <w:tc>
          <w:tcPr>
            <w:tcW w:w="50" w:type="pct"/>
            <w:shd w:val="clear" w:color="auto" w:fill="CFF0FC"/>
            <w:noWrap/>
            <w:tcMar>
              <w:top w:w="15" w:type="dxa"/>
              <w:left w:w="0" w:type="dxa"/>
              <w:bottom w:w="0" w:type="dxa"/>
              <w:right w:w="15" w:type="dxa"/>
            </w:tcMar>
            <w:vAlign w:val="bottom"/>
            <w:hideMark/>
          </w:tcPr>
          <w:p w14:paraId="3594EEF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2DA08A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2F39A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680FA25" w14:textId="77777777" w:rsidR="00000000" w:rsidRDefault="00B8284C">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14:paraId="2D09327D"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08B51157" w14:textId="77777777">
        <w:trPr>
          <w:divId w:val="396712005"/>
        </w:trPr>
        <w:tc>
          <w:tcPr>
            <w:tcW w:w="3349" w:type="pct"/>
            <w:shd w:val="clear" w:color="auto" w:fill="FFFFFF"/>
            <w:tcMar>
              <w:top w:w="15" w:type="dxa"/>
              <w:left w:w="0" w:type="dxa"/>
              <w:bottom w:w="0" w:type="dxa"/>
              <w:right w:w="15" w:type="dxa"/>
            </w:tcMar>
            <w:vAlign w:val="bottom"/>
            <w:hideMark/>
          </w:tcPr>
          <w:p w14:paraId="18711BB4" w14:textId="77777777" w:rsidR="00000000" w:rsidRDefault="00B8284C">
            <w:pPr>
              <w:pStyle w:val="a3"/>
              <w:spacing w:before="0" w:beforeAutospacing="0" w:after="0" w:afterAutospacing="0"/>
              <w:ind w:left="1094"/>
              <w:rPr>
                <w:color w:val="000000"/>
                <w:sz w:val="20"/>
                <w:szCs w:val="20"/>
              </w:rPr>
            </w:pPr>
            <w:r>
              <w:rPr>
                <w:color w:val="000000"/>
                <w:sz w:val="20"/>
                <w:szCs w:val="20"/>
              </w:rPr>
              <w:t>Net cash and cash equivalents used in investing activities</w:t>
            </w:r>
          </w:p>
        </w:tc>
        <w:tc>
          <w:tcPr>
            <w:tcW w:w="81" w:type="pct"/>
            <w:shd w:val="clear" w:color="auto" w:fill="FFFFFF"/>
            <w:tcMar>
              <w:top w:w="15" w:type="dxa"/>
              <w:left w:w="0" w:type="dxa"/>
              <w:bottom w:w="0" w:type="dxa"/>
              <w:right w:w="15" w:type="dxa"/>
            </w:tcMar>
            <w:vAlign w:val="bottom"/>
            <w:hideMark/>
          </w:tcPr>
          <w:p w14:paraId="46407F7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366BF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BE8EEF" w14:textId="77777777" w:rsidR="00000000" w:rsidRDefault="00B8284C">
            <w:pPr>
              <w:pStyle w:val="a3"/>
              <w:spacing w:before="0" w:beforeAutospacing="0" w:after="0" w:afterAutospacing="0"/>
              <w:jc w:val="right"/>
              <w:rPr>
                <w:color w:val="000000"/>
                <w:sz w:val="20"/>
                <w:szCs w:val="20"/>
              </w:rPr>
            </w:pPr>
            <w:r>
              <w:rPr>
                <w:color w:val="000000"/>
                <w:sz w:val="20"/>
                <w:szCs w:val="20"/>
              </w:rPr>
              <w:t>(309,269</w:t>
            </w:r>
          </w:p>
        </w:tc>
        <w:tc>
          <w:tcPr>
            <w:tcW w:w="50" w:type="pct"/>
            <w:shd w:val="clear" w:color="auto" w:fill="FFFFFF"/>
            <w:noWrap/>
            <w:tcMar>
              <w:top w:w="15" w:type="dxa"/>
              <w:left w:w="0" w:type="dxa"/>
              <w:bottom w:w="0" w:type="dxa"/>
              <w:right w:w="15" w:type="dxa"/>
            </w:tcMar>
            <w:vAlign w:val="bottom"/>
            <w:hideMark/>
          </w:tcPr>
          <w:p w14:paraId="347E20A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65B822A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416350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2FD8857" w14:textId="77777777" w:rsidR="00000000" w:rsidRDefault="00B8284C">
            <w:pPr>
              <w:pStyle w:val="a3"/>
              <w:spacing w:before="0" w:beforeAutospacing="0" w:after="0" w:afterAutospacing="0"/>
              <w:jc w:val="right"/>
              <w:rPr>
                <w:color w:val="000000"/>
                <w:sz w:val="20"/>
                <w:szCs w:val="20"/>
              </w:rPr>
            </w:pPr>
            <w:r>
              <w:rPr>
                <w:color w:val="000000"/>
                <w:sz w:val="20"/>
                <w:szCs w:val="20"/>
              </w:rPr>
              <w:t>(51,702</w:t>
            </w:r>
          </w:p>
        </w:tc>
        <w:tc>
          <w:tcPr>
            <w:tcW w:w="50" w:type="pct"/>
            <w:shd w:val="clear" w:color="auto" w:fill="FFFFFF"/>
            <w:noWrap/>
            <w:tcMar>
              <w:top w:w="15" w:type="dxa"/>
              <w:left w:w="0" w:type="dxa"/>
              <w:bottom w:w="0" w:type="dxa"/>
              <w:right w:w="15" w:type="dxa"/>
            </w:tcMar>
            <w:vAlign w:val="bottom"/>
            <w:hideMark/>
          </w:tcPr>
          <w:p w14:paraId="136444EE"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4BD3B9B0" w14:textId="77777777">
        <w:trPr>
          <w:divId w:val="396712005"/>
        </w:trPr>
        <w:tc>
          <w:tcPr>
            <w:tcW w:w="3349" w:type="pct"/>
            <w:shd w:val="clear" w:color="auto" w:fill="CFF0FC"/>
            <w:tcMar>
              <w:top w:w="15" w:type="dxa"/>
              <w:left w:w="0" w:type="dxa"/>
              <w:bottom w:w="0" w:type="dxa"/>
              <w:right w:w="15" w:type="dxa"/>
            </w:tcMar>
            <w:vAlign w:val="bottom"/>
            <w:hideMark/>
          </w:tcPr>
          <w:p w14:paraId="2566F6E5" w14:textId="77777777" w:rsidR="00000000" w:rsidRDefault="00B8284C">
            <w:pPr>
              <w:pStyle w:val="a3"/>
              <w:spacing w:before="0" w:beforeAutospacing="0" w:after="0" w:afterAutospacing="0"/>
              <w:rPr>
                <w:b/>
                <w:bCs/>
                <w:color w:val="000000"/>
                <w:sz w:val="20"/>
                <w:szCs w:val="20"/>
              </w:rPr>
            </w:pPr>
            <w:r>
              <w:rPr>
                <w:b/>
                <w:bCs/>
                <w:color w:val="000000"/>
                <w:sz w:val="20"/>
                <w:szCs w:val="20"/>
              </w:rPr>
              <w:t>Financing Activities:</w:t>
            </w:r>
          </w:p>
        </w:tc>
        <w:tc>
          <w:tcPr>
            <w:tcW w:w="81" w:type="pct"/>
            <w:shd w:val="clear" w:color="auto" w:fill="CFF0FC"/>
            <w:tcMar>
              <w:top w:w="15" w:type="dxa"/>
              <w:left w:w="0" w:type="dxa"/>
              <w:bottom w:w="0" w:type="dxa"/>
              <w:right w:w="15" w:type="dxa"/>
            </w:tcMar>
            <w:vAlign w:val="bottom"/>
            <w:hideMark/>
          </w:tcPr>
          <w:p w14:paraId="7A1A83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2793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758C8B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17B8F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D1EC7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D64E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38965DF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A0330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A3CBD39" w14:textId="77777777">
        <w:trPr>
          <w:divId w:val="396712005"/>
        </w:trPr>
        <w:tc>
          <w:tcPr>
            <w:tcW w:w="3349" w:type="pct"/>
            <w:shd w:val="clear" w:color="auto" w:fill="FFFFFF"/>
            <w:tcMar>
              <w:top w:w="15" w:type="dxa"/>
              <w:left w:w="0" w:type="dxa"/>
              <w:bottom w:w="0" w:type="dxa"/>
              <w:right w:w="15" w:type="dxa"/>
            </w:tcMar>
            <w:vAlign w:val="bottom"/>
            <w:hideMark/>
          </w:tcPr>
          <w:p w14:paraId="14877CDE" w14:textId="77777777" w:rsidR="00000000" w:rsidRDefault="00B8284C">
            <w:pPr>
              <w:pStyle w:val="a3"/>
              <w:spacing w:before="0" w:beforeAutospacing="0" w:after="0" w:afterAutospacing="0"/>
              <w:ind w:left="274"/>
              <w:rPr>
                <w:color w:val="000000"/>
                <w:sz w:val="20"/>
                <w:szCs w:val="20"/>
              </w:rPr>
            </w:pPr>
            <w:r>
              <w:rPr>
                <w:color w:val="000000"/>
                <w:sz w:val="20"/>
                <w:szCs w:val="20"/>
              </w:rPr>
              <w:t>Proceeds from common stock offering, net of offering costs paid of $365</w:t>
            </w:r>
          </w:p>
        </w:tc>
        <w:tc>
          <w:tcPr>
            <w:tcW w:w="81" w:type="pct"/>
            <w:shd w:val="clear" w:color="auto" w:fill="FFFFFF"/>
            <w:tcMar>
              <w:top w:w="15" w:type="dxa"/>
              <w:left w:w="0" w:type="dxa"/>
              <w:bottom w:w="0" w:type="dxa"/>
              <w:right w:w="15" w:type="dxa"/>
            </w:tcMar>
            <w:vAlign w:val="bottom"/>
            <w:hideMark/>
          </w:tcPr>
          <w:p w14:paraId="2CCE01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22359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96DC39C" w14:textId="77777777" w:rsidR="00000000" w:rsidRDefault="00B8284C">
            <w:pPr>
              <w:pStyle w:val="a3"/>
              <w:spacing w:before="0" w:beforeAutospacing="0" w:after="0" w:afterAutospacing="0"/>
              <w:jc w:val="right"/>
              <w:rPr>
                <w:color w:val="000000"/>
                <w:sz w:val="20"/>
                <w:szCs w:val="20"/>
              </w:rPr>
            </w:pPr>
            <w:r>
              <w:rPr>
                <w:color w:val="000000"/>
                <w:sz w:val="20"/>
                <w:szCs w:val="20"/>
              </w:rPr>
              <w:t>342,628</w:t>
            </w:r>
          </w:p>
        </w:tc>
        <w:tc>
          <w:tcPr>
            <w:tcW w:w="50" w:type="pct"/>
            <w:shd w:val="clear" w:color="auto" w:fill="FFFFFF"/>
            <w:noWrap/>
            <w:tcMar>
              <w:top w:w="15" w:type="dxa"/>
              <w:left w:w="0" w:type="dxa"/>
              <w:bottom w:w="0" w:type="dxa"/>
              <w:right w:w="15" w:type="dxa"/>
            </w:tcMar>
            <w:vAlign w:val="bottom"/>
            <w:hideMark/>
          </w:tcPr>
          <w:p w14:paraId="22F5F98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172C9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AEA6B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63EAA46"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D17199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C8D8E97" w14:textId="77777777">
        <w:trPr>
          <w:divId w:val="396712005"/>
        </w:trPr>
        <w:tc>
          <w:tcPr>
            <w:tcW w:w="3349" w:type="pct"/>
            <w:shd w:val="clear" w:color="auto" w:fill="CFF0FC"/>
            <w:tcMar>
              <w:top w:w="15" w:type="dxa"/>
              <w:left w:w="0" w:type="dxa"/>
              <w:bottom w:w="0" w:type="dxa"/>
              <w:right w:w="15" w:type="dxa"/>
            </w:tcMar>
            <w:vAlign w:val="bottom"/>
            <w:hideMark/>
          </w:tcPr>
          <w:p w14:paraId="2733FC9D" w14:textId="77777777" w:rsidR="00000000" w:rsidRDefault="00B8284C">
            <w:pPr>
              <w:pStyle w:val="a3"/>
              <w:spacing w:before="0" w:beforeAutospacing="0" w:after="0" w:afterAutospacing="0"/>
              <w:ind w:left="274"/>
              <w:rPr>
                <w:color w:val="000000"/>
                <w:sz w:val="20"/>
                <w:szCs w:val="20"/>
              </w:rPr>
            </w:pPr>
            <w:r>
              <w:rPr>
                <w:color w:val="000000"/>
                <w:sz w:val="20"/>
                <w:szCs w:val="20"/>
              </w:rPr>
              <w:t>Employee taxes paid related to the net share settlement of stock-based awards</w:t>
            </w:r>
          </w:p>
        </w:tc>
        <w:tc>
          <w:tcPr>
            <w:tcW w:w="81" w:type="pct"/>
            <w:shd w:val="clear" w:color="auto" w:fill="CFF0FC"/>
            <w:tcMar>
              <w:top w:w="15" w:type="dxa"/>
              <w:left w:w="0" w:type="dxa"/>
              <w:bottom w:w="0" w:type="dxa"/>
              <w:right w:w="15" w:type="dxa"/>
            </w:tcMar>
            <w:vAlign w:val="bottom"/>
            <w:hideMark/>
          </w:tcPr>
          <w:p w14:paraId="106EE2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FE108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5CC1183" w14:textId="77777777" w:rsidR="00000000" w:rsidRDefault="00B8284C">
            <w:pPr>
              <w:pStyle w:val="a3"/>
              <w:spacing w:before="0" w:beforeAutospacing="0" w:after="0" w:afterAutospacing="0"/>
              <w:jc w:val="right"/>
              <w:rPr>
                <w:color w:val="000000"/>
                <w:sz w:val="20"/>
                <w:szCs w:val="20"/>
              </w:rPr>
            </w:pPr>
            <w:r>
              <w:rPr>
                <w:color w:val="000000"/>
                <w:sz w:val="20"/>
                <w:szCs w:val="20"/>
              </w:rPr>
              <w:t>(4,767</w:t>
            </w:r>
          </w:p>
        </w:tc>
        <w:tc>
          <w:tcPr>
            <w:tcW w:w="50" w:type="pct"/>
            <w:shd w:val="clear" w:color="auto" w:fill="CFF0FC"/>
            <w:noWrap/>
            <w:tcMar>
              <w:top w:w="15" w:type="dxa"/>
              <w:left w:w="0" w:type="dxa"/>
              <w:bottom w:w="0" w:type="dxa"/>
              <w:right w:w="15" w:type="dxa"/>
            </w:tcMar>
            <w:vAlign w:val="bottom"/>
            <w:hideMark/>
          </w:tcPr>
          <w:p w14:paraId="50C8909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39603EC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54780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F8CD546" w14:textId="77777777" w:rsidR="00000000" w:rsidRDefault="00B8284C">
            <w:pPr>
              <w:pStyle w:val="a3"/>
              <w:spacing w:before="0" w:beforeAutospacing="0" w:after="0" w:afterAutospacing="0"/>
              <w:jc w:val="right"/>
              <w:rPr>
                <w:color w:val="000000"/>
                <w:sz w:val="20"/>
                <w:szCs w:val="20"/>
              </w:rPr>
            </w:pPr>
            <w:r>
              <w:rPr>
                <w:color w:val="000000"/>
                <w:sz w:val="20"/>
                <w:szCs w:val="20"/>
              </w:rPr>
              <w:t>(5,933</w:t>
            </w:r>
          </w:p>
        </w:tc>
        <w:tc>
          <w:tcPr>
            <w:tcW w:w="50" w:type="pct"/>
            <w:shd w:val="clear" w:color="auto" w:fill="CFF0FC"/>
            <w:noWrap/>
            <w:tcMar>
              <w:top w:w="15" w:type="dxa"/>
              <w:left w:w="0" w:type="dxa"/>
              <w:bottom w:w="0" w:type="dxa"/>
              <w:right w:w="15" w:type="dxa"/>
            </w:tcMar>
            <w:vAlign w:val="bottom"/>
            <w:hideMark/>
          </w:tcPr>
          <w:p w14:paraId="28DE8B2A"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40E28B66" w14:textId="77777777">
        <w:trPr>
          <w:divId w:val="396712005"/>
        </w:trPr>
        <w:tc>
          <w:tcPr>
            <w:tcW w:w="3349" w:type="pct"/>
            <w:shd w:val="clear" w:color="auto" w:fill="FFFFFF"/>
            <w:tcMar>
              <w:top w:w="15" w:type="dxa"/>
              <w:left w:w="0" w:type="dxa"/>
              <w:bottom w:w="0" w:type="dxa"/>
              <w:right w:w="15" w:type="dxa"/>
            </w:tcMar>
            <w:vAlign w:val="bottom"/>
            <w:hideMark/>
          </w:tcPr>
          <w:p w14:paraId="5DA429DE" w14:textId="77777777" w:rsidR="00000000" w:rsidRDefault="00B8284C">
            <w:pPr>
              <w:pStyle w:val="a3"/>
              <w:spacing w:before="0" w:beforeAutospacing="0" w:after="0" w:afterAutospacing="0"/>
              <w:ind w:left="274"/>
              <w:rPr>
                <w:color w:val="000000"/>
                <w:sz w:val="20"/>
                <w:szCs w:val="20"/>
              </w:rPr>
            </w:pPr>
            <w:r>
              <w:rPr>
                <w:color w:val="000000"/>
                <w:sz w:val="20"/>
                <w:szCs w:val="20"/>
              </w:rPr>
              <w:t>Proceeds related to the issuance of common stock under stock plans</w:t>
            </w:r>
          </w:p>
        </w:tc>
        <w:tc>
          <w:tcPr>
            <w:tcW w:w="81" w:type="pct"/>
            <w:shd w:val="clear" w:color="auto" w:fill="FFFFFF"/>
            <w:tcMar>
              <w:top w:w="15" w:type="dxa"/>
              <w:left w:w="0" w:type="dxa"/>
              <w:bottom w:w="0" w:type="dxa"/>
              <w:right w:w="15" w:type="dxa"/>
            </w:tcMar>
            <w:vAlign w:val="bottom"/>
            <w:hideMark/>
          </w:tcPr>
          <w:p w14:paraId="7DE722F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34EDC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4924D3F" w14:textId="77777777" w:rsidR="00000000" w:rsidRDefault="00B8284C">
            <w:pPr>
              <w:pStyle w:val="a3"/>
              <w:spacing w:before="0" w:beforeAutospacing="0" w:after="0" w:afterAutospacing="0"/>
              <w:jc w:val="right"/>
              <w:rPr>
                <w:color w:val="000000"/>
                <w:sz w:val="20"/>
                <w:szCs w:val="20"/>
              </w:rPr>
            </w:pPr>
            <w:r>
              <w:rPr>
                <w:color w:val="000000"/>
                <w:sz w:val="20"/>
                <w:szCs w:val="20"/>
              </w:rPr>
              <w:t>18,926</w:t>
            </w:r>
          </w:p>
        </w:tc>
        <w:tc>
          <w:tcPr>
            <w:tcW w:w="50" w:type="pct"/>
            <w:shd w:val="clear" w:color="auto" w:fill="FFFFFF"/>
            <w:noWrap/>
            <w:tcMar>
              <w:top w:w="15" w:type="dxa"/>
              <w:left w:w="0" w:type="dxa"/>
              <w:bottom w:w="0" w:type="dxa"/>
              <w:right w:w="15" w:type="dxa"/>
            </w:tcMar>
            <w:vAlign w:val="bottom"/>
            <w:hideMark/>
          </w:tcPr>
          <w:p w14:paraId="6BAA49F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EE39D8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1E60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178BF03" w14:textId="77777777" w:rsidR="00000000" w:rsidRDefault="00B8284C">
            <w:pPr>
              <w:pStyle w:val="a3"/>
              <w:spacing w:before="0" w:beforeAutospacing="0" w:after="0" w:afterAutospacing="0"/>
              <w:jc w:val="right"/>
              <w:rPr>
                <w:color w:val="000000"/>
                <w:sz w:val="20"/>
                <w:szCs w:val="20"/>
              </w:rPr>
            </w:pPr>
            <w:r>
              <w:rPr>
                <w:color w:val="000000"/>
                <w:sz w:val="20"/>
                <w:szCs w:val="20"/>
              </w:rPr>
              <w:t>16,769</w:t>
            </w:r>
          </w:p>
        </w:tc>
        <w:tc>
          <w:tcPr>
            <w:tcW w:w="50" w:type="pct"/>
            <w:shd w:val="clear" w:color="auto" w:fill="FFFFFF"/>
            <w:noWrap/>
            <w:tcMar>
              <w:top w:w="15" w:type="dxa"/>
              <w:left w:w="0" w:type="dxa"/>
              <w:bottom w:w="0" w:type="dxa"/>
              <w:right w:w="15" w:type="dxa"/>
            </w:tcMar>
            <w:vAlign w:val="bottom"/>
            <w:hideMark/>
          </w:tcPr>
          <w:p w14:paraId="60448D0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3A184E7" w14:textId="77777777">
        <w:trPr>
          <w:divId w:val="396712005"/>
        </w:trPr>
        <w:tc>
          <w:tcPr>
            <w:tcW w:w="3349" w:type="pct"/>
            <w:shd w:val="clear" w:color="auto" w:fill="CFF0FC"/>
            <w:tcMar>
              <w:top w:w="15" w:type="dxa"/>
              <w:left w:w="0" w:type="dxa"/>
              <w:bottom w:w="0" w:type="dxa"/>
              <w:right w:w="15" w:type="dxa"/>
            </w:tcMar>
            <w:vAlign w:val="bottom"/>
            <w:hideMark/>
          </w:tcPr>
          <w:p w14:paraId="4E0AA3B1" w14:textId="77777777" w:rsidR="00000000" w:rsidRDefault="00B8284C">
            <w:pPr>
              <w:pStyle w:val="a3"/>
              <w:spacing w:before="0" w:beforeAutospacing="0" w:after="0" w:afterAutospacing="0"/>
              <w:ind w:left="274"/>
              <w:rPr>
                <w:color w:val="000000"/>
                <w:sz w:val="20"/>
                <w:szCs w:val="20"/>
              </w:rPr>
            </w:pPr>
            <w:r>
              <w:rPr>
                <w:color w:val="000000"/>
                <w:sz w:val="20"/>
                <w:szCs w:val="20"/>
              </w:rPr>
              <w:t>Repayments of finance lease obligations</w:t>
            </w:r>
          </w:p>
        </w:tc>
        <w:tc>
          <w:tcPr>
            <w:tcW w:w="81" w:type="pct"/>
            <w:shd w:val="clear" w:color="auto" w:fill="CFF0FC"/>
            <w:tcMar>
              <w:top w:w="15" w:type="dxa"/>
              <w:left w:w="0" w:type="dxa"/>
              <w:bottom w:w="0" w:type="dxa"/>
              <w:right w:w="15" w:type="dxa"/>
            </w:tcMar>
            <w:vAlign w:val="bottom"/>
            <w:hideMark/>
          </w:tcPr>
          <w:p w14:paraId="09369C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F28A8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25C3D1F1" w14:textId="77777777" w:rsidR="00000000" w:rsidRDefault="00B8284C">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CFF0FC"/>
            <w:noWrap/>
            <w:tcMar>
              <w:top w:w="15" w:type="dxa"/>
              <w:left w:w="0" w:type="dxa"/>
              <w:bottom w:w="0" w:type="dxa"/>
              <w:right w:w="15" w:type="dxa"/>
            </w:tcMar>
            <w:vAlign w:val="bottom"/>
            <w:hideMark/>
          </w:tcPr>
          <w:p w14:paraId="6459CE8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645447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051EB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31BD5659" w14:textId="77777777" w:rsidR="00000000" w:rsidRDefault="00B8284C">
            <w:pPr>
              <w:pStyle w:val="a3"/>
              <w:spacing w:before="0" w:beforeAutospacing="0" w:after="0" w:afterAutospacing="0"/>
              <w:jc w:val="right"/>
              <w:rPr>
                <w:color w:val="000000"/>
                <w:sz w:val="20"/>
                <w:szCs w:val="20"/>
              </w:rPr>
            </w:pPr>
            <w:r>
              <w:rPr>
                <w:color w:val="000000"/>
                <w:sz w:val="20"/>
                <w:szCs w:val="20"/>
              </w:rPr>
              <w:t>(592</w:t>
            </w:r>
          </w:p>
        </w:tc>
        <w:tc>
          <w:tcPr>
            <w:tcW w:w="50" w:type="pct"/>
            <w:shd w:val="clear" w:color="auto" w:fill="CFF0FC"/>
            <w:noWrap/>
            <w:tcMar>
              <w:top w:w="15" w:type="dxa"/>
              <w:left w:w="0" w:type="dxa"/>
              <w:bottom w:w="0" w:type="dxa"/>
              <w:right w:w="15" w:type="dxa"/>
            </w:tcMar>
            <w:vAlign w:val="bottom"/>
            <w:hideMark/>
          </w:tcPr>
          <w:p w14:paraId="47A65897"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723C887D" w14:textId="77777777">
        <w:trPr>
          <w:divId w:val="396712005"/>
        </w:trPr>
        <w:tc>
          <w:tcPr>
            <w:tcW w:w="3349" w:type="pct"/>
            <w:shd w:val="clear" w:color="auto" w:fill="FFFFFF"/>
            <w:tcMar>
              <w:top w:w="15" w:type="dxa"/>
              <w:left w:w="0" w:type="dxa"/>
              <w:bottom w:w="0" w:type="dxa"/>
              <w:right w:w="15" w:type="dxa"/>
            </w:tcMar>
            <w:vAlign w:val="bottom"/>
            <w:hideMark/>
          </w:tcPr>
          <w:p w14:paraId="767468E8" w14:textId="77777777" w:rsidR="00000000" w:rsidRDefault="00B8284C">
            <w:pPr>
              <w:pStyle w:val="a3"/>
              <w:spacing w:before="0" w:beforeAutospacing="0" w:after="0" w:afterAutospacing="0"/>
              <w:ind w:left="1094"/>
              <w:rPr>
                <w:color w:val="000000"/>
                <w:sz w:val="20"/>
                <w:szCs w:val="20"/>
              </w:rPr>
            </w:pPr>
            <w:r>
              <w:rPr>
                <w:color w:val="000000"/>
                <w:sz w:val="20"/>
                <w:szCs w:val="20"/>
              </w:rPr>
              <w:t>Net cash and cash equivalents provided by financing activities</w:t>
            </w:r>
          </w:p>
        </w:tc>
        <w:tc>
          <w:tcPr>
            <w:tcW w:w="81" w:type="pct"/>
            <w:shd w:val="clear" w:color="auto" w:fill="FFFFFF"/>
            <w:tcMar>
              <w:top w:w="15" w:type="dxa"/>
              <w:left w:w="0" w:type="dxa"/>
              <w:bottom w:w="0" w:type="dxa"/>
              <w:right w:w="15" w:type="dxa"/>
            </w:tcMar>
            <w:vAlign w:val="bottom"/>
            <w:hideMark/>
          </w:tcPr>
          <w:p w14:paraId="6AE988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C15AA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34FEC3" w14:textId="77777777" w:rsidR="00000000" w:rsidRDefault="00B8284C">
            <w:pPr>
              <w:pStyle w:val="a3"/>
              <w:spacing w:before="0" w:beforeAutospacing="0" w:after="0" w:afterAutospacing="0"/>
              <w:jc w:val="right"/>
              <w:rPr>
                <w:color w:val="000000"/>
                <w:sz w:val="20"/>
                <w:szCs w:val="20"/>
              </w:rPr>
            </w:pPr>
            <w:r>
              <w:rPr>
                <w:color w:val="000000"/>
                <w:sz w:val="20"/>
                <w:szCs w:val="20"/>
              </w:rPr>
              <w:t>356,538</w:t>
            </w:r>
          </w:p>
        </w:tc>
        <w:tc>
          <w:tcPr>
            <w:tcW w:w="50" w:type="pct"/>
            <w:shd w:val="clear" w:color="auto" w:fill="FFFFFF"/>
            <w:noWrap/>
            <w:tcMar>
              <w:top w:w="15" w:type="dxa"/>
              <w:left w:w="0" w:type="dxa"/>
              <w:bottom w:w="0" w:type="dxa"/>
              <w:right w:w="15" w:type="dxa"/>
            </w:tcMar>
            <w:vAlign w:val="bottom"/>
            <w:hideMark/>
          </w:tcPr>
          <w:p w14:paraId="3A1E3DE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53AAB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C0F88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0B0E9C" w14:textId="77777777" w:rsidR="00000000" w:rsidRDefault="00B8284C">
            <w:pPr>
              <w:pStyle w:val="a3"/>
              <w:spacing w:before="0" w:beforeAutospacing="0" w:after="0" w:afterAutospacing="0"/>
              <w:jc w:val="right"/>
              <w:rPr>
                <w:color w:val="000000"/>
                <w:sz w:val="20"/>
                <w:szCs w:val="20"/>
              </w:rPr>
            </w:pPr>
            <w:r>
              <w:rPr>
                <w:color w:val="000000"/>
                <w:sz w:val="20"/>
                <w:szCs w:val="20"/>
              </w:rPr>
              <w:t>10,244</w:t>
            </w:r>
          </w:p>
        </w:tc>
        <w:tc>
          <w:tcPr>
            <w:tcW w:w="50" w:type="pct"/>
            <w:shd w:val="clear" w:color="auto" w:fill="FFFFFF"/>
            <w:noWrap/>
            <w:tcMar>
              <w:top w:w="15" w:type="dxa"/>
              <w:left w:w="0" w:type="dxa"/>
              <w:bottom w:w="0" w:type="dxa"/>
              <w:right w:w="15" w:type="dxa"/>
            </w:tcMar>
            <w:vAlign w:val="bottom"/>
            <w:hideMark/>
          </w:tcPr>
          <w:p w14:paraId="473C600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744C63E" w14:textId="77777777">
        <w:trPr>
          <w:divId w:val="396712005"/>
        </w:trPr>
        <w:tc>
          <w:tcPr>
            <w:tcW w:w="3349" w:type="pct"/>
            <w:shd w:val="clear" w:color="auto" w:fill="CFF0FC"/>
            <w:tcMar>
              <w:top w:w="15" w:type="dxa"/>
              <w:left w:w="0" w:type="dxa"/>
              <w:bottom w:w="0" w:type="dxa"/>
              <w:right w:w="15" w:type="dxa"/>
            </w:tcMar>
            <w:vAlign w:val="bottom"/>
            <w:hideMark/>
          </w:tcPr>
          <w:p w14:paraId="174D1A19" w14:textId="77777777" w:rsidR="00000000" w:rsidRDefault="00B8284C">
            <w:pPr>
              <w:pStyle w:val="a3"/>
              <w:spacing w:before="0" w:beforeAutospacing="0" w:after="0" w:afterAutospacing="0"/>
              <w:rPr>
                <w:color w:val="000000"/>
                <w:sz w:val="20"/>
                <w:szCs w:val="20"/>
              </w:rPr>
            </w:pPr>
            <w:r>
              <w:rPr>
                <w:color w:val="000000"/>
                <w:sz w:val="20"/>
                <w:szCs w:val="20"/>
              </w:rPr>
              <w:t>Effect of exchange rate changes on cash, cash equivalents, and restricted cash</w:t>
            </w:r>
          </w:p>
        </w:tc>
        <w:tc>
          <w:tcPr>
            <w:tcW w:w="81" w:type="pct"/>
            <w:shd w:val="clear" w:color="auto" w:fill="CFF0FC"/>
            <w:tcMar>
              <w:top w:w="15" w:type="dxa"/>
              <w:left w:w="0" w:type="dxa"/>
              <w:bottom w:w="0" w:type="dxa"/>
              <w:right w:w="15" w:type="dxa"/>
            </w:tcMar>
            <w:vAlign w:val="bottom"/>
            <w:hideMark/>
          </w:tcPr>
          <w:p w14:paraId="03EF00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2E4E40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20CCBEB" w14:textId="77777777" w:rsidR="00000000" w:rsidRDefault="00B8284C">
            <w:pPr>
              <w:pStyle w:val="a3"/>
              <w:spacing w:before="0" w:beforeAutospacing="0" w:after="0" w:afterAutospacing="0"/>
              <w:jc w:val="right"/>
              <w:rPr>
                <w:color w:val="000000"/>
                <w:sz w:val="20"/>
                <w:szCs w:val="20"/>
              </w:rPr>
            </w:pPr>
            <w:r>
              <w:rPr>
                <w:color w:val="000000"/>
                <w:sz w:val="20"/>
                <w:szCs w:val="20"/>
              </w:rPr>
              <w:t>(2,171</w:t>
            </w:r>
          </w:p>
        </w:tc>
        <w:tc>
          <w:tcPr>
            <w:tcW w:w="50" w:type="pct"/>
            <w:shd w:val="clear" w:color="auto" w:fill="CFF0FC"/>
            <w:noWrap/>
            <w:tcMar>
              <w:top w:w="15" w:type="dxa"/>
              <w:left w:w="0" w:type="dxa"/>
              <w:bottom w:w="0" w:type="dxa"/>
              <w:right w:w="15" w:type="dxa"/>
            </w:tcMar>
            <w:vAlign w:val="bottom"/>
            <w:hideMark/>
          </w:tcPr>
          <w:p w14:paraId="5FF7B50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3CE81F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00337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66BBF7D" w14:textId="77777777" w:rsidR="00000000" w:rsidRDefault="00B8284C">
            <w:pPr>
              <w:pStyle w:val="a3"/>
              <w:spacing w:before="0" w:beforeAutospacing="0" w:after="0" w:afterAutospacing="0"/>
              <w:jc w:val="right"/>
              <w:rPr>
                <w:color w:val="000000"/>
                <w:sz w:val="20"/>
                <w:szCs w:val="20"/>
              </w:rPr>
            </w:pPr>
            <w:r>
              <w:rPr>
                <w:color w:val="000000"/>
                <w:sz w:val="20"/>
                <w:szCs w:val="20"/>
              </w:rPr>
              <w:t>(1,319</w:t>
            </w:r>
          </w:p>
        </w:tc>
        <w:tc>
          <w:tcPr>
            <w:tcW w:w="50" w:type="pct"/>
            <w:shd w:val="clear" w:color="auto" w:fill="CFF0FC"/>
            <w:noWrap/>
            <w:tcMar>
              <w:top w:w="15" w:type="dxa"/>
              <w:left w:w="0" w:type="dxa"/>
              <w:bottom w:w="0" w:type="dxa"/>
              <w:right w:w="15" w:type="dxa"/>
            </w:tcMar>
            <w:vAlign w:val="bottom"/>
            <w:hideMark/>
          </w:tcPr>
          <w:p w14:paraId="6E9DD016"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38CE3563" w14:textId="77777777">
        <w:trPr>
          <w:divId w:val="396712005"/>
        </w:trPr>
        <w:tc>
          <w:tcPr>
            <w:tcW w:w="3349" w:type="pct"/>
            <w:shd w:val="clear" w:color="auto" w:fill="FFFFFF"/>
            <w:tcMar>
              <w:top w:w="15" w:type="dxa"/>
              <w:left w:w="0" w:type="dxa"/>
              <w:bottom w:w="0" w:type="dxa"/>
              <w:right w:w="15" w:type="dxa"/>
            </w:tcMar>
            <w:vAlign w:val="bottom"/>
            <w:hideMark/>
          </w:tcPr>
          <w:p w14:paraId="647601E0" w14:textId="77777777" w:rsidR="00000000" w:rsidRDefault="00B8284C">
            <w:pPr>
              <w:pStyle w:val="a3"/>
              <w:spacing w:before="0" w:beforeAutospacing="0" w:after="0" w:afterAutospacing="0"/>
              <w:rPr>
                <w:color w:val="000000"/>
                <w:sz w:val="20"/>
                <w:szCs w:val="20"/>
              </w:rPr>
            </w:pPr>
            <w:r>
              <w:rPr>
                <w:color w:val="000000"/>
                <w:sz w:val="20"/>
                <w:szCs w:val="20"/>
              </w:rPr>
              <w:t>Net increase in cash, cash equivalents and restricted cash</w:t>
            </w:r>
          </w:p>
        </w:tc>
        <w:tc>
          <w:tcPr>
            <w:tcW w:w="81" w:type="pct"/>
            <w:shd w:val="clear" w:color="auto" w:fill="FFFFFF"/>
            <w:tcMar>
              <w:top w:w="15" w:type="dxa"/>
              <w:left w:w="0" w:type="dxa"/>
              <w:bottom w:w="0" w:type="dxa"/>
              <w:right w:w="15" w:type="dxa"/>
            </w:tcMar>
            <w:vAlign w:val="bottom"/>
            <w:hideMark/>
          </w:tcPr>
          <w:p w14:paraId="1E32E7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1F7A0F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33E652CF" w14:textId="77777777" w:rsidR="00000000" w:rsidRDefault="00B8284C">
            <w:pPr>
              <w:pStyle w:val="a3"/>
              <w:spacing w:before="0" w:beforeAutospacing="0" w:after="0" w:afterAutospacing="0"/>
              <w:jc w:val="right"/>
              <w:rPr>
                <w:color w:val="000000"/>
                <w:sz w:val="20"/>
                <w:szCs w:val="20"/>
              </w:rPr>
            </w:pPr>
            <w:r>
              <w:rPr>
                <w:color w:val="000000"/>
                <w:sz w:val="20"/>
                <w:szCs w:val="20"/>
              </w:rPr>
              <w:t>116,180</w:t>
            </w:r>
          </w:p>
        </w:tc>
        <w:tc>
          <w:tcPr>
            <w:tcW w:w="50" w:type="pct"/>
            <w:shd w:val="clear" w:color="auto" w:fill="FFFFFF"/>
            <w:noWrap/>
            <w:tcMar>
              <w:top w:w="15" w:type="dxa"/>
              <w:left w:w="0" w:type="dxa"/>
              <w:bottom w:w="0" w:type="dxa"/>
              <w:right w:w="15" w:type="dxa"/>
            </w:tcMar>
            <w:vAlign w:val="bottom"/>
            <w:hideMark/>
          </w:tcPr>
          <w:p w14:paraId="2603A2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47BC1A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AC241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1951C708" w14:textId="77777777" w:rsidR="00000000" w:rsidRDefault="00B8284C">
            <w:pPr>
              <w:pStyle w:val="a3"/>
              <w:spacing w:before="0" w:beforeAutospacing="0" w:after="0" w:afterAutospacing="0"/>
              <w:jc w:val="right"/>
              <w:rPr>
                <w:color w:val="000000"/>
                <w:sz w:val="20"/>
                <w:szCs w:val="20"/>
              </w:rPr>
            </w:pPr>
            <w:r>
              <w:rPr>
                <w:color w:val="000000"/>
                <w:sz w:val="20"/>
                <w:szCs w:val="20"/>
              </w:rPr>
              <w:t>8,963</w:t>
            </w:r>
          </w:p>
        </w:tc>
        <w:tc>
          <w:tcPr>
            <w:tcW w:w="50" w:type="pct"/>
            <w:shd w:val="clear" w:color="auto" w:fill="FFFFFF"/>
            <w:noWrap/>
            <w:tcMar>
              <w:top w:w="15" w:type="dxa"/>
              <w:left w:w="0" w:type="dxa"/>
              <w:bottom w:w="0" w:type="dxa"/>
              <w:right w:w="15" w:type="dxa"/>
            </w:tcMar>
            <w:vAlign w:val="bottom"/>
            <w:hideMark/>
          </w:tcPr>
          <w:p w14:paraId="714D2D4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13E44A1" w14:textId="77777777">
        <w:trPr>
          <w:divId w:val="396712005"/>
        </w:trPr>
        <w:tc>
          <w:tcPr>
            <w:tcW w:w="3349" w:type="pct"/>
            <w:shd w:val="clear" w:color="auto" w:fill="CFF0FC"/>
            <w:tcMar>
              <w:top w:w="15" w:type="dxa"/>
              <w:left w:w="0" w:type="dxa"/>
              <w:bottom w:w="0" w:type="dxa"/>
              <w:right w:w="15" w:type="dxa"/>
            </w:tcMar>
            <w:vAlign w:val="bottom"/>
            <w:hideMark/>
          </w:tcPr>
          <w:p w14:paraId="59E2ECE8" w14:textId="77777777" w:rsidR="00000000" w:rsidRDefault="00B8284C">
            <w:pPr>
              <w:pStyle w:val="a3"/>
              <w:spacing w:before="0" w:beforeAutospacing="0" w:after="0" w:afterAutospacing="0"/>
              <w:rPr>
                <w:color w:val="000000"/>
                <w:sz w:val="20"/>
                <w:szCs w:val="20"/>
              </w:rPr>
            </w:pPr>
            <w:r>
              <w:rPr>
                <w:color w:val="000000"/>
                <w:sz w:val="20"/>
                <w:szCs w:val="20"/>
              </w:rPr>
              <w:t>Cash, cash equivalents and restricted cash, beginning of period</w:t>
            </w:r>
          </w:p>
        </w:tc>
        <w:tc>
          <w:tcPr>
            <w:tcW w:w="81" w:type="pct"/>
            <w:shd w:val="clear" w:color="auto" w:fill="CFF0FC"/>
            <w:tcMar>
              <w:top w:w="15" w:type="dxa"/>
              <w:left w:w="0" w:type="dxa"/>
              <w:bottom w:w="0" w:type="dxa"/>
              <w:right w:w="15" w:type="dxa"/>
            </w:tcMar>
            <w:vAlign w:val="bottom"/>
            <w:hideMark/>
          </w:tcPr>
          <w:p w14:paraId="71A7673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E3032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A069527" w14:textId="77777777" w:rsidR="00000000" w:rsidRDefault="00B8284C">
            <w:pPr>
              <w:pStyle w:val="a3"/>
              <w:spacing w:before="0" w:beforeAutospacing="0" w:after="0" w:afterAutospacing="0"/>
              <w:jc w:val="right"/>
              <w:rPr>
                <w:color w:val="000000"/>
                <w:sz w:val="20"/>
                <w:szCs w:val="20"/>
              </w:rPr>
            </w:pPr>
            <w:r>
              <w:rPr>
                <w:color w:val="000000"/>
                <w:sz w:val="20"/>
                <w:szCs w:val="20"/>
              </w:rPr>
              <w:t>117,114</w:t>
            </w:r>
          </w:p>
        </w:tc>
        <w:tc>
          <w:tcPr>
            <w:tcW w:w="50" w:type="pct"/>
            <w:shd w:val="clear" w:color="auto" w:fill="CFF0FC"/>
            <w:noWrap/>
            <w:tcMar>
              <w:top w:w="15" w:type="dxa"/>
              <w:left w:w="0" w:type="dxa"/>
              <w:bottom w:w="0" w:type="dxa"/>
              <w:right w:w="15" w:type="dxa"/>
            </w:tcMar>
            <w:vAlign w:val="bottom"/>
            <w:hideMark/>
          </w:tcPr>
          <w:p w14:paraId="4994E9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0D0FE7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CBF348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E4F37D2" w14:textId="77777777" w:rsidR="00000000" w:rsidRDefault="00B8284C">
            <w:pPr>
              <w:pStyle w:val="a3"/>
              <w:spacing w:before="0" w:beforeAutospacing="0" w:after="0" w:afterAutospacing="0"/>
              <w:jc w:val="right"/>
              <w:rPr>
                <w:color w:val="000000"/>
                <w:sz w:val="20"/>
                <w:szCs w:val="20"/>
              </w:rPr>
            </w:pPr>
            <w:r>
              <w:rPr>
                <w:color w:val="000000"/>
                <w:sz w:val="20"/>
                <w:szCs w:val="20"/>
              </w:rPr>
              <w:t>92,784</w:t>
            </w:r>
          </w:p>
        </w:tc>
        <w:tc>
          <w:tcPr>
            <w:tcW w:w="50" w:type="pct"/>
            <w:shd w:val="clear" w:color="auto" w:fill="CFF0FC"/>
            <w:noWrap/>
            <w:tcMar>
              <w:top w:w="15" w:type="dxa"/>
              <w:left w:w="0" w:type="dxa"/>
              <w:bottom w:w="0" w:type="dxa"/>
              <w:right w:w="15" w:type="dxa"/>
            </w:tcMar>
            <w:vAlign w:val="bottom"/>
            <w:hideMark/>
          </w:tcPr>
          <w:p w14:paraId="701D5B2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14CD84F" w14:textId="77777777">
        <w:trPr>
          <w:divId w:val="396712005"/>
        </w:trPr>
        <w:tc>
          <w:tcPr>
            <w:tcW w:w="3349" w:type="pct"/>
            <w:shd w:val="clear" w:color="auto" w:fill="FFFFFF"/>
            <w:tcMar>
              <w:top w:w="15" w:type="dxa"/>
              <w:left w:w="0" w:type="dxa"/>
              <w:bottom w:w="0" w:type="dxa"/>
              <w:right w:w="15" w:type="dxa"/>
            </w:tcMar>
            <w:vAlign w:val="bottom"/>
            <w:hideMark/>
          </w:tcPr>
          <w:p w14:paraId="3CDB9228" w14:textId="77777777" w:rsidR="00000000" w:rsidRDefault="00B8284C">
            <w:pPr>
              <w:pStyle w:val="a3"/>
              <w:spacing w:before="0" w:beforeAutospacing="0" w:after="0" w:afterAutospacing="0"/>
              <w:rPr>
                <w:color w:val="000000"/>
                <w:sz w:val="20"/>
                <w:szCs w:val="20"/>
              </w:rPr>
            </w:pPr>
            <w:r>
              <w:rPr>
                <w:color w:val="000000"/>
                <w:sz w:val="20"/>
                <w:szCs w:val="20"/>
              </w:rPr>
              <w:t>Cash, cash equivalents and restricted cash, end of period</w:t>
            </w:r>
          </w:p>
        </w:tc>
        <w:tc>
          <w:tcPr>
            <w:tcW w:w="81" w:type="pct"/>
            <w:shd w:val="clear" w:color="auto" w:fill="FFFFFF"/>
            <w:tcMar>
              <w:top w:w="15" w:type="dxa"/>
              <w:left w:w="0" w:type="dxa"/>
              <w:bottom w:w="0" w:type="dxa"/>
              <w:right w:w="15" w:type="dxa"/>
            </w:tcMar>
            <w:vAlign w:val="bottom"/>
            <w:hideMark/>
          </w:tcPr>
          <w:p w14:paraId="4E82CE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44E9F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CF7700" w14:textId="77777777" w:rsidR="00000000" w:rsidRDefault="00B8284C">
            <w:pPr>
              <w:pStyle w:val="a3"/>
              <w:spacing w:before="0" w:beforeAutospacing="0" w:after="0" w:afterAutospacing="0"/>
              <w:jc w:val="right"/>
              <w:rPr>
                <w:color w:val="000000"/>
                <w:sz w:val="20"/>
                <w:szCs w:val="20"/>
              </w:rPr>
            </w:pPr>
            <w:r>
              <w:rPr>
                <w:color w:val="000000"/>
                <w:sz w:val="20"/>
                <w:szCs w:val="20"/>
              </w:rPr>
              <w:t>233,294</w:t>
            </w:r>
          </w:p>
        </w:tc>
        <w:tc>
          <w:tcPr>
            <w:tcW w:w="50" w:type="pct"/>
            <w:shd w:val="clear" w:color="auto" w:fill="FFFFFF"/>
            <w:noWrap/>
            <w:tcMar>
              <w:top w:w="15" w:type="dxa"/>
              <w:left w:w="0" w:type="dxa"/>
              <w:bottom w:w="0" w:type="dxa"/>
              <w:right w:w="15" w:type="dxa"/>
            </w:tcMar>
            <w:vAlign w:val="bottom"/>
            <w:hideMark/>
          </w:tcPr>
          <w:p w14:paraId="4B151A8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03A7C4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17F43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01D519" w14:textId="77777777" w:rsidR="00000000" w:rsidRDefault="00B8284C">
            <w:pPr>
              <w:pStyle w:val="a3"/>
              <w:spacing w:before="0" w:beforeAutospacing="0" w:after="0" w:afterAutospacing="0"/>
              <w:jc w:val="right"/>
              <w:rPr>
                <w:color w:val="000000"/>
                <w:sz w:val="20"/>
                <w:szCs w:val="20"/>
              </w:rPr>
            </w:pPr>
            <w:r>
              <w:rPr>
                <w:color w:val="000000"/>
                <w:sz w:val="20"/>
                <w:szCs w:val="20"/>
              </w:rPr>
              <w:t>101,747</w:t>
            </w:r>
          </w:p>
        </w:tc>
        <w:tc>
          <w:tcPr>
            <w:tcW w:w="50" w:type="pct"/>
            <w:shd w:val="clear" w:color="auto" w:fill="FFFFFF"/>
            <w:noWrap/>
            <w:tcMar>
              <w:top w:w="15" w:type="dxa"/>
              <w:left w:w="0" w:type="dxa"/>
              <w:bottom w:w="0" w:type="dxa"/>
              <w:right w:w="15" w:type="dxa"/>
            </w:tcMar>
            <w:vAlign w:val="bottom"/>
            <w:hideMark/>
          </w:tcPr>
          <w:p w14:paraId="1159137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7785CB6" w14:textId="77777777">
        <w:trPr>
          <w:divId w:val="396712005"/>
        </w:trPr>
        <w:tc>
          <w:tcPr>
            <w:tcW w:w="3349" w:type="pct"/>
            <w:shd w:val="clear" w:color="auto" w:fill="CFF0FC"/>
            <w:tcMar>
              <w:top w:w="15" w:type="dxa"/>
              <w:left w:w="0" w:type="dxa"/>
              <w:bottom w:w="0" w:type="dxa"/>
              <w:right w:w="15" w:type="dxa"/>
            </w:tcMar>
            <w:vAlign w:val="bottom"/>
            <w:hideMark/>
          </w:tcPr>
          <w:p w14:paraId="1C130FE4" w14:textId="77777777" w:rsidR="00000000" w:rsidRDefault="00B8284C">
            <w:pPr>
              <w:pStyle w:val="a3"/>
              <w:spacing w:before="0" w:beforeAutospacing="0" w:after="0" w:afterAutospacing="0"/>
              <w:rPr>
                <w:b/>
                <w:bCs/>
                <w:color w:val="000000"/>
                <w:sz w:val="20"/>
                <w:szCs w:val="20"/>
              </w:rPr>
            </w:pPr>
            <w:r>
              <w:rPr>
                <w:b/>
                <w:bCs/>
                <w:color w:val="000000"/>
                <w:sz w:val="20"/>
                <w:szCs w:val="20"/>
              </w:rPr>
              <w:t>Supplemental cash flow disclosure:</w:t>
            </w:r>
          </w:p>
        </w:tc>
        <w:tc>
          <w:tcPr>
            <w:tcW w:w="81" w:type="pct"/>
            <w:shd w:val="clear" w:color="auto" w:fill="CFF0FC"/>
            <w:tcMar>
              <w:top w:w="15" w:type="dxa"/>
              <w:left w:w="0" w:type="dxa"/>
              <w:bottom w:w="0" w:type="dxa"/>
              <w:right w:w="15" w:type="dxa"/>
            </w:tcMar>
            <w:vAlign w:val="bottom"/>
            <w:hideMark/>
          </w:tcPr>
          <w:p w14:paraId="2255525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E452D3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14:paraId="7EE3C39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D324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93DD8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4AEEAA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14:paraId="556CC5E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F0584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7B7DCA0" w14:textId="77777777">
        <w:trPr>
          <w:divId w:val="396712005"/>
        </w:trPr>
        <w:tc>
          <w:tcPr>
            <w:tcW w:w="3349" w:type="pct"/>
            <w:shd w:val="clear" w:color="auto" w:fill="FFFFFF"/>
            <w:tcMar>
              <w:top w:w="15" w:type="dxa"/>
              <w:left w:w="0" w:type="dxa"/>
              <w:bottom w:w="0" w:type="dxa"/>
              <w:right w:w="15" w:type="dxa"/>
            </w:tcMar>
            <w:vAlign w:val="bottom"/>
            <w:hideMark/>
          </w:tcPr>
          <w:p w14:paraId="6F898AAE" w14:textId="77777777" w:rsidR="00000000" w:rsidRDefault="00B8284C">
            <w:pPr>
              <w:pStyle w:val="a3"/>
              <w:spacing w:before="0" w:beforeAutospacing="0" w:after="0" w:afterAutospacing="0"/>
              <w:rPr>
                <w:color w:val="000000"/>
                <w:sz w:val="20"/>
                <w:szCs w:val="20"/>
              </w:rPr>
            </w:pPr>
            <w:r>
              <w:rPr>
                <w:color w:val="000000"/>
                <w:sz w:val="20"/>
                <w:szCs w:val="20"/>
              </w:rPr>
              <w:t>Cash paid for interest</w:t>
            </w:r>
          </w:p>
        </w:tc>
        <w:tc>
          <w:tcPr>
            <w:tcW w:w="81" w:type="pct"/>
            <w:shd w:val="clear" w:color="auto" w:fill="FFFFFF"/>
            <w:tcMar>
              <w:top w:w="15" w:type="dxa"/>
              <w:left w:w="0" w:type="dxa"/>
              <w:bottom w:w="0" w:type="dxa"/>
              <w:right w:w="15" w:type="dxa"/>
            </w:tcMar>
            <w:vAlign w:val="bottom"/>
            <w:hideMark/>
          </w:tcPr>
          <w:p w14:paraId="0A9A29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45492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1814EBD0" w14:textId="77777777" w:rsidR="00000000" w:rsidRDefault="00B8284C">
            <w:pPr>
              <w:pStyle w:val="a3"/>
              <w:spacing w:before="0" w:beforeAutospacing="0" w:after="0" w:afterAutospacing="0"/>
              <w:jc w:val="right"/>
              <w:rPr>
                <w:color w:val="000000"/>
                <w:sz w:val="20"/>
                <w:szCs w:val="20"/>
              </w:rPr>
            </w:pPr>
            <w:r>
              <w:rPr>
                <w:color w:val="000000"/>
                <w:sz w:val="20"/>
                <w:szCs w:val="20"/>
              </w:rPr>
              <w:t>503</w:t>
            </w:r>
          </w:p>
        </w:tc>
        <w:tc>
          <w:tcPr>
            <w:tcW w:w="50" w:type="pct"/>
            <w:shd w:val="clear" w:color="auto" w:fill="FFFFFF"/>
            <w:noWrap/>
            <w:tcMar>
              <w:top w:w="15" w:type="dxa"/>
              <w:left w:w="0" w:type="dxa"/>
              <w:bottom w:w="0" w:type="dxa"/>
              <w:right w:w="15" w:type="dxa"/>
            </w:tcMar>
            <w:vAlign w:val="bottom"/>
            <w:hideMark/>
          </w:tcPr>
          <w:p w14:paraId="75A741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C82519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81D81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764ACA75" w14:textId="77777777" w:rsidR="00000000" w:rsidRDefault="00B8284C">
            <w:pPr>
              <w:pStyle w:val="a3"/>
              <w:spacing w:before="0" w:beforeAutospacing="0" w:after="0" w:afterAutospacing="0"/>
              <w:jc w:val="right"/>
              <w:rPr>
                <w:color w:val="000000"/>
                <w:sz w:val="20"/>
                <w:szCs w:val="20"/>
              </w:rPr>
            </w:pPr>
            <w:r>
              <w:rPr>
                <w:color w:val="000000"/>
                <w:sz w:val="20"/>
                <w:szCs w:val="20"/>
              </w:rPr>
              <w:t>527</w:t>
            </w:r>
          </w:p>
        </w:tc>
        <w:tc>
          <w:tcPr>
            <w:tcW w:w="50" w:type="pct"/>
            <w:shd w:val="clear" w:color="auto" w:fill="FFFFFF"/>
            <w:noWrap/>
            <w:tcMar>
              <w:top w:w="15" w:type="dxa"/>
              <w:left w:w="0" w:type="dxa"/>
              <w:bottom w:w="0" w:type="dxa"/>
              <w:right w:w="15" w:type="dxa"/>
            </w:tcMar>
            <w:vAlign w:val="bottom"/>
            <w:hideMark/>
          </w:tcPr>
          <w:p w14:paraId="2E45D2E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FA34781" w14:textId="77777777">
        <w:trPr>
          <w:divId w:val="396712005"/>
        </w:trPr>
        <w:tc>
          <w:tcPr>
            <w:tcW w:w="3349" w:type="pct"/>
            <w:shd w:val="clear" w:color="auto" w:fill="CFF0FC"/>
            <w:tcMar>
              <w:top w:w="15" w:type="dxa"/>
              <w:left w:w="0" w:type="dxa"/>
              <w:bottom w:w="0" w:type="dxa"/>
              <w:right w:w="15" w:type="dxa"/>
            </w:tcMar>
            <w:vAlign w:val="bottom"/>
            <w:hideMark/>
          </w:tcPr>
          <w:p w14:paraId="7397CCA0" w14:textId="77777777" w:rsidR="00000000" w:rsidRDefault="00B8284C">
            <w:pPr>
              <w:pStyle w:val="a3"/>
              <w:spacing w:before="0" w:beforeAutospacing="0" w:after="0" w:afterAutospacing="0"/>
              <w:rPr>
                <w:color w:val="000000"/>
                <w:sz w:val="20"/>
                <w:szCs w:val="20"/>
              </w:rPr>
            </w:pPr>
            <w:r>
              <w:rPr>
                <w:color w:val="000000"/>
                <w:sz w:val="20"/>
                <w:szCs w:val="20"/>
              </w:rPr>
              <w:t>Cash paid for income taxes</w:t>
            </w:r>
          </w:p>
        </w:tc>
        <w:tc>
          <w:tcPr>
            <w:tcW w:w="81" w:type="pct"/>
            <w:shd w:val="clear" w:color="auto" w:fill="CFF0FC"/>
            <w:tcMar>
              <w:top w:w="15" w:type="dxa"/>
              <w:left w:w="0" w:type="dxa"/>
              <w:bottom w:w="0" w:type="dxa"/>
              <w:right w:w="15" w:type="dxa"/>
            </w:tcMar>
            <w:vAlign w:val="bottom"/>
            <w:hideMark/>
          </w:tcPr>
          <w:p w14:paraId="219202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78886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2015C591" w14:textId="77777777" w:rsidR="00000000" w:rsidRDefault="00B8284C">
            <w:pPr>
              <w:pStyle w:val="a3"/>
              <w:spacing w:before="0" w:beforeAutospacing="0" w:after="0" w:afterAutospacing="0"/>
              <w:jc w:val="right"/>
              <w:rPr>
                <w:color w:val="000000"/>
                <w:sz w:val="20"/>
                <w:szCs w:val="20"/>
              </w:rPr>
            </w:pPr>
            <w:r>
              <w:rPr>
                <w:color w:val="000000"/>
                <w:sz w:val="20"/>
                <w:szCs w:val="20"/>
              </w:rPr>
              <w:t>2,395</w:t>
            </w:r>
          </w:p>
        </w:tc>
        <w:tc>
          <w:tcPr>
            <w:tcW w:w="50" w:type="pct"/>
            <w:shd w:val="clear" w:color="auto" w:fill="CFF0FC"/>
            <w:noWrap/>
            <w:tcMar>
              <w:top w:w="15" w:type="dxa"/>
              <w:left w:w="0" w:type="dxa"/>
              <w:bottom w:w="0" w:type="dxa"/>
              <w:right w:w="15" w:type="dxa"/>
            </w:tcMar>
            <w:vAlign w:val="bottom"/>
            <w:hideMark/>
          </w:tcPr>
          <w:p w14:paraId="7E48FFB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1884B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D0FCC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107DF0BB" w14:textId="77777777" w:rsidR="00000000" w:rsidRDefault="00B8284C">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14:paraId="4A88DD6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EE4DD91" w14:textId="77777777">
        <w:trPr>
          <w:divId w:val="396712005"/>
        </w:trPr>
        <w:tc>
          <w:tcPr>
            <w:tcW w:w="3349" w:type="pct"/>
            <w:shd w:val="clear" w:color="auto" w:fill="FFFFFF"/>
            <w:tcMar>
              <w:top w:w="15" w:type="dxa"/>
              <w:left w:w="0" w:type="dxa"/>
              <w:bottom w:w="0" w:type="dxa"/>
              <w:right w:w="15" w:type="dxa"/>
            </w:tcMar>
            <w:vAlign w:val="bottom"/>
            <w:hideMark/>
          </w:tcPr>
          <w:p w14:paraId="35FB26CF" w14:textId="77777777" w:rsidR="00000000" w:rsidRDefault="00B8284C">
            <w:pPr>
              <w:pStyle w:val="a3"/>
              <w:spacing w:before="0" w:beforeAutospacing="0" w:after="0" w:afterAutospacing="0"/>
              <w:rPr>
                <w:color w:val="000000"/>
                <w:sz w:val="20"/>
                <w:szCs w:val="20"/>
              </w:rPr>
            </w:pPr>
            <w:r>
              <w:rPr>
                <w:color w:val="000000"/>
                <w:sz w:val="20"/>
                <w:szCs w:val="20"/>
              </w:rPr>
              <w:t>Right of use assets obtained in exchange for operating lease liabilities</w:t>
            </w:r>
          </w:p>
        </w:tc>
        <w:tc>
          <w:tcPr>
            <w:tcW w:w="81" w:type="pct"/>
            <w:shd w:val="clear" w:color="auto" w:fill="FFFFFF"/>
            <w:tcMar>
              <w:top w:w="15" w:type="dxa"/>
              <w:left w:w="0" w:type="dxa"/>
              <w:bottom w:w="0" w:type="dxa"/>
              <w:right w:w="15" w:type="dxa"/>
            </w:tcMar>
            <w:vAlign w:val="bottom"/>
            <w:hideMark/>
          </w:tcPr>
          <w:p w14:paraId="7F0CB24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20614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663FC012" w14:textId="77777777" w:rsidR="00000000" w:rsidRDefault="00B8284C">
            <w:pPr>
              <w:pStyle w:val="a3"/>
              <w:spacing w:before="0" w:beforeAutospacing="0" w:after="0" w:afterAutospacing="0"/>
              <w:jc w:val="right"/>
              <w:rPr>
                <w:color w:val="000000"/>
                <w:sz w:val="20"/>
                <w:szCs w:val="20"/>
              </w:rPr>
            </w:pPr>
            <w:r>
              <w:rPr>
                <w:color w:val="000000"/>
                <w:sz w:val="20"/>
                <w:szCs w:val="20"/>
              </w:rPr>
              <w:t>81,744</w:t>
            </w:r>
          </w:p>
        </w:tc>
        <w:tc>
          <w:tcPr>
            <w:tcW w:w="50" w:type="pct"/>
            <w:shd w:val="clear" w:color="auto" w:fill="FFFFFF"/>
            <w:noWrap/>
            <w:tcMar>
              <w:top w:w="15" w:type="dxa"/>
              <w:left w:w="0" w:type="dxa"/>
              <w:bottom w:w="0" w:type="dxa"/>
              <w:right w:w="15" w:type="dxa"/>
            </w:tcMar>
            <w:vAlign w:val="bottom"/>
            <w:hideMark/>
          </w:tcPr>
          <w:p w14:paraId="36B85A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9877D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EDCAB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66869908"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4A9BDD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D51FBDB" w14:textId="77777777">
        <w:trPr>
          <w:divId w:val="396712005"/>
        </w:trPr>
        <w:tc>
          <w:tcPr>
            <w:tcW w:w="3349" w:type="pct"/>
            <w:shd w:val="clear" w:color="auto" w:fill="CFF0FC"/>
            <w:tcMar>
              <w:top w:w="15" w:type="dxa"/>
              <w:left w:w="0" w:type="dxa"/>
              <w:bottom w:w="0" w:type="dxa"/>
              <w:right w:w="15" w:type="dxa"/>
            </w:tcMar>
            <w:vAlign w:val="bottom"/>
            <w:hideMark/>
          </w:tcPr>
          <w:p w14:paraId="7D14ABD5" w14:textId="77777777" w:rsidR="00000000" w:rsidRDefault="00B8284C">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81" w:type="pct"/>
            <w:shd w:val="clear" w:color="auto" w:fill="CFF0FC"/>
            <w:tcMar>
              <w:top w:w="15" w:type="dxa"/>
              <w:left w:w="0" w:type="dxa"/>
              <w:bottom w:w="0" w:type="dxa"/>
              <w:right w:w="15" w:type="dxa"/>
            </w:tcMar>
            <w:vAlign w:val="bottom"/>
            <w:hideMark/>
          </w:tcPr>
          <w:p w14:paraId="1D1118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3E0B01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DCFD89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B5E7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28701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4F1B1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5CF801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7310A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1D6EDF1" w14:textId="77777777">
        <w:trPr>
          <w:divId w:val="396712005"/>
        </w:trPr>
        <w:tc>
          <w:tcPr>
            <w:tcW w:w="3349" w:type="pct"/>
            <w:shd w:val="clear" w:color="auto" w:fill="FFFFFF"/>
            <w:tcMar>
              <w:top w:w="15" w:type="dxa"/>
              <w:left w:w="0" w:type="dxa"/>
              <w:bottom w:w="0" w:type="dxa"/>
              <w:right w:w="15" w:type="dxa"/>
            </w:tcMar>
            <w:vAlign w:val="bottom"/>
            <w:hideMark/>
          </w:tcPr>
          <w:p w14:paraId="6D37D4B3" w14:textId="77777777" w:rsidR="00000000" w:rsidRDefault="00B8284C">
            <w:pPr>
              <w:pStyle w:val="a3"/>
              <w:spacing w:before="0" w:beforeAutospacing="0" w:after="0" w:afterAutospacing="0"/>
              <w:rPr>
                <w:color w:val="000000"/>
                <w:sz w:val="20"/>
                <w:szCs w:val="20"/>
              </w:rPr>
            </w:pPr>
            <w:r>
              <w:rPr>
                <w:color w:val="000000"/>
                <w:sz w:val="20"/>
                <w:szCs w:val="20"/>
              </w:rPr>
              <w:t>Capital expenditures incurred but not yet paid</w:t>
            </w:r>
          </w:p>
        </w:tc>
        <w:tc>
          <w:tcPr>
            <w:tcW w:w="81" w:type="pct"/>
            <w:shd w:val="clear" w:color="auto" w:fill="FFFFFF"/>
            <w:tcMar>
              <w:top w:w="15" w:type="dxa"/>
              <w:left w:w="0" w:type="dxa"/>
              <w:bottom w:w="0" w:type="dxa"/>
              <w:right w:w="15" w:type="dxa"/>
            </w:tcMar>
            <w:vAlign w:val="bottom"/>
            <w:hideMark/>
          </w:tcPr>
          <w:p w14:paraId="11E7D6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1EE56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6A541FEC" w14:textId="77777777" w:rsidR="00000000" w:rsidRDefault="00B8284C">
            <w:pPr>
              <w:pStyle w:val="a3"/>
              <w:spacing w:before="0" w:beforeAutospacing="0" w:after="0" w:afterAutospacing="0"/>
              <w:jc w:val="right"/>
              <w:rPr>
                <w:color w:val="000000"/>
                <w:sz w:val="20"/>
                <w:szCs w:val="20"/>
              </w:rPr>
            </w:pPr>
            <w:r>
              <w:rPr>
                <w:color w:val="000000"/>
                <w:sz w:val="20"/>
                <w:szCs w:val="20"/>
              </w:rPr>
              <w:t>1,871</w:t>
            </w:r>
          </w:p>
        </w:tc>
        <w:tc>
          <w:tcPr>
            <w:tcW w:w="50" w:type="pct"/>
            <w:shd w:val="clear" w:color="auto" w:fill="FFFFFF"/>
            <w:noWrap/>
            <w:tcMar>
              <w:top w:w="15" w:type="dxa"/>
              <w:left w:w="0" w:type="dxa"/>
              <w:bottom w:w="0" w:type="dxa"/>
              <w:right w:w="15" w:type="dxa"/>
            </w:tcMar>
            <w:vAlign w:val="bottom"/>
            <w:hideMark/>
          </w:tcPr>
          <w:p w14:paraId="385989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E04D0F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D0DF3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5D0FC16E" w14:textId="77777777" w:rsidR="00000000" w:rsidRDefault="00B8284C">
            <w:pPr>
              <w:pStyle w:val="a3"/>
              <w:spacing w:before="0" w:beforeAutospacing="0" w:after="0" w:afterAutospacing="0"/>
              <w:jc w:val="right"/>
              <w:rPr>
                <w:color w:val="000000"/>
                <w:sz w:val="20"/>
                <w:szCs w:val="20"/>
              </w:rPr>
            </w:pPr>
            <w:r>
              <w:rPr>
                <w:color w:val="000000"/>
                <w:sz w:val="20"/>
                <w:szCs w:val="20"/>
              </w:rPr>
              <w:t>2,018</w:t>
            </w:r>
          </w:p>
        </w:tc>
        <w:tc>
          <w:tcPr>
            <w:tcW w:w="50" w:type="pct"/>
            <w:shd w:val="clear" w:color="auto" w:fill="FFFFFF"/>
            <w:noWrap/>
            <w:tcMar>
              <w:top w:w="15" w:type="dxa"/>
              <w:left w:w="0" w:type="dxa"/>
              <w:bottom w:w="0" w:type="dxa"/>
              <w:right w:w="15" w:type="dxa"/>
            </w:tcMar>
            <w:vAlign w:val="bottom"/>
            <w:hideMark/>
          </w:tcPr>
          <w:p w14:paraId="407C766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4B1709A" w14:textId="77777777">
        <w:trPr>
          <w:divId w:val="396712005"/>
        </w:trPr>
        <w:tc>
          <w:tcPr>
            <w:tcW w:w="3349" w:type="pct"/>
            <w:shd w:val="clear" w:color="auto" w:fill="CFF0FC"/>
            <w:tcMar>
              <w:top w:w="15" w:type="dxa"/>
              <w:left w:w="0" w:type="dxa"/>
              <w:bottom w:w="0" w:type="dxa"/>
              <w:right w:w="15" w:type="dxa"/>
            </w:tcMar>
            <w:vAlign w:val="bottom"/>
            <w:hideMark/>
          </w:tcPr>
          <w:p w14:paraId="2D72E396" w14:textId="77777777" w:rsidR="00000000" w:rsidRDefault="00B8284C">
            <w:pPr>
              <w:pStyle w:val="a3"/>
              <w:spacing w:before="0" w:beforeAutospacing="0" w:after="0" w:afterAutospacing="0"/>
              <w:rPr>
                <w:color w:val="000000"/>
                <w:sz w:val="20"/>
                <w:szCs w:val="20"/>
              </w:rPr>
            </w:pPr>
            <w:r>
              <w:rPr>
                <w:color w:val="000000"/>
                <w:sz w:val="20"/>
                <w:szCs w:val="20"/>
              </w:rPr>
              <w:t>Asset retirement obligations</w:t>
            </w:r>
          </w:p>
        </w:tc>
        <w:tc>
          <w:tcPr>
            <w:tcW w:w="81" w:type="pct"/>
            <w:shd w:val="clear" w:color="auto" w:fill="CFF0FC"/>
            <w:tcMar>
              <w:top w:w="15" w:type="dxa"/>
              <w:left w:w="0" w:type="dxa"/>
              <w:bottom w:w="0" w:type="dxa"/>
              <w:right w:w="15" w:type="dxa"/>
            </w:tcMar>
            <w:vAlign w:val="bottom"/>
            <w:hideMark/>
          </w:tcPr>
          <w:p w14:paraId="2B91AB5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66FBC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1FD5CC99" w14:textId="77777777" w:rsidR="00000000" w:rsidRDefault="00B8284C">
            <w:pPr>
              <w:pStyle w:val="a3"/>
              <w:spacing w:before="0" w:beforeAutospacing="0" w:after="0" w:afterAutospacing="0"/>
              <w:jc w:val="right"/>
              <w:rPr>
                <w:color w:val="000000"/>
                <w:sz w:val="20"/>
                <w:szCs w:val="20"/>
              </w:rPr>
            </w:pPr>
            <w:r>
              <w:rPr>
                <w:color w:val="000000"/>
                <w:sz w:val="20"/>
                <w:szCs w:val="20"/>
              </w:rPr>
              <w:t>1,106</w:t>
            </w:r>
          </w:p>
        </w:tc>
        <w:tc>
          <w:tcPr>
            <w:tcW w:w="50" w:type="pct"/>
            <w:shd w:val="clear" w:color="auto" w:fill="CFF0FC"/>
            <w:noWrap/>
            <w:tcMar>
              <w:top w:w="15" w:type="dxa"/>
              <w:left w:w="0" w:type="dxa"/>
              <w:bottom w:w="0" w:type="dxa"/>
              <w:right w:w="15" w:type="dxa"/>
            </w:tcMar>
            <w:vAlign w:val="bottom"/>
            <w:hideMark/>
          </w:tcPr>
          <w:p w14:paraId="6816D2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E8775C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BE4BE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4873ADDF" w14:textId="77777777" w:rsidR="00000000" w:rsidRDefault="00B8284C">
            <w:pPr>
              <w:pStyle w:val="a3"/>
              <w:spacing w:before="0" w:beforeAutospacing="0" w:after="0" w:afterAutospacing="0"/>
              <w:jc w:val="right"/>
              <w:rPr>
                <w:color w:val="000000"/>
                <w:sz w:val="20"/>
                <w:szCs w:val="20"/>
              </w:rPr>
            </w:pPr>
            <w:r>
              <w:rPr>
                <w:color w:val="000000"/>
                <w:sz w:val="20"/>
                <w:szCs w:val="20"/>
              </w:rPr>
              <w:t>347</w:t>
            </w:r>
          </w:p>
        </w:tc>
        <w:tc>
          <w:tcPr>
            <w:tcW w:w="50" w:type="pct"/>
            <w:shd w:val="clear" w:color="auto" w:fill="CFF0FC"/>
            <w:noWrap/>
            <w:tcMar>
              <w:top w:w="15" w:type="dxa"/>
              <w:left w:w="0" w:type="dxa"/>
              <w:bottom w:w="0" w:type="dxa"/>
              <w:right w:w="15" w:type="dxa"/>
            </w:tcMar>
            <w:vAlign w:val="bottom"/>
            <w:hideMark/>
          </w:tcPr>
          <w:p w14:paraId="18E217A2"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16399A1E" w14:textId="77777777" w:rsidR="00000000" w:rsidRDefault="00B8284C">
      <w:pPr>
        <w:pStyle w:val="a3"/>
        <w:spacing w:before="0" w:beforeAutospacing="0" w:after="0" w:afterAutospacing="0"/>
        <w:rPr>
          <w:sz w:val="20"/>
          <w:szCs w:val="20"/>
        </w:rPr>
      </w:pPr>
      <w:r>
        <w:rPr>
          <w:sz w:val="20"/>
          <w:szCs w:val="20"/>
        </w:rPr>
        <w:t> </w:t>
      </w:r>
    </w:p>
    <w:p w14:paraId="3ADA2007" w14:textId="77777777" w:rsidR="00000000" w:rsidRDefault="00B8284C">
      <w:pPr>
        <w:pStyle w:val="a3"/>
        <w:spacing w:before="40" w:beforeAutospacing="0" w:after="0" w:afterAutospacing="0"/>
        <w:rPr>
          <w:sz w:val="20"/>
          <w:szCs w:val="20"/>
        </w:rPr>
      </w:pPr>
      <w:r>
        <w:rPr>
          <w:sz w:val="20"/>
          <w:szCs w:val="20"/>
        </w:rPr>
        <w:t>The accompanying notes are an integral part of the consolidated financial statements.</w:t>
      </w:r>
    </w:p>
    <w:p w14:paraId="5D0B900C" w14:textId="77777777" w:rsidR="00000000" w:rsidRDefault="00B8284C">
      <w:pPr>
        <w:pStyle w:val="a3"/>
        <w:spacing w:before="240" w:beforeAutospacing="0" w:after="0" w:afterAutospacing="0"/>
        <w:jc w:val="center"/>
        <w:rPr>
          <w:sz w:val="20"/>
          <w:szCs w:val="20"/>
        </w:rPr>
      </w:pPr>
      <w:r>
        <w:rPr>
          <w:sz w:val="20"/>
          <w:szCs w:val="20"/>
        </w:rPr>
        <w:t>7</w:t>
      </w:r>
    </w:p>
    <w:p w14:paraId="1FA1FE98" w14:textId="77777777" w:rsidR="00000000" w:rsidRDefault="00B8284C">
      <w:pPr>
        <w:rPr>
          <w:rFonts w:eastAsia="Times New Roman"/>
        </w:rPr>
      </w:pPr>
      <w:r>
        <w:rPr>
          <w:rFonts w:eastAsia="Times New Roman"/>
        </w:rPr>
        <w:pict w14:anchorId="0BE5959D">
          <v:rect id="_x0000_i1031" style="width:0;height:1.5pt" o:hralign="center" o:hrstd="t" o:hr="t" fillcolor="#a0a0a0" stroked="f"/>
        </w:pict>
      </w:r>
    </w:p>
    <w:p w14:paraId="24B0C5B7" w14:textId="77777777" w:rsidR="00000000" w:rsidRDefault="00B8284C">
      <w:pPr>
        <w:pStyle w:val="a3"/>
        <w:spacing w:before="0" w:beforeAutospacing="0" w:after="0" w:afterAutospacing="0"/>
        <w:rPr>
          <w:sz w:val="20"/>
          <w:szCs w:val="20"/>
        </w:rPr>
      </w:pPr>
      <w:r>
        <w:rPr>
          <w:sz w:val="20"/>
          <w:szCs w:val="20"/>
        </w:rPr>
        <w:t> </w:t>
      </w:r>
    </w:p>
    <w:p w14:paraId="2C9DD5AC" w14:textId="77777777" w:rsidR="00000000" w:rsidRDefault="00B8284C">
      <w:pPr>
        <w:pStyle w:val="a3"/>
        <w:spacing w:before="0" w:beforeAutospacing="0" w:after="0" w:afterAutospacing="0"/>
        <w:jc w:val="center"/>
        <w:rPr>
          <w:b/>
          <w:bCs/>
          <w:sz w:val="20"/>
          <w:szCs w:val="20"/>
        </w:rPr>
      </w:pPr>
      <w:r>
        <w:rPr>
          <w:b/>
          <w:bCs/>
          <w:sz w:val="20"/>
          <w:szCs w:val="20"/>
        </w:rPr>
        <w:t>HubSpot, Inc.</w:t>
      </w:r>
    </w:p>
    <w:p w14:paraId="3E1AF94E" w14:textId="77777777" w:rsidR="00000000" w:rsidRDefault="00B8284C">
      <w:pPr>
        <w:pStyle w:val="a3"/>
        <w:spacing w:before="0" w:beforeAutospacing="0" w:after="0" w:afterAutospacing="0"/>
        <w:jc w:val="center"/>
        <w:rPr>
          <w:b/>
          <w:bCs/>
          <w:sz w:val="20"/>
          <w:szCs w:val="20"/>
        </w:rPr>
      </w:pPr>
      <w:r>
        <w:rPr>
          <w:b/>
          <w:bCs/>
          <w:sz w:val="20"/>
          <w:szCs w:val="20"/>
        </w:rPr>
        <w:t>Notes to Unaudited Consolidated Financial Statements</w:t>
      </w:r>
    </w:p>
    <w:p w14:paraId="2BDB0CAA" w14:textId="77777777" w:rsidR="00000000" w:rsidRDefault="00B8284C">
      <w:pPr>
        <w:pStyle w:val="a3"/>
        <w:spacing w:before="0" w:beforeAutospacing="0" w:after="0" w:afterAutospacing="0"/>
        <w:rPr>
          <w:sz w:val="12"/>
          <w:szCs w:val="12"/>
        </w:rPr>
      </w:pPr>
      <w:r>
        <w:rPr>
          <w:sz w:val="12"/>
          <w:szCs w:val="12"/>
        </w:rPr>
        <w:t> </w:t>
      </w:r>
    </w:p>
    <w:p w14:paraId="0D819BBF" w14:textId="77777777" w:rsidR="00000000" w:rsidRDefault="00B8284C">
      <w:pPr>
        <w:pStyle w:val="a3"/>
        <w:spacing w:before="0" w:beforeAutospacing="0" w:after="0" w:afterAutospacing="0"/>
        <w:rPr>
          <w:sz w:val="12"/>
          <w:szCs w:val="12"/>
        </w:rPr>
      </w:pPr>
      <w:r>
        <w:rPr>
          <w:sz w:val="12"/>
          <w:szCs w:val="12"/>
        </w:rPr>
        <w:t> </w:t>
      </w:r>
    </w:p>
    <w:p w14:paraId="40409487" w14:textId="77777777" w:rsidR="00000000" w:rsidRDefault="00B8284C">
      <w:pPr>
        <w:pStyle w:val="a3"/>
        <w:spacing w:before="0" w:beforeAutospacing="0" w:after="0" w:afterAutospacing="0"/>
        <w:rPr>
          <w:b/>
          <w:bCs/>
          <w:sz w:val="20"/>
          <w:szCs w:val="20"/>
        </w:rPr>
      </w:pPr>
      <w:r>
        <w:rPr>
          <w:b/>
          <w:bCs/>
          <w:sz w:val="20"/>
          <w:szCs w:val="20"/>
        </w:rPr>
        <w:t>1. Organization and Operations</w:t>
      </w:r>
    </w:p>
    <w:p w14:paraId="088EC3FB" w14:textId="77777777" w:rsidR="00000000" w:rsidRDefault="00B8284C">
      <w:pPr>
        <w:pStyle w:val="a3"/>
        <w:spacing w:before="120" w:beforeAutospacing="0" w:after="0" w:afterAutospacing="0"/>
        <w:ind w:firstLine="556"/>
        <w:rPr>
          <w:sz w:val="20"/>
          <w:szCs w:val="20"/>
        </w:rPr>
      </w:pPr>
      <w:r>
        <w:rPr>
          <w:sz w:val="20"/>
          <w:szCs w:val="20"/>
        </w:rPr>
        <w:t xml:space="preserve">HubSpot, Inc. (the “Company”) provides a cloud-based inbound marketing, sales and customer service platform, which is referred to in this document as the Company’s Growth Platform, that enables businesses to grow better. </w:t>
      </w:r>
      <w:r>
        <w:rPr>
          <w:color w:val="000000"/>
          <w:sz w:val="20"/>
          <w:szCs w:val="20"/>
        </w:rPr>
        <w:t xml:space="preserve">The </w:t>
      </w:r>
      <w:r>
        <w:rPr>
          <w:color w:val="000000"/>
          <w:sz w:val="20"/>
          <w:szCs w:val="20"/>
        </w:rPr>
        <w:t>Company’s Growth Platform, comprised of Marketing Hub, Sales Hub, Service Hub, and a free customer relationship management, or CRM system, features integrated applications and tools that enable businesses to create a cohesive and adaptable customer experie</w:t>
      </w:r>
      <w:r>
        <w:rPr>
          <w:color w:val="000000"/>
          <w:sz w:val="20"/>
          <w:szCs w:val="20"/>
        </w:rPr>
        <w:t>nce throughout the customer lifecycle.</w:t>
      </w:r>
    </w:p>
    <w:p w14:paraId="68012BDA" w14:textId="77777777" w:rsidR="00000000" w:rsidRDefault="00B8284C">
      <w:pPr>
        <w:pStyle w:val="a3"/>
        <w:spacing w:before="240" w:beforeAutospacing="0" w:after="0" w:afterAutospacing="0"/>
        <w:ind w:firstLine="556"/>
        <w:rPr>
          <w:sz w:val="20"/>
          <w:szCs w:val="20"/>
        </w:rPr>
      </w:pPr>
      <w:r>
        <w:rPr>
          <w:sz w:val="20"/>
          <w:szCs w:val="20"/>
        </w:rPr>
        <w:t xml:space="preserve">The accompanying unaudited consolidated financial statements have been prepared in accordance with generally accepted accounting principles in the United States (“GAAP”) applicable to interim periods, under the rules </w:t>
      </w:r>
      <w:r>
        <w:rPr>
          <w:sz w:val="20"/>
          <w:szCs w:val="20"/>
        </w:rPr>
        <w:t>and regulations of the United States Securities and Exchange Commission (“SEC”). In the opinion of management, the Company has prepared the accompanying unaudited consolidated financial statements on a basis substantially consistent with the audited consol</w:t>
      </w:r>
      <w:r>
        <w:rPr>
          <w:sz w:val="20"/>
          <w:szCs w:val="20"/>
        </w:rPr>
        <w:t>idated financial statements of the Company as of and for the year ended December 31, 2018, and these consolidated financial statements include all adjustments, consisting only of normal recurring adjustments, necessary for a fair statement of the results o</w:t>
      </w:r>
      <w:r>
        <w:rPr>
          <w:sz w:val="20"/>
          <w:szCs w:val="20"/>
        </w:rPr>
        <w:t>f the interim periods presented. All intercompany balances and transactions have been eliminated in consolidation.   </w:t>
      </w:r>
    </w:p>
    <w:p w14:paraId="0FFC48D4" w14:textId="77777777" w:rsidR="00000000" w:rsidRDefault="00B8284C">
      <w:pPr>
        <w:pStyle w:val="a3"/>
        <w:spacing w:before="240" w:beforeAutospacing="0" w:after="0" w:afterAutospacing="0"/>
        <w:ind w:firstLine="556"/>
        <w:rPr>
          <w:sz w:val="20"/>
          <w:szCs w:val="20"/>
        </w:rPr>
      </w:pPr>
      <w:r>
        <w:rPr>
          <w:sz w:val="20"/>
          <w:szCs w:val="20"/>
        </w:rPr>
        <w:t>The results of operations for the interim periods presented are not necessarily indicative of the results to be expected for any subsequen</w:t>
      </w:r>
      <w:r>
        <w:rPr>
          <w:sz w:val="20"/>
          <w:szCs w:val="20"/>
        </w:rPr>
        <w:t>t quarter or for the entire year ending December 31, 2019. The year-end balance sheet data was derived from audited financial statements, but this Form 10-Q does not include all disclosures required under GAAP. Certain information and note disclosures norm</w:t>
      </w:r>
      <w:r>
        <w:rPr>
          <w:sz w:val="20"/>
          <w:szCs w:val="20"/>
        </w:rPr>
        <w:t>ally included in annual financial statements prepared in accordance with GAAP have been omitted under the rules and regulations of the SEC.</w:t>
      </w:r>
    </w:p>
    <w:p w14:paraId="5C829F71" w14:textId="77777777" w:rsidR="00000000" w:rsidRDefault="00B8284C">
      <w:pPr>
        <w:pStyle w:val="a3"/>
        <w:spacing w:before="240" w:beforeAutospacing="0" w:after="0" w:afterAutospacing="0"/>
        <w:ind w:firstLine="556"/>
        <w:rPr>
          <w:sz w:val="20"/>
          <w:szCs w:val="20"/>
        </w:rPr>
      </w:pPr>
      <w:r>
        <w:rPr>
          <w:sz w:val="20"/>
          <w:szCs w:val="20"/>
        </w:rPr>
        <w:t xml:space="preserve">These interim financial statements should be read in conjunction with the audited consolidated financial statements </w:t>
      </w:r>
      <w:r>
        <w:rPr>
          <w:sz w:val="20"/>
          <w:szCs w:val="20"/>
        </w:rPr>
        <w:t>and related notes contained in the Company’s Annual Report on Form 10-K filed with the SEC on February 12, 2019. There have been no changes in the Company’s significant accounting policies from those that were disclosed in the Company’s Annual Report on Fo</w:t>
      </w:r>
      <w:r>
        <w:rPr>
          <w:sz w:val="20"/>
          <w:szCs w:val="20"/>
        </w:rPr>
        <w:t xml:space="preserve">rm 10-K that have had a material impact on our consolidated financial statements and related notes, except the adoption of updated guidance related to accounting for leases as described within Note 2 of these consolidated financial statements. </w:t>
      </w:r>
    </w:p>
    <w:p w14:paraId="1A2B9542" w14:textId="77777777" w:rsidR="00000000" w:rsidRDefault="00B8284C">
      <w:pPr>
        <w:pStyle w:val="a3"/>
        <w:spacing w:before="240" w:beforeAutospacing="0" w:after="0" w:afterAutospacing="0"/>
        <w:ind w:firstLine="556"/>
        <w:rPr>
          <w:color w:val="000000"/>
          <w:sz w:val="20"/>
          <w:szCs w:val="20"/>
        </w:rPr>
      </w:pPr>
      <w:r>
        <w:rPr>
          <w:color w:val="000000"/>
          <w:sz w:val="20"/>
          <w:szCs w:val="20"/>
        </w:rPr>
        <w:t>On February</w:t>
      </w:r>
      <w:r>
        <w:rPr>
          <w:color w:val="000000"/>
          <w:sz w:val="20"/>
          <w:szCs w:val="20"/>
        </w:rPr>
        <w:t xml:space="preserve"> 19, 2019, the Company closed a common stock offering whereby 2.2 million shares of common stock were sold. The Company received aggregate proceeds of approximately $343.0 million from the offering, net of underwriters’ discounts and commissions, but befor</w:t>
      </w:r>
      <w:r>
        <w:rPr>
          <w:color w:val="000000"/>
          <w:sz w:val="20"/>
          <w:szCs w:val="20"/>
        </w:rPr>
        <w:t>e deduction of offering expenses of approximately $0.4 million.</w:t>
      </w:r>
    </w:p>
    <w:p w14:paraId="1509CB56" w14:textId="77777777" w:rsidR="00000000" w:rsidRDefault="00B8284C">
      <w:pPr>
        <w:pStyle w:val="a3"/>
        <w:spacing w:before="360" w:beforeAutospacing="0" w:after="0" w:afterAutospacing="0"/>
        <w:rPr>
          <w:i/>
          <w:iCs/>
          <w:sz w:val="20"/>
          <w:szCs w:val="20"/>
        </w:rPr>
      </w:pPr>
      <w:r>
        <w:rPr>
          <w:i/>
          <w:iCs/>
          <w:sz w:val="20"/>
          <w:szCs w:val="20"/>
        </w:rPr>
        <w:t>Recent Accounting Pronouncements</w:t>
      </w:r>
    </w:p>
    <w:p w14:paraId="33CA6B39" w14:textId="77777777" w:rsidR="00000000" w:rsidRDefault="00B8284C">
      <w:pPr>
        <w:pStyle w:val="a3"/>
        <w:spacing w:before="120" w:beforeAutospacing="0" w:after="0" w:afterAutospacing="0"/>
        <w:ind w:firstLine="556"/>
        <w:rPr>
          <w:sz w:val="20"/>
          <w:szCs w:val="20"/>
        </w:rPr>
      </w:pPr>
      <w:r>
        <w:rPr>
          <w:sz w:val="20"/>
          <w:szCs w:val="20"/>
        </w:rPr>
        <w:t>Recent accounting standards not included below are not expected to have a material impact on our consolidated financial position and results of operations.</w:t>
      </w:r>
    </w:p>
    <w:p w14:paraId="77804065" w14:textId="77777777" w:rsidR="00000000" w:rsidRDefault="00B8284C">
      <w:pPr>
        <w:pStyle w:val="a3"/>
        <w:spacing w:before="240" w:beforeAutospacing="0" w:after="0" w:afterAutospacing="0"/>
        <w:ind w:firstLine="556"/>
        <w:rPr>
          <w:color w:val="000000"/>
          <w:sz w:val="20"/>
          <w:szCs w:val="20"/>
        </w:rPr>
      </w:pPr>
      <w:r>
        <w:rPr>
          <w:color w:val="000000"/>
          <w:sz w:val="20"/>
          <w:szCs w:val="20"/>
        </w:rPr>
        <w:t xml:space="preserve">In </w:t>
      </w:r>
      <w:r>
        <w:rPr>
          <w:color w:val="000000"/>
          <w:sz w:val="20"/>
          <w:szCs w:val="20"/>
        </w:rPr>
        <w:t>June 2018, the Financial Accounting Standards Board (“FASB”) issued guidance for stock-based compensation to include share-based payment transactions for acquiring goods and services from nonemployees. The guidance was adopted on January 1, 2019 and did no</w:t>
      </w:r>
      <w:r>
        <w:rPr>
          <w:color w:val="000000"/>
          <w:sz w:val="20"/>
          <w:szCs w:val="20"/>
        </w:rPr>
        <w:t>t have a material impact on the consolidated financial statements.</w:t>
      </w:r>
    </w:p>
    <w:p w14:paraId="0E3368F7" w14:textId="77777777" w:rsidR="00000000" w:rsidRDefault="00B8284C">
      <w:pPr>
        <w:pStyle w:val="a3"/>
        <w:spacing w:before="240" w:beforeAutospacing="0" w:after="0" w:afterAutospacing="0"/>
        <w:ind w:firstLine="556"/>
        <w:rPr>
          <w:color w:val="000000"/>
          <w:sz w:val="20"/>
          <w:szCs w:val="20"/>
        </w:rPr>
      </w:pPr>
      <w:r>
        <w:rPr>
          <w:color w:val="000000"/>
          <w:sz w:val="20"/>
          <w:szCs w:val="20"/>
        </w:rPr>
        <w:t>In January 2017, the FASB issued guidance simplifying the accounting for goodwill impairment by removing Step 2 of the goodwill impairment test. Under current guidance, Step 2 of the goodwi</w:t>
      </w:r>
      <w:r>
        <w:rPr>
          <w:color w:val="000000"/>
          <w:sz w:val="20"/>
          <w:szCs w:val="20"/>
        </w:rPr>
        <w:t>ll impairment test requires entities to calculate the implied fair value of goodwill in the same manner as the amount of goodwill recognized in a business combination by assigning the fair value of a reporting unit to all of the assets and liabilities of t</w:t>
      </w:r>
      <w:r>
        <w:rPr>
          <w:color w:val="000000"/>
          <w:sz w:val="20"/>
          <w:szCs w:val="20"/>
        </w:rPr>
        <w:t>he reporting unit. The carrying value in excess of the implied fair value is recognized as goodwill impairment. Under the new standard, goodwill impairment is recognized based on Step 1 of the current guidance, which calculates the carrying value in excess</w:t>
      </w:r>
      <w:r>
        <w:rPr>
          <w:color w:val="000000"/>
          <w:sz w:val="20"/>
          <w:szCs w:val="20"/>
        </w:rPr>
        <w:t xml:space="preserve"> of the reporting unit’s fair value. The new standard is effective beginning in January 2020, with early adoption permitted. The Company does not believe the adoption of this guidance will have a material impact on the consolidated financial statements.</w:t>
      </w:r>
    </w:p>
    <w:p w14:paraId="654E9263" w14:textId="77777777" w:rsidR="00000000" w:rsidRDefault="00B8284C">
      <w:pPr>
        <w:pStyle w:val="a3"/>
        <w:spacing w:before="240" w:beforeAutospacing="0" w:after="0" w:afterAutospacing="0"/>
        <w:ind w:firstLine="556"/>
        <w:rPr>
          <w:color w:val="000000"/>
          <w:sz w:val="20"/>
          <w:szCs w:val="20"/>
        </w:rPr>
      </w:pPr>
      <w:r>
        <w:rPr>
          <w:color w:val="000000"/>
          <w:sz w:val="20"/>
          <w:szCs w:val="20"/>
        </w:rPr>
        <w:t>In</w:t>
      </w:r>
      <w:r>
        <w:rPr>
          <w:color w:val="000000"/>
          <w:sz w:val="20"/>
          <w:szCs w:val="20"/>
        </w:rPr>
        <w:t xml:space="preserve"> June 2016, the FASB issued guidance that introduces a new methodology for accounting for credit losses on financial instruments. The guidance establishes a new forward-looking "expected loss model" that requires entities to estimate current expected credi</w:t>
      </w:r>
      <w:r>
        <w:rPr>
          <w:color w:val="000000"/>
          <w:sz w:val="20"/>
          <w:szCs w:val="20"/>
        </w:rPr>
        <w:t>t losses on accounts receivable and financial instruments by using all practical and relevant information. The guidance will be effective for the Company on January 1, 2020. Adoption of the standard will be applied using a modified retrospective approach t</w:t>
      </w:r>
      <w:r>
        <w:rPr>
          <w:color w:val="000000"/>
          <w:sz w:val="20"/>
          <w:szCs w:val="20"/>
        </w:rPr>
        <w:t>hrough a cumulative-effect adjustment to retained earnings as of the effective date. The Company does not believe the adoption of this guidance will have a material impact on the consolidated financial statements.</w:t>
      </w:r>
    </w:p>
    <w:p w14:paraId="1252C4D2" w14:textId="77777777" w:rsidR="00000000" w:rsidRDefault="00B8284C">
      <w:pPr>
        <w:pStyle w:val="a3"/>
        <w:spacing w:before="240" w:beforeAutospacing="0" w:after="0" w:afterAutospacing="0"/>
        <w:jc w:val="center"/>
        <w:rPr>
          <w:sz w:val="20"/>
          <w:szCs w:val="20"/>
        </w:rPr>
      </w:pPr>
      <w:r>
        <w:rPr>
          <w:sz w:val="20"/>
          <w:szCs w:val="20"/>
        </w:rPr>
        <w:t>8</w:t>
      </w:r>
    </w:p>
    <w:p w14:paraId="0C557280" w14:textId="77777777" w:rsidR="00000000" w:rsidRDefault="00B8284C">
      <w:pPr>
        <w:rPr>
          <w:rFonts w:eastAsia="Times New Roman"/>
        </w:rPr>
      </w:pPr>
      <w:r>
        <w:rPr>
          <w:rFonts w:eastAsia="Times New Roman"/>
        </w:rPr>
        <w:pict w14:anchorId="01A960C3">
          <v:rect id="_x0000_i1032" style="width:0;height:1.5pt" o:hralign="center" o:hrstd="t" o:hr="t" fillcolor="#a0a0a0" stroked="f"/>
        </w:pict>
      </w:r>
    </w:p>
    <w:p w14:paraId="4516538B" w14:textId="77777777" w:rsidR="00000000" w:rsidRDefault="00B8284C">
      <w:pPr>
        <w:pStyle w:val="a3"/>
        <w:spacing w:before="0" w:beforeAutospacing="0" w:after="0" w:afterAutospacing="0"/>
        <w:rPr>
          <w:sz w:val="20"/>
          <w:szCs w:val="20"/>
        </w:rPr>
      </w:pPr>
      <w:r>
        <w:rPr>
          <w:sz w:val="20"/>
          <w:szCs w:val="20"/>
        </w:rPr>
        <w:t> </w:t>
      </w:r>
    </w:p>
    <w:p w14:paraId="048FDA6F" w14:textId="77777777" w:rsidR="00000000" w:rsidRDefault="00B8284C">
      <w:pPr>
        <w:pStyle w:val="a3"/>
        <w:spacing w:before="240" w:beforeAutospacing="0" w:after="0" w:afterAutospacing="0"/>
        <w:ind w:firstLine="556"/>
        <w:rPr>
          <w:color w:val="000000"/>
          <w:sz w:val="20"/>
          <w:szCs w:val="20"/>
        </w:rPr>
      </w:pPr>
      <w:r>
        <w:rPr>
          <w:color w:val="000000"/>
          <w:sz w:val="20"/>
          <w:szCs w:val="20"/>
        </w:rPr>
        <w:t>In</w:t>
      </w:r>
      <w:r>
        <w:rPr>
          <w:color w:val="000000"/>
          <w:sz w:val="20"/>
          <w:szCs w:val="20"/>
        </w:rPr>
        <w:t xml:space="preserve"> February 2016, the FASB issued guidance related to leases to increase transparency and comparability among organizations by requiring the recognition of right-of-use assets and lease liabilities on the balance sheet, while maintaining consistency with his</w:t>
      </w:r>
      <w:r>
        <w:rPr>
          <w:color w:val="000000"/>
          <w:sz w:val="20"/>
          <w:szCs w:val="20"/>
        </w:rPr>
        <w:t>torical accounting for the recognition of expense on their income statements. Most prominent among the changes in the guidance is the recognition of right-of-use assets and lease liabilities by lessees for those leases classified as operating leases. Addit</w:t>
      </w:r>
      <w:r>
        <w:rPr>
          <w:color w:val="000000"/>
          <w:sz w:val="20"/>
          <w:szCs w:val="20"/>
        </w:rPr>
        <w:t>ional disclosures are required to meet the objective of enabling users of financial statements to assess the amount, timing, and uncertainty of cash flows arising from leases.  The Company adopted the updated guidance as of January 1, 2019 using a modified</w:t>
      </w:r>
      <w:r>
        <w:rPr>
          <w:color w:val="000000"/>
          <w:sz w:val="20"/>
          <w:szCs w:val="20"/>
        </w:rPr>
        <w:t xml:space="preserve"> retrospective transition method with a cumulative-effect adjustment as of the adoption date, as permitted by the guidance. Comparative periods are not adjusted.  See Note 2 of these consolidated financial statements for further details.</w:t>
      </w:r>
    </w:p>
    <w:p w14:paraId="1DBB8D1F" w14:textId="77777777" w:rsidR="00000000" w:rsidRDefault="00B8284C">
      <w:pPr>
        <w:pStyle w:val="a3"/>
        <w:spacing w:before="0" w:beforeAutospacing="0" w:after="0" w:afterAutospacing="0"/>
        <w:rPr>
          <w:sz w:val="18"/>
          <w:szCs w:val="18"/>
        </w:rPr>
      </w:pPr>
      <w:r>
        <w:rPr>
          <w:sz w:val="18"/>
          <w:szCs w:val="18"/>
        </w:rPr>
        <w:t> </w:t>
      </w:r>
    </w:p>
    <w:p w14:paraId="3F21ABF6" w14:textId="77777777" w:rsidR="00000000" w:rsidRDefault="00B8284C">
      <w:pPr>
        <w:pStyle w:val="a3"/>
        <w:spacing w:before="180" w:beforeAutospacing="0" w:after="0" w:afterAutospacing="0"/>
        <w:rPr>
          <w:b/>
          <w:bCs/>
          <w:sz w:val="20"/>
          <w:szCs w:val="20"/>
        </w:rPr>
      </w:pPr>
      <w:r>
        <w:rPr>
          <w:b/>
          <w:bCs/>
          <w:sz w:val="20"/>
          <w:szCs w:val="20"/>
        </w:rPr>
        <w:t xml:space="preserve">2. Leases </w:t>
      </w:r>
    </w:p>
    <w:p w14:paraId="09CEE412" w14:textId="77777777" w:rsidR="00000000" w:rsidRDefault="00B8284C">
      <w:pPr>
        <w:pStyle w:val="a3"/>
        <w:spacing w:before="0" w:beforeAutospacing="0" w:after="0" w:afterAutospacing="0"/>
        <w:jc w:val="both"/>
        <w:rPr>
          <w:sz w:val="12"/>
          <w:szCs w:val="12"/>
        </w:rPr>
      </w:pPr>
      <w:r>
        <w:rPr>
          <w:sz w:val="12"/>
          <w:szCs w:val="12"/>
        </w:rPr>
        <w:t> </w:t>
      </w:r>
    </w:p>
    <w:p w14:paraId="61104900" w14:textId="77777777" w:rsidR="00000000" w:rsidRDefault="00B8284C">
      <w:pPr>
        <w:pStyle w:val="a3"/>
        <w:spacing w:before="0" w:beforeAutospacing="0" w:after="0" w:afterAutospacing="0"/>
        <w:rPr>
          <w:b/>
          <w:bCs/>
          <w:i/>
          <w:iCs/>
          <w:color w:val="000000"/>
          <w:sz w:val="20"/>
          <w:szCs w:val="20"/>
        </w:rPr>
      </w:pPr>
      <w:r>
        <w:rPr>
          <w:b/>
          <w:bCs/>
          <w:i/>
          <w:iCs/>
          <w:color w:val="000000"/>
          <w:sz w:val="20"/>
          <w:szCs w:val="20"/>
        </w:rPr>
        <w:t>Adoption of Updated Leasing Guidance</w:t>
      </w:r>
    </w:p>
    <w:p w14:paraId="48CD6342" w14:textId="77777777" w:rsidR="00000000" w:rsidRDefault="00B8284C">
      <w:pPr>
        <w:pStyle w:val="a3"/>
        <w:spacing w:before="0" w:beforeAutospacing="0" w:after="0" w:afterAutospacing="0"/>
        <w:rPr>
          <w:b/>
          <w:bCs/>
          <w:sz w:val="12"/>
          <w:szCs w:val="12"/>
        </w:rPr>
      </w:pPr>
      <w:r>
        <w:rPr>
          <w:b/>
          <w:bCs/>
          <w:sz w:val="12"/>
          <w:szCs w:val="12"/>
        </w:rPr>
        <w:t> </w:t>
      </w:r>
    </w:p>
    <w:p w14:paraId="0A65C827" w14:textId="77777777" w:rsidR="00000000" w:rsidRDefault="00B8284C">
      <w:pPr>
        <w:pStyle w:val="a3"/>
        <w:spacing w:before="0" w:beforeAutospacing="0" w:after="0" w:afterAutospacing="0"/>
        <w:ind w:firstLine="556"/>
        <w:rPr>
          <w:color w:val="000000"/>
          <w:sz w:val="20"/>
          <w:szCs w:val="20"/>
        </w:rPr>
      </w:pPr>
      <w:r>
        <w:rPr>
          <w:color w:val="000000"/>
          <w:sz w:val="20"/>
          <w:szCs w:val="20"/>
        </w:rPr>
        <w:t>On January 1, 2019, the Company adopted the new lease guidance using a modified retrospective transition method applied to those leases which were not completed as of January 1, 2019. Results for reporting periods beg</w:t>
      </w:r>
      <w:r>
        <w:rPr>
          <w:color w:val="000000"/>
          <w:sz w:val="20"/>
          <w:szCs w:val="20"/>
        </w:rPr>
        <w:t>inning after December 31, 2018 are presented under the new guidance, while prior period comparative amounts are not adjusted and continue to be reported in accordance with historical guidance.  The Company applied the new standard using the package of prac</w:t>
      </w:r>
      <w:r>
        <w:rPr>
          <w:color w:val="000000"/>
          <w:sz w:val="20"/>
          <w:szCs w:val="20"/>
        </w:rPr>
        <w:t>tical expedients permitted under the transition guidance where the Company:</w:t>
      </w:r>
    </w:p>
    <w:p w14:paraId="7DBC263A" w14:textId="77777777" w:rsidR="00000000" w:rsidRDefault="00B8284C">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AB1AE40" w14:textId="77777777">
        <w:trPr>
          <w:divId w:val="105200593"/>
        </w:trPr>
        <w:tc>
          <w:tcPr>
            <w:tcW w:w="227" w:type="pct"/>
            <w:noWrap/>
            <w:hideMark/>
          </w:tcPr>
          <w:p w14:paraId="361389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27" w:type="pct"/>
            <w:noWrap/>
            <w:hideMark/>
          </w:tcPr>
          <w:p w14:paraId="2698E01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0" w:type="auto"/>
            <w:hideMark/>
          </w:tcPr>
          <w:p w14:paraId="51D8F166" w14:textId="77777777" w:rsidR="00000000" w:rsidRDefault="00B8284C">
            <w:pPr>
              <w:pStyle w:val="a3"/>
              <w:spacing w:before="0" w:beforeAutospacing="0" w:after="0" w:afterAutospacing="0"/>
              <w:rPr>
                <w:color w:val="000000"/>
                <w:sz w:val="20"/>
                <w:szCs w:val="20"/>
              </w:rPr>
            </w:pPr>
            <w:r>
              <w:rPr>
                <w:color w:val="000000"/>
                <w:sz w:val="20"/>
                <w:szCs w:val="20"/>
              </w:rPr>
              <w:t>did not reassess whether any expired or existing contracts contain a lease;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E77898A" w14:textId="77777777">
        <w:tc>
          <w:tcPr>
            <w:tcW w:w="227" w:type="pct"/>
            <w:noWrap/>
            <w:hideMark/>
          </w:tcPr>
          <w:p w14:paraId="5D7678B5"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5019F15"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4A40AE9D" w14:textId="77777777" w:rsidR="00000000" w:rsidRDefault="00B8284C">
            <w:pPr>
              <w:pStyle w:val="a3"/>
              <w:spacing w:before="120" w:beforeAutospacing="0" w:after="0" w:afterAutospacing="0"/>
              <w:rPr>
                <w:color w:val="000000"/>
                <w:sz w:val="20"/>
                <w:szCs w:val="20"/>
              </w:rPr>
            </w:pPr>
            <w:r>
              <w:rPr>
                <w:color w:val="000000"/>
                <w:sz w:val="20"/>
                <w:szCs w:val="20"/>
              </w:rPr>
              <w:t>did not reassess the classification of existing leases; and</w:t>
            </w:r>
          </w:p>
        </w:tc>
      </w:tr>
    </w:tbl>
    <w:p w14:paraId="3AE43811" w14:textId="77777777" w:rsidR="00000000" w:rsidRDefault="00B8284C">
      <w:pPr>
        <w:divId w:val="82589898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A049D08" w14:textId="77777777">
        <w:trPr>
          <w:divId w:val="825898989"/>
        </w:trPr>
        <w:tc>
          <w:tcPr>
            <w:tcW w:w="227" w:type="pct"/>
            <w:noWrap/>
            <w:hideMark/>
          </w:tcPr>
          <w:p w14:paraId="6047C236"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BF269E2"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DD4DBE4" w14:textId="77777777" w:rsidR="00000000" w:rsidRDefault="00B8284C">
            <w:pPr>
              <w:pStyle w:val="a3"/>
              <w:spacing w:before="120" w:beforeAutospacing="0" w:after="0" w:afterAutospacing="0"/>
              <w:rPr>
                <w:color w:val="000000"/>
                <w:sz w:val="20"/>
                <w:szCs w:val="20"/>
              </w:rPr>
            </w:pPr>
            <w:r>
              <w:rPr>
                <w:color w:val="000000"/>
                <w:sz w:val="20"/>
                <w:szCs w:val="20"/>
              </w:rPr>
              <w:t>did not reassess initial d</w:t>
            </w:r>
            <w:r>
              <w:rPr>
                <w:color w:val="000000"/>
                <w:sz w:val="20"/>
                <w:szCs w:val="20"/>
              </w:rPr>
              <w:t>irect costs for any existing leases.</w:t>
            </w:r>
          </w:p>
        </w:tc>
      </w:tr>
    </w:tbl>
    <w:p w14:paraId="2E0928A1" w14:textId="77777777" w:rsidR="00000000" w:rsidRDefault="00B8284C">
      <w:pPr>
        <w:pStyle w:val="a3"/>
        <w:spacing w:before="0" w:beforeAutospacing="0" w:after="0" w:afterAutospacing="0"/>
        <w:rPr>
          <w:sz w:val="20"/>
          <w:szCs w:val="20"/>
        </w:rPr>
      </w:pPr>
      <w:r>
        <w:rPr>
          <w:sz w:val="20"/>
          <w:szCs w:val="20"/>
        </w:rPr>
        <w:t> </w:t>
      </w:r>
    </w:p>
    <w:p w14:paraId="30687178" w14:textId="77777777" w:rsidR="00000000" w:rsidRDefault="00B8284C">
      <w:pPr>
        <w:pStyle w:val="a3"/>
        <w:spacing w:before="40" w:beforeAutospacing="0" w:after="0" w:afterAutospacing="0"/>
        <w:ind w:firstLine="556"/>
        <w:rPr>
          <w:color w:val="000000"/>
          <w:sz w:val="20"/>
          <w:szCs w:val="20"/>
        </w:rPr>
      </w:pPr>
      <w:r>
        <w:rPr>
          <w:color w:val="000000"/>
          <w:sz w:val="20"/>
          <w:szCs w:val="20"/>
        </w:rPr>
        <w:t xml:space="preserve">In addition, the Company elected the hindsight practical expedient to determine the lease term for existing leases. </w:t>
      </w:r>
    </w:p>
    <w:p w14:paraId="31D5DF49" w14:textId="77777777" w:rsidR="00000000" w:rsidRDefault="00B8284C">
      <w:pPr>
        <w:pStyle w:val="a3"/>
        <w:spacing w:before="0" w:beforeAutospacing="0" w:after="0" w:afterAutospacing="0"/>
        <w:rPr>
          <w:color w:val="000000"/>
          <w:sz w:val="20"/>
          <w:szCs w:val="20"/>
        </w:rPr>
      </w:pPr>
      <w:r>
        <w:rPr>
          <w:color w:val="000000"/>
          <w:sz w:val="20"/>
          <w:szCs w:val="20"/>
        </w:rPr>
        <w:t> </w:t>
      </w:r>
    </w:p>
    <w:p w14:paraId="74E3D36D" w14:textId="77777777" w:rsidR="00000000" w:rsidRDefault="00B8284C">
      <w:pPr>
        <w:pStyle w:val="a3"/>
        <w:spacing w:before="40" w:beforeAutospacing="0" w:after="0" w:afterAutospacing="0"/>
        <w:ind w:firstLine="556"/>
        <w:rPr>
          <w:color w:val="000000"/>
          <w:sz w:val="20"/>
          <w:szCs w:val="20"/>
        </w:rPr>
      </w:pPr>
      <w:r>
        <w:rPr>
          <w:color w:val="000000"/>
          <w:sz w:val="20"/>
          <w:szCs w:val="20"/>
        </w:rPr>
        <w:t>The resulting impact, as of the adoption date, to the consolidated balance sheet of applying the new guidance in 2019 versus the prior gu</w:t>
      </w:r>
      <w:r>
        <w:rPr>
          <w:color w:val="000000"/>
          <w:sz w:val="20"/>
          <w:szCs w:val="20"/>
        </w:rPr>
        <w:t>idance was an increase to right-of-use assets of $152.2 million, a decrease to other assets of $0.3 million, an increase to total assets of $151.9 million, an increase to short-term lease liabilities of $14.1 million, a decrease to accrued expenses and oth</w:t>
      </w:r>
      <w:r>
        <w:rPr>
          <w:color w:val="000000"/>
          <w:sz w:val="20"/>
          <w:szCs w:val="20"/>
        </w:rPr>
        <w:t xml:space="preserve">er current liabilities of $0.5 million, an increase to total current liabilities of $13.5 million, an increase to long-term lease liabilities of $164.8 million, a decrease to deferred rent, net of current portion, of $26.4 million and an increase to total </w:t>
      </w:r>
      <w:r>
        <w:rPr>
          <w:color w:val="000000"/>
          <w:sz w:val="20"/>
          <w:szCs w:val="20"/>
        </w:rPr>
        <w:t>liabilities of $151.9 million. There was no impact to stockholders’ equity or the consolidated statements of operations as a result of adopting the new guidance.  </w:t>
      </w:r>
      <w:r>
        <w:rPr>
          <w:color w:val="000000"/>
          <w:sz w:val="20"/>
          <w:szCs w:val="20"/>
          <w:shd w:val="clear" w:color="auto" w:fill="FFFFFF"/>
        </w:rPr>
        <w:t>There was no impact to total operating or financing cash flows of applying the new guidance i</w:t>
      </w:r>
      <w:r>
        <w:rPr>
          <w:color w:val="000000"/>
          <w:sz w:val="20"/>
          <w:szCs w:val="20"/>
          <w:shd w:val="clear" w:color="auto" w:fill="FFFFFF"/>
        </w:rPr>
        <w:t xml:space="preserve">n 2019 versus the prior guidance other than renaming or adding </w:t>
      </w:r>
      <w:r>
        <w:rPr>
          <w:color w:val="000000"/>
          <w:sz w:val="20"/>
          <w:szCs w:val="20"/>
        </w:rPr>
        <w:t>line</w:t>
      </w:r>
      <w:r>
        <w:rPr>
          <w:color w:val="000000"/>
          <w:sz w:val="20"/>
          <w:szCs w:val="20"/>
          <w:shd w:val="clear" w:color="auto" w:fill="FFFFFF"/>
        </w:rPr>
        <w:t xml:space="preserve"> items to the statements of cash flows to conform to the accounting for, and presentation of, the new standard.</w:t>
      </w:r>
    </w:p>
    <w:p w14:paraId="6332E99E" w14:textId="77777777" w:rsidR="00000000" w:rsidRDefault="00B8284C">
      <w:pPr>
        <w:pStyle w:val="a3"/>
        <w:spacing w:before="0" w:beforeAutospacing="0" w:after="0" w:afterAutospacing="0"/>
        <w:rPr>
          <w:sz w:val="20"/>
          <w:szCs w:val="20"/>
        </w:rPr>
      </w:pPr>
      <w:r>
        <w:rPr>
          <w:sz w:val="20"/>
          <w:szCs w:val="20"/>
        </w:rPr>
        <w:t> </w:t>
      </w:r>
    </w:p>
    <w:p w14:paraId="33393754" w14:textId="77777777" w:rsidR="00000000" w:rsidRDefault="00B8284C">
      <w:pPr>
        <w:pStyle w:val="a3"/>
        <w:spacing w:before="40" w:beforeAutospacing="0" w:after="0" w:afterAutospacing="0"/>
        <w:ind w:firstLine="556"/>
        <w:rPr>
          <w:color w:val="000000"/>
          <w:sz w:val="20"/>
          <w:szCs w:val="20"/>
        </w:rPr>
      </w:pPr>
      <w:r>
        <w:rPr>
          <w:color w:val="000000"/>
          <w:sz w:val="20"/>
          <w:szCs w:val="20"/>
        </w:rPr>
        <w:t xml:space="preserve">The Company determines if an arrangement contains a lease at inception and </w:t>
      </w:r>
      <w:r>
        <w:rPr>
          <w:color w:val="000000"/>
          <w:sz w:val="20"/>
          <w:szCs w:val="20"/>
        </w:rPr>
        <w:t>does not separate lease and non-lease components of an arrangement determined to contain a lease. Operating and finance leases with a duration of less than 12 months are excluded from right-of-use-assets and lease liabilities and related expense is recorde</w:t>
      </w:r>
      <w:r>
        <w:rPr>
          <w:color w:val="000000"/>
          <w:sz w:val="20"/>
          <w:szCs w:val="20"/>
        </w:rPr>
        <w:t>d as incurred.</w:t>
      </w:r>
    </w:p>
    <w:p w14:paraId="350C5EB1" w14:textId="77777777" w:rsidR="00000000" w:rsidRDefault="00B8284C">
      <w:pPr>
        <w:pStyle w:val="a3"/>
        <w:spacing w:before="240" w:beforeAutospacing="0" w:after="0" w:afterAutospacing="0"/>
        <w:ind w:firstLine="556"/>
        <w:rPr>
          <w:color w:val="000000"/>
          <w:sz w:val="20"/>
          <w:szCs w:val="20"/>
        </w:rPr>
      </w:pPr>
      <w:r>
        <w:rPr>
          <w:color w:val="000000"/>
          <w:sz w:val="20"/>
          <w:szCs w:val="20"/>
        </w:rPr>
        <w:t>The Company leases its office facilities under non-cancelable operating leases that expire at various dates through May 2031. Certain leases contain optional termination dates. The table below only considers lease obligations through the opt</w:t>
      </w:r>
      <w:r>
        <w:rPr>
          <w:color w:val="000000"/>
          <w:sz w:val="20"/>
          <w:szCs w:val="20"/>
        </w:rPr>
        <w:t xml:space="preserve">ional termination dates, as the Company is not reasonably certain to extend lease agreements beyond those dates. </w:t>
      </w:r>
    </w:p>
    <w:p w14:paraId="36998996" w14:textId="77777777" w:rsidR="00000000" w:rsidRDefault="00B8284C">
      <w:pPr>
        <w:pStyle w:val="a3"/>
        <w:spacing w:before="240" w:beforeAutospacing="0" w:after="0" w:afterAutospacing="0"/>
        <w:jc w:val="center"/>
        <w:rPr>
          <w:sz w:val="20"/>
          <w:szCs w:val="20"/>
        </w:rPr>
      </w:pPr>
      <w:r>
        <w:rPr>
          <w:sz w:val="20"/>
          <w:szCs w:val="20"/>
        </w:rPr>
        <w:t>9</w:t>
      </w:r>
    </w:p>
    <w:p w14:paraId="3B401ECD" w14:textId="77777777" w:rsidR="00000000" w:rsidRDefault="00B8284C">
      <w:pPr>
        <w:rPr>
          <w:rFonts w:eastAsia="Times New Roman"/>
        </w:rPr>
      </w:pPr>
      <w:r>
        <w:rPr>
          <w:rFonts w:eastAsia="Times New Roman"/>
        </w:rPr>
        <w:pict w14:anchorId="59F1B935">
          <v:rect id="_x0000_i1033" style="width:0;height:1.5pt" o:hralign="center" o:hrstd="t" o:hr="t" fillcolor="#a0a0a0" stroked="f"/>
        </w:pict>
      </w:r>
    </w:p>
    <w:p w14:paraId="25EA7A1D" w14:textId="77777777" w:rsidR="00000000" w:rsidRDefault="00B8284C">
      <w:pPr>
        <w:pStyle w:val="a3"/>
        <w:spacing w:before="0" w:beforeAutospacing="0" w:after="0" w:afterAutospacing="0"/>
        <w:rPr>
          <w:sz w:val="20"/>
          <w:szCs w:val="20"/>
        </w:rPr>
      </w:pPr>
      <w:r>
        <w:rPr>
          <w:sz w:val="20"/>
          <w:szCs w:val="20"/>
        </w:rPr>
        <w:t> </w:t>
      </w:r>
    </w:p>
    <w:p w14:paraId="2F5B63A2" w14:textId="77777777" w:rsidR="00000000" w:rsidRDefault="00B8284C">
      <w:pPr>
        <w:pStyle w:val="a3"/>
        <w:spacing w:before="240" w:beforeAutospacing="0" w:after="0" w:afterAutospacing="0"/>
        <w:ind w:firstLine="556"/>
        <w:rPr>
          <w:color w:val="000000"/>
          <w:sz w:val="20"/>
          <w:szCs w:val="20"/>
        </w:rPr>
      </w:pPr>
      <w:r>
        <w:rPr>
          <w:color w:val="000000"/>
          <w:sz w:val="20"/>
          <w:szCs w:val="20"/>
        </w:rPr>
        <w:t xml:space="preserve">The following table provides a summary of lease assets and liabilities as of September 30, 2019: </w:t>
      </w:r>
    </w:p>
    <w:p w14:paraId="600A0110" w14:textId="77777777" w:rsidR="00000000" w:rsidRDefault="00B8284C">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273"/>
        <w:gridCol w:w="203"/>
        <w:gridCol w:w="2874"/>
        <w:gridCol w:w="98"/>
        <w:gridCol w:w="115"/>
        <w:gridCol w:w="1017"/>
        <w:gridCol w:w="65"/>
      </w:tblGrid>
      <w:tr w:rsidR="00000000" w14:paraId="0EB92EC8" w14:textId="77777777">
        <w:trPr>
          <w:divId w:val="1918051675"/>
        </w:trPr>
        <w:tc>
          <w:tcPr>
            <w:tcW w:w="1733" w:type="pct"/>
            <w:tcBorders>
              <w:bottom w:val="single" w:sz="6" w:space="0" w:color="000000"/>
            </w:tcBorders>
            <w:shd w:val="clear" w:color="auto" w:fill="FFFFFF"/>
            <w:tcMar>
              <w:top w:w="15" w:type="dxa"/>
              <w:left w:w="0" w:type="dxa"/>
              <w:bottom w:w="0" w:type="dxa"/>
              <w:right w:w="15" w:type="dxa"/>
            </w:tcMar>
            <w:vAlign w:val="bottom"/>
            <w:hideMark/>
          </w:tcPr>
          <w:p w14:paraId="7AD79A07" w14:textId="77777777" w:rsidR="00000000" w:rsidRDefault="00B8284C">
            <w:pPr>
              <w:pStyle w:val="a3"/>
              <w:spacing w:before="0" w:beforeAutospacing="0" w:after="0" w:afterAutospacing="0"/>
              <w:rPr>
                <w:b/>
                <w:bCs/>
                <w:color w:val="000000"/>
                <w:sz w:val="16"/>
                <w:szCs w:val="16"/>
              </w:rPr>
            </w:pPr>
            <w:r>
              <w:rPr>
                <w:b/>
                <w:bCs/>
                <w:color w:val="000000"/>
                <w:sz w:val="16"/>
                <w:szCs w:val="16"/>
              </w:rPr>
              <w:t>Le</w:t>
            </w:r>
            <w:r>
              <w:rPr>
                <w:b/>
                <w:bCs/>
                <w:color w:val="000000"/>
                <w:sz w:val="16"/>
                <w:szCs w:val="16"/>
              </w:rPr>
              <w:t>ases</w:t>
            </w:r>
          </w:p>
        </w:tc>
        <w:tc>
          <w:tcPr>
            <w:tcW w:w="96" w:type="pct"/>
            <w:shd w:val="clear" w:color="auto" w:fill="FFFFFF"/>
            <w:tcMar>
              <w:top w:w="15" w:type="dxa"/>
              <w:left w:w="0" w:type="dxa"/>
              <w:bottom w:w="0" w:type="dxa"/>
              <w:right w:w="15" w:type="dxa"/>
            </w:tcMar>
            <w:vAlign w:val="bottom"/>
            <w:hideMark/>
          </w:tcPr>
          <w:p w14:paraId="3C3CE8D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185" w:type="pct"/>
            <w:tcBorders>
              <w:bottom w:val="single" w:sz="6" w:space="0" w:color="000000"/>
            </w:tcBorders>
            <w:shd w:val="clear" w:color="auto" w:fill="FFFFFF"/>
            <w:tcMar>
              <w:top w:w="15" w:type="dxa"/>
              <w:left w:w="0" w:type="dxa"/>
              <w:bottom w:w="0" w:type="dxa"/>
              <w:right w:w="15" w:type="dxa"/>
            </w:tcMar>
            <w:vAlign w:val="bottom"/>
            <w:hideMark/>
          </w:tcPr>
          <w:p w14:paraId="07BE5CE7" w14:textId="77777777" w:rsidR="00000000" w:rsidRDefault="00B8284C">
            <w:pPr>
              <w:pStyle w:val="a3"/>
              <w:spacing w:before="0" w:beforeAutospacing="0" w:after="0" w:afterAutospacing="0"/>
              <w:rPr>
                <w:b/>
                <w:bCs/>
                <w:color w:val="000000"/>
                <w:sz w:val="16"/>
                <w:szCs w:val="16"/>
              </w:rPr>
            </w:pPr>
            <w:r>
              <w:rPr>
                <w:b/>
                <w:bCs/>
                <w:color w:val="000000"/>
                <w:sz w:val="16"/>
                <w:szCs w:val="16"/>
              </w:rPr>
              <w:t>Balance sheet classification</w:t>
            </w:r>
          </w:p>
        </w:tc>
        <w:tc>
          <w:tcPr>
            <w:tcW w:w="96" w:type="pct"/>
            <w:shd w:val="clear" w:color="auto" w:fill="FFFFFF"/>
            <w:tcMar>
              <w:top w:w="15" w:type="dxa"/>
              <w:left w:w="0" w:type="dxa"/>
              <w:bottom w:w="0" w:type="dxa"/>
              <w:right w:w="15" w:type="dxa"/>
            </w:tcMar>
            <w:vAlign w:val="bottom"/>
            <w:hideMark/>
          </w:tcPr>
          <w:p w14:paraId="2CFEABA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37" w:type="pct"/>
            <w:gridSpan w:val="2"/>
            <w:tcBorders>
              <w:bottom w:val="single" w:sz="6" w:space="0" w:color="000000"/>
            </w:tcBorders>
            <w:shd w:val="clear" w:color="auto" w:fill="FFFFFF"/>
            <w:tcMar>
              <w:top w:w="15" w:type="dxa"/>
              <w:left w:w="0" w:type="dxa"/>
              <w:bottom w:w="0" w:type="dxa"/>
              <w:right w:w="15" w:type="dxa"/>
            </w:tcMar>
            <w:vAlign w:val="bottom"/>
            <w:hideMark/>
          </w:tcPr>
          <w:p w14:paraId="410B5C0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Amount</w:t>
            </w:r>
          </w:p>
          <w:p w14:paraId="6BD5CA1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03B6968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6D7D5A3" w14:textId="77777777">
        <w:trPr>
          <w:divId w:val="1918051675"/>
        </w:trPr>
        <w:tc>
          <w:tcPr>
            <w:tcW w:w="1733" w:type="pct"/>
            <w:tcBorders>
              <w:top w:val="single" w:sz="6" w:space="0" w:color="000000"/>
            </w:tcBorders>
            <w:shd w:val="clear" w:color="auto" w:fill="CFF0FC"/>
            <w:tcMar>
              <w:top w:w="15" w:type="dxa"/>
              <w:left w:w="0" w:type="dxa"/>
              <w:bottom w:w="0" w:type="dxa"/>
              <w:right w:w="15" w:type="dxa"/>
            </w:tcMar>
            <w:vAlign w:val="bottom"/>
            <w:hideMark/>
          </w:tcPr>
          <w:p w14:paraId="7144668D" w14:textId="77777777" w:rsidR="00000000" w:rsidRDefault="00B8284C">
            <w:pPr>
              <w:pStyle w:val="a3"/>
              <w:spacing w:before="0" w:beforeAutospacing="0" w:after="0" w:afterAutospacing="0"/>
              <w:rPr>
                <w:b/>
                <w:bCs/>
                <w:color w:val="000000"/>
                <w:sz w:val="20"/>
                <w:szCs w:val="20"/>
              </w:rPr>
            </w:pPr>
            <w:r>
              <w:rPr>
                <w:b/>
                <w:bCs/>
                <w:color w:val="000000"/>
                <w:sz w:val="20"/>
                <w:szCs w:val="20"/>
              </w:rPr>
              <w:t>Assets:</w:t>
            </w:r>
          </w:p>
        </w:tc>
        <w:tc>
          <w:tcPr>
            <w:tcW w:w="96" w:type="pct"/>
            <w:shd w:val="clear" w:color="auto" w:fill="CFF0FC"/>
            <w:tcMar>
              <w:top w:w="15" w:type="dxa"/>
              <w:left w:w="0" w:type="dxa"/>
              <w:bottom w:w="0" w:type="dxa"/>
              <w:right w:w="15" w:type="dxa"/>
            </w:tcMar>
            <w:vAlign w:val="bottom"/>
            <w:hideMark/>
          </w:tcPr>
          <w:p w14:paraId="681F1C64" w14:textId="77777777" w:rsidR="00000000" w:rsidRDefault="00B8284C">
            <w:pPr>
              <w:pStyle w:val="a3"/>
              <w:spacing w:before="0" w:beforeAutospacing="0" w:after="0" w:afterAutospacing="0"/>
              <w:rPr>
                <w:b/>
                <w:bCs/>
                <w:color w:val="000000"/>
                <w:sz w:val="20"/>
                <w:szCs w:val="20"/>
              </w:rPr>
            </w:pPr>
            <w:r>
              <w:rPr>
                <w:b/>
                <w:bCs/>
                <w:color w:val="000000"/>
                <w:sz w:val="20"/>
                <w:szCs w:val="20"/>
              </w:rPr>
              <w:t> </w:t>
            </w:r>
          </w:p>
        </w:tc>
        <w:tc>
          <w:tcPr>
            <w:tcW w:w="2185" w:type="pct"/>
            <w:tcBorders>
              <w:top w:val="single" w:sz="6" w:space="0" w:color="000000"/>
            </w:tcBorders>
            <w:shd w:val="clear" w:color="auto" w:fill="CFF0FC"/>
            <w:tcMar>
              <w:top w:w="15" w:type="dxa"/>
              <w:left w:w="0" w:type="dxa"/>
              <w:bottom w:w="0" w:type="dxa"/>
              <w:right w:w="15" w:type="dxa"/>
            </w:tcMar>
            <w:vAlign w:val="bottom"/>
            <w:hideMark/>
          </w:tcPr>
          <w:p w14:paraId="0C911B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35CD121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3C271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14:paraId="79B5822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4F5E0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90F51F7" w14:textId="77777777">
        <w:trPr>
          <w:divId w:val="1918051675"/>
        </w:trPr>
        <w:tc>
          <w:tcPr>
            <w:tcW w:w="1733" w:type="pct"/>
            <w:shd w:val="clear" w:color="auto" w:fill="FFFFFF"/>
            <w:tcMar>
              <w:top w:w="15" w:type="dxa"/>
              <w:left w:w="0" w:type="dxa"/>
              <w:bottom w:w="0" w:type="dxa"/>
              <w:right w:w="15" w:type="dxa"/>
            </w:tcMar>
            <w:vAlign w:val="bottom"/>
            <w:hideMark/>
          </w:tcPr>
          <w:p w14:paraId="312BC1E8" w14:textId="77777777" w:rsidR="00000000" w:rsidRDefault="00B8284C">
            <w:pPr>
              <w:pStyle w:val="a3"/>
              <w:spacing w:before="0" w:beforeAutospacing="0" w:after="0" w:afterAutospacing="0"/>
              <w:ind w:left="274"/>
              <w:rPr>
                <w:color w:val="000000"/>
                <w:sz w:val="20"/>
                <w:szCs w:val="20"/>
              </w:rPr>
            </w:pPr>
            <w:r>
              <w:rPr>
                <w:color w:val="000000"/>
                <w:sz w:val="20"/>
                <w:szCs w:val="20"/>
              </w:rPr>
              <w:t>Operating lease assets</w:t>
            </w:r>
          </w:p>
        </w:tc>
        <w:tc>
          <w:tcPr>
            <w:tcW w:w="96" w:type="pct"/>
            <w:shd w:val="clear" w:color="auto" w:fill="FFFFFF"/>
            <w:tcMar>
              <w:top w:w="15" w:type="dxa"/>
              <w:left w:w="0" w:type="dxa"/>
              <w:bottom w:w="0" w:type="dxa"/>
              <w:right w:w="15" w:type="dxa"/>
            </w:tcMar>
            <w:vAlign w:val="bottom"/>
            <w:hideMark/>
          </w:tcPr>
          <w:p w14:paraId="76BAA623"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71848A24" w14:textId="77777777" w:rsidR="00000000" w:rsidRDefault="00B8284C">
            <w:pPr>
              <w:pStyle w:val="a3"/>
              <w:spacing w:before="0" w:beforeAutospacing="0" w:after="0" w:afterAutospacing="0"/>
              <w:rPr>
                <w:color w:val="000000"/>
                <w:sz w:val="20"/>
                <w:szCs w:val="20"/>
              </w:rPr>
            </w:pPr>
            <w:r>
              <w:rPr>
                <w:color w:val="000000"/>
                <w:sz w:val="20"/>
                <w:szCs w:val="20"/>
              </w:rPr>
              <w:t>Right-of-use assets</w:t>
            </w:r>
          </w:p>
        </w:tc>
        <w:tc>
          <w:tcPr>
            <w:tcW w:w="96" w:type="pct"/>
            <w:shd w:val="clear" w:color="auto" w:fill="FFFFFF"/>
            <w:tcMar>
              <w:top w:w="15" w:type="dxa"/>
              <w:left w:w="0" w:type="dxa"/>
              <w:bottom w:w="0" w:type="dxa"/>
              <w:right w:w="15" w:type="dxa"/>
            </w:tcMar>
            <w:vAlign w:val="bottom"/>
            <w:hideMark/>
          </w:tcPr>
          <w:p w14:paraId="04B489F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1E224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2814B057" w14:textId="77777777" w:rsidR="00000000" w:rsidRDefault="00B8284C">
            <w:pPr>
              <w:pStyle w:val="a3"/>
              <w:spacing w:before="0" w:beforeAutospacing="0" w:after="0" w:afterAutospacing="0"/>
              <w:jc w:val="right"/>
              <w:rPr>
                <w:color w:val="000000"/>
                <w:sz w:val="20"/>
                <w:szCs w:val="20"/>
              </w:rPr>
            </w:pPr>
            <w:r>
              <w:rPr>
                <w:color w:val="000000"/>
                <w:sz w:val="20"/>
                <w:szCs w:val="20"/>
              </w:rPr>
              <w:t>215,797</w:t>
            </w:r>
          </w:p>
        </w:tc>
        <w:tc>
          <w:tcPr>
            <w:tcW w:w="50" w:type="pct"/>
            <w:shd w:val="clear" w:color="auto" w:fill="FFFFFF"/>
            <w:noWrap/>
            <w:tcMar>
              <w:top w:w="15" w:type="dxa"/>
              <w:left w:w="0" w:type="dxa"/>
              <w:bottom w:w="0" w:type="dxa"/>
              <w:right w:w="15" w:type="dxa"/>
            </w:tcMar>
            <w:vAlign w:val="bottom"/>
            <w:hideMark/>
          </w:tcPr>
          <w:p w14:paraId="3CBDD13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5FE4D13" w14:textId="77777777">
        <w:trPr>
          <w:divId w:val="1918051675"/>
        </w:trPr>
        <w:tc>
          <w:tcPr>
            <w:tcW w:w="1733" w:type="pct"/>
            <w:shd w:val="clear" w:color="auto" w:fill="CFF0FC"/>
            <w:tcMar>
              <w:top w:w="15" w:type="dxa"/>
              <w:left w:w="0" w:type="dxa"/>
              <w:bottom w:w="0" w:type="dxa"/>
              <w:right w:w="15" w:type="dxa"/>
            </w:tcMar>
            <w:vAlign w:val="bottom"/>
            <w:hideMark/>
          </w:tcPr>
          <w:p w14:paraId="3BC852AA" w14:textId="77777777" w:rsidR="00000000" w:rsidRDefault="00B8284C">
            <w:pPr>
              <w:pStyle w:val="a3"/>
              <w:spacing w:before="0" w:beforeAutospacing="0" w:after="0" w:afterAutospacing="0"/>
              <w:ind w:left="274"/>
              <w:rPr>
                <w:color w:val="000000"/>
                <w:sz w:val="20"/>
                <w:szCs w:val="20"/>
              </w:rPr>
            </w:pPr>
            <w:r>
              <w:rPr>
                <w:color w:val="000000"/>
                <w:sz w:val="20"/>
                <w:szCs w:val="20"/>
              </w:rPr>
              <w:t>Finance lease assets</w:t>
            </w:r>
          </w:p>
        </w:tc>
        <w:tc>
          <w:tcPr>
            <w:tcW w:w="96" w:type="pct"/>
            <w:shd w:val="clear" w:color="auto" w:fill="CFF0FC"/>
            <w:tcMar>
              <w:top w:w="15" w:type="dxa"/>
              <w:left w:w="0" w:type="dxa"/>
              <w:bottom w:w="0" w:type="dxa"/>
              <w:right w:w="15" w:type="dxa"/>
            </w:tcMar>
            <w:vAlign w:val="bottom"/>
            <w:hideMark/>
          </w:tcPr>
          <w:p w14:paraId="0F1806BF"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14:paraId="27C78FB3" w14:textId="77777777" w:rsidR="00000000" w:rsidRDefault="00B8284C">
            <w:pPr>
              <w:pStyle w:val="a3"/>
              <w:spacing w:before="0" w:beforeAutospacing="0" w:after="0" w:afterAutospacing="0"/>
              <w:rPr>
                <w:color w:val="000000"/>
                <w:sz w:val="20"/>
                <w:szCs w:val="20"/>
              </w:rPr>
            </w:pPr>
            <w:r>
              <w:rPr>
                <w:color w:val="000000"/>
                <w:sz w:val="20"/>
                <w:szCs w:val="20"/>
              </w:rPr>
              <w:t>Fixed assets</w:t>
            </w:r>
          </w:p>
        </w:tc>
        <w:tc>
          <w:tcPr>
            <w:tcW w:w="96" w:type="pct"/>
            <w:shd w:val="clear" w:color="auto" w:fill="CFF0FC"/>
            <w:tcMar>
              <w:top w:w="15" w:type="dxa"/>
              <w:left w:w="0" w:type="dxa"/>
              <w:bottom w:w="0" w:type="dxa"/>
              <w:right w:w="15" w:type="dxa"/>
            </w:tcMar>
            <w:vAlign w:val="bottom"/>
            <w:hideMark/>
          </w:tcPr>
          <w:p w14:paraId="2DE096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F4C9B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14:paraId="18EC7011" w14:textId="77777777" w:rsidR="00000000" w:rsidRDefault="00B8284C">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CFF0FC"/>
            <w:noWrap/>
            <w:tcMar>
              <w:top w:w="15" w:type="dxa"/>
              <w:left w:w="0" w:type="dxa"/>
              <w:bottom w:w="0" w:type="dxa"/>
              <w:right w:w="15" w:type="dxa"/>
            </w:tcMar>
            <w:vAlign w:val="bottom"/>
            <w:hideMark/>
          </w:tcPr>
          <w:p w14:paraId="4194012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8FB6878" w14:textId="77777777">
        <w:trPr>
          <w:divId w:val="1918051675"/>
        </w:trPr>
        <w:tc>
          <w:tcPr>
            <w:tcW w:w="1733" w:type="pct"/>
            <w:shd w:val="clear" w:color="auto" w:fill="FFFFFF"/>
            <w:tcMar>
              <w:top w:w="15" w:type="dxa"/>
              <w:left w:w="0" w:type="dxa"/>
              <w:bottom w:w="0" w:type="dxa"/>
              <w:right w:w="15" w:type="dxa"/>
            </w:tcMar>
            <w:vAlign w:val="bottom"/>
            <w:hideMark/>
          </w:tcPr>
          <w:p w14:paraId="67DFCC68" w14:textId="77777777" w:rsidR="00000000" w:rsidRDefault="00B8284C">
            <w:pPr>
              <w:pStyle w:val="a3"/>
              <w:spacing w:before="0" w:beforeAutospacing="0" w:after="0" w:afterAutospacing="0"/>
              <w:rPr>
                <w:color w:val="000000"/>
                <w:sz w:val="20"/>
                <w:szCs w:val="20"/>
              </w:rPr>
            </w:pPr>
            <w:r>
              <w:rPr>
                <w:color w:val="000000"/>
                <w:sz w:val="20"/>
                <w:szCs w:val="20"/>
              </w:rPr>
              <w:t>Total leased assets</w:t>
            </w:r>
          </w:p>
        </w:tc>
        <w:tc>
          <w:tcPr>
            <w:tcW w:w="96" w:type="pct"/>
            <w:shd w:val="clear" w:color="auto" w:fill="FFFFFF"/>
            <w:tcMar>
              <w:top w:w="15" w:type="dxa"/>
              <w:left w:w="0" w:type="dxa"/>
              <w:bottom w:w="0" w:type="dxa"/>
              <w:right w:w="15" w:type="dxa"/>
            </w:tcMar>
            <w:vAlign w:val="bottom"/>
            <w:hideMark/>
          </w:tcPr>
          <w:p w14:paraId="0FB1B15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2EEC036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2F4A9EB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B7C3B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DB6F1D" w14:textId="77777777" w:rsidR="00000000" w:rsidRDefault="00B8284C">
            <w:pPr>
              <w:pStyle w:val="a3"/>
              <w:spacing w:before="0" w:beforeAutospacing="0" w:after="0" w:afterAutospacing="0"/>
              <w:jc w:val="right"/>
              <w:rPr>
                <w:color w:val="000000"/>
                <w:sz w:val="20"/>
                <w:szCs w:val="20"/>
              </w:rPr>
            </w:pPr>
            <w:r>
              <w:rPr>
                <w:color w:val="000000"/>
                <w:sz w:val="20"/>
                <w:szCs w:val="20"/>
              </w:rPr>
              <w:t>215,893</w:t>
            </w:r>
          </w:p>
        </w:tc>
        <w:tc>
          <w:tcPr>
            <w:tcW w:w="50" w:type="pct"/>
            <w:shd w:val="clear" w:color="auto" w:fill="FFFFFF"/>
            <w:noWrap/>
            <w:tcMar>
              <w:top w:w="15" w:type="dxa"/>
              <w:left w:w="0" w:type="dxa"/>
              <w:bottom w:w="0" w:type="dxa"/>
              <w:right w:w="15" w:type="dxa"/>
            </w:tcMar>
            <w:vAlign w:val="bottom"/>
            <w:hideMark/>
          </w:tcPr>
          <w:p w14:paraId="4D42712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818CC31" w14:textId="77777777">
        <w:trPr>
          <w:divId w:val="1918051675"/>
        </w:trPr>
        <w:tc>
          <w:tcPr>
            <w:tcW w:w="1733" w:type="pct"/>
            <w:shd w:val="clear" w:color="auto" w:fill="CFF0FC"/>
            <w:tcMar>
              <w:top w:w="15" w:type="dxa"/>
              <w:left w:w="0" w:type="dxa"/>
              <w:bottom w:w="0" w:type="dxa"/>
              <w:right w:w="15" w:type="dxa"/>
            </w:tcMar>
            <w:vAlign w:val="bottom"/>
            <w:hideMark/>
          </w:tcPr>
          <w:p w14:paraId="2FE376C5" w14:textId="77777777" w:rsidR="00000000" w:rsidRDefault="00B8284C">
            <w:pPr>
              <w:pStyle w:val="a3"/>
              <w:spacing w:before="0" w:beforeAutospacing="0" w:after="0" w:afterAutospacing="0"/>
              <w:rPr>
                <w:color w:val="000000"/>
                <w:sz w:val="12"/>
                <w:szCs w:val="12"/>
              </w:rPr>
            </w:pPr>
            <w:r>
              <w:rPr>
                <w:color w:val="000000"/>
                <w:sz w:val="12"/>
                <w:szCs w:val="12"/>
              </w:rPr>
              <w:t> </w:t>
            </w:r>
          </w:p>
        </w:tc>
        <w:tc>
          <w:tcPr>
            <w:tcW w:w="96" w:type="pct"/>
            <w:shd w:val="clear" w:color="auto" w:fill="CFF0FC"/>
            <w:tcMar>
              <w:top w:w="15" w:type="dxa"/>
              <w:left w:w="0" w:type="dxa"/>
              <w:bottom w:w="0" w:type="dxa"/>
              <w:right w:w="15" w:type="dxa"/>
            </w:tcMar>
            <w:vAlign w:val="bottom"/>
            <w:hideMark/>
          </w:tcPr>
          <w:p w14:paraId="44503FBA" w14:textId="77777777" w:rsidR="00000000" w:rsidRDefault="00B8284C">
            <w:pPr>
              <w:pStyle w:val="a3"/>
              <w:spacing w:before="0" w:beforeAutospacing="0" w:after="0" w:afterAutospacing="0"/>
              <w:rPr>
                <w:color w:val="000000"/>
                <w:sz w:val="12"/>
                <w:szCs w:val="12"/>
              </w:rPr>
            </w:pPr>
            <w:r>
              <w:rPr>
                <w:color w:val="000000"/>
                <w:sz w:val="12"/>
                <w:szCs w:val="12"/>
              </w:rPr>
              <w:t> </w:t>
            </w:r>
          </w:p>
        </w:tc>
        <w:tc>
          <w:tcPr>
            <w:tcW w:w="2185" w:type="pct"/>
            <w:shd w:val="clear" w:color="auto" w:fill="CFF0FC"/>
            <w:tcMar>
              <w:top w:w="15" w:type="dxa"/>
              <w:left w:w="0" w:type="dxa"/>
              <w:bottom w:w="0" w:type="dxa"/>
              <w:right w:w="15" w:type="dxa"/>
            </w:tcMar>
            <w:vAlign w:val="bottom"/>
            <w:hideMark/>
          </w:tcPr>
          <w:p w14:paraId="55A9AC71" w14:textId="77777777" w:rsidR="00000000" w:rsidRDefault="00B8284C">
            <w:pPr>
              <w:pStyle w:val="a3"/>
              <w:spacing w:before="0" w:beforeAutospacing="0" w:after="0" w:afterAutospacing="0"/>
              <w:rPr>
                <w:color w:val="000000"/>
                <w:sz w:val="12"/>
                <w:szCs w:val="12"/>
              </w:rPr>
            </w:pPr>
            <w:r>
              <w:rPr>
                <w:color w:val="000000"/>
                <w:sz w:val="12"/>
                <w:szCs w:val="12"/>
              </w:rPr>
              <w:t> </w:t>
            </w:r>
          </w:p>
        </w:tc>
        <w:tc>
          <w:tcPr>
            <w:tcW w:w="96" w:type="pct"/>
            <w:shd w:val="clear" w:color="auto" w:fill="CFF0FC"/>
            <w:tcMar>
              <w:top w:w="15" w:type="dxa"/>
              <w:left w:w="0" w:type="dxa"/>
              <w:bottom w:w="0" w:type="dxa"/>
              <w:right w:w="15" w:type="dxa"/>
            </w:tcMar>
            <w:vAlign w:val="bottom"/>
            <w:hideMark/>
          </w:tcPr>
          <w:p w14:paraId="69495E23" w14:textId="77777777" w:rsidR="00000000" w:rsidRDefault="00B8284C">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EAD64EB" w14:textId="77777777" w:rsidR="00000000" w:rsidRDefault="00B8284C">
            <w:pPr>
              <w:pStyle w:val="a3"/>
              <w:spacing w:before="0" w:beforeAutospacing="0" w:after="0" w:afterAutospacing="0"/>
              <w:rPr>
                <w:color w:val="000000"/>
                <w:sz w:val="12"/>
                <w:szCs w:val="12"/>
              </w:rPr>
            </w:pPr>
            <w:r>
              <w:rPr>
                <w:color w:val="000000"/>
                <w:sz w:val="12"/>
                <w:szCs w:val="12"/>
              </w:rPr>
              <w:t> </w:t>
            </w:r>
          </w:p>
        </w:tc>
        <w:tc>
          <w:tcPr>
            <w:tcW w:w="787" w:type="pct"/>
            <w:tcBorders>
              <w:top w:val="double" w:sz="6" w:space="0" w:color="000000"/>
            </w:tcBorders>
            <w:shd w:val="clear" w:color="auto" w:fill="CFF0FC"/>
            <w:noWrap/>
            <w:tcMar>
              <w:top w:w="15" w:type="dxa"/>
              <w:left w:w="0" w:type="dxa"/>
              <w:bottom w:w="0" w:type="dxa"/>
              <w:right w:w="15" w:type="dxa"/>
            </w:tcMar>
            <w:vAlign w:val="bottom"/>
            <w:hideMark/>
          </w:tcPr>
          <w:p w14:paraId="1D055D0C" w14:textId="77777777" w:rsidR="00000000" w:rsidRDefault="00B8284C">
            <w:pPr>
              <w:pStyle w:val="a3"/>
              <w:spacing w:before="0" w:beforeAutospacing="0" w:after="0" w:afterAutospacing="0"/>
              <w:jc w:val="right"/>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14:paraId="71CF4862" w14:textId="77777777" w:rsidR="00000000" w:rsidRDefault="00B8284C">
            <w:pPr>
              <w:pStyle w:val="a3"/>
              <w:spacing w:before="0" w:beforeAutospacing="0" w:after="0" w:afterAutospacing="0"/>
              <w:rPr>
                <w:color w:val="000000"/>
                <w:sz w:val="12"/>
                <w:szCs w:val="12"/>
              </w:rPr>
            </w:pPr>
            <w:r>
              <w:rPr>
                <w:color w:val="000000"/>
                <w:sz w:val="12"/>
                <w:szCs w:val="12"/>
              </w:rPr>
              <w:t> </w:t>
            </w:r>
          </w:p>
        </w:tc>
      </w:tr>
      <w:tr w:rsidR="00000000" w14:paraId="6AC001AF" w14:textId="77777777">
        <w:trPr>
          <w:divId w:val="1918051675"/>
        </w:trPr>
        <w:tc>
          <w:tcPr>
            <w:tcW w:w="1733" w:type="pct"/>
            <w:shd w:val="clear" w:color="auto" w:fill="FFFFFF"/>
            <w:tcMar>
              <w:top w:w="15" w:type="dxa"/>
              <w:left w:w="0" w:type="dxa"/>
              <w:bottom w:w="0" w:type="dxa"/>
              <w:right w:w="15" w:type="dxa"/>
            </w:tcMar>
            <w:vAlign w:val="bottom"/>
            <w:hideMark/>
          </w:tcPr>
          <w:p w14:paraId="2A5E3F8E" w14:textId="77777777" w:rsidR="00000000" w:rsidRDefault="00B8284C">
            <w:pPr>
              <w:pStyle w:val="a3"/>
              <w:spacing w:before="0" w:beforeAutospacing="0" w:after="0" w:afterAutospacing="0"/>
              <w:rPr>
                <w:b/>
                <w:bCs/>
                <w:color w:val="000000"/>
                <w:sz w:val="20"/>
                <w:szCs w:val="20"/>
              </w:rPr>
            </w:pPr>
            <w:r>
              <w:rPr>
                <w:b/>
                <w:bCs/>
                <w:color w:val="000000"/>
                <w:sz w:val="20"/>
                <w:szCs w:val="20"/>
              </w:rPr>
              <w:t>Liabilities:</w:t>
            </w:r>
          </w:p>
        </w:tc>
        <w:tc>
          <w:tcPr>
            <w:tcW w:w="96" w:type="pct"/>
            <w:shd w:val="clear" w:color="auto" w:fill="FFFFFF"/>
            <w:tcMar>
              <w:top w:w="15" w:type="dxa"/>
              <w:left w:w="0" w:type="dxa"/>
              <w:bottom w:w="0" w:type="dxa"/>
              <w:right w:w="15" w:type="dxa"/>
            </w:tcMar>
            <w:vAlign w:val="bottom"/>
            <w:hideMark/>
          </w:tcPr>
          <w:p w14:paraId="7CB8F68F" w14:textId="77777777" w:rsidR="00000000" w:rsidRDefault="00B8284C">
            <w:pPr>
              <w:pStyle w:val="a3"/>
              <w:spacing w:before="0" w:beforeAutospacing="0" w:after="0" w:afterAutospacing="0"/>
              <w:rPr>
                <w:b/>
                <w:bCs/>
                <w:color w:val="000000"/>
                <w:sz w:val="20"/>
                <w:szCs w:val="20"/>
              </w:rPr>
            </w:pPr>
            <w:r>
              <w:rPr>
                <w:b/>
                <w:bCs/>
                <w:color w:val="000000"/>
                <w:sz w:val="20"/>
                <w:szCs w:val="20"/>
              </w:rPr>
              <w:t> </w:t>
            </w:r>
          </w:p>
        </w:tc>
        <w:tc>
          <w:tcPr>
            <w:tcW w:w="2185" w:type="pct"/>
            <w:shd w:val="clear" w:color="auto" w:fill="FFFFFF"/>
            <w:tcMar>
              <w:top w:w="15" w:type="dxa"/>
              <w:left w:w="0" w:type="dxa"/>
              <w:bottom w:w="0" w:type="dxa"/>
              <w:right w:w="15" w:type="dxa"/>
            </w:tcMar>
            <w:vAlign w:val="bottom"/>
            <w:hideMark/>
          </w:tcPr>
          <w:p w14:paraId="5ED7D3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18CDF9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F3641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04538D5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61106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923D7F2" w14:textId="77777777">
        <w:trPr>
          <w:divId w:val="1918051675"/>
        </w:trPr>
        <w:tc>
          <w:tcPr>
            <w:tcW w:w="1733" w:type="pct"/>
            <w:shd w:val="clear" w:color="auto" w:fill="CFF0FC"/>
            <w:tcMar>
              <w:top w:w="15" w:type="dxa"/>
              <w:left w:w="0" w:type="dxa"/>
              <w:bottom w:w="0" w:type="dxa"/>
              <w:right w:w="15" w:type="dxa"/>
            </w:tcMar>
            <w:vAlign w:val="bottom"/>
            <w:hideMark/>
          </w:tcPr>
          <w:p w14:paraId="630D797A" w14:textId="77777777" w:rsidR="00000000" w:rsidRDefault="00B8284C">
            <w:pPr>
              <w:pStyle w:val="a3"/>
              <w:spacing w:before="0" w:beforeAutospacing="0" w:after="0" w:afterAutospacing="0"/>
              <w:rPr>
                <w:color w:val="000000"/>
                <w:sz w:val="20"/>
                <w:szCs w:val="20"/>
              </w:rPr>
            </w:pPr>
            <w:r>
              <w:rPr>
                <w:color w:val="000000"/>
                <w:sz w:val="20"/>
                <w:szCs w:val="20"/>
              </w:rPr>
              <w:t>Current</w:t>
            </w:r>
          </w:p>
        </w:tc>
        <w:tc>
          <w:tcPr>
            <w:tcW w:w="96" w:type="pct"/>
            <w:shd w:val="clear" w:color="auto" w:fill="CFF0FC"/>
            <w:tcMar>
              <w:top w:w="15" w:type="dxa"/>
              <w:left w:w="0" w:type="dxa"/>
              <w:bottom w:w="0" w:type="dxa"/>
              <w:right w:w="15" w:type="dxa"/>
            </w:tcMar>
            <w:vAlign w:val="bottom"/>
            <w:hideMark/>
          </w:tcPr>
          <w:p w14:paraId="16FA348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14:paraId="17BE1EE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73B3263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CD86E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79BC7ED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59F54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D7C5A3A" w14:textId="77777777">
        <w:trPr>
          <w:divId w:val="1918051675"/>
        </w:trPr>
        <w:tc>
          <w:tcPr>
            <w:tcW w:w="1733" w:type="pct"/>
            <w:shd w:val="clear" w:color="auto" w:fill="FFFFFF"/>
            <w:tcMar>
              <w:top w:w="15" w:type="dxa"/>
              <w:left w:w="0" w:type="dxa"/>
              <w:bottom w:w="0" w:type="dxa"/>
              <w:right w:w="15" w:type="dxa"/>
            </w:tcMar>
            <w:vAlign w:val="bottom"/>
            <w:hideMark/>
          </w:tcPr>
          <w:p w14:paraId="7F20445D" w14:textId="77777777" w:rsidR="00000000" w:rsidRDefault="00B8284C">
            <w:pPr>
              <w:pStyle w:val="a3"/>
              <w:spacing w:before="0" w:beforeAutospacing="0" w:after="0" w:afterAutospacing="0"/>
              <w:ind w:left="274"/>
              <w:rPr>
                <w:color w:val="000000"/>
                <w:sz w:val="20"/>
                <w:szCs w:val="20"/>
              </w:rPr>
            </w:pPr>
            <w:r>
              <w:rPr>
                <w:color w:val="000000"/>
                <w:sz w:val="20"/>
                <w:szCs w:val="20"/>
              </w:rPr>
              <w:t>Operating lease liabilities</w:t>
            </w:r>
          </w:p>
        </w:tc>
        <w:tc>
          <w:tcPr>
            <w:tcW w:w="96" w:type="pct"/>
            <w:shd w:val="clear" w:color="auto" w:fill="FFFFFF"/>
            <w:tcMar>
              <w:top w:w="15" w:type="dxa"/>
              <w:left w:w="0" w:type="dxa"/>
              <w:bottom w:w="0" w:type="dxa"/>
              <w:right w:w="15" w:type="dxa"/>
            </w:tcMar>
            <w:vAlign w:val="bottom"/>
            <w:hideMark/>
          </w:tcPr>
          <w:p w14:paraId="13EBA1BE"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51A8B689" w14:textId="77777777" w:rsidR="00000000" w:rsidRDefault="00B8284C">
            <w:pPr>
              <w:pStyle w:val="a3"/>
              <w:spacing w:before="0" w:beforeAutospacing="0" w:after="0" w:afterAutospacing="0"/>
              <w:rPr>
                <w:color w:val="000000"/>
                <w:sz w:val="20"/>
                <w:szCs w:val="20"/>
              </w:rPr>
            </w:pPr>
            <w:r>
              <w:rPr>
                <w:color w:val="000000"/>
                <w:sz w:val="20"/>
                <w:szCs w:val="20"/>
              </w:rPr>
              <w:t>Lease liabilities</w:t>
            </w:r>
          </w:p>
        </w:tc>
        <w:tc>
          <w:tcPr>
            <w:tcW w:w="96" w:type="pct"/>
            <w:shd w:val="clear" w:color="auto" w:fill="FFFFFF"/>
            <w:tcMar>
              <w:top w:w="15" w:type="dxa"/>
              <w:left w:w="0" w:type="dxa"/>
              <w:bottom w:w="0" w:type="dxa"/>
              <w:right w:w="15" w:type="dxa"/>
            </w:tcMar>
            <w:vAlign w:val="bottom"/>
            <w:hideMark/>
          </w:tcPr>
          <w:p w14:paraId="506F8EA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C11B5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25430E62" w14:textId="77777777" w:rsidR="00000000" w:rsidRDefault="00B8284C">
            <w:pPr>
              <w:pStyle w:val="a3"/>
              <w:spacing w:before="0" w:beforeAutospacing="0" w:after="0" w:afterAutospacing="0"/>
              <w:jc w:val="right"/>
              <w:rPr>
                <w:color w:val="000000"/>
                <w:sz w:val="20"/>
                <w:szCs w:val="20"/>
              </w:rPr>
            </w:pPr>
            <w:r>
              <w:rPr>
                <w:color w:val="000000"/>
                <w:sz w:val="20"/>
                <w:szCs w:val="20"/>
              </w:rPr>
              <w:t>15,646</w:t>
            </w:r>
          </w:p>
        </w:tc>
        <w:tc>
          <w:tcPr>
            <w:tcW w:w="50" w:type="pct"/>
            <w:shd w:val="clear" w:color="auto" w:fill="FFFFFF"/>
            <w:noWrap/>
            <w:tcMar>
              <w:top w:w="15" w:type="dxa"/>
              <w:left w:w="0" w:type="dxa"/>
              <w:bottom w:w="0" w:type="dxa"/>
              <w:right w:w="15" w:type="dxa"/>
            </w:tcMar>
            <w:vAlign w:val="bottom"/>
            <w:hideMark/>
          </w:tcPr>
          <w:p w14:paraId="188B926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772B606" w14:textId="77777777">
        <w:trPr>
          <w:divId w:val="1918051675"/>
        </w:trPr>
        <w:tc>
          <w:tcPr>
            <w:tcW w:w="1733" w:type="pct"/>
            <w:shd w:val="clear" w:color="auto" w:fill="CFF0FC"/>
            <w:tcMar>
              <w:top w:w="15" w:type="dxa"/>
              <w:left w:w="0" w:type="dxa"/>
              <w:bottom w:w="0" w:type="dxa"/>
              <w:right w:w="15" w:type="dxa"/>
            </w:tcMar>
            <w:vAlign w:val="bottom"/>
            <w:hideMark/>
          </w:tcPr>
          <w:p w14:paraId="669E309E" w14:textId="77777777" w:rsidR="00000000" w:rsidRDefault="00B8284C">
            <w:pPr>
              <w:pStyle w:val="a3"/>
              <w:spacing w:before="0" w:beforeAutospacing="0" w:after="0" w:afterAutospacing="0"/>
              <w:ind w:left="274"/>
              <w:rPr>
                <w:color w:val="000000"/>
                <w:sz w:val="20"/>
                <w:szCs w:val="20"/>
              </w:rPr>
            </w:pPr>
            <w:r>
              <w:rPr>
                <w:color w:val="000000"/>
                <w:sz w:val="20"/>
                <w:szCs w:val="20"/>
              </w:rPr>
              <w:t>Finance lease liabilities</w:t>
            </w:r>
          </w:p>
        </w:tc>
        <w:tc>
          <w:tcPr>
            <w:tcW w:w="96" w:type="pct"/>
            <w:shd w:val="clear" w:color="auto" w:fill="CFF0FC"/>
            <w:tcMar>
              <w:top w:w="15" w:type="dxa"/>
              <w:left w:w="0" w:type="dxa"/>
              <w:bottom w:w="0" w:type="dxa"/>
              <w:right w:w="15" w:type="dxa"/>
            </w:tcMar>
            <w:vAlign w:val="bottom"/>
            <w:hideMark/>
          </w:tcPr>
          <w:p w14:paraId="5DBC1D86"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14:paraId="14C58EC0" w14:textId="77777777" w:rsidR="00000000" w:rsidRDefault="00B8284C">
            <w:pPr>
              <w:pStyle w:val="a3"/>
              <w:spacing w:before="0" w:beforeAutospacing="0" w:after="0" w:afterAutospacing="0"/>
              <w:rPr>
                <w:color w:val="000000"/>
                <w:sz w:val="20"/>
                <w:szCs w:val="20"/>
              </w:rPr>
            </w:pPr>
            <w:r>
              <w:rPr>
                <w:color w:val="000000"/>
                <w:sz w:val="20"/>
                <w:szCs w:val="20"/>
              </w:rPr>
              <w:t>Accrued expenses and other current liabilities</w:t>
            </w:r>
          </w:p>
        </w:tc>
        <w:tc>
          <w:tcPr>
            <w:tcW w:w="96" w:type="pct"/>
            <w:shd w:val="clear" w:color="auto" w:fill="CFF0FC"/>
            <w:tcMar>
              <w:top w:w="15" w:type="dxa"/>
              <w:left w:w="0" w:type="dxa"/>
              <w:bottom w:w="0" w:type="dxa"/>
              <w:right w:w="15" w:type="dxa"/>
            </w:tcMar>
            <w:vAlign w:val="bottom"/>
            <w:hideMark/>
          </w:tcPr>
          <w:p w14:paraId="7A0212E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9BCF6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40709821" w14:textId="77777777" w:rsidR="00000000" w:rsidRDefault="00B8284C">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bottom"/>
            <w:hideMark/>
          </w:tcPr>
          <w:p w14:paraId="3A89118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9C7ECEF" w14:textId="77777777">
        <w:trPr>
          <w:divId w:val="1918051675"/>
        </w:trPr>
        <w:tc>
          <w:tcPr>
            <w:tcW w:w="1733" w:type="pct"/>
            <w:shd w:val="clear" w:color="auto" w:fill="FFFFFF"/>
            <w:tcMar>
              <w:top w:w="15" w:type="dxa"/>
              <w:left w:w="0" w:type="dxa"/>
              <w:bottom w:w="0" w:type="dxa"/>
              <w:right w:w="15" w:type="dxa"/>
            </w:tcMar>
            <w:vAlign w:val="bottom"/>
            <w:hideMark/>
          </w:tcPr>
          <w:p w14:paraId="46BDC451" w14:textId="77777777" w:rsidR="00000000" w:rsidRDefault="00B8284C">
            <w:pPr>
              <w:pStyle w:val="a3"/>
              <w:spacing w:before="0" w:beforeAutospacing="0" w:after="0" w:afterAutospacing="0"/>
              <w:rPr>
                <w:color w:val="000000"/>
                <w:sz w:val="20"/>
                <w:szCs w:val="20"/>
              </w:rPr>
            </w:pPr>
            <w:r>
              <w:rPr>
                <w:color w:val="000000"/>
                <w:sz w:val="20"/>
                <w:szCs w:val="20"/>
              </w:rPr>
              <w:t>Noncurrent</w:t>
            </w:r>
          </w:p>
        </w:tc>
        <w:tc>
          <w:tcPr>
            <w:tcW w:w="96" w:type="pct"/>
            <w:shd w:val="clear" w:color="auto" w:fill="FFFFFF"/>
            <w:tcMar>
              <w:top w:w="15" w:type="dxa"/>
              <w:left w:w="0" w:type="dxa"/>
              <w:bottom w:w="0" w:type="dxa"/>
              <w:right w:w="15" w:type="dxa"/>
            </w:tcMar>
            <w:vAlign w:val="bottom"/>
            <w:hideMark/>
          </w:tcPr>
          <w:p w14:paraId="792143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0C34AF4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5C3604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4FC3F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521D5A8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25F22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2D3E735" w14:textId="77777777">
        <w:trPr>
          <w:divId w:val="1918051675"/>
        </w:trPr>
        <w:tc>
          <w:tcPr>
            <w:tcW w:w="1733" w:type="pct"/>
            <w:shd w:val="clear" w:color="auto" w:fill="CFF0FC"/>
            <w:tcMar>
              <w:top w:w="15" w:type="dxa"/>
              <w:left w:w="0" w:type="dxa"/>
              <w:bottom w:w="0" w:type="dxa"/>
              <w:right w:w="15" w:type="dxa"/>
            </w:tcMar>
            <w:vAlign w:val="bottom"/>
            <w:hideMark/>
          </w:tcPr>
          <w:p w14:paraId="55D93EBA" w14:textId="77777777" w:rsidR="00000000" w:rsidRDefault="00B8284C">
            <w:pPr>
              <w:pStyle w:val="a3"/>
              <w:spacing w:before="0" w:beforeAutospacing="0" w:after="0" w:afterAutospacing="0"/>
              <w:ind w:left="274"/>
              <w:rPr>
                <w:color w:val="000000"/>
                <w:sz w:val="20"/>
                <w:szCs w:val="20"/>
              </w:rPr>
            </w:pPr>
            <w:r>
              <w:rPr>
                <w:color w:val="000000"/>
                <w:sz w:val="20"/>
                <w:szCs w:val="20"/>
              </w:rPr>
              <w:t>Operating</w:t>
            </w:r>
          </w:p>
        </w:tc>
        <w:tc>
          <w:tcPr>
            <w:tcW w:w="96" w:type="pct"/>
            <w:shd w:val="clear" w:color="auto" w:fill="CFF0FC"/>
            <w:tcMar>
              <w:top w:w="15" w:type="dxa"/>
              <w:left w:w="0" w:type="dxa"/>
              <w:bottom w:w="0" w:type="dxa"/>
              <w:right w:w="15" w:type="dxa"/>
            </w:tcMar>
            <w:vAlign w:val="bottom"/>
            <w:hideMark/>
          </w:tcPr>
          <w:p w14:paraId="0A483E5D"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14:paraId="108D32A1" w14:textId="77777777" w:rsidR="00000000" w:rsidRDefault="00B8284C">
            <w:pPr>
              <w:pStyle w:val="a3"/>
              <w:spacing w:before="0" w:beforeAutospacing="0" w:after="0" w:afterAutospacing="0"/>
              <w:rPr>
                <w:color w:val="000000"/>
                <w:sz w:val="20"/>
                <w:szCs w:val="20"/>
              </w:rPr>
            </w:pPr>
            <w:r>
              <w:rPr>
                <w:color w:val="000000"/>
                <w:sz w:val="20"/>
                <w:szCs w:val="20"/>
              </w:rPr>
              <w:t>Lease liabilities, net of current portion</w:t>
            </w:r>
          </w:p>
        </w:tc>
        <w:tc>
          <w:tcPr>
            <w:tcW w:w="96" w:type="pct"/>
            <w:shd w:val="clear" w:color="auto" w:fill="CFF0FC"/>
            <w:tcMar>
              <w:top w:w="15" w:type="dxa"/>
              <w:left w:w="0" w:type="dxa"/>
              <w:bottom w:w="0" w:type="dxa"/>
              <w:right w:w="15" w:type="dxa"/>
            </w:tcMar>
            <w:vAlign w:val="bottom"/>
            <w:hideMark/>
          </w:tcPr>
          <w:p w14:paraId="13DC10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7F1DC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14:paraId="33A78B41" w14:textId="77777777" w:rsidR="00000000" w:rsidRDefault="00B8284C">
            <w:pPr>
              <w:pStyle w:val="a3"/>
              <w:spacing w:before="0" w:beforeAutospacing="0" w:after="0" w:afterAutospacing="0"/>
              <w:jc w:val="right"/>
              <w:rPr>
                <w:color w:val="000000"/>
                <w:sz w:val="20"/>
                <w:szCs w:val="20"/>
              </w:rPr>
            </w:pPr>
            <w:r>
              <w:rPr>
                <w:color w:val="000000"/>
                <w:sz w:val="20"/>
                <w:szCs w:val="20"/>
              </w:rPr>
              <w:t>225,628</w:t>
            </w:r>
          </w:p>
        </w:tc>
        <w:tc>
          <w:tcPr>
            <w:tcW w:w="50" w:type="pct"/>
            <w:shd w:val="clear" w:color="auto" w:fill="CFF0FC"/>
            <w:noWrap/>
            <w:tcMar>
              <w:top w:w="15" w:type="dxa"/>
              <w:left w:w="0" w:type="dxa"/>
              <w:bottom w:w="0" w:type="dxa"/>
              <w:right w:w="15" w:type="dxa"/>
            </w:tcMar>
            <w:vAlign w:val="bottom"/>
            <w:hideMark/>
          </w:tcPr>
          <w:p w14:paraId="3D961C9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DD8E672" w14:textId="77777777">
        <w:trPr>
          <w:divId w:val="1918051675"/>
        </w:trPr>
        <w:tc>
          <w:tcPr>
            <w:tcW w:w="1733" w:type="pct"/>
            <w:shd w:val="clear" w:color="auto" w:fill="FFFFFF"/>
            <w:tcMar>
              <w:top w:w="15" w:type="dxa"/>
              <w:left w:w="0" w:type="dxa"/>
              <w:bottom w:w="0" w:type="dxa"/>
              <w:right w:w="15" w:type="dxa"/>
            </w:tcMar>
            <w:vAlign w:val="bottom"/>
            <w:hideMark/>
          </w:tcPr>
          <w:p w14:paraId="5659BCFC" w14:textId="77777777" w:rsidR="00000000" w:rsidRDefault="00B8284C">
            <w:pPr>
              <w:pStyle w:val="a3"/>
              <w:spacing w:before="0" w:beforeAutospacing="0" w:after="0" w:afterAutospacing="0"/>
              <w:rPr>
                <w:color w:val="000000"/>
                <w:sz w:val="20"/>
                <w:szCs w:val="20"/>
              </w:rPr>
            </w:pPr>
            <w:r>
              <w:rPr>
                <w:color w:val="000000"/>
                <w:sz w:val="20"/>
                <w:szCs w:val="20"/>
              </w:rPr>
              <w:t>Total lease liabilities</w:t>
            </w:r>
          </w:p>
        </w:tc>
        <w:tc>
          <w:tcPr>
            <w:tcW w:w="96" w:type="pct"/>
            <w:shd w:val="clear" w:color="auto" w:fill="FFFFFF"/>
            <w:tcMar>
              <w:top w:w="15" w:type="dxa"/>
              <w:left w:w="0" w:type="dxa"/>
              <w:bottom w:w="0" w:type="dxa"/>
              <w:right w:w="15" w:type="dxa"/>
            </w:tcMar>
            <w:vAlign w:val="bottom"/>
            <w:hideMark/>
          </w:tcPr>
          <w:p w14:paraId="4BB3FC7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52EA4BA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01655CB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A3063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33349F" w14:textId="77777777" w:rsidR="00000000" w:rsidRDefault="00B8284C">
            <w:pPr>
              <w:pStyle w:val="a3"/>
              <w:spacing w:before="0" w:beforeAutospacing="0" w:after="0" w:afterAutospacing="0"/>
              <w:jc w:val="right"/>
              <w:rPr>
                <w:color w:val="000000"/>
                <w:sz w:val="20"/>
                <w:szCs w:val="20"/>
              </w:rPr>
            </w:pPr>
            <w:r>
              <w:rPr>
                <w:color w:val="000000"/>
                <w:sz w:val="20"/>
                <w:szCs w:val="20"/>
              </w:rPr>
              <w:t>241,331</w:t>
            </w:r>
          </w:p>
        </w:tc>
        <w:tc>
          <w:tcPr>
            <w:tcW w:w="50" w:type="pct"/>
            <w:shd w:val="clear" w:color="auto" w:fill="FFFFFF"/>
            <w:noWrap/>
            <w:tcMar>
              <w:top w:w="15" w:type="dxa"/>
              <w:left w:w="0" w:type="dxa"/>
              <w:bottom w:w="0" w:type="dxa"/>
              <w:right w:w="15" w:type="dxa"/>
            </w:tcMar>
            <w:vAlign w:val="bottom"/>
            <w:hideMark/>
          </w:tcPr>
          <w:p w14:paraId="74766A4C"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050D9D2D" w14:textId="77777777" w:rsidR="00000000" w:rsidRDefault="00B8284C">
      <w:pPr>
        <w:pStyle w:val="a3"/>
        <w:spacing w:before="0" w:beforeAutospacing="0" w:after="0" w:afterAutospacing="0"/>
        <w:rPr>
          <w:sz w:val="20"/>
          <w:szCs w:val="20"/>
        </w:rPr>
      </w:pPr>
      <w:r>
        <w:rPr>
          <w:sz w:val="20"/>
          <w:szCs w:val="20"/>
        </w:rPr>
        <w:t> </w:t>
      </w:r>
    </w:p>
    <w:p w14:paraId="76538144" w14:textId="77777777" w:rsidR="00000000" w:rsidRDefault="00B8284C">
      <w:pPr>
        <w:pStyle w:val="a3"/>
        <w:spacing w:before="40" w:beforeAutospacing="0" w:after="0" w:afterAutospacing="0"/>
        <w:ind w:firstLine="556"/>
        <w:rPr>
          <w:color w:val="000000"/>
          <w:sz w:val="20"/>
          <w:szCs w:val="20"/>
        </w:rPr>
      </w:pPr>
      <w:r>
        <w:rPr>
          <w:color w:val="000000"/>
          <w:sz w:val="20"/>
          <w:szCs w:val="20"/>
        </w:rPr>
        <w:t xml:space="preserve">Operating lease costs were $9.0 </w:t>
      </w:r>
      <w:r>
        <w:rPr>
          <w:color w:val="000000"/>
          <w:sz w:val="20"/>
          <w:szCs w:val="20"/>
        </w:rPr>
        <w:t xml:space="preserve">million for the three months ended September 30, 2019, net of $0.6 million of operating sublease income related to certain office facilities subleased to third parties. Operating lease costs were $23.4 million for the nine months ended September 30, 2019, </w:t>
      </w:r>
      <w:r>
        <w:rPr>
          <w:color w:val="000000"/>
          <w:sz w:val="20"/>
          <w:szCs w:val="20"/>
        </w:rPr>
        <w:t xml:space="preserve">net of $1.7 million of operating sublease income related to certain office facilities subleased to third parties. Finance lease costs consisted of $0 million related to the amortization finance lease assets and $0 million of interest expense for the three </w:t>
      </w:r>
      <w:r>
        <w:rPr>
          <w:color w:val="000000"/>
          <w:sz w:val="20"/>
          <w:szCs w:val="20"/>
        </w:rPr>
        <w:t>months ended September 30, 2019. Finance lease costs consisted of $0.2 million related to the amortization finance lease assets and $0.1 million of interest expense for the nine months ended September 30, 2019.</w:t>
      </w:r>
    </w:p>
    <w:p w14:paraId="7C92F733" w14:textId="77777777" w:rsidR="00000000" w:rsidRDefault="00B8284C">
      <w:pPr>
        <w:pStyle w:val="a3"/>
        <w:spacing w:before="0" w:beforeAutospacing="0" w:after="0" w:afterAutospacing="0"/>
        <w:jc w:val="both"/>
        <w:rPr>
          <w:b/>
          <w:bCs/>
          <w:sz w:val="12"/>
          <w:szCs w:val="12"/>
        </w:rPr>
      </w:pPr>
      <w:r>
        <w:rPr>
          <w:b/>
          <w:bCs/>
          <w:sz w:val="12"/>
          <w:szCs w:val="12"/>
        </w:rPr>
        <w:t> </w:t>
      </w:r>
    </w:p>
    <w:p w14:paraId="2D225624" w14:textId="77777777" w:rsidR="00000000" w:rsidRDefault="00B8284C">
      <w:pPr>
        <w:pStyle w:val="a3"/>
        <w:spacing w:before="0" w:beforeAutospacing="0" w:after="0" w:afterAutospacing="0"/>
        <w:jc w:val="both"/>
        <w:rPr>
          <w:b/>
          <w:bCs/>
          <w:sz w:val="12"/>
          <w:szCs w:val="12"/>
        </w:rPr>
      </w:pPr>
      <w:r>
        <w:rPr>
          <w:b/>
          <w:bCs/>
          <w:sz w:val="12"/>
          <w:szCs w:val="12"/>
        </w:rPr>
        <w:t> </w:t>
      </w:r>
    </w:p>
    <w:p w14:paraId="194F6B3D" w14:textId="77777777" w:rsidR="00000000" w:rsidRDefault="00B8284C">
      <w:pPr>
        <w:pStyle w:val="a3"/>
        <w:spacing w:before="0" w:beforeAutospacing="0" w:after="0" w:afterAutospacing="0"/>
        <w:ind w:firstLine="556"/>
        <w:rPr>
          <w:color w:val="000000"/>
          <w:sz w:val="20"/>
          <w:szCs w:val="20"/>
        </w:rPr>
      </w:pPr>
      <w:r>
        <w:rPr>
          <w:color w:val="000000"/>
          <w:sz w:val="20"/>
          <w:szCs w:val="20"/>
        </w:rPr>
        <w:t xml:space="preserve">The following table provides a reconciliation between non-cancelable lease commitments and lease liabilities as of September 30, 2019: </w:t>
      </w:r>
    </w:p>
    <w:p w14:paraId="16D1B391"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126"/>
        <w:gridCol w:w="203"/>
        <w:gridCol w:w="116"/>
        <w:gridCol w:w="1066"/>
        <w:gridCol w:w="82"/>
        <w:gridCol w:w="65"/>
        <w:gridCol w:w="116"/>
        <w:gridCol w:w="975"/>
        <w:gridCol w:w="65"/>
      </w:tblGrid>
      <w:tr w:rsidR="00000000" w14:paraId="10FA4266" w14:textId="77777777">
        <w:trPr>
          <w:divId w:val="268662436"/>
        </w:trPr>
        <w:tc>
          <w:tcPr>
            <w:tcW w:w="3349" w:type="pct"/>
            <w:shd w:val="clear" w:color="auto" w:fill="FFFFFF"/>
            <w:tcMar>
              <w:top w:w="15" w:type="dxa"/>
              <w:left w:w="0" w:type="dxa"/>
              <w:bottom w:w="0" w:type="dxa"/>
              <w:right w:w="15" w:type="dxa"/>
            </w:tcMar>
            <w:vAlign w:val="bottom"/>
            <w:hideMark/>
          </w:tcPr>
          <w:p w14:paraId="05E28231" w14:textId="77777777" w:rsidR="00000000" w:rsidRDefault="00B8284C">
            <w:pPr>
              <w:pStyle w:val="a3"/>
              <w:spacing w:before="0" w:beforeAutospacing="0" w:after="0" w:afterAutospacing="0"/>
              <w:rPr>
                <w:sz w:val="16"/>
                <w:szCs w:val="16"/>
              </w:rPr>
            </w:pPr>
            <w:r>
              <w:rPr>
                <w:sz w:val="16"/>
                <w:szCs w:val="16"/>
              </w:rPr>
              <w:t> </w:t>
            </w:r>
          </w:p>
        </w:tc>
        <w:tc>
          <w:tcPr>
            <w:tcW w:w="81" w:type="pct"/>
            <w:shd w:val="clear" w:color="auto" w:fill="FFFFFF"/>
            <w:tcMar>
              <w:top w:w="15" w:type="dxa"/>
              <w:left w:w="0" w:type="dxa"/>
              <w:bottom w:w="0" w:type="dxa"/>
              <w:right w:w="15" w:type="dxa"/>
            </w:tcMar>
            <w:vAlign w:val="bottom"/>
            <w:hideMark/>
          </w:tcPr>
          <w:p w14:paraId="5DA9545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44154C7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14:paraId="002380A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6D0B06B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5B0E87D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Finance Leases</w:t>
            </w:r>
          </w:p>
        </w:tc>
        <w:tc>
          <w:tcPr>
            <w:tcW w:w="50" w:type="pct"/>
            <w:shd w:val="clear" w:color="auto" w:fill="FFFFFF"/>
            <w:noWrap/>
            <w:tcMar>
              <w:top w:w="15" w:type="dxa"/>
              <w:left w:w="0" w:type="dxa"/>
              <w:bottom w:w="0" w:type="dxa"/>
              <w:right w:w="15" w:type="dxa"/>
            </w:tcMar>
            <w:vAlign w:val="bottom"/>
            <w:hideMark/>
          </w:tcPr>
          <w:p w14:paraId="577DD25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59FC72A" w14:textId="77777777">
        <w:trPr>
          <w:divId w:val="268662436"/>
        </w:trPr>
        <w:tc>
          <w:tcPr>
            <w:tcW w:w="3349" w:type="pct"/>
            <w:shd w:val="clear" w:color="auto" w:fill="CFF0FC"/>
            <w:tcMar>
              <w:top w:w="15" w:type="dxa"/>
              <w:left w:w="0" w:type="dxa"/>
              <w:bottom w:w="0" w:type="dxa"/>
              <w:right w:w="15" w:type="dxa"/>
            </w:tcMar>
            <w:vAlign w:val="bottom"/>
            <w:hideMark/>
          </w:tcPr>
          <w:p w14:paraId="6BD1F5C7" w14:textId="77777777" w:rsidR="00000000" w:rsidRDefault="00B8284C">
            <w:pPr>
              <w:pStyle w:val="a3"/>
              <w:spacing w:before="0" w:beforeAutospacing="0" w:after="0" w:afterAutospacing="0"/>
              <w:rPr>
                <w:color w:val="000000"/>
                <w:sz w:val="20"/>
                <w:szCs w:val="20"/>
              </w:rPr>
            </w:pPr>
            <w:r>
              <w:rPr>
                <w:color w:val="000000"/>
                <w:sz w:val="20"/>
                <w:szCs w:val="20"/>
              </w:rPr>
              <w:t>Lease commitments (Note 10)</w:t>
            </w:r>
          </w:p>
        </w:tc>
        <w:tc>
          <w:tcPr>
            <w:tcW w:w="81" w:type="pct"/>
            <w:shd w:val="clear" w:color="auto" w:fill="CFF0FC"/>
            <w:tcMar>
              <w:top w:w="15" w:type="dxa"/>
              <w:left w:w="0" w:type="dxa"/>
              <w:bottom w:w="0" w:type="dxa"/>
              <w:right w:w="15" w:type="dxa"/>
            </w:tcMar>
            <w:vAlign w:val="bottom"/>
            <w:hideMark/>
          </w:tcPr>
          <w:p w14:paraId="70CED25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6962C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AFE2A4D" w14:textId="77777777" w:rsidR="00000000" w:rsidRDefault="00B8284C">
            <w:pPr>
              <w:pStyle w:val="a3"/>
              <w:spacing w:before="0" w:beforeAutospacing="0" w:after="0" w:afterAutospacing="0"/>
              <w:jc w:val="right"/>
              <w:rPr>
                <w:color w:val="000000"/>
                <w:sz w:val="20"/>
                <w:szCs w:val="20"/>
              </w:rPr>
            </w:pPr>
            <w:r>
              <w:rPr>
                <w:color w:val="000000"/>
                <w:sz w:val="20"/>
                <w:szCs w:val="20"/>
              </w:rPr>
              <w:t>357,756</w:t>
            </w:r>
          </w:p>
        </w:tc>
        <w:tc>
          <w:tcPr>
            <w:tcW w:w="50" w:type="pct"/>
            <w:shd w:val="clear" w:color="auto" w:fill="CFF0FC"/>
            <w:noWrap/>
            <w:tcMar>
              <w:top w:w="15" w:type="dxa"/>
              <w:left w:w="0" w:type="dxa"/>
              <w:bottom w:w="0" w:type="dxa"/>
              <w:right w:w="15" w:type="dxa"/>
            </w:tcMar>
            <w:vAlign w:val="bottom"/>
            <w:hideMark/>
          </w:tcPr>
          <w:p w14:paraId="33A9C1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280DDE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4CD29E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DCE487A" w14:textId="77777777" w:rsidR="00000000" w:rsidRDefault="00B8284C">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bottom"/>
            <w:hideMark/>
          </w:tcPr>
          <w:p w14:paraId="6DBF795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4519290" w14:textId="77777777">
        <w:trPr>
          <w:divId w:val="268662436"/>
        </w:trPr>
        <w:tc>
          <w:tcPr>
            <w:tcW w:w="3349" w:type="pct"/>
            <w:shd w:val="clear" w:color="auto" w:fill="FFFFFF"/>
            <w:tcMar>
              <w:top w:w="15" w:type="dxa"/>
              <w:left w:w="0" w:type="dxa"/>
              <w:bottom w:w="0" w:type="dxa"/>
              <w:right w:w="15" w:type="dxa"/>
            </w:tcMar>
            <w:vAlign w:val="bottom"/>
            <w:hideMark/>
          </w:tcPr>
          <w:p w14:paraId="3DA88321" w14:textId="77777777" w:rsidR="00000000" w:rsidRDefault="00B8284C">
            <w:pPr>
              <w:pStyle w:val="a3"/>
              <w:spacing w:before="0" w:beforeAutospacing="0" w:after="0" w:afterAutospacing="0"/>
              <w:rPr>
                <w:color w:val="000000"/>
                <w:sz w:val="20"/>
                <w:szCs w:val="20"/>
              </w:rPr>
            </w:pPr>
            <w:r>
              <w:rPr>
                <w:color w:val="000000"/>
                <w:sz w:val="20"/>
                <w:szCs w:val="20"/>
              </w:rPr>
              <w:t>Less: Legally binding minimum lease payments for</w:t>
            </w:r>
          </w:p>
          <w:p w14:paraId="04BB5FE9" w14:textId="77777777" w:rsidR="00000000" w:rsidRDefault="00B8284C">
            <w:pPr>
              <w:pStyle w:val="a3"/>
              <w:spacing w:before="0" w:beforeAutospacing="0" w:after="0" w:afterAutospacing="0"/>
              <w:rPr>
                <w:color w:val="000000"/>
                <w:sz w:val="20"/>
                <w:szCs w:val="20"/>
              </w:rPr>
            </w:pPr>
            <w:r>
              <w:rPr>
                <w:color w:val="000000"/>
                <w:sz w:val="20"/>
                <w:szCs w:val="20"/>
              </w:rPr>
              <w:t>   leases signed but not yet commenced</w:t>
            </w:r>
          </w:p>
        </w:tc>
        <w:tc>
          <w:tcPr>
            <w:tcW w:w="81" w:type="pct"/>
            <w:shd w:val="clear" w:color="auto" w:fill="FFFFFF"/>
            <w:tcMar>
              <w:top w:w="15" w:type="dxa"/>
              <w:left w:w="0" w:type="dxa"/>
              <w:bottom w:w="0" w:type="dxa"/>
              <w:right w:w="15" w:type="dxa"/>
            </w:tcMar>
            <w:vAlign w:val="bottom"/>
            <w:hideMark/>
          </w:tcPr>
          <w:p w14:paraId="235B15B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5D87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72791D5" w14:textId="77777777" w:rsidR="00000000" w:rsidRDefault="00B8284C">
            <w:pPr>
              <w:pStyle w:val="a3"/>
              <w:spacing w:before="0" w:beforeAutospacing="0" w:after="0" w:afterAutospacing="0"/>
              <w:jc w:val="right"/>
              <w:rPr>
                <w:color w:val="000000"/>
                <w:sz w:val="20"/>
                <w:szCs w:val="20"/>
              </w:rPr>
            </w:pPr>
            <w:r>
              <w:rPr>
                <w:color w:val="000000"/>
                <w:sz w:val="20"/>
                <w:szCs w:val="20"/>
              </w:rPr>
              <w:t>(41,314</w:t>
            </w:r>
          </w:p>
        </w:tc>
        <w:tc>
          <w:tcPr>
            <w:tcW w:w="50" w:type="pct"/>
            <w:shd w:val="clear" w:color="auto" w:fill="FFFFFF"/>
            <w:noWrap/>
            <w:tcMar>
              <w:top w:w="15" w:type="dxa"/>
              <w:left w:w="0" w:type="dxa"/>
              <w:bottom w:w="0" w:type="dxa"/>
              <w:right w:w="15" w:type="dxa"/>
            </w:tcMar>
            <w:vAlign w:val="bottom"/>
            <w:hideMark/>
          </w:tcPr>
          <w:p w14:paraId="04127A7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53F0D1C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AD12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2B7AD01"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B74A10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3884E04" w14:textId="77777777">
        <w:trPr>
          <w:divId w:val="268662436"/>
        </w:trPr>
        <w:tc>
          <w:tcPr>
            <w:tcW w:w="3349" w:type="pct"/>
            <w:shd w:val="clear" w:color="auto" w:fill="CFF0FC"/>
            <w:tcMar>
              <w:top w:w="15" w:type="dxa"/>
              <w:left w:w="0" w:type="dxa"/>
              <w:bottom w:w="0" w:type="dxa"/>
              <w:right w:w="15" w:type="dxa"/>
            </w:tcMar>
            <w:vAlign w:val="bottom"/>
            <w:hideMark/>
          </w:tcPr>
          <w:p w14:paraId="687057B5" w14:textId="77777777" w:rsidR="00000000" w:rsidRDefault="00B8284C">
            <w:pPr>
              <w:pStyle w:val="a3"/>
              <w:spacing w:before="0" w:beforeAutospacing="0" w:after="0" w:afterAutospacing="0"/>
              <w:rPr>
                <w:color w:val="000000"/>
                <w:sz w:val="20"/>
                <w:szCs w:val="20"/>
              </w:rPr>
            </w:pPr>
            <w:r>
              <w:rPr>
                <w:color w:val="000000"/>
                <w:sz w:val="20"/>
                <w:szCs w:val="20"/>
              </w:rPr>
              <w:t>Less: Present value discount</w:t>
            </w:r>
          </w:p>
        </w:tc>
        <w:tc>
          <w:tcPr>
            <w:tcW w:w="81" w:type="pct"/>
            <w:shd w:val="clear" w:color="auto" w:fill="CFF0FC"/>
            <w:tcMar>
              <w:top w:w="15" w:type="dxa"/>
              <w:left w:w="0" w:type="dxa"/>
              <w:bottom w:w="0" w:type="dxa"/>
              <w:right w:w="15" w:type="dxa"/>
            </w:tcMar>
            <w:vAlign w:val="bottom"/>
            <w:hideMark/>
          </w:tcPr>
          <w:p w14:paraId="38E199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1D793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64F6491" w14:textId="77777777" w:rsidR="00000000" w:rsidRDefault="00B8284C">
            <w:pPr>
              <w:pStyle w:val="a3"/>
              <w:spacing w:before="0" w:beforeAutospacing="0" w:after="0" w:afterAutospacing="0"/>
              <w:jc w:val="right"/>
              <w:rPr>
                <w:color w:val="000000"/>
                <w:sz w:val="20"/>
                <w:szCs w:val="20"/>
              </w:rPr>
            </w:pPr>
            <w:r>
              <w:rPr>
                <w:color w:val="000000"/>
                <w:sz w:val="20"/>
                <w:szCs w:val="20"/>
              </w:rPr>
              <w:t>(75,168</w:t>
            </w:r>
          </w:p>
        </w:tc>
        <w:tc>
          <w:tcPr>
            <w:tcW w:w="50" w:type="pct"/>
            <w:shd w:val="clear" w:color="auto" w:fill="CFF0FC"/>
            <w:noWrap/>
            <w:tcMar>
              <w:top w:w="15" w:type="dxa"/>
              <w:left w:w="0" w:type="dxa"/>
              <w:bottom w:w="0" w:type="dxa"/>
              <w:right w:w="15" w:type="dxa"/>
            </w:tcMar>
            <w:vAlign w:val="bottom"/>
            <w:hideMark/>
          </w:tcPr>
          <w:p w14:paraId="2ED1D0C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4242AA9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29871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7D3A95E6"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B958E7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B9C1AF0" w14:textId="77777777">
        <w:trPr>
          <w:divId w:val="268662436"/>
        </w:trPr>
        <w:tc>
          <w:tcPr>
            <w:tcW w:w="3349" w:type="pct"/>
            <w:shd w:val="clear" w:color="auto" w:fill="FFFFFF"/>
            <w:tcMar>
              <w:top w:w="15" w:type="dxa"/>
              <w:left w:w="0" w:type="dxa"/>
              <w:bottom w:w="0" w:type="dxa"/>
              <w:right w:w="15" w:type="dxa"/>
            </w:tcMar>
            <w:vAlign w:val="bottom"/>
            <w:hideMark/>
          </w:tcPr>
          <w:p w14:paraId="5F25CBEA" w14:textId="77777777" w:rsidR="00000000" w:rsidRDefault="00B8284C">
            <w:pPr>
              <w:pStyle w:val="a3"/>
              <w:spacing w:before="0" w:beforeAutospacing="0" w:after="0" w:afterAutospacing="0"/>
              <w:ind w:left="274"/>
              <w:rPr>
                <w:color w:val="000000"/>
                <w:sz w:val="20"/>
                <w:szCs w:val="20"/>
              </w:rPr>
            </w:pPr>
            <w:r>
              <w:rPr>
                <w:color w:val="000000"/>
                <w:sz w:val="20"/>
                <w:szCs w:val="20"/>
              </w:rPr>
              <w:t>Total lease liabilities</w:t>
            </w:r>
          </w:p>
        </w:tc>
        <w:tc>
          <w:tcPr>
            <w:tcW w:w="81" w:type="pct"/>
            <w:shd w:val="clear" w:color="auto" w:fill="FFFFFF"/>
            <w:tcMar>
              <w:top w:w="15" w:type="dxa"/>
              <w:left w:w="0" w:type="dxa"/>
              <w:bottom w:w="0" w:type="dxa"/>
              <w:right w:w="15" w:type="dxa"/>
            </w:tcMar>
            <w:vAlign w:val="bottom"/>
            <w:hideMark/>
          </w:tcPr>
          <w:p w14:paraId="480CAF64"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9B171E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6CB92A" w14:textId="77777777" w:rsidR="00000000" w:rsidRDefault="00B8284C">
            <w:pPr>
              <w:pStyle w:val="a3"/>
              <w:spacing w:before="0" w:beforeAutospacing="0" w:after="0" w:afterAutospacing="0"/>
              <w:jc w:val="right"/>
              <w:rPr>
                <w:color w:val="000000"/>
                <w:sz w:val="20"/>
                <w:szCs w:val="20"/>
              </w:rPr>
            </w:pPr>
            <w:r>
              <w:rPr>
                <w:color w:val="000000"/>
                <w:sz w:val="20"/>
                <w:szCs w:val="20"/>
              </w:rPr>
              <w:t>241,274</w:t>
            </w:r>
          </w:p>
        </w:tc>
        <w:tc>
          <w:tcPr>
            <w:tcW w:w="50" w:type="pct"/>
            <w:shd w:val="clear" w:color="auto" w:fill="FFFFFF"/>
            <w:noWrap/>
            <w:tcMar>
              <w:top w:w="15" w:type="dxa"/>
              <w:left w:w="0" w:type="dxa"/>
              <w:bottom w:w="0" w:type="dxa"/>
              <w:right w:w="15" w:type="dxa"/>
            </w:tcMar>
            <w:vAlign w:val="bottom"/>
            <w:hideMark/>
          </w:tcPr>
          <w:p w14:paraId="410843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51F892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DDE5F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CC79DE" w14:textId="77777777" w:rsidR="00000000" w:rsidRDefault="00B8284C">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FFFFFF"/>
            <w:noWrap/>
            <w:tcMar>
              <w:top w:w="15" w:type="dxa"/>
              <w:left w:w="0" w:type="dxa"/>
              <w:bottom w:w="0" w:type="dxa"/>
              <w:right w:w="15" w:type="dxa"/>
            </w:tcMar>
            <w:vAlign w:val="bottom"/>
            <w:hideMark/>
          </w:tcPr>
          <w:p w14:paraId="0B6C0F85"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3EC236D0" w14:textId="77777777" w:rsidR="00000000" w:rsidRDefault="00B8284C">
      <w:pPr>
        <w:pStyle w:val="a3"/>
        <w:spacing w:before="0" w:beforeAutospacing="0" w:after="0" w:afterAutospacing="0"/>
        <w:rPr>
          <w:sz w:val="20"/>
          <w:szCs w:val="20"/>
        </w:rPr>
      </w:pPr>
      <w:r>
        <w:rPr>
          <w:sz w:val="20"/>
          <w:szCs w:val="20"/>
        </w:rPr>
        <w:t> </w:t>
      </w:r>
    </w:p>
    <w:p w14:paraId="3BBDAA4C" w14:textId="77777777" w:rsidR="00000000" w:rsidRDefault="00B8284C">
      <w:pPr>
        <w:pStyle w:val="a3"/>
        <w:spacing w:before="160" w:beforeAutospacing="0" w:after="0" w:afterAutospacing="0"/>
        <w:rPr>
          <w:b/>
          <w:bCs/>
          <w:i/>
          <w:iCs/>
          <w:color w:val="000000"/>
          <w:sz w:val="20"/>
          <w:szCs w:val="20"/>
        </w:rPr>
      </w:pPr>
      <w:r>
        <w:rPr>
          <w:b/>
          <w:bCs/>
          <w:i/>
          <w:iCs/>
          <w:color w:val="000000"/>
          <w:sz w:val="20"/>
          <w:szCs w:val="20"/>
        </w:rPr>
        <w:t>Lease Term and Discount Rate</w:t>
      </w:r>
    </w:p>
    <w:p w14:paraId="763AEC30" w14:textId="77777777" w:rsidR="00000000" w:rsidRDefault="00B8284C">
      <w:pPr>
        <w:pStyle w:val="a3"/>
        <w:spacing w:before="0" w:beforeAutospacing="0" w:after="0" w:afterAutospacing="0"/>
        <w:rPr>
          <w:sz w:val="12"/>
          <w:szCs w:val="12"/>
        </w:rPr>
      </w:pPr>
      <w:r>
        <w:rPr>
          <w:sz w:val="12"/>
          <w:szCs w:val="12"/>
        </w:rPr>
        <w:t> </w:t>
      </w:r>
    </w:p>
    <w:p w14:paraId="4D83F1AF" w14:textId="77777777" w:rsidR="00000000" w:rsidRDefault="00B8284C">
      <w:pPr>
        <w:pStyle w:val="a3"/>
        <w:spacing w:before="0" w:beforeAutospacing="0" w:after="0" w:afterAutospacing="0"/>
        <w:ind w:firstLine="556"/>
        <w:rPr>
          <w:color w:val="000000"/>
          <w:sz w:val="20"/>
          <w:szCs w:val="20"/>
        </w:rPr>
      </w:pPr>
      <w:r>
        <w:rPr>
          <w:color w:val="000000"/>
          <w:sz w:val="20"/>
          <w:szCs w:val="20"/>
        </w:rPr>
        <w:t>The Company uses its estimated incremental borrowing rate, which is derived from information available at the lease commencement date, in determining the present value of operating lease payments. To determine the estimated i</w:t>
      </w:r>
      <w:r>
        <w:rPr>
          <w:color w:val="000000"/>
          <w:sz w:val="20"/>
          <w:szCs w:val="20"/>
        </w:rPr>
        <w:t>ncremental borrowing rate, the Company uses publicly available credit ratings for peer companies. The Company estimates the incremental borrowing rate using yields for maturities that are in line with the duration of the lease payments.</w:t>
      </w:r>
    </w:p>
    <w:p w14:paraId="59DBB757" w14:textId="77777777" w:rsidR="00000000" w:rsidRDefault="00B8284C">
      <w:pPr>
        <w:pStyle w:val="a3"/>
        <w:spacing w:before="0" w:beforeAutospacing="0" w:after="0" w:afterAutospacing="0"/>
        <w:rPr>
          <w:sz w:val="20"/>
          <w:szCs w:val="20"/>
        </w:rPr>
      </w:pPr>
      <w:r>
        <w:rPr>
          <w:sz w:val="20"/>
          <w:szCs w:val="20"/>
        </w:rPr>
        <w:t> </w:t>
      </w:r>
    </w:p>
    <w:p w14:paraId="5D156C9B" w14:textId="77777777" w:rsidR="00000000" w:rsidRDefault="00B8284C">
      <w:pPr>
        <w:pStyle w:val="a3"/>
        <w:spacing w:before="40" w:beforeAutospacing="0" w:after="0" w:afterAutospacing="0"/>
        <w:ind w:firstLine="556"/>
        <w:rPr>
          <w:color w:val="000000"/>
          <w:sz w:val="20"/>
          <w:szCs w:val="20"/>
        </w:rPr>
      </w:pPr>
      <w:r>
        <w:rPr>
          <w:color w:val="000000"/>
          <w:sz w:val="20"/>
          <w:szCs w:val="20"/>
        </w:rPr>
        <w:t>The following tab</w:t>
      </w:r>
      <w:r>
        <w:rPr>
          <w:color w:val="000000"/>
          <w:sz w:val="20"/>
          <w:szCs w:val="20"/>
        </w:rPr>
        <w:t>le provides weighted average remaining lease terms and weighted average discount rate for operating and finance leases as of September 30, 2019:</w:t>
      </w:r>
    </w:p>
    <w:p w14:paraId="19F454A5" w14:textId="77777777" w:rsidR="00000000" w:rsidRDefault="00B8284C">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46"/>
        <w:gridCol w:w="203"/>
        <w:gridCol w:w="835"/>
      </w:tblGrid>
      <w:tr w:rsidR="00000000" w14:paraId="527B81DC" w14:textId="77777777">
        <w:trPr>
          <w:divId w:val="673647899"/>
        </w:trPr>
        <w:tc>
          <w:tcPr>
            <w:tcW w:w="4011" w:type="pct"/>
            <w:shd w:val="clear" w:color="auto" w:fill="CFF0FC"/>
            <w:tcMar>
              <w:top w:w="15" w:type="dxa"/>
              <w:left w:w="0" w:type="dxa"/>
              <w:bottom w:w="0" w:type="dxa"/>
              <w:right w:w="15" w:type="dxa"/>
            </w:tcMar>
            <w:vAlign w:val="bottom"/>
            <w:hideMark/>
          </w:tcPr>
          <w:p w14:paraId="4D600BB7" w14:textId="77777777" w:rsidR="00000000" w:rsidRDefault="00B8284C">
            <w:pPr>
              <w:pStyle w:val="a3"/>
              <w:spacing w:before="0" w:beforeAutospacing="0" w:after="0" w:afterAutospacing="0"/>
              <w:rPr>
                <w:b/>
                <w:bCs/>
                <w:color w:val="000000"/>
                <w:sz w:val="20"/>
                <w:szCs w:val="20"/>
              </w:rPr>
            </w:pPr>
            <w:r>
              <w:rPr>
                <w:b/>
                <w:bCs/>
                <w:color w:val="000000"/>
                <w:sz w:val="20"/>
                <w:szCs w:val="20"/>
              </w:rPr>
              <w:t>Weighted-average remaining lease term:</w:t>
            </w:r>
          </w:p>
        </w:tc>
        <w:tc>
          <w:tcPr>
            <w:tcW w:w="97" w:type="pct"/>
            <w:shd w:val="clear" w:color="auto" w:fill="CFF0FC"/>
            <w:tcMar>
              <w:top w:w="15" w:type="dxa"/>
              <w:left w:w="0" w:type="dxa"/>
              <w:bottom w:w="0" w:type="dxa"/>
              <w:right w:w="15" w:type="dxa"/>
            </w:tcMar>
            <w:vAlign w:val="bottom"/>
            <w:hideMark/>
          </w:tcPr>
          <w:p w14:paraId="78AE5A25" w14:textId="77777777" w:rsidR="00000000" w:rsidRDefault="00B8284C">
            <w:pPr>
              <w:pStyle w:val="a3"/>
              <w:spacing w:before="0" w:beforeAutospacing="0" w:after="0" w:afterAutospacing="0"/>
              <w:rPr>
                <w:b/>
                <w:bCs/>
                <w:color w:val="000000"/>
                <w:sz w:val="20"/>
                <w:szCs w:val="20"/>
              </w:rPr>
            </w:pPr>
            <w:r>
              <w:rPr>
                <w:b/>
                <w:bCs/>
                <w:color w:val="000000"/>
                <w:sz w:val="20"/>
                <w:szCs w:val="20"/>
              </w:rPr>
              <w:t> </w:t>
            </w:r>
          </w:p>
        </w:tc>
        <w:tc>
          <w:tcPr>
            <w:tcW w:w="891" w:type="pct"/>
            <w:shd w:val="clear" w:color="auto" w:fill="CFF0FC"/>
            <w:tcMar>
              <w:top w:w="15" w:type="dxa"/>
              <w:left w:w="0" w:type="dxa"/>
              <w:bottom w:w="0" w:type="dxa"/>
              <w:right w:w="15" w:type="dxa"/>
            </w:tcMar>
            <w:vAlign w:val="bottom"/>
            <w:hideMark/>
          </w:tcPr>
          <w:p w14:paraId="53C54882" w14:textId="77777777" w:rsidR="00000000" w:rsidRDefault="00B8284C">
            <w:pPr>
              <w:pStyle w:val="a3"/>
              <w:spacing w:before="0" w:beforeAutospacing="0" w:after="0" w:afterAutospacing="0"/>
              <w:jc w:val="center"/>
              <w:rPr>
                <w:b/>
                <w:bCs/>
                <w:color w:val="000000"/>
                <w:sz w:val="20"/>
                <w:szCs w:val="20"/>
              </w:rPr>
            </w:pPr>
            <w:r>
              <w:rPr>
                <w:b/>
                <w:bCs/>
                <w:color w:val="000000"/>
                <w:sz w:val="20"/>
                <w:szCs w:val="20"/>
              </w:rPr>
              <w:t> </w:t>
            </w:r>
          </w:p>
        </w:tc>
      </w:tr>
      <w:tr w:rsidR="00000000" w14:paraId="114D1832" w14:textId="77777777">
        <w:trPr>
          <w:divId w:val="673647899"/>
        </w:trPr>
        <w:tc>
          <w:tcPr>
            <w:tcW w:w="4011" w:type="pct"/>
            <w:shd w:val="clear" w:color="auto" w:fill="FFFFFF"/>
            <w:tcMar>
              <w:top w:w="15" w:type="dxa"/>
              <w:left w:w="0" w:type="dxa"/>
              <w:bottom w:w="0" w:type="dxa"/>
              <w:right w:w="15" w:type="dxa"/>
            </w:tcMar>
            <w:vAlign w:val="bottom"/>
            <w:hideMark/>
          </w:tcPr>
          <w:p w14:paraId="6731BE92" w14:textId="77777777" w:rsidR="00000000" w:rsidRDefault="00B8284C">
            <w:pPr>
              <w:pStyle w:val="a3"/>
              <w:spacing w:before="0" w:beforeAutospacing="0" w:after="0" w:afterAutospacing="0"/>
              <w:ind w:left="274"/>
              <w:rPr>
                <w:color w:val="000000"/>
                <w:sz w:val="20"/>
                <w:szCs w:val="20"/>
              </w:rPr>
            </w:pPr>
            <w:r>
              <w:rPr>
                <w:color w:val="000000"/>
                <w:sz w:val="20"/>
                <w:szCs w:val="20"/>
              </w:rPr>
              <w:t>Operating leases</w:t>
            </w:r>
          </w:p>
        </w:tc>
        <w:tc>
          <w:tcPr>
            <w:tcW w:w="97" w:type="pct"/>
            <w:shd w:val="clear" w:color="auto" w:fill="FFFFFF"/>
            <w:tcMar>
              <w:top w:w="15" w:type="dxa"/>
              <w:left w:w="0" w:type="dxa"/>
              <w:bottom w:w="0" w:type="dxa"/>
              <w:right w:w="15" w:type="dxa"/>
            </w:tcMar>
            <w:vAlign w:val="bottom"/>
            <w:hideMark/>
          </w:tcPr>
          <w:p w14:paraId="7A68C538"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FFFFFF"/>
            <w:tcMar>
              <w:top w:w="15" w:type="dxa"/>
              <w:left w:w="0" w:type="dxa"/>
              <w:bottom w:w="0" w:type="dxa"/>
              <w:right w:w="15" w:type="dxa"/>
            </w:tcMar>
            <w:vAlign w:val="bottom"/>
            <w:hideMark/>
          </w:tcPr>
          <w:p w14:paraId="206301E9" w14:textId="77777777" w:rsidR="00000000" w:rsidRDefault="00B8284C">
            <w:pPr>
              <w:pStyle w:val="a3"/>
              <w:spacing w:before="0" w:beforeAutospacing="0" w:after="0" w:afterAutospacing="0"/>
              <w:jc w:val="center"/>
              <w:rPr>
                <w:color w:val="000000"/>
                <w:sz w:val="20"/>
                <w:szCs w:val="20"/>
              </w:rPr>
            </w:pPr>
            <w:r>
              <w:rPr>
                <w:color w:val="000000"/>
                <w:sz w:val="20"/>
                <w:szCs w:val="20"/>
              </w:rPr>
              <w:t>9.5 years</w:t>
            </w:r>
          </w:p>
        </w:tc>
      </w:tr>
      <w:tr w:rsidR="00000000" w14:paraId="205D372E" w14:textId="77777777">
        <w:trPr>
          <w:divId w:val="673647899"/>
        </w:trPr>
        <w:tc>
          <w:tcPr>
            <w:tcW w:w="4011" w:type="pct"/>
            <w:shd w:val="clear" w:color="auto" w:fill="CFF0FC"/>
            <w:tcMar>
              <w:top w:w="15" w:type="dxa"/>
              <w:left w:w="0" w:type="dxa"/>
              <w:bottom w:w="0" w:type="dxa"/>
              <w:right w:w="15" w:type="dxa"/>
            </w:tcMar>
            <w:vAlign w:val="bottom"/>
            <w:hideMark/>
          </w:tcPr>
          <w:p w14:paraId="55A5F3C1" w14:textId="77777777" w:rsidR="00000000" w:rsidRDefault="00B8284C">
            <w:pPr>
              <w:pStyle w:val="a3"/>
              <w:spacing w:before="0" w:beforeAutospacing="0" w:after="0" w:afterAutospacing="0"/>
              <w:ind w:left="274"/>
              <w:rPr>
                <w:color w:val="000000"/>
                <w:sz w:val="20"/>
                <w:szCs w:val="20"/>
              </w:rPr>
            </w:pPr>
            <w:r>
              <w:rPr>
                <w:color w:val="000000"/>
                <w:sz w:val="20"/>
                <w:szCs w:val="20"/>
              </w:rPr>
              <w:t>Finance leases</w:t>
            </w:r>
          </w:p>
        </w:tc>
        <w:tc>
          <w:tcPr>
            <w:tcW w:w="97" w:type="pct"/>
            <w:shd w:val="clear" w:color="auto" w:fill="CFF0FC"/>
            <w:tcMar>
              <w:top w:w="15" w:type="dxa"/>
              <w:left w:w="0" w:type="dxa"/>
              <w:bottom w:w="0" w:type="dxa"/>
              <w:right w:w="15" w:type="dxa"/>
            </w:tcMar>
            <w:vAlign w:val="bottom"/>
            <w:hideMark/>
          </w:tcPr>
          <w:p w14:paraId="5A8518CA"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CFF0FC"/>
            <w:tcMar>
              <w:top w:w="15" w:type="dxa"/>
              <w:left w:w="0" w:type="dxa"/>
              <w:bottom w:w="0" w:type="dxa"/>
              <w:right w:w="15" w:type="dxa"/>
            </w:tcMar>
            <w:vAlign w:val="bottom"/>
            <w:hideMark/>
          </w:tcPr>
          <w:p w14:paraId="3F14E9E1" w14:textId="77777777" w:rsidR="00000000" w:rsidRDefault="00B8284C">
            <w:pPr>
              <w:pStyle w:val="a3"/>
              <w:spacing w:before="0" w:beforeAutospacing="0" w:after="0" w:afterAutospacing="0"/>
              <w:jc w:val="center"/>
              <w:rPr>
                <w:color w:val="000000"/>
                <w:sz w:val="20"/>
                <w:szCs w:val="20"/>
              </w:rPr>
            </w:pPr>
            <w:r>
              <w:rPr>
                <w:color w:val="000000"/>
                <w:sz w:val="20"/>
                <w:szCs w:val="20"/>
              </w:rPr>
              <w:t>0.5 years</w:t>
            </w:r>
          </w:p>
        </w:tc>
      </w:tr>
      <w:tr w:rsidR="00000000" w14:paraId="3EEA247A" w14:textId="77777777">
        <w:trPr>
          <w:divId w:val="673647899"/>
        </w:trPr>
        <w:tc>
          <w:tcPr>
            <w:tcW w:w="4011" w:type="pct"/>
            <w:shd w:val="clear" w:color="auto" w:fill="FFFFFF"/>
            <w:tcMar>
              <w:top w:w="15" w:type="dxa"/>
              <w:left w:w="0" w:type="dxa"/>
              <w:bottom w:w="0" w:type="dxa"/>
              <w:right w:w="15" w:type="dxa"/>
            </w:tcMar>
            <w:vAlign w:val="bottom"/>
            <w:hideMark/>
          </w:tcPr>
          <w:p w14:paraId="331A9C67" w14:textId="77777777" w:rsidR="00000000" w:rsidRDefault="00B8284C">
            <w:pPr>
              <w:pStyle w:val="a3"/>
              <w:spacing w:before="0" w:beforeAutospacing="0" w:after="0" w:afterAutospacing="0"/>
              <w:rPr>
                <w:b/>
                <w:bCs/>
                <w:color w:val="000000"/>
                <w:sz w:val="20"/>
                <w:szCs w:val="20"/>
              </w:rPr>
            </w:pPr>
            <w:r>
              <w:rPr>
                <w:b/>
                <w:bCs/>
                <w:color w:val="000000"/>
                <w:sz w:val="20"/>
                <w:szCs w:val="20"/>
              </w:rPr>
              <w:t>Weighted-average discount rate:</w:t>
            </w:r>
          </w:p>
        </w:tc>
        <w:tc>
          <w:tcPr>
            <w:tcW w:w="97" w:type="pct"/>
            <w:shd w:val="clear" w:color="auto" w:fill="FFFFFF"/>
            <w:tcMar>
              <w:top w:w="15" w:type="dxa"/>
              <w:left w:w="0" w:type="dxa"/>
              <w:bottom w:w="0" w:type="dxa"/>
              <w:right w:w="15" w:type="dxa"/>
            </w:tcMar>
            <w:vAlign w:val="bottom"/>
            <w:hideMark/>
          </w:tcPr>
          <w:p w14:paraId="1EEEFA34" w14:textId="77777777" w:rsidR="00000000" w:rsidRDefault="00B8284C">
            <w:pPr>
              <w:pStyle w:val="a3"/>
              <w:spacing w:before="0" w:beforeAutospacing="0" w:after="0" w:afterAutospacing="0"/>
              <w:rPr>
                <w:b/>
                <w:bCs/>
                <w:color w:val="000000"/>
                <w:sz w:val="20"/>
                <w:szCs w:val="20"/>
              </w:rPr>
            </w:pPr>
            <w:r>
              <w:rPr>
                <w:b/>
                <w:bCs/>
                <w:color w:val="000000"/>
                <w:sz w:val="20"/>
                <w:szCs w:val="20"/>
              </w:rPr>
              <w:t> </w:t>
            </w:r>
          </w:p>
        </w:tc>
        <w:tc>
          <w:tcPr>
            <w:tcW w:w="891" w:type="pct"/>
            <w:shd w:val="clear" w:color="auto" w:fill="FFFFFF"/>
            <w:tcMar>
              <w:top w:w="15" w:type="dxa"/>
              <w:left w:w="0" w:type="dxa"/>
              <w:bottom w:w="0" w:type="dxa"/>
              <w:right w:w="15" w:type="dxa"/>
            </w:tcMar>
            <w:vAlign w:val="bottom"/>
            <w:hideMark/>
          </w:tcPr>
          <w:p w14:paraId="51016E1D" w14:textId="77777777" w:rsidR="00000000" w:rsidRDefault="00B8284C">
            <w:pPr>
              <w:pStyle w:val="a3"/>
              <w:spacing w:before="0" w:beforeAutospacing="0" w:after="0" w:afterAutospacing="0"/>
              <w:jc w:val="center"/>
              <w:rPr>
                <w:color w:val="000000"/>
                <w:sz w:val="20"/>
                <w:szCs w:val="20"/>
              </w:rPr>
            </w:pPr>
            <w:r>
              <w:rPr>
                <w:color w:val="000000"/>
                <w:sz w:val="20"/>
                <w:szCs w:val="20"/>
              </w:rPr>
              <w:t> </w:t>
            </w:r>
          </w:p>
        </w:tc>
      </w:tr>
      <w:tr w:rsidR="00000000" w14:paraId="171225E3" w14:textId="77777777">
        <w:trPr>
          <w:divId w:val="673647899"/>
        </w:trPr>
        <w:tc>
          <w:tcPr>
            <w:tcW w:w="4011" w:type="pct"/>
            <w:shd w:val="clear" w:color="auto" w:fill="CFF0FC"/>
            <w:tcMar>
              <w:top w:w="15" w:type="dxa"/>
              <w:left w:w="0" w:type="dxa"/>
              <w:bottom w:w="0" w:type="dxa"/>
              <w:right w:w="15" w:type="dxa"/>
            </w:tcMar>
            <w:vAlign w:val="bottom"/>
            <w:hideMark/>
          </w:tcPr>
          <w:p w14:paraId="37864346" w14:textId="77777777" w:rsidR="00000000" w:rsidRDefault="00B8284C">
            <w:pPr>
              <w:pStyle w:val="a3"/>
              <w:spacing w:before="0" w:beforeAutospacing="0" w:after="0" w:afterAutospacing="0"/>
              <w:ind w:left="274"/>
              <w:rPr>
                <w:color w:val="000000"/>
                <w:sz w:val="20"/>
                <w:szCs w:val="20"/>
              </w:rPr>
            </w:pPr>
            <w:r>
              <w:rPr>
                <w:color w:val="000000"/>
                <w:sz w:val="20"/>
                <w:szCs w:val="20"/>
              </w:rPr>
              <w:t>Operating leases</w:t>
            </w:r>
          </w:p>
        </w:tc>
        <w:tc>
          <w:tcPr>
            <w:tcW w:w="97" w:type="pct"/>
            <w:shd w:val="clear" w:color="auto" w:fill="CFF0FC"/>
            <w:tcMar>
              <w:top w:w="15" w:type="dxa"/>
              <w:left w:w="0" w:type="dxa"/>
              <w:bottom w:w="0" w:type="dxa"/>
              <w:right w:w="15" w:type="dxa"/>
            </w:tcMar>
            <w:vAlign w:val="bottom"/>
            <w:hideMark/>
          </w:tcPr>
          <w:p w14:paraId="34CF9DEF"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CFF0FC"/>
            <w:tcMar>
              <w:top w:w="15" w:type="dxa"/>
              <w:left w:w="0" w:type="dxa"/>
              <w:bottom w:w="0" w:type="dxa"/>
              <w:right w:w="15" w:type="dxa"/>
            </w:tcMar>
            <w:vAlign w:val="bottom"/>
            <w:hideMark/>
          </w:tcPr>
          <w:p w14:paraId="1BEABAEF" w14:textId="77777777" w:rsidR="00000000" w:rsidRDefault="00B8284C">
            <w:pPr>
              <w:pStyle w:val="a3"/>
              <w:spacing w:before="0" w:beforeAutospacing="0" w:after="0" w:afterAutospacing="0"/>
              <w:jc w:val="center"/>
              <w:rPr>
                <w:color w:val="000000"/>
                <w:sz w:val="20"/>
                <w:szCs w:val="20"/>
              </w:rPr>
            </w:pPr>
            <w:r>
              <w:rPr>
                <w:color w:val="000000"/>
                <w:sz w:val="20"/>
                <w:szCs w:val="20"/>
              </w:rPr>
              <w:t>5.8%</w:t>
            </w:r>
          </w:p>
        </w:tc>
      </w:tr>
      <w:tr w:rsidR="00000000" w14:paraId="47E07B50" w14:textId="77777777">
        <w:trPr>
          <w:divId w:val="673647899"/>
        </w:trPr>
        <w:tc>
          <w:tcPr>
            <w:tcW w:w="4011" w:type="pct"/>
            <w:shd w:val="clear" w:color="auto" w:fill="FFFFFF"/>
            <w:tcMar>
              <w:top w:w="15" w:type="dxa"/>
              <w:left w:w="0" w:type="dxa"/>
              <w:bottom w:w="0" w:type="dxa"/>
              <w:right w:w="15" w:type="dxa"/>
            </w:tcMar>
            <w:vAlign w:val="bottom"/>
            <w:hideMark/>
          </w:tcPr>
          <w:p w14:paraId="2E443EBF" w14:textId="77777777" w:rsidR="00000000" w:rsidRDefault="00B8284C">
            <w:pPr>
              <w:pStyle w:val="a3"/>
              <w:spacing w:before="0" w:beforeAutospacing="0" w:after="0" w:afterAutospacing="0"/>
              <w:ind w:left="274"/>
              <w:rPr>
                <w:color w:val="000000"/>
                <w:sz w:val="20"/>
                <w:szCs w:val="20"/>
              </w:rPr>
            </w:pPr>
            <w:r>
              <w:rPr>
                <w:color w:val="000000"/>
                <w:sz w:val="20"/>
                <w:szCs w:val="20"/>
              </w:rPr>
              <w:t>Finance leases</w:t>
            </w:r>
          </w:p>
        </w:tc>
        <w:tc>
          <w:tcPr>
            <w:tcW w:w="97" w:type="pct"/>
            <w:shd w:val="clear" w:color="auto" w:fill="FFFFFF"/>
            <w:tcMar>
              <w:top w:w="15" w:type="dxa"/>
              <w:left w:w="0" w:type="dxa"/>
              <w:bottom w:w="0" w:type="dxa"/>
              <w:right w:w="15" w:type="dxa"/>
            </w:tcMar>
            <w:vAlign w:val="bottom"/>
            <w:hideMark/>
          </w:tcPr>
          <w:p w14:paraId="0B27F198" w14:textId="77777777" w:rsidR="00000000" w:rsidRDefault="00B8284C">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FFFFFF"/>
            <w:tcMar>
              <w:top w:w="15" w:type="dxa"/>
              <w:left w:w="0" w:type="dxa"/>
              <w:bottom w:w="0" w:type="dxa"/>
              <w:right w:w="15" w:type="dxa"/>
            </w:tcMar>
            <w:vAlign w:val="bottom"/>
            <w:hideMark/>
          </w:tcPr>
          <w:p w14:paraId="166BFD48" w14:textId="77777777" w:rsidR="00000000" w:rsidRDefault="00B8284C">
            <w:pPr>
              <w:pStyle w:val="a3"/>
              <w:spacing w:before="0" w:beforeAutospacing="0" w:after="0" w:afterAutospacing="0"/>
              <w:jc w:val="center"/>
              <w:rPr>
                <w:color w:val="000000"/>
                <w:sz w:val="20"/>
                <w:szCs w:val="20"/>
              </w:rPr>
            </w:pPr>
            <w:r>
              <w:rPr>
                <w:color w:val="000000"/>
                <w:sz w:val="20"/>
                <w:szCs w:val="20"/>
              </w:rPr>
              <w:t>3.8%</w:t>
            </w:r>
          </w:p>
        </w:tc>
      </w:tr>
    </w:tbl>
    <w:p w14:paraId="09E782D5" w14:textId="77777777" w:rsidR="00000000" w:rsidRDefault="00B8284C">
      <w:pPr>
        <w:pStyle w:val="a3"/>
        <w:spacing w:before="0" w:beforeAutospacing="0" w:after="0" w:afterAutospacing="0"/>
        <w:rPr>
          <w:b/>
          <w:bCs/>
          <w:sz w:val="20"/>
          <w:szCs w:val="20"/>
        </w:rPr>
      </w:pPr>
      <w:r>
        <w:rPr>
          <w:b/>
          <w:bCs/>
          <w:sz w:val="20"/>
          <w:szCs w:val="20"/>
        </w:rPr>
        <w:t> </w:t>
      </w:r>
    </w:p>
    <w:p w14:paraId="1192E5E5" w14:textId="77777777" w:rsidR="00000000" w:rsidRDefault="00B8284C">
      <w:pPr>
        <w:pStyle w:val="a3"/>
        <w:spacing w:before="160" w:beforeAutospacing="0" w:after="0" w:afterAutospacing="0"/>
        <w:rPr>
          <w:b/>
          <w:bCs/>
          <w:i/>
          <w:iCs/>
          <w:color w:val="000000"/>
          <w:sz w:val="20"/>
          <w:szCs w:val="20"/>
        </w:rPr>
      </w:pPr>
      <w:r>
        <w:rPr>
          <w:b/>
          <w:bCs/>
          <w:i/>
          <w:iCs/>
          <w:color w:val="000000"/>
          <w:sz w:val="20"/>
          <w:szCs w:val="20"/>
        </w:rPr>
        <w:t>Other Information</w:t>
      </w:r>
    </w:p>
    <w:p w14:paraId="4B8A44BA"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Cash payments related to our operating lease liabilities were $8.3 </w:t>
      </w:r>
      <w:r>
        <w:rPr>
          <w:color w:val="000000"/>
          <w:sz w:val="20"/>
          <w:szCs w:val="20"/>
        </w:rPr>
        <w:t>million for the three months ended September 30, 2019 and $23.0 million for the nine months ended September 30, 2019. Cash payments related to our financing lease liabilities were $0 million for the three months ended September 30, 2019 and $0.2 million fo</w:t>
      </w:r>
      <w:r>
        <w:rPr>
          <w:color w:val="000000"/>
          <w:sz w:val="20"/>
          <w:szCs w:val="20"/>
        </w:rPr>
        <w:t>r the nine months ended September 30, 2019.</w:t>
      </w:r>
    </w:p>
    <w:p w14:paraId="127B78CD" w14:textId="77777777" w:rsidR="00000000" w:rsidRDefault="00B8284C">
      <w:pPr>
        <w:pStyle w:val="a3"/>
        <w:spacing w:before="0" w:beforeAutospacing="0" w:after="0" w:afterAutospacing="0"/>
        <w:jc w:val="both"/>
        <w:rPr>
          <w:b/>
          <w:bCs/>
          <w:sz w:val="18"/>
          <w:szCs w:val="18"/>
        </w:rPr>
      </w:pPr>
      <w:r>
        <w:rPr>
          <w:b/>
          <w:bCs/>
          <w:sz w:val="18"/>
          <w:szCs w:val="18"/>
        </w:rPr>
        <w:t> </w:t>
      </w:r>
    </w:p>
    <w:p w14:paraId="25D61329" w14:textId="77777777" w:rsidR="00000000" w:rsidRDefault="00B8284C">
      <w:pPr>
        <w:pStyle w:val="a3"/>
        <w:spacing w:before="0" w:beforeAutospacing="0" w:after="0" w:afterAutospacing="0"/>
        <w:jc w:val="both"/>
        <w:rPr>
          <w:sz w:val="18"/>
          <w:szCs w:val="18"/>
        </w:rPr>
      </w:pPr>
      <w:r>
        <w:rPr>
          <w:sz w:val="18"/>
          <w:szCs w:val="18"/>
        </w:rPr>
        <w:t> </w:t>
      </w:r>
    </w:p>
    <w:p w14:paraId="20A9D8B3" w14:textId="77777777" w:rsidR="00000000" w:rsidRDefault="00B8284C">
      <w:pPr>
        <w:pStyle w:val="a3"/>
        <w:spacing w:before="240" w:beforeAutospacing="0" w:after="0" w:afterAutospacing="0"/>
        <w:jc w:val="center"/>
        <w:rPr>
          <w:sz w:val="20"/>
          <w:szCs w:val="20"/>
        </w:rPr>
      </w:pPr>
      <w:r>
        <w:rPr>
          <w:sz w:val="20"/>
          <w:szCs w:val="20"/>
        </w:rPr>
        <w:t>10</w:t>
      </w:r>
    </w:p>
    <w:p w14:paraId="2EEB0579" w14:textId="77777777" w:rsidR="00000000" w:rsidRDefault="00B8284C">
      <w:pPr>
        <w:rPr>
          <w:rFonts w:eastAsia="Times New Roman"/>
        </w:rPr>
      </w:pPr>
      <w:r>
        <w:rPr>
          <w:rFonts w:eastAsia="Times New Roman"/>
        </w:rPr>
        <w:pict w14:anchorId="295B1214">
          <v:rect id="_x0000_i1034" style="width:0;height:1.5pt" o:hralign="center" o:hrstd="t" o:hr="t" fillcolor="#a0a0a0" stroked="f"/>
        </w:pict>
      </w:r>
    </w:p>
    <w:p w14:paraId="093DC083" w14:textId="77777777" w:rsidR="00000000" w:rsidRDefault="00B8284C">
      <w:pPr>
        <w:pStyle w:val="a3"/>
        <w:spacing w:before="0" w:beforeAutospacing="0" w:after="0" w:afterAutospacing="0"/>
        <w:rPr>
          <w:sz w:val="20"/>
          <w:szCs w:val="20"/>
        </w:rPr>
      </w:pPr>
      <w:r>
        <w:rPr>
          <w:sz w:val="20"/>
          <w:szCs w:val="20"/>
        </w:rPr>
        <w:t> </w:t>
      </w:r>
    </w:p>
    <w:p w14:paraId="210F14FE" w14:textId="77777777" w:rsidR="00000000" w:rsidRDefault="00B8284C">
      <w:pPr>
        <w:pStyle w:val="a3"/>
        <w:spacing w:before="0" w:beforeAutospacing="0" w:after="0" w:afterAutospacing="0"/>
        <w:rPr>
          <w:b/>
          <w:bCs/>
          <w:sz w:val="20"/>
          <w:szCs w:val="20"/>
        </w:rPr>
      </w:pPr>
      <w:r>
        <w:rPr>
          <w:b/>
          <w:bCs/>
          <w:sz w:val="20"/>
          <w:szCs w:val="20"/>
        </w:rPr>
        <w:t>3. Revenues</w:t>
      </w:r>
    </w:p>
    <w:p w14:paraId="5AA51EFA" w14:textId="77777777" w:rsidR="00000000" w:rsidRDefault="00B8284C">
      <w:pPr>
        <w:pStyle w:val="a3"/>
        <w:spacing w:before="0" w:beforeAutospacing="0" w:after="0" w:afterAutospacing="0"/>
        <w:rPr>
          <w:sz w:val="12"/>
          <w:szCs w:val="12"/>
        </w:rPr>
      </w:pPr>
      <w:r>
        <w:rPr>
          <w:sz w:val="12"/>
          <w:szCs w:val="12"/>
        </w:rPr>
        <w:t> </w:t>
      </w:r>
    </w:p>
    <w:p w14:paraId="0BA23A56" w14:textId="77777777" w:rsidR="00000000" w:rsidRDefault="00B8284C">
      <w:pPr>
        <w:pStyle w:val="a3"/>
        <w:spacing w:before="0" w:beforeAutospacing="0" w:after="0" w:afterAutospacing="0"/>
        <w:rPr>
          <w:b/>
          <w:bCs/>
          <w:i/>
          <w:iCs/>
          <w:sz w:val="20"/>
          <w:szCs w:val="20"/>
        </w:rPr>
      </w:pPr>
      <w:r>
        <w:rPr>
          <w:b/>
          <w:bCs/>
          <w:i/>
          <w:iCs/>
          <w:sz w:val="20"/>
          <w:szCs w:val="20"/>
        </w:rPr>
        <w:t xml:space="preserve">Disaggregation of Revenue </w:t>
      </w:r>
    </w:p>
    <w:p w14:paraId="69A49CBA" w14:textId="77777777" w:rsidR="00000000" w:rsidRDefault="00B8284C">
      <w:pPr>
        <w:pStyle w:val="a3"/>
        <w:spacing w:before="0" w:beforeAutospacing="0" w:after="0" w:afterAutospacing="0"/>
        <w:rPr>
          <w:b/>
          <w:bCs/>
          <w:sz w:val="12"/>
          <w:szCs w:val="12"/>
        </w:rPr>
      </w:pPr>
      <w:r>
        <w:rPr>
          <w:b/>
          <w:bCs/>
          <w:sz w:val="12"/>
          <w:szCs w:val="12"/>
        </w:rPr>
        <w:t> </w:t>
      </w:r>
    </w:p>
    <w:p w14:paraId="6B1D8135" w14:textId="77777777" w:rsidR="00000000" w:rsidRDefault="00B8284C">
      <w:pPr>
        <w:pStyle w:val="a3"/>
        <w:spacing w:before="0" w:beforeAutospacing="0" w:after="0" w:afterAutospacing="0"/>
        <w:ind w:firstLine="556"/>
        <w:rPr>
          <w:sz w:val="20"/>
          <w:szCs w:val="20"/>
        </w:rPr>
      </w:pPr>
      <w:r>
        <w:rPr>
          <w:sz w:val="20"/>
          <w:szCs w:val="20"/>
        </w:rPr>
        <w:t xml:space="preserve">The Company provides disaggregation of revenue based on geographic region (Note 14) and based on the subscription </w:t>
      </w:r>
      <w:r>
        <w:rPr>
          <w:color w:val="000000"/>
          <w:sz w:val="20"/>
          <w:szCs w:val="20"/>
        </w:rPr>
        <w:t>versus</w:t>
      </w:r>
      <w:r>
        <w:rPr>
          <w:sz w:val="20"/>
          <w:szCs w:val="20"/>
        </w:rPr>
        <w:t xml:space="preserve"> professional services and other classification on the </w:t>
      </w:r>
      <w:r>
        <w:rPr>
          <w:sz w:val="20"/>
          <w:szCs w:val="20"/>
        </w:rPr>
        <w:t>consolidated statements of operations as it believes these best depict how the nature, amount, timing and uncertainty of revenue and cash flows are affected by economic factors.</w:t>
      </w:r>
    </w:p>
    <w:p w14:paraId="65F2AED6" w14:textId="77777777" w:rsidR="00000000" w:rsidRDefault="00B8284C">
      <w:pPr>
        <w:pStyle w:val="a3"/>
        <w:spacing w:before="0" w:beforeAutospacing="0" w:after="0" w:afterAutospacing="0"/>
        <w:rPr>
          <w:sz w:val="20"/>
          <w:szCs w:val="20"/>
        </w:rPr>
      </w:pPr>
      <w:r>
        <w:rPr>
          <w:sz w:val="20"/>
          <w:szCs w:val="20"/>
        </w:rPr>
        <w:t> </w:t>
      </w:r>
    </w:p>
    <w:p w14:paraId="2A2A26D4" w14:textId="77777777" w:rsidR="00000000" w:rsidRDefault="00B8284C">
      <w:pPr>
        <w:pStyle w:val="a3"/>
        <w:spacing w:before="160" w:beforeAutospacing="0" w:after="0" w:afterAutospacing="0"/>
        <w:rPr>
          <w:b/>
          <w:bCs/>
          <w:i/>
          <w:iCs/>
          <w:color w:val="000000"/>
          <w:sz w:val="20"/>
          <w:szCs w:val="20"/>
        </w:rPr>
      </w:pPr>
      <w:r>
        <w:rPr>
          <w:b/>
          <w:bCs/>
          <w:i/>
          <w:iCs/>
          <w:color w:val="000000"/>
          <w:sz w:val="20"/>
          <w:szCs w:val="20"/>
        </w:rPr>
        <w:t>Deferred Revenue, Deferred Commission Expense, and Accrued Expenses and Othe</w:t>
      </w:r>
      <w:r>
        <w:rPr>
          <w:b/>
          <w:bCs/>
          <w:i/>
          <w:iCs/>
          <w:color w:val="000000"/>
          <w:sz w:val="20"/>
          <w:szCs w:val="20"/>
        </w:rPr>
        <w:t>r Current Liabilities</w:t>
      </w:r>
    </w:p>
    <w:p w14:paraId="2E2059C0" w14:textId="77777777" w:rsidR="00000000" w:rsidRDefault="00B8284C">
      <w:pPr>
        <w:pStyle w:val="a3"/>
        <w:spacing w:before="0" w:beforeAutospacing="0" w:after="0" w:afterAutospacing="0"/>
        <w:rPr>
          <w:sz w:val="12"/>
          <w:szCs w:val="12"/>
        </w:rPr>
      </w:pPr>
      <w:r>
        <w:rPr>
          <w:sz w:val="12"/>
          <w:szCs w:val="12"/>
        </w:rPr>
        <w:t> </w:t>
      </w:r>
    </w:p>
    <w:p w14:paraId="2A1FE036" w14:textId="77777777" w:rsidR="00000000" w:rsidRDefault="00B8284C">
      <w:pPr>
        <w:pStyle w:val="a3"/>
        <w:spacing w:before="0" w:beforeAutospacing="0" w:after="0" w:afterAutospacing="0"/>
        <w:ind w:firstLine="556"/>
        <w:rPr>
          <w:color w:val="000000"/>
          <w:sz w:val="20"/>
          <w:szCs w:val="20"/>
        </w:rPr>
      </w:pPr>
      <w:r>
        <w:rPr>
          <w:color w:val="000000"/>
          <w:sz w:val="20"/>
          <w:szCs w:val="20"/>
        </w:rPr>
        <w:t>Amounts that have been invoiced are recorded in accounts receivable and deferred revenue or revenue, depending on whether the revenue recognition criteria have been met. Deferred revenue represents amounts billed for which revenue h</w:t>
      </w:r>
      <w:r>
        <w:rPr>
          <w:color w:val="000000"/>
          <w:sz w:val="20"/>
          <w:szCs w:val="20"/>
        </w:rPr>
        <w:t>as not yet been recognized. Deferred revenue that will be recognized during the succeeding 12-month period is recorded as current deferred revenue, and the remaining portion is recorded as long-term deferred revenue.  Deferred revenue during the nine month</w:t>
      </w:r>
      <w:r>
        <w:rPr>
          <w:color w:val="000000"/>
          <w:sz w:val="20"/>
          <w:szCs w:val="20"/>
        </w:rPr>
        <w:t>s ended September 30, 2019 increased by $18.1 million resulting from $506.8 million of additional invoicing and was offset by revenue recognized of $488.7 million during the same period. $105.1 million of revenue was recognized during the three month perio</w:t>
      </w:r>
      <w:r>
        <w:rPr>
          <w:color w:val="000000"/>
          <w:sz w:val="20"/>
          <w:szCs w:val="20"/>
        </w:rPr>
        <w:t>d ended September 30, 2019 that was included in deferred revenue at the beginning of the period. $163.2 million of revenue was recognized during the nine month period ended September 30, 2019 that was included in deferred revenue at the beginning of the pe</w:t>
      </w:r>
      <w:r>
        <w:rPr>
          <w:color w:val="000000"/>
          <w:sz w:val="20"/>
          <w:szCs w:val="20"/>
        </w:rPr>
        <w:t xml:space="preserve">riod. As of September 30, 2019, approximately $153.5 million of revenue is expected to be recognized from remaining performance obligations for contracts with original performance obligations that exceed one year.  The Company expects to recognize revenue </w:t>
      </w:r>
      <w:r>
        <w:rPr>
          <w:color w:val="000000"/>
          <w:sz w:val="20"/>
          <w:szCs w:val="20"/>
        </w:rPr>
        <w:t>on approximately 94.3% of these remaining performance obligations over the next 24 months, with the balance recognized thereafter.</w:t>
      </w:r>
      <w:r>
        <w:rPr>
          <w:rFonts w:ascii="Arial" w:hAnsi="Arial" w:cs="Arial"/>
          <w:color w:val="000000"/>
          <w:sz w:val="20"/>
          <w:szCs w:val="20"/>
        </w:rPr>
        <w:t xml:space="preserve">   </w:t>
      </w:r>
    </w:p>
    <w:p w14:paraId="23E939B5" w14:textId="77777777" w:rsidR="00000000" w:rsidRDefault="00B8284C">
      <w:pPr>
        <w:pStyle w:val="a3"/>
        <w:spacing w:before="0" w:beforeAutospacing="0" w:after="0" w:afterAutospacing="0"/>
        <w:rPr>
          <w:sz w:val="20"/>
          <w:szCs w:val="20"/>
        </w:rPr>
      </w:pPr>
      <w:r>
        <w:rPr>
          <w:sz w:val="20"/>
          <w:szCs w:val="20"/>
        </w:rPr>
        <w:t> </w:t>
      </w:r>
    </w:p>
    <w:p w14:paraId="4557902C" w14:textId="77777777" w:rsidR="00000000" w:rsidRDefault="00B8284C">
      <w:pPr>
        <w:pStyle w:val="a3"/>
        <w:spacing w:before="40" w:beforeAutospacing="0" w:after="0" w:afterAutospacing="0"/>
        <w:ind w:firstLine="556"/>
        <w:rPr>
          <w:color w:val="000000"/>
          <w:sz w:val="20"/>
          <w:szCs w:val="20"/>
        </w:rPr>
      </w:pPr>
      <w:r>
        <w:rPr>
          <w:color w:val="000000"/>
          <w:sz w:val="20"/>
          <w:szCs w:val="20"/>
        </w:rPr>
        <w:t>Additional contract liabilities of $1.4 million and $1.6 million were included in accrued expenses and other current lia</w:t>
      </w:r>
      <w:r>
        <w:rPr>
          <w:color w:val="000000"/>
          <w:sz w:val="20"/>
          <w:szCs w:val="20"/>
        </w:rPr>
        <w:t>bilities on the consolidated balance sheet as of September 30, 2019 and December 31, 2018.</w:t>
      </w:r>
    </w:p>
    <w:p w14:paraId="4B42C366" w14:textId="77777777" w:rsidR="00000000" w:rsidRDefault="00B8284C">
      <w:pPr>
        <w:pStyle w:val="a3"/>
        <w:spacing w:before="240" w:beforeAutospacing="0" w:after="0" w:afterAutospacing="0"/>
        <w:ind w:firstLine="556"/>
        <w:rPr>
          <w:color w:val="000000"/>
          <w:sz w:val="20"/>
          <w:szCs w:val="20"/>
        </w:rPr>
      </w:pPr>
      <w:r>
        <w:rPr>
          <w:color w:val="000000"/>
          <w:sz w:val="20"/>
          <w:szCs w:val="20"/>
        </w:rPr>
        <w:t>The incremental direct costs of obtaining a contract, which primarily consist of sales commissions paid for new subscription contracts, are deferred and amortized on</w:t>
      </w:r>
      <w:r>
        <w:rPr>
          <w:color w:val="000000"/>
          <w:sz w:val="20"/>
          <w:szCs w:val="20"/>
        </w:rPr>
        <w:t xml:space="preserve"> a straight-line basis over a period of approximately one to three years.  The one to three-year period has been determined by taking into consideration the type of product sold, the commitment term of the customer contract, the nature of the Company’s tec</w:t>
      </w:r>
      <w:r>
        <w:rPr>
          <w:color w:val="000000"/>
          <w:sz w:val="20"/>
          <w:szCs w:val="20"/>
        </w:rPr>
        <w:t>hnology development life-cycle, and an estimated customer relationship period.  Sales commissions for upgrade contracts are deferred and amortized on a straight-line basis over the remaining estimated customer relationship period of the related customer.  </w:t>
      </w:r>
      <w:r>
        <w:rPr>
          <w:color w:val="000000"/>
          <w:sz w:val="20"/>
          <w:szCs w:val="20"/>
        </w:rPr>
        <w:t>Deferred commission expense that will be recorded as expense during the succeeding 12-month period is recorded as current deferred commission expense, and the remaining portion is recorded as long-term deferred commission expense. Deferred commission expen</w:t>
      </w:r>
      <w:r>
        <w:rPr>
          <w:color w:val="000000"/>
          <w:sz w:val="20"/>
          <w:szCs w:val="20"/>
        </w:rPr>
        <w:t>se during the three months ended September 30, 2019 decreased by $0.6 million as a result of deferring incremental costs of obtaining a contract of $8.5 million and was offset by amortization of $9.1 million during the same period. Deferred commission expe</w:t>
      </w:r>
      <w:r>
        <w:rPr>
          <w:color w:val="000000"/>
          <w:sz w:val="20"/>
          <w:szCs w:val="20"/>
        </w:rPr>
        <w:t>nse during the nine months ended September 30, 2019 increased by $4.9 million as a result of deferring incremental costs of obtaining a contract of $28.8 million and was offset by amortization of $23.9 million during the same period.  </w:t>
      </w:r>
    </w:p>
    <w:p w14:paraId="5B4EEA9B" w14:textId="77777777" w:rsidR="00000000" w:rsidRDefault="00B8284C">
      <w:pPr>
        <w:pStyle w:val="a3"/>
        <w:spacing w:before="0" w:beforeAutospacing="0" w:after="0" w:afterAutospacing="0"/>
        <w:rPr>
          <w:sz w:val="18"/>
          <w:szCs w:val="18"/>
        </w:rPr>
      </w:pPr>
      <w:r>
        <w:rPr>
          <w:sz w:val="18"/>
          <w:szCs w:val="18"/>
        </w:rPr>
        <w:t> </w:t>
      </w:r>
    </w:p>
    <w:p w14:paraId="7D8B323E" w14:textId="77777777" w:rsidR="00000000" w:rsidRDefault="00B8284C">
      <w:pPr>
        <w:pStyle w:val="a3"/>
        <w:spacing w:before="0" w:beforeAutospacing="0" w:after="0" w:afterAutospacing="0"/>
        <w:rPr>
          <w:sz w:val="18"/>
          <w:szCs w:val="18"/>
        </w:rPr>
      </w:pPr>
      <w:r>
        <w:rPr>
          <w:sz w:val="18"/>
          <w:szCs w:val="18"/>
        </w:rPr>
        <w:t> </w:t>
      </w:r>
    </w:p>
    <w:p w14:paraId="601370FA" w14:textId="77777777" w:rsidR="00000000" w:rsidRDefault="00B8284C">
      <w:pPr>
        <w:pStyle w:val="a3"/>
        <w:spacing w:before="240" w:beforeAutospacing="0" w:after="0" w:afterAutospacing="0"/>
        <w:jc w:val="center"/>
        <w:rPr>
          <w:sz w:val="20"/>
          <w:szCs w:val="20"/>
        </w:rPr>
      </w:pPr>
      <w:r>
        <w:rPr>
          <w:sz w:val="20"/>
          <w:szCs w:val="20"/>
        </w:rPr>
        <w:t>11</w:t>
      </w:r>
    </w:p>
    <w:p w14:paraId="64E21BC8" w14:textId="77777777" w:rsidR="00000000" w:rsidRDefault="00B8284C">
      <w:pPr>
        <w:rPr>
          <w:rFonts w:eastAsia="Times New Roman"/>
        </w:rPr>
      </w:pPr>
      <w:r>
        <w:rPr>
          <w:rFonts w:eastAsia="Times New Roman"/>
        </w:rPr>
        <w:pict w14:anchorId="25D156D1">
          <v:rect id="_x0000_i1035" style="width:0;height:1.5pt" o:hralign="center" o:hrstd="t" o:hr="t" fillcolor="#a0a0a0" stroked="f"/>
        </w:pict>
      </w:r>
    </w:p>
    <w:p w14:paraId="5150B640" w14:textId="77777777" w:rsidR="00000000" w:rsidRDefault="00B8284C">
      <w:pPr>
        <w:pStyle w:val="a3"/>
        <w:spacing w:before="0" w:beforeAutospacing="0" w:after="0" w:afterAutospacing="0"/>
        <w:rPr>
          <w:sz w:val="20"/>
          <w:szCs w:val="20"/>
        </w:rPr>
      </w:pPr>
      <w:r>
        <w:rPr>
          <w:sz w:val="20"/>
          <w:szCs w:val="20"/>
        </w:rPr>
        <w:t> </w:t>
      </w:r>
    </w:p>
    <w:p w14:paraId="206C92FD" w14:textId="77777777" w:rsidR="00000000" w:rsidRDefault="00B8284C">
      <w:pPr>
        <w:pStyle w:val="a3"/>
        <w:spacing w:before="0" w:beforeAutospacing="0" w:after="0" w:afterAutospacing="0"/>
        <w:rPr>
          <w:b/>
          <w:bCs/>
          <w:sz w:val="20"/>
          <w:szCs w:val="20"/>
        </w:rPr>
      </w:pPr>
      <w:r>
        <w:rPr>
          <w:b/>
          <w:bCs/>
          <w:sz w:val="20"/>
          <w:szCs w:val="20"/>
        </w:rPr>
        <w:t>4. Net Loss per Share</w:t>
      </w:r>
    </w:p>
    <w:p w14:paraId="004FB04E" w14:textId="77777777" w:rsidR="00000000" w:rsidRDefault="00B8284C">
      <w:pPr>
        <w:pStyle w:val="a3"/>
        <w:spacing w:before="120" w:beforeAutospacing="0" w:after="0" w:afterAutospacing="0"/>
        <w:ind w:firstLine="556"/>
        <w:rPr>
          <w:sz w:val="20"/>
          <w:szCs w:val="20"/>
        </w:rPr>
      </w:pPr>
      <w:r>
        <w:rPr>
          <w:sz w:val="20"/>
          <w:szCs w:val="20"/>
        </w:rPr>
        <w:t>Basic net loss per share is computed by dividing net loss by the weighted average number of common shares outstanding for the period. Diluted net loss per share is computed by giving effect to all potential d</w:t>
      </w:r>
      <w:r>
        <w:rPr>
          <w:sz w:val="20"/>
          <w:szCs w:val="20"/>
        </w:rPr>
        <w:t>ilutive common stock equivalents outstanding for the period. For purposes of this calculation, options to purchase common stock, restricted stock units (“RSUs”), Employee Stock Purchase Plan (“ESPP”), common stock warrants, and the Conversion Option of the</w:t>
      </w:r>
      <w:r>
        <w:rPr>
          <w:sz w:val="20"/>
          <w:szCs w:val="20"/>
        </w:rPr>
        <w:t xml:space="preserve"> 2022 Notes are considered to be potential common stock equivalents. </w:t>
      </w:r>
    </w:p>
    <w:p w14:paraId="0C2B6340" w14:textId="77777777" w:rsidR="00000000" w:rsidRDefault="00B8284C">
      <w:pPr>
        <w:pStyle w:val="a3"/>
        <w:spacing w:before="240" w:beforeAutospacing="0" w:after="0" w:afterAutospacing="0"/>
        <w:ind w:firstLine="556"/>
        <w:rPr>
          <w:sz w:val="20"/>
          <w:szCs w:val="20"/>
        </w:rPr>
      </w:pPr>
      <w:r>
        <w:rPr>
          <w:sz w:val="20"/>
          <w:szCs w:val="20"/>
        </w:rPr>
        <w:t>A reconciliation of the denominator used in the calculation of basic and diluted net loss per share is as follows:</w:t>
      </w:r>
    </w:p>
    <w:p w14:paraId="778B4997"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303"/>
        <w:gridCol w:w="115"/>
        <w:gridCol w:w="632"/>
        <w:gridCol w:w="82"/>
        <w:gridCol w:w="65"/>
        <w:gridCol w:w="115"/>
        <w:gridCol w:w="632"/>
        <w:gridCol w:w="82"/>
        <w:gridCol w:w="65"/>
        <w:gridCol w:w="115"/>
        <w:gridCol w:w="632"/>
        <w:gridCol w:w="82"/>
        <w:gridCol w:w="65"/>
        <w:gridCol w:w="115"/>
        <w:gridCol w:w="632"/>
        <w:gridCol w:w="82"/>
      </w:tblGrid>
      <w:tr w:rsidR="00000000" w14:paraId="5F80540A" w14:textId="77777777">
        <w:trPr>
          <w:divId w:val="1898972617"/>
        </w:trPr>
        <w:tc>
          <w:tcPr>
            <w:tcW w:w="2551" w:type="pct"/>
            <w:shd w:val="clear" w:color="auto" w:fill="FFFFFF"/>
            <w:tcMar>
              <w:top w:w="15" w:type="dxa"/>
              <w:left w:w="0" w:type="dxa"/>
              <w:bottom w:w="0" w:type="dxa"/>
              <w:right w:w="15" w:type="dxa"/>
            </w:tcMar>
            <w:vAlign w:val="bottom"/>
            <w:hideMark/>
          </w:tcPr>
          <w:p w14:paraId="35932F0A" w14:textId="77777777" w:rsidR="00000000" w:rsidRDefault="00B8284C">
            <w:pPr>
              <w:pStyle w:val="a3"/>
              <w:spacing w:before="0" w:beforeAutospacing="0" w:after="0" w:afterAutospacing="0"/>
              <w:rPr>
                <w:sz w:val="20"/>
                <w:szCs w:val="20"/>
              </w:rPr>
            </w:pPr>
            <w:r>
              <w:rPr>
                <w:sz w:val="20"/>
                <w:szCs w:val="20"/>
              </w:rPr>
              <w:t> </w:t>
            </w:r>
          </w:p>
        </w:tc>
        <w:tc>
          <w:tcPr>
            <w:tcW w:w="1155" w:type="pct"/>
            <w:gridSpan w:val="6"/>
            <w:tcBorders>
              <w:bottom w:val="single" w:sz="6" w:space="0" w:color="000000"/>
            </w:tcBorders>
            <w:shd w:val="clear" w:color="auto" w:fill="FFFFFF"/>
            <w:tcMar>
              <w:top w:w="15" w:type="dxa"/>
              <w:left w:w="0" w:type="dxa"/>
              <w:bottom w:w="0" w:type="dxa"/>
              <w:right w:w="15" w:type="dxa"/>
            </w:tcMar>
            <w:vAlign w:val="bottom"/>
            <w:hideMark/>
          </w:tcPr>
          <w:p w14:paraId="6A8073A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14:paraId="5CE2233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14:paraId="6A6DC26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55" w:type="pct"/>
            <w:gridSpan w:val="6"/>
            <w:tcBorders>
              <w:bottom w:val="single" w:sz="6" w:space="0" w:color="000000"/>
            </w:tcBorders>
            <w:shd w:val="clear" w:color="auto" w:fill="FFFFFF"/>
            <w:tcMar>
              <w:top w:w="15" w:type="dxa"/>
              <w:left w:w="0" w:type="dxa"/>
              <w:bottom w:w="0" w:type="dxa"/>
              <w:right w:w="15" w:type="dxa"/>
            </w:tcMar>
            <w:vAlign w:val="bottom"/>
            <w:hideMark/>
          </w:tcPr>
          <w:p w14:paraId="0FC6F56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14:paraId="5EC24FE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A89DDAC" w14:textId="77777777">
        <w:trPr>
          <w:divId w:val="1898972617"/>
        </w:trPr>
        <w:tc>
          <w:tcPr>
            <w:tcW w:w="2551" w:type="pct"/>
            <w:shd w:val="clear" w:color="auto" w:fill="FFFFFF"/>
            <w:tcMar>
              <w:top w:w="15" w:type="dxa"/>
              <w:left w:w="0" w:type="dxa"/>
              <w:bottom w:w="0" w:type="dxa"/>
              <w:right w:w="15" w:type="dxa"/>
            </w:tcMar>
            <w:vAlign w:val="bottom"/>
            <w:hideMark/>
          </w:tcPr>
          <w:p w14:paraId="5924FEE3"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5342F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43C411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69AD17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0C62E3E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CED43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1AF0E2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3BECA6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14:paraId="7967C24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C944D1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05E79F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37905C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14DFFE2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02642B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DA157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776258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371288AB" w14:textId="77777777">
        <w:trPr>
          <w:divId w:val="1898972617"/>
        </w:trPr>
        <w:tc>
          <w:tcPr>
            <w:tcW w:w="2551" w:type="pct"/>
            <w:shd w:val="clear" w:color="auto" w:fill="CFF0FC"/>
            <w:tcMar>
              <w:top w:w="15" w:type="dxa"/>
              <w:left w:w="0" w:type="dxa"/>
              <w:bottom w:w="0" w:type="dxa"/>
              <w:right w:w="15" w:type="dxa"/>
            </w:tcMar>
            <w:vAlign w:val="bottom"/>
            <w:hideMark/>
          </w:tcPr>
          <w:p w14:paraId="6609C342" w14:textId="77777777" w:rsidR="00000000" w:rsidRDefault="00B8284C">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F94A88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511E596" w14:textId="77777777" w:rsidR="00000000" w:rsidRDefault="00B8284C">
            <w:pPr>
              <w:pStyle w:val="a3"/>
              <w:spacing w:before="0" w:beforeAutospacing="0" w:after="0" w:afterAutospacing="0"/>
              <w:jc w:val="right"/>
              <w:rPr>
                <w:color w:val="000000"/>
                <w:sz w:val="20"/>
                <w:szCs w:val="20"/>
              </w:rPr>
            </w:pPr>
            <w:r>
              <w:rPr>
                <w:color w:val="000000"/>
                <w:sz w:val="20"/>
                <w:szCs w:val="20"/>
              </w:rPr>
              <w:t>(14,987</w:t>
            </w:r>
          </w:p>
        </w:tc>
        <w:tc>
          <w:tcPr>
            <w:tcW w:w="50" w:type="pct"/>
            <w:shd w:val="clear" w:color="auto" w:fill="CFF0FC"/>
            <w:noWrap/>
            <w:tcMar>
              <w:top w:w="15" w:type="dxa"/>
              <w:left w:w="0" w:type="dxa"/>
              <w:bottom w:w="0" w:type="dxa"/>
              <w:right w:w="15" w:type="dxa"/>
            </w:tcMar>
            <w:vAlign w:val="bottom"/>
            <w:hideMark/>
          </w:tcPr>
          <w:p w14:paraId="3AA17B3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14:paraId="6000D102"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A5F266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4FF2E3" w14:textId="77777777" w:rsidR="00000000" w:rsidRDefault="00B8284C">
            <w:pPr>
              <w:pStyle w:val="a3"/>
              <w:spacing w:before="0" w:beforeAutospacing="0" w:after="0" w:afterAutospacing="0"/>
              <w:jc w:val="right"/>
              <w:rPr>
                <w:color w:val="000000"/>
                <w:sz w:val="20"/>
                <w:szCs w:val="20"/>
              </w:rPr>
            </w:pPr>
            <w:r>
              <w:rPr>
                <w:color w:val="000000"/>
                <w:sz w:val="20"/>
                <w:szCs w:val="20"/>
              </w:rPr>
              <w:t>(18,663</w:t>
            </w:r>
          </w:p>
        </w:tc>
        <w:tc>
          <w:tcPr>
            <w:tcW w:w="50" w:type="pct"/>
            <w:shd w:val="clear" w:color="auto" w:fill="CFF0FC"/>
            <w:noWrap/>
            <w:tcMar>
              <w:top w:w="15" w:type="dxa"/>
              <w:left w:w="0" w:type="dxa"/>
              <w:bottom w:w="0" w:type="dxa"/>
              <w:right w:w="15" w:type="dxa"/>
            </w:tcMar>
            <w:vAlign w:val="bottom"/>
            <w:hideMark/>
          </w:tcPr>
          <w:p w14:paraId="4925C94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38" w:type="pct"/>
            <w:shd w:val="clear" w:color="auto" w:fill="CFF0FC"/>
            <w:tcMar>
              <w:top w:w="15" w:type="dxa"/>
              <w:left w:w="0" w:type="dxa"/>
              <w:bottom w:w="0" w:type="dxa"/>
              <w:right w:w="15" w:type="dxa"/>
            </w:tcMar>
            <w:vAlign w:val="bottom"/>
            <w:hideMark/>
          </w:tcPr>
          <w:p w14:paraId="49A7885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B25C8B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9127C3" w14:textId="77777777" w:rsidR="00000000" w:rsidRDefault="00B8284C">
            <w:pPr>
              <w:pStyle w:val="a3"/>
              <w:spacing w:before="0" w:beforeAutospacing="0" w:after="0" w:afterAutospacing="0"/>
              <w:jc w:val="right"/>
              <w:rPr>
                <w:color w:val="000000"/>
                <w:sz w:val="20"/>
                <w:szCs w:val="20"/>
              </w:rPr>
            </w:pPr>
            <w:r>
              <w:rPr>
                <w:color w:val="000000"/>
                <w:sz w:val="20"/>
                <w:szCs w:val="20"/>
              </w:rPr>
              <w:t>(43,444</w:t>
            </w:r>
          </w:p>
        </w:tc>
        <w:tc>
          <w:tcPr>
            <w:tcW w:w="50" w:type="pct"/>
            <w:shd w:val="clear" w:color="auto" w:fill="CFF0FC"/>
            <w:noWrap/>
            <w:tcMar>
              <w:top w:w="15" w:type="dxa"/>
              <w:left w:w="0" w:type="dxa"/>
              <w:bottom w:w="0" w:type="dxa"/>
              <w:right w:w="15" w:type="dxa"/>
            </w:tcMar>
            <w:vAlign w:val="bottom"/>
            <w:hideMark/>
          </w:tcPr>
          <w:p w14:paraId="62AF282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14:paraId="74A512FF"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D6B9D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7A575F4" w14:textId="77777777" w:rsidR="00000000" w:rsidRDefault="00B8284C">
            <w:pPr>
              <w:pStyle w:val="a3"/>
              <w:spacing w:before="0" w:beforeAutospacing="0" w:after="0" w:afterAutospacing="0"/>
              <w:jc w:val="right"/>
              <w:rPr>
                <w:color w:val="000000"/>
                <w:sz w:val="20"/>
                <w:szCs w:val="20"/>
              </w:rPr>
            </w:pPr>
            <w:r>
              <w:rPr>
                <w:color w:val="000000"/>
                <w:sz w:val="20"/>
                <w:szCs w:val="20"/>
              </w:rPr>
              <w:t>(52,336</w:t>
            </w:r>
          </w:p>
        </w:tc>
        <w:tc>
          <w:tcPr>
            <w:tcW w:w="50" w:type="pct"/>
            <w:shd w:val="clear" w:color="auto" w:fill="CFF0FC"/>
            <w:noWrap/>
            <w:tcMar>
              <w:top w:w="15" w:type="dxa"/>
              <w:left w:w="0" w:type="dxa"/>
              <w:bottom w:w="0" w:type="dxa"/>
              <w:right w:w="15" w:type="dxa"/>
            </w:tcMar>
            <w:vAlign w:val="bottom"/>
            <w:hideMark/>
          </w:tcPr>
          <w:p w14:paraId="21AAF8AB"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49D417C7" w14:textId="77777777">
        <w:trPr>
          <w:divId w:val="1898972617"/>
        </w:trPr>
        <w:tc>
          <w:tcPr>
            <w:tcW w:w="2551" w:type="pct"/>
            <w:shd w:val="clear" w:color="auto" w:fill="FFFFFF"/>
            <w:tcMar>
              <w:top w:w="15" w:type="dxa"/>
              <w:left w:w="0" w:type="dxa"/>
              <w:bottom w:w="0" w:type="dxa"/>
              <w:right w:w="15" w:type="dxa"/>
            </w:tcMar>
            <w:vAlign w:val="bottom"/>
            <w:hideMark/>
          </w:tcPr>
          <w:p w14:paraId="5D11EC13" w14:textId="77777777" w:rsidR="00000000" w:rsidRDefault="00B8284C">
            <w:pPr>
              <w:pStyle w:val="a3"/>
              <w:spacing w:before="0" w:beforeAutospacing="0" w:after="0" w:afterAutospacing="0"/>
              <w:rPr>
                <w:color w:val="000000"/>
                <w:sz w:val="20"/>
                <w:szCs w:val="20"/>
              </w:rPr>
            </w:pPr>
            <w:r>
              <w:rPr>
                <w:color w:val="000000"/>
                <w:sz w:val="20"/>
                <w:szCs w:val="20"/>
              </w:rPr>
              <w:t>Weighted-average common shares</w:t>
            </w:r>
          </w:p>
          <w:p w14:paraId="139A7A95" w14:textId="77777777" w:rsidR="00000000" w:rsidRDefault="00B8284C">
            <w:pPr>
              <w:pStyle w:val="a3"/>
              <w:spacing w:before="0" w:beforeAutospacing="0" w:after="0" w:afterAutospacing="0"/>
              <w:rPr>
                <w:color w:val="000000"/>
                <w:sz w:val="20"/>
                <w:szCs w:val="20"/>
              </w:rPr>
            </w:pPr>
            <w:r>
              <w:rPr>
                <w:color w:val="000000"/>
                <w:sz w:val="20"/>
                <w:szCs w:val="20"/>
              </w:rPr>
              <w:t>   outstanding — basic</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85D6C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tcBorders>
            <w:shd w:val="clear" w:color="auto" w:fill="FFFFFF"/>
            <w:noWrap/>
            <w:tcMar>
              <w:top w:w="15" w:type="dxa"/>
              <w:left w:w="0" w:type="dxa"/>
              <w:bottom w:w="0" w:type="dxa"/>
              <w:right w:w="15" w:type="dxa"/>
            </w:tcMar>
            <w:vAlign w:val="bottom"/>
            <w:hideMark/>
          </w:tcPr>
          <w:p w14:paraId="230F20C8" w14:textId="77777777" w:rsidR="00000000" w:rsidRDefault="00B8284C">
            <w:pPr>
              <w:pStyle w:val="a3"/>
              <w:spacing w:before="0" w:beforeAutospacing="0" w:after="0" w:afterAutospacing="0"/>
              <w:jc w:val="right"/>
              <w:rPr>
                <w:color w:val="000000"/>
                <w:sz w:val="20"/>
                <w:szCs w:val="20"/>
              </w:rPr>
            </w:pPr>
            <w:r>
              <w:rPr>
                <w:color w:val="000000"/>
                <w:sz w:val="20"/>
                <w:szCs w:val="20"/>
              </w:rPr>
              <w:t>42,531</w:t>
            </w:r>
          </w:p>
        </w:tc>
        <w:tc>
          <w:tcPr>
            <w:tcW w:w="50" w:type="pct"/>
            <w:shd w:val="clear" w:color="auto" w:fill="FFFFFF"/>
            <w:noWrap/>
            <w:tcMar>
              <w:top w:w="15" w:type="dxa"/>
              <w:left w:w="0" w:type="dxa"/>
              <w:bottom w:w="0" w:type="dxa"/>
              <w:right w:w="15" w:type="dxa"/>
            </w:tcMar>
            <w:vAlign w:val="bottom"/>
            <w:hideMark/>
          </w:tcPr>
          <w:p w14:paraId="166955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61FC16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EE94E2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tcBorders>
            <w:shd w:val="clear" w:color="auto" w:fill="FFFFFF"/>
            <w:noWrap/>
            <w:tcMar>
              <w:top w:w="15" w:type="dxa"/>
              <w:left w:w="0" w:type="dxa"/>
              <w:bottom w:w="0" w:type="dxa"/>
              <w:right w:w="15" w:type="dxa"/>
            </w:tcMar>
            <w:vAlign w:val="bottom"/>
            <w:hideMark/>
          </w:tcPr>
          <w:p w14:paraId="7766D134" w14:textId="77777777" w:rsidR="00000000" w:rsidRDefault="00B8284C">
            <w:pPr>
              <w:pStyle w:val="a3"/>
              <w:spacing w:before="0" w:beforeAutospacing="0" w:after="0" w:afterAutospacing="0"/>
              <w:jc w:val="right"/>
              <w:rPr>
                <w:color w:val="000000"/>
                <w:sz w:val="20"/>
                <w:szCs w:val="20"/>
              </w:rPr>
            </w:pPr>
            <w:r>
              <w:rPr>
                <w:color w:val="000000"/>
                <w:sz w:val="20"/>
                <w:szCs w:val="20"/>
              </w:rPr>
              <w:t>38,762</w:t>
            </w:r>
          </w:p>
        </w:tc>
        <w:tc>
          <w:tcPr>
            <w:tcW w:w="50" w:type="pct"/>
            <w:shd w:val="clear" w:color="auto" w:fill="FFFFFF"/>
            <w:noWrap/>
            <w:tcMar>
              <w:top w:w="15" w:type="dxa"/>
              <w:left w:w="0" w:type="dxa"/>
              <w:bottom w:w="0" w:type="dxa"/>
              <w:right w:w="15" w:type="dxa"/>
            </w:tcMar>
            <w:vAlign w:val="bottom"/>
            <w:hideMark/>
          </w:tcPr>
          <w:p w14:paraId="3E749E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14:paraId="1AFE8E2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29F2A4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tcBorders>
            <w:shd w:val="clear" w:color="auto" w:fill="FFFFFF"/>
            <w:noWrap/>
            <w:tcMar>
              <w:top w:w="15" w:type="dxa"/>
              <w:left w:w="0" w:type="dxa"/>
              <w:bottom w:w="0" w:type="dxa"/>
              <w:right w:w="15" w:type="dxa"/>
            </w:tcMar>
            <w:vAlign w:val="bottom"/>
            <w:hideMark/>
          </w:tcPr>
          <w:p w14:paraId="1F26D385" w14:textId="77777777" w:rsidR="00000000" w:rsidRDefault="00B8284C">
            <w:pPr>
              <w:pStyle w:val="a3"/>
              <w:spacing w:before="0" w:beforeAutospacing="0" w:after="0" w:afterAutospacing="0"/>
              <w:jc w:val="right"/>
              <w:rPr>
                <w:color w:val="000000"/>
                <w:sz w:val="20"/>
                <w:szCs w:val="20"/>
              </w:rPr>
            </w:pPr>
            <w:r>
              <w:rPr>
                <w:color w:val="000000"/>
                <w:sz w:val="20"/>
                <w:szCs w:val="20"/>
              </w:rPr>
              <w:t>41,749</w:t>
            </w:r>
          </w:p>
        </w:tc>
        <w:tc>
          <w:tcPr>
            <w:tcW w:w="50" w:type="pct"/>
            <w:shd w:val="clear" w:color="auto" w:fill="FFFFFF"/>
            <w:noWrap/>
            <w:tcMar>
              <w:top w:w="15" w:type="dxa"/>
              <w:left w:w="0" w:type="dxa"/>
              <w:bottom w:w="0" w:type="dxa"/>
              <w:right w:w="15" w:type="dxa"/>
            </w:tcMar>
            <w:vAlign w:val="bottom"/>
            <w:hideMark/>
          </w:tcPr>
          <w:p w14:paraId="2F8D5F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5D8F9E7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9C014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tcBorders>
            <w:shd w:val="clear" w:color="auto" w:fill="FFFFFF"/>
            <w:noWrap/>
            <w:tcMar>
              <w:top w:w="15" w:type="dxa"/>
              <w:left w:w="0" w:type="dxa"/>
              <w:bottom w:w="0" w:type="dxa"/>
              <w:right w:w="15" w:type="dxa"/>
            </w:tcMar>
            <w:vAlign w:val="bottom"/>
            <w:hideMark/>
          </w:tcPr>
          <w:p w14:paraId="08D98C9A" w14:textId="77777777" w:rsidR="00000000" w:rsidRDefault="00B8284C">
            <w:pPr>
              <w:pStyle w:val="a3"/>
              <w:spacing w:before="0" w:beforeAutospacing="0" w:after="0" w:afterAutospacing="0"/>
              <w:jc w:val="right"/>
              <w:rPr>
                <w:color w:val="000000"/>
                <w:sz w:val="20"/>
                <w:szCs w:val="20"/>
              </w:rPr>
            </w:pPr>
            <w:r>
              <w:rPr>
                <w:color w:val="000000"/>
                <w:sz w:val="20"/>
                <w:szCs w:val="20"/>
              </w:rPr>
              <w:t>38,319</w:t>
            </w:r>
          </w:p>
        </w:tc>
        <w:tc>
          <w:tcPr>
            <w:tcW w:w="50" w:type="pct"/>
            <w:shd w:val="clear" w:color="auto" w:fill="FFFFFF"/>
            <w:noWrap/>
            <w:tcMar>
              <w:top w:w="15" w:type="dxa"/>
              <w:left w:w="0" w:type="dxa"/>
              <w:bottom w:w="0" w:type="dxa"/>
              <w:right w:w="15" w:type="dxa"/>
            </w:tcMar>
            <w:vAlign w:val="bottom"/>
            <w:hideMark/>
          </w:tcPr>
          <w:p w14:paraId="1CF3A380"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20F763A" w14:textId="77777777">
        <w:trPr>
          <w:divId w:val="1898972617"/>
        </w:trPr>
        <w:tc>
          <w:tcPr>
            <w:tcW w:w="2551" w:type="pct"/>
            <w:shd w:val="clear" w:color="auto" w:fill="CFF0FC"/>
            <w:tcMar>
              <w:top w:w="15" w:type="dxa"/>
              <w:left w:w="0" w:type="dxa"/>
              <w:bottom w:w="0" w:type="dxa"/>
              <w:right w:w="15" w:type="dxa"/>
            </w:tcMar>
            <w:vAlign w:val="bottom"/>
            <w:hideMark/>
          </w:tcPr>
          <w:p w14:paraId="68A1028F" w14:textId="77777777" w:rsidR="00000000" w:rsidRDefault="00B8284C">
            <w:pPr>
              <w:pStyle w:val="a3"/>
              <w:spacing w:before="0" w:beforeAutospacing="0" w:after="0" w:afterAutospacing="0"/>
              <w:rPr>
                <w:color w:val="000000"/>
                <w:sz w:val="20"/>
                <w:szCs w:val="20"/>
              </w:rPr>
            </w:pPr>
            <w:r>
              <w:rPr>
                <w:color w:val="000000"/>
                <w:sz w:val="20"/>
                <w:szCs w:val="20"/>
              </w:rPr>
              <w:t>Dilutive effect of share equivalents resulting</w:t>
            </w:r>
          </w:p>
          <w:p w14:paraId="03EC1CEB" w14:textId="77777777" w:rsidR="00000000" w:rsidRDefault="00B8284C">
            <w:pPr>
              <w:pStyle w:val="a3"/>
              <w:spacing w:before="0" w:beforeAutospacing="0" w:after="0" w:afterAutospacing="0"/>
              <w:rPr>
                <w:color w:val="000000"/>
                <w:sz w:val="20"/>
                <w:szCs w:val="20"/>
              </w:rPr>
            </w:pPr>
            <w:r>
              <w:rPr>
                <w:color w:val="000000"/>
                <w:sz w:val="20"/>
                <w:szCs w:val="20"/>
              </w:rPr>
              <w:t>   from stock options, RSUs, ESPP,</w:t>
            </w:r>
          </w:p>
          <w:p w14:paraId="141E053E" w14:textId="77777777" w:rsidR="00000000" w:rsidRDefault="00B8284C">
            <w:pPr>
              <w:pStyle w:val="a3"/>
              <w:spacing w:before="0" w:beforeAutospacing="0" w:after="0" w:afterAutospacing="0"/>
              <w:rPr>
                <w:color w:val="000000"/>
                <w:sz w:val="20"/>
                <w:szCs w:val="20"/>
              </w:rPr>
            </w:pPr>
            <w:r>
              <w:rPr>
                <w:color w:val="000000"/>
                <w:sz w:val="20"/>
                <w:szCs w:val="20"/>
              </w:rPr>
              <w:t>   common stock warrants and the Conversion</w:t>
            </w:r>
          </w:p>
          <w:p w14:paraId="5EBBD2E5" w14:textId="77777777" w:rsidR="00000000" w:rsidRDefault="00B8284C">
            <w:pPr>
              <w:pStyle w:val="a3"/>
              <w:spacing w:before="0" w:beforeAutospacing="0" w:after="0" w:afterAutospacing="0"/>
              <w:rPr>
                <w:color w:val="000000"/>
                <w:sz w:val="20"/>
                <w:szCs w:val="20"/>
              </w:rPr>
            </w:pPr>
            <w:r>
              <w:rPr>
                <w:color w:val="000000"/>
                <w:sz w:val="20"/>
                <w:szCs w:val="20"/>
              </w:rPr>
              <w:t>   Option of the 2022 Notes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967D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bottom w:val="single" w:sz="6" w:space="0" w:color="000000"/>
            </w:tcBorders>
            <w:shd w:val="clear" w:color="auto" w:fill="CFF0FC"/>
            <w:noWrap/>
            <w:tcMar>
              <w:top w:w="15" w:type="dxa"/>
              <w:left w:w="0" w:type="dxa"/>
              <w:bottom w:w="0" w:type="dxa"/>
              <w:right w:w="15" w:type="dxa"/>
            </w:tcMar>
            <w:vAlign w:val="bottom"/>
            <w:hideMark/>
          </w:tcPr>
          <w:p w14:paraId="366A9630"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210912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14:paraId="409D0CE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042F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bottom w:val="single" w:sz="6" w:space="0" w:color="000000"/>
            </w:tcBorders>
            <w:shd w:val="clear" w:color="auto" w:fill="CFF0FC"/>
            <w:noWrap/>
            <w:tcMar>
              <w:top w:w="15" w:type="dxa"/>
              <w:left w:w="0" w:type="dxa"/>
              <w:bottom w:w="0" w:type="dxa"/>
              <w:right w:w="15" w:type="dxa"/>
            </w:tcMar>
            <w:vAlign w:val="bottom"/>
            <w:hideMark/>
          </w:tcPr>
          <w:p w14:paraId="0F914748"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368486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8" w:type="pct"/>
            <w:shd w:val="clear" w:color="auto" w:fill="CFF0FC"/>
            <w:tcMar>
              <w:top w:w="15" w:type="dxa"/>
              <w:left w:w="0" w:type="dxa"/>
              <w:bottom w:w="0" w:type="dxa"/>
              <w:right w:w="15" w:type="dxa"/>
            </w:tcMar>
            <w:vAlign w:val="bottom"/>
            <w:hideMark/>
          </w:tcPr>
          <w:p w14:paraId="62AEA0E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5FF06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bottom w:val="single" w:sz="6" w:space="0" w:color="000000"/>
            </w:tcBorders>
            <w:shd w:val="clear" w:color="auto" w:fill="CFF0FC"/>
            <w:noWrap/>
            <w:tcMar>
              <w:top w:w="15" w:type="dxa"/>
              <w:left w:w="0" w:type="dxa"/>
              <w:bottom w:w="0" w:type="dxa"/>
              <w:right w:w="15" w:type="dxa"/>
            </w:tcMar>
            <w:vAlign w:val="bottom"/>
            <w:hideMark/>
          </w:tcPr>
          <w:p w14:paraId="5B964628"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F0E42D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14:paraId="512762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EF17F9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bottom w:val="single" w:sz="6" w:space="0" w:color="000000"/>
            </w:tcBorders>
            <w:shd w:val="clear" w:color="auto" w:fill="CFF0FC"/>
            <w:noWrap/>
            <w:tcMar>
              <w:top w:w="15" w:type="dxa"/>
              <w:left w:w="0" w:type="dxa"/>
              <w:bottom w:w="0" w:type="dxa"/>
              <w:right w:w="15" w:type="dxa"/>
            </w:tcMar>
            <w:vAlign w:val="bottom"/>
            <w:hideMark/>
          </w:tcPr>
          <w:p w14:paraId="41B919ED"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52470F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A01D79A" w14:textId="77777777">
        <w:trPr>
          <w:divId w:val="1898972617"/>
        </w:trPr>
        <w:tc>
          <w:tcPr>
            <w:tcW w:w="2551" w:type="pct"/>
            <w:shd w:val="clear" w:color="auto" w:fill="FFFFFF"/>
            <w:tcMar>
              <w:top w:w="15" w:type="dxa"/>
              <w:left w:w="0" w:type="dxa"/>
              <w:bottom w:w="0" w:type="dxa"/>
              <w:right w:w="15" w:type="dxa"/>
            </w:tcMar>
            <w:vAlign w:val="bottom"/>
            <w:hideMark/>
          </w:tcPr>
          <w:p w14:paraId="76373A27" w14:textId="77777777" w:rsidR="00000000" w:rsidRDefault="00B8284C">
            <w:pPr>
              <w:pStyle w:val="a3"/>
              <w:spacing w:before="0" w:beforeAutospacing="0" w:after="0" w:afterAutospacing="0"/>
              <w:rPr>
                <w:color w:val="000000"/>
                <w:sz w:val="20"/>
                <w:szCs w:val="20"/>
              </w:rPr>
            </w:pPr>
            <w:r>
              <w:rPr>
                <w:color w:val="000000"/>
                <w:sz w:val="20"/>
                <w:szCs w:val="20"/>
              </w:rPr>
              <w:t>Weighted-average common shares,</w:t>
            </w:r>
          </w:p>
          <w:p w14:paraId="3FBED504" w14:textId="77777777" w:rsidR="00000000" w:rsidRDefault="00B8284C">
            <w:pPr>
              <w:pStyle w:val="a3"/>
              <w:spacing w:before="0" w:beforeAutospacing="0" w:after="0" w:afterAutospacing="0"/>
              <w:rPr>
                <w:color w:val="000000"/>
                <w:sz w:val="20"/>
                <w:szCs w:val="20"/>
              </w:rPr>
            </w:pPr>
            <w:r>
              <w:rPr>
                <w:color w:val="000000"/>
                <w:sz w:val="20"/>
                <w:szCs w:val="20"/>
              </w:rPr>
              <w:t>   outstanding — diluted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6FED5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945915E" w14:textId="77777777" w:rsidR="00000000" w:rsidRDefault="00B8284C">
            <w:pPr>
              <w:pStyle w:val="a3"/>
              <w:spacing w:before="0" w:beforeAutospacing="0" w:after="0" w:afterAutospacing="0"/>
              <w:jc w:val="right"/>
              <w:rPr>
                <w:color w:val="000000"/>
                <w:sz w:val="20"/>
                <w:szCs w:val="20"/>
              </w:rPr>
            </w:pPr>
            <w:r>
              <w:rPr>
                <w:color w:val="000000"/>
                <w:sz w:val="20"/>
                <w:szCs w:val="20"/>
              </w:rPr>
              <w:t>42,531</w:t>
            </w:r>
          </w:p>
        </w:tc>
        <w:tc>
          <w:tcPr>
            <w:tcW w:w="50" w:type="pct"/>
            <w:shd w:val="clear" w:color="auto" w:fill="FFFFFF"/>
            <w:noWrap/>
            <w:tcMar>
              <w:top w:w="15" w:type="dxa"/>
              <w:left w:w="0" w:type="dxa"/>
              <w:bottom w:w="0" w:type="dxa"/>
              <w:right w:w="15" w:type="dxa"/>
            </w:tcMar>
            <w:vAlign w:val="bottom"/>
            <w:hideMark/>
          </w:tcPr>
          <w:p w14:paraId="0CE6917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0466BB8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33E5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5F2B552" w14:textId="77777777" w:rsidR="00000000" w:rsidRDefault="00B8284C">
            <w:pPr>
              <w:pStyle w:val="a3"/>
              <w:spacing w:before="0" w:beforeAutospacing="0" w:after="0" w:afterAutospacing="0"/>
              <w:jc w:val="right"/>
              <w:rPr>
                <w:color w:val="000000"/>
                <w:sz w:val="20"/>
                <w:szCs w:val="20"/>
              </w:rPr>
            </w:pPr>
            <w:r>
              <w:rPr>
                <w:color w:val="000000"/>
                <w:sz w:val="20"/>
                <w:szCs w:val="20"/>
              </w:rPr>
              <w:t>38,762</w:t>
            </w:r>
          </w:p>
        </w:tc>
        <w:tc>
          <w:tcPr>
            <w:tcW w:w="50" w:type="pct"/>
            <w:shd w:val="clear" w:color="auto" w:fill="FFFFFF"/>
            <w:noWrap/>
            <w:tcMar>
              <w:top w:w="15" w:type="dxa"/>
              <w:left w:w="0" w:type="dxa"/>
              <w:bottom w:w="0" w:type="dxa"/>
              <w:right w:w="15" w:type="dxa"/>
            </w:tcMar>
            <w:vAlign w:val="bottom"/>
            <w:hideMark/>
          </w:tcPr>
          <w:p w14:paraId="4B22B59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14:paraId="0D9C976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B6828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5F7BB68" w14:textId="77777777" w:rsidR="00000000" w:rsidRDefault="00B8284C">
            <w:pPr>
              <w:pStyle w:val="a3"/>
              <w:spacing w:before="0" w:beforeAutospacing="0" w:after="0" w:afterAutospacing="0"/>
              <w:jc w:val="right"/>
              <w:rPr>
                <w:color w:val="000000"/>
                <w:sz w:val="20"/>
                <w:szCs w:val="20"/>
              </w:rPr>
            </w:pPr>
            <w:r>
              <w:rPr>
                <w:color w:val="000000"/>
                <w:sz w:val="20"/>
                <w:szCs w:val="20"/>
              </w:rPr>
              <w:t>41,749</w:t>
            </w:r>
          </w:p>
        </w:tc>
        <w:tc>
          <w:tcPr>
            <w:tcW w:w="50" w:type="pct"/>
            <w:shd w:val="clear" w:color="auto" w:fill="FFFFFF"/>
            <w:noWrap/>
            <w:tcMar>
              <w:top w:w="15" w:type="dxa"/>
              <w:left w:w="0" w:type="dxa"/>
              <w:bottom w:w="0" w:type="dxa"/>
              <w:right w:w="15" w:type="dxa"/>
            </w:tcMar>
            <w:vAlign w:val="bottom"/>
            <w:hideMark/>
          </w:tcPr>
          <w:p w14:paraId="3BDD69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3821B8E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0BEAA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DACD3CC" w14:textId="77777777" w:rsidR="00000000" w:rsidRDefault="00B8284C">
            <w:pPr>
              <w:pStyle w:val="a3"/>
              <w:spacing w:before="0" w:beforeAutospacing="0" w:after="0" w:afterAutospacing="0"/>
              <w:jc w:val="right"/>
              <w:rPr>
                <w:color w:val="000000"/>
                <w:sz w:val="20"/>
                <w:szCs w:val="20"/>
              </w:rPr>
            </w:pPr>
            <w:r>
              <w:rPr>
                <w:color w:val="000000"/>
                <w:sz w:val="20"/>
                <w:szCs w:val="20"/>
              </w:rPr>
              <w:t>38,319</w:t>
            </w:r>
          </w:p>
        </w:tc>
        <w:tc>
          <w:tcPr>
            <w:tcW w:w="50" w:type="pct"/>
            <w:shd w:val="clear" w:color="auto" w:fill="FFFFFF"/>
            <w:noWrap/>
            <w:tcMar>
              <w:top w:w="15" w:type="dxa"/>
              <w:left w:w="0" w:type="dxa"/>
              <w:bottom w:w="0" w:type="dxa"/>
              <w:right w:w="15" w:type="dxa"/>
            </w:tcMar>
            <w:vAlign w:val="bottom"/>
            <w:hideMark/>
          </w:tcPr>
          <w:p w14:paraId="5A45FCD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085446C" w14:textId="77777777">
        <w:trPr>
          <w:divId w:val="1898972617"/>
        </w:trPr>
        <w:tc>
          <w:tcPr>
            <w:tcW w:w="2551" w:type="pct"/>
            <w:shd w:val="clear" w:color="auto" w:fill="CFF0FC"/>
            <w:tcMar>
              <w:top w:w="15" w:type="dxa"/>
              <w:left w:w="0" w:type="dxa"/>
              <w:bottom w:w="0" w:type="dxa"/>
              <w:right w:w="15" w:type="dxa"/>
            </w:tcMar>
            <w:vAlign w:val="bottom"/>
            <w:hideMark/>
          </w:tcPr>
          <w:p w14:paraId="43B90B1B" w14:textId="77777777" w:rsidR="00000000" w:rsidRDefault="00B8284C">
            <w:pPr>
              <w:pStyle w:val="a3"/>
              <w:spacing w:before="0" w:beforeAutospacing="0" w:after="0" w:afterAutospacing="0"/>
              <w:rPr>
                <w:color w:val="000000"/>
                <w:sz w:val="20"/>
                <w:szCs w:val="20"/>
              </w:rPr>
            </w:pPr>
            <w:r>
              <w:rPr>
                <w:color w:val="000000"/>
                <w:sz w:val="20"/>
                <w:szCs w:val="20"/>
              </w:rPr>
              <w:t>Net loss per share, basic and diluted</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EBF4A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16AA4C" w14:textId="77777777" w:rsidR="00000000" w:rsidRDefault="00B8284C">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CFF0FC"/>
            <w:noWrap/>
            <w:tcMar>
              <w:top w:w="15" w:type="dxa"/>
              <w:left w:w="0" w:type="dxa"/>
              <w:bottom w:w="0" w:type="dxa"/>
              <w:right w:w="15" w:type="dxa"/>
            </w:tcMar>
            <w:vAlign w:val="bottom"/>
            <w:hideMark/>
          </w:tcPr>
          <w:p w14:paraId="479025D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14:paraId="00076E5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1FAD0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3EE28E" w14:textId="77777777" w:rsidR="00000000" w:rsidRDefault="00B8284C">
            <w:pPr>
              <w:pStyle w:val="a3"/>
              <w:spacing w:before="0" w:beforeAutospacing="0" w:after="0" w:afterAutospacing="0"/>
              <w:jc w:val="right"/>
              <w:rPr>
                <w:color w:val="000000"/>
                <w:sz w:val="20"/>
                <w:szCs w:val="20"/>
              </w:rPr>
            </w:pPr>
            <w:r>
              <w:rPr>
                <w:color w:val="000000"/>
                <w:sz w:val="20"/>
                <w:szCs w:val="20"/>
              </w:rPr>
              <w:t>(0.48</w:t>
            </w:r>
          </w:p>
        </w:tc>
        <w:tc>
          <w:tcPr>
            <w:tcW w:w="50" w:type="pct"/>
            <w:shd w:val="clear" w:color="auto" w:fill="CFF0FC"/>
            <w:noWrap/>
            <w:tcMar>
              <w:top w:w="15" w:type="dxa"/>
              <w:left w:w="0" w:type="dxa"/>
              <w:bottom w:w="0" w:type="dxa"/>
              <w:right w:w="15" w:type="dxa"/>
            </w:tcMar>
            <w:vAlign w:val="bottom"/>
            <w:hideMark/>
          </w:tcPr>
          <w:p w14:paraId="31863B5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38" w:type="pct"/>
            <w:shd w:val="clear" w:color="auto" w:fill="CFF0FC"/>
            <w:tcMar>
              <w:top w:w="15" w:type="dxa"/>
              <w:left w:w="0" w:type="dxa"/>
              <w:bottom w:w="0" w:type="dxa"/>
              <w:right w:w="15" w:type="dxa"/>
            </w:tcMar>
            <w:vAlign w:val="bottom"/>
            <w:hideMark/>
          </w:tcPr>
          <w:p w14:paraId="059FB66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25449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C43C87" w14:textId="77777777" w:rsidR="00000000" w:rsidRDefault="00B8284C">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14:paraId="6652D65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14:paraId="12F4C20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C3A5B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BA036D" w14:textId="77777777" w:rsidR="00000000" w:rsidRDefault="00B8284C">
            <w:pPr>
              <w:pStyle w:val="a3"/>
              <w:spacing w:before="0" w:beforeAutospacing="0" w:after="0" w:afterAutospacing="0"/>
              <w:jc w:val="right"/>
              <w:rPr>
                <w:color w:val="000000"/>
                <w:sz w:val="20"/>
                <w:szCs w:val="20"/>
              </w:rPr>
            </w:pPr>
            <w:r>
              <w:rPr>
                <w:color w:val="000000"/>
                <w:sz w:val="20"/>
                <w:szCs w:val="20"/>
              </w:rPr>
              <w:t>(1.37</w:t>
            </w:r>
          </w:p>
        </w:tc>
        <w:tc>
          <w:tcPr>
            <w:tcW w:w="50" w:type="pct"/>
            <w:shd w:val="clear" w:color="auto" w:fill="CFF0FC"/>
            <w:noWrap/>
            <w:tcMar>
              <w:top w:w="15" w:type="dxa"/>
              <w:left w:w="0" w:type="dxa"/>
              <w:bottom w:w="0" w:type="dxa"/>
              <w:right w:w="15" w:type="dxa"/>
            </w:tcMar>
            <w:vAlign w:val="bottom"/>
            <w:hideMark/>
          </w:tcPr>
          <w:p w14:paraId="1922362E" w14:textId="77777777" w:rsidR="00000000" w:rsidRDefault="00B8284C">
            <w:pPr>
              <w:pStyle w:val="a3"/>
              <w:spacing w:before="0" w:beforeAutospacing="0" w:after="0" w:afterAutospacing="0"/>
              <w:rPr>
                <w:color w:val="000000"/>
                <w:sz w:val="20"/>
                <w:szCs w:val="20"/>
              </w:rPr>
            </w:pPr>
            <w:r>
              <w:rPr>
                <w:color w:val="000000"/>
                <w:sz w:val="20"/>
                <w:szCs w:val="20"/>
              </w:rPr>
              <w:t>)</w:t>
            </w:r>
          </w:p>
        </w:tc>
      </w:tr>
    </w:tbl>
    <w:p w14:paraId="239EC88A" w14:textId="77777777" w:rsidR="00000000" w:rsidRDefault="00B8284C">
      <w:pPr>
        <w:pStyle w:val="a3"/>
        <w:spacing w:before="0" w:beforeAutospacing="0" w:after="0" w:afterAutospacing="0"/>
        <w:rPr>
          <w:sz w:val="20"/>
          <w:szCs w:val="20"/>
        </w:rPr>
      </w:pPr>
      <w:r>
        <w:rPr>
          <w:sz w:val="20"/>
          <w:szCs w:val="20"/>
        </w:rPr>
        <w:t> </w:t>
      </w:r>
    </w:p>
    <w:p w14:paraId="1D801FCA" w14:textId="77777777" w:rsidR="00000000" w:rsidRDefault="00B8284C">
      <w:pPr>
        <w:pStyle w:val="a3"/>
        <w:spacing w:before="40" w:beforeAutospacing="0" w:after="0" w:afterAutospacing="0"/>
        <w:ind w:firstLine="556"/>
        <w:rPr>
          <w:sz w:val="20"/>
          <w:szCs w:val="20"/>
        </w:rPr>
      </w:pPr>
      <w:r>
        <w:rPr>
          <w:sz w:val="20"/>
          <w:szCs w:val="20"/>
        </w:rPr>
        <w:t xml:space="preserve">Additionally, since the Company incurred net losses for each of the periods presented, diluted net loss per share is the same as basic net loss per share. The Company’s outstanding stock options, RSUs, ESPP, common stock warrants, and Conversion Option of </w:t>
      </w:r>
      <w:r>
        <w:rPr>
          <w:sz w:val="20"/>
          <w:szCs w:val="20"/>
        </w:rPr>
        <w:t>the 2022 Notes were not included in the calculation of diluted net loss per share as the effect would be anti-dilutive. The following table contains all potentially dilutive common stock equivalents.</w:t>
      </w:r>
      <w:r>
        <w:rPr>
          <w:sz w:val="16"/>
          <w:szCs w:val="16"/>
        </w:rPr>
        <w:t xml:space="preserve"> </w:t>
      </w:r>
    </w:p>
    <w:p w14:paraId="57505110"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89"/>
        <w:gridCol w:w="88"/>
        <w:gridCol w:w="65"/>
        <w:gridCol w:w="744"/>
        <w:gridCol w:w="65"/>
        <w:gridCol w:w="89"/>
        <w:gridCol w:w="65"/>
        <w:gridCol w:w="744"/>
        <w:gridCol w:w="65"/>
      </w:tblGrid>
      <w:tr w:rsidR="00000000" w14:paraId="332FC612" w14:textId="77777777">
        <w:trPr>
          <w:divId w:val="1088422470"/>
        </w:trPr>
        <w:tc>
          <w:tcPr>
            <w:tcW w:w="3349" w:type="pct"/>
            <w:shd w:val="clear" w:color="auto" w:fill="FFFFFF"/>
            <w:tcMar>
              <w:top w:w="15" w:type="dxa"/>
              <w:left w:w="0" w:type="dxa"/>
              <w:bottom w:w="0" w:type="dxa"/>
              <w:right w:w="15" w:type="dxa"/>
            </w:tcMar>
            <w:vAlign w:val="bottom"/>
            <w:hideMark/>
          </w:tcPr>
          <w:p w14:paraId="3F42B3FF" w14:textId="77777777" w:rsidR="00000000" w:rsidRDefault="00B8284C">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7D0007AA"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0532F04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As of September 30,</w:t>
            </w:r>
          </w:p>
        </w:tc>
        <w:tc>
          <w:tcPr>
            <w:tcW w:w="50" w:type="pct"/>
            <w:shd w:val="clear" w:color="auto" w:fill="FFFFFF"/>
            <w:noWrap/>
            <w:tcMar>
              <w:top w:w="15" w:type="dxa"/>
              <w:left w:w="0" w:type="dxa"/>
              <w:bottom w:w="0" w:type="dxa"/>
              <w:right w:w="15" w:type="dxa"/>
            </w:tcMar>
            <w:vAlign w:val="bottom"/>
            <w:hideMark/>
          </w:tcPr>
          <w:p w14:paraId="0E38C6D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B3B2FD6" w14:textId="77777777">
        <w:trPr>
          <w:divId w:val="1088422470"/>
        </w:trPr>
        <w:tc>
          <w:tcPr>
            <w:tcW w:w="3349" w:type="pct"/>
            <w:shd w:val="clear" w:color="auto" w:fill="FFFFFF"/>
            <w:tcMar>
              <w:top w:w="15" w:type="dxa"/>
              <w:left w:w="0" w:type="dxa"/>
              <w:bottom w:w="0" w:type="dxa"/>
              <w:right w:w="15" w:type="dxa"/>
            </w:tcMar>
            <w:vAlign w:val="bottom"/>
            <w:hideMark/>
          </w:tcPr>
          <w:p w14:paraId="4ACE7655"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6D9E73E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2D0E9E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AB7C9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4D8B0E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3807A99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902FDA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2C893D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03DC086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389A0FE2" w14:textId="77777777">
        <w:trPr>
          <w:divId w:val="1088422470"/>
        </w:trPr>
        <w:tc>
          <w:tcPr>
            <w:tcW w:w="3349" w:type="pct"/>
            <w:shd w:val="clear" w:color="auto" w:fill="FFFFFF"/>
            <w:tcMar>
              <w:top w:w="15" w:type="dxa"/>
              <w:left w:w="0" w:type="dxa"/>
              <w:bottom w:w="0" w:type="dxa"/>
              <w:right w:w="15" w:type="dxa"/>
            </w:tcMar>
            <w:vAlign w:val="bottom"/>
            <w:hideMark/>
          </w:tcPr>
          <w:p w14:paraId="18A6E51C"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55B017C5"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5F8CCE0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7C9179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B2706A1" w14:textId="77777777">
        <w:trPr>
          <w:divId w:val="1088422470"/>
        </w:trPr>
        <w:tc>
          <w:tcPr>
            <w:tcW w:w="3349" w:type="pct"/>
            <w:shd w:val="clear" w:color="auto" w:fill="CFF0FC"/>
            <w:tcMar>
              <w:top w:w="15" w:type="dxa"/>
              <w:left w:w="0" w:type="dxa"/>
              <w:bottom w:w="0" w:type="dxa"/>
              <w:right w:w="15" w:type="dxa"/>
            </w:tcMar>
            <w:vAlign w:val="bottom"/>
            <w:hideMark/>
          </w:tcPr>
          <w:p w14:paraId="096034C3" w14:textId="77777777" w:rsidR="00000000" w:rsidRDefault="00B8284C">
            <w:pPr>
              <w:pStyle w:val="a3"/>
              <w:spacing w:before="0" w:beforeAutospacing="0" w:after="0" w:afterAutospacing="0"/>
              <w:rPr>
                <w:color w:val="000000"/>
                <w:sz w:val="20"/>
                <w:szCs w:val="20"/>
              </w:rPr>
            </w:pPr>
            <w:r>
              <w:rPr>
                <w:color w:val="000000"/>
                <w:sz w:val="20"/>
                <w:szCs w:val="20"/>
              </w:rPr>
              <w:t>Options to purchase common shares</w:t>
            </w:r>
          </w:p>
        </w:tc>
        <w:tc>
          <w:tcPr>
            <w:tcW w:w="81" w:type="pct"/>
            <w:shd w:val="clear" w:color="auto" w:fill="CFF0FC"/>
            <w:tcMar>
              <w:top w:w="15" w:type="dxa"/>
              <w:left w:w="0" w:type="dxa"/>
              <w:bottom w:w="0" w:type="dxa"/>
              <w:right w:w="15" w:type="dxa"/>
            </w:tcMar>
            <w:vAlign w:val="bottom"/>
            <w:hideMark/>
          </w:tcPr>
          <w:p w14:paraId="4AD4C04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EE160C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74A64E0" w14:textId="77777777" w:rsidR="00000000" w:rsidRDefault="00B8284C">
            <w:pPr>
              <w:pStyle w:val="a3"/>
              <w:spacing w:before="0" w:beforeAutospacing="0" w:after="0" w:afterAutospacing="0"/>
              <w:jc w:val="right"/>
              <w:rPr>
                <w:color w:val="000000"/>
                <w:sz w:val="20"/>
                <w:szCs w:val="20"/>
              </w:rPr>
            </w:pPr>
            <w:r>
              <w:rPr>
                <w:color w:val="000000"/>
                <w:sz w:val="20"/>
                <w:szCs w:val="20"/>
              </w:rPr>
              <w:t>1,532</w:t>
            </w:r>
          </w:p>
        </w:tc>
        <w:tc>
          <w:tcPr>
            <w:tcW w:w="50" w:type="pct"/>
            <w:shd w:val="clear" w:color="auto" w:fill="CFF0FC"/>
            <w:noWrap/>
            <w:tcMar>
              <w:top w:w="15" w:type="dxa"/>
              <w:left w:w="0" w:type="dxa"/>
              <w:bottom w:w="0" w:type="dxa"/>
              <w:right w:w="15" w:type="dxa"/>
            </w:tcMar>
            <w:vAlign w:val="bottom"/>
            <w:hideMark/>
          </w:tcPr>
          <w:p w14:paraId="4C0C89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80EEED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EE5E0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6998F1A" w14:textId="77777777" w:rsidR="00000000" w:rsidRDefault="00B8284C">
            <w:pPr>
              <w:pStyle w:val="a3"/>
              <w:spacing w:before="0" w:beforeAutospacing="0" w:after="0" w:afterAutospacing="0"/>
              <w:jc w:val="right"/>
              <w:rPr>
                <w:color w:val="000000"/>
                <w:sz w:val="20"/>
                <w:szCs w:val="20"/>
              </w:rPr>
            </w:pPr>
            <w:r>
              <w:rPr>
                <w:color w:val="000000"/>
                <w:sz w:val="20"/>
                <w:szCs w:val="20"/>
              </w:rPr>
              <w:t>1,905</w:t>
            </w:r>
          </w:p>
        </w:tc>
        <w:tc>
          <w:tcPr>
            <w:tcW w:w="50" w:type="pct"/>
            <w:shd w:val="clear" w:color="auto" w:fill="CFF0FC"/>
            <w:noWrap/>
            <w:tcMar>
              <w:top w:w="15" w:type="dxa"/>
              <w:left w:w="0" w:type="dxa"/>
              <w:bottom w:w="0" w:type="dxa"/>
              <w:right w:w="15" w:type="dxa"/>
            </w:tcMar>
            <w:vAlign w:val="bottom"/>
            <w:hideMark/>
          </w:tcPr>
          <w:p w14:paraId="0C13B58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F63DB8C" w14:textId="77777777">
        <w:trPr>
          <w:divId w:val="1088422470"/>
        </w:trPr>
        <w:tc>
          <w:tcPr>
            <w:tcW w:w="3349" w:type="pct"/>
            <w:shd w:val="clear" w:color="auto" w:fill="FFFFFF"/>
            <w:tcMar>
              <w:top w:w="15" w:type="dxa"/>
              <w:left w:w="0" w:type="dxa"/>
              <w:bottom w:w="0" w:type="dxa"/>
              <w:right w:w="15" w:type="dxa"/>
            </w:tcMar>
            <w:vAlign w:val="bottom"/>
            <w:hideMark/>
          </w:tcPr>
          <w:p w14:paraId="5336367D" w14:textId="77777777" w:rsidR="00000000" w:rsidRDefault="00B8284C">
            <w:pPr>
              <w:pStyle w:val="a3"/>
              <w:spacing w:before="0" w:beforeAutospacing="0" w:after="0" w:afterAutospacing="0"/>
              <w:rPr>
                <w:color w:val="000000"/>
                <w:sz w:val="20"/>
                <w:szCs w:val="20"/>
              </w:rPr>
            </w:pPr>
            <w:r>
              <w:rPr>
                <w:color w:val="000000"/>
                <w:sz w:val="20"/>
                <w:szCs w:val="20"/>
              </w:rPr>
              <w:t>RSUs</w:t>
            </w:r>
          </w:p>
        </w:tc>
        <w:tc>
          <w:tcPr>
            <w:tcW w:w="81" w:type="pct"/>
            <w:shd w:val="clear" w:color="auto" w:fill="FFFFFF"/>
            <w:tcMar>
              <w:top w:w="15" w:type="dxa"/>
              <w:left w:w="0" w:type="dxa"/>
              <w:bottom w:w="0" w:type="dxa"/>
              <w:right w:w="15" w:type="dxa"/>
            </w:tcMar>
            <w:vAlign w:val="bottom"/>
            <w:hideMark/>
          </w:tcPr>
          <w:p w14:paraId="61D537B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C8682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250DB90" w14:textId="77777777" w:rsidR="00000000" w:rsidRDefault="00B8284C">
            <w:pPr>
              <w:pStyle w:val="a3"/>
              <w:spacing w:before="0" w:beforeAutospacing="0" w:after="0" w:afterAutospacing="0"/>
              <w:jc w:val="right"/>
              <w:rPr>
                <w:color w:val="000000"/>
                <w:sz w:val="20"/>
                <w:szCs w:val="20"/>
              </w:rPr>
            </w:pPr>
            <w:r>
              <w:rPr>
                <w:color w:val="000000"/>
                <w:sz w:val="20"/>
                <w:szCs w:val="20"/>
              </w:rPr>
              <w:t>1,688</w:t>
            </w:r>
          </w:p>
        </w:tc>
        <w:tc>
          <w:tcPr>
            <w:tcW w:w="50" w:type="pct"/>
            <w:shd w:val="clear" w:color="auto" w:fill="FFFFFF"/>
            <w:noWrap/>
            <w:tcMar>
              <w:top w:w="15" w:type="dxa"/>
              <w:left w:w="0" w:type="dxa"/>
              <w:bottom w:w="0" w:type="dxa"/>
              <w:right w:w="15" w:type="dxa"/>
            </w:tcMar>
            <w:vAlign w:val="bottom"/>
            <w:hideMark/>
          </w:tcPr>
          <w:p w14:paraId="5304080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CB460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D715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C6612C3" w14:textId="77777777" w:rsidR="00000000" w:rsidRDefault="00B8284C">
            <w:pPr>
              <w:pStyle w:val="a3"/>
              <w:spacing w:before="0" w:beforeAutospacing="0" w:after="0" w:afterAutospacing="0"/>
              <w:jc w:val="right"/>
              <w:rPr>
                <w:color w:val="000000"/>
                <w:sz w:val="20"/>
                <w:szCs w:val="20"/>
              </w:rPr>
            </w:pPr>
            <w:r>
              <w:rPr>
                <w:color w:val="000000"/>
                <w:sz w:val="20"/>
                <w:szCs w:val="20"/>
              </w:rPr>
              <w:t>2,020</w:t>
            </w:r>
          </w:p>
        </w:tc>
        <w:tc>
          <w:tcPr>
            <w:tcW w:w="50" w:type="pct"/>
            <w:shd w:val="clear" w:color="auto" w:fill="FFFFFF"/>
            <w:noWrap/>
            <w:tcMar>
              <w:top w:w="15" w:type="dxa"/>
              <w:left w:w="0" w:type="dxa"/>
              <w:bottom w:w="0" w:type="dxa"/>
              <w:right w:w="15" w:type="dxa"/>
            </w:tcMar>
            <w:vAlign w:val="bottom"/>
            <w:hideMark/>
          </w:tcPr>
          <w:p w14:paraId="22EAA90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B042BD9" w14:textId="77777777">
        <w:trPr>
          <w:divId w:val="1088422470"/>
        </w:trPr>
        <w:tc>
          <w:tcPr>
            <w:tcW w:w="3349" w:type="pct"/>
            <w:shd w:val="clear" w:color="auto" w:fill="CFF0FC"/>
            <w:tcMar>
              <w:top w:w="15" w:type="dxa"/>
              <w:left w:w="0" w:type="dxa"/>
              <w:bottom w:w="0" w:type="dxa"/>
              <w:right w:w="15" w:type="dxa"/>
            </w:tcMar>
            <w:vAlign w:val="bottom"/>
            <w:hideMark/>
          </w:tcPr>
          <w:p w14:paraId="54EA4773" w14:textId="77777777" w:rsidR="00000000" w:rsidRDefault="00B8284C">
            <w:pPr>
              <w:pStyle w:val="a3"/>
              <w:spacing w:before="0" w:beforeAutospacing="0" w:after="0" w:afterAutospacing="0"/>
              <w:rPr>
                <w:color w:val="000000"/>
                <w:sz w:val="20"/>
                <w:szCs w:val="20"/>
              </w:rPr>
            </w:pPr>
            <w:r>
              <w:rPr>
                <w:color w:val="000000"/>
                <w:sz w:val="20"/>
                <w:szCs w:val="20"/>
              </w:rPr>
              <w:t>Conversion option of the 2022 Notes</w:t>
            </w:r>
          </w:p>
        </w:tc>
        <w:tc>
          <w:tcPr>
            <w:tcW w:w="81" w:type="pct"/>
            <w:shd w:val="clear" w:color="auto" w:fill="CFF0FC"/>
            <w:tcMar>
              <w:top w:w="15" w:type="dxa"/>
              <w:left w:w="0" w:type="dxa"/>
              <w:bottom w:w="0" w:type="dxa"/>
              <w:right w:w="15" w:type="dxa"/>
            </w:tcMar>
            <w:vAlign w:val="bottom"/>
            <w:hideMark/>
          </w:tcPr>
          <w:p w14:paraId="3AC3EC7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530A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1CBE9A7" w14:textId="77777777" w:rsidR="00000000" w:rsidRDefault="00B8284C">
            <w:pPr>
              <w:pStyle w:val="a3"/>
              <w:spacing w:before="0" w:beforeAutospacing="0" w:after="0" w:afterAutospacing="0"/>
              <w:jc w:val="right"/>
              <w:rPr>
                <w:color w:val="000000"/>
                <w:sz w:val="20"/>
                <w:szCs w:val="20"/>
              </w:rPr>
            </w:pPr>
            <w:r>
              <w:rPr>
                <w:color w:val="000000"/>
                <w:sz w:val="20"/>
                <w:szCs w:val="20"/>
              </w:rPr>
              <w:t>1,995</w:t>
            </w:r>
          </w:p>
        </w:tc>
        <w:tc>
          <w:tcPr>
            <w:tcW w:w="50" w:type="pct"/>
            <w:shd w:val="clear" w:color="auto" w:fill="CFF0FC"/>
            <w:noWrap/>
            <w:tcMar>
              <w:top w:w="15" w:type="dxa"/>
              <w:left w:w="0" w:type="dxa"/>
              <w:bottom w:w="0" w:type="dxa"/>
              <w:right w:w="15" w:type="dxa"/>
            </w:tcMar>
            <w:vAlign w:val="bottom"/>
            <w:hideMark/>
          </w:tcPr>
          <w:p w14:paraId="16CF8EB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3A32DF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283A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058F015" w14:textId="77777777" w:rsidR="00000000" w:rsidRDefault="00B8284C">
            <w:pPr>
              <w:pStyle w:val="a3"/>
              <w:spacing w:before="0" w:beforeAutospacing="0" w:after="0" w:afterAutospacing="0"/>
              <w:jc w:val="right"/>
              <w:rPr>
                <w:color w:val="000000"/>
                <w:sz w:val="20"/>
                <w:szCs w:val="20"/>
              </w:rPr>
            </w:pPr>
            <w:r>
              <w:rPr>
                <w:color w:val="000000"/>
                <w:sz w:val="20"/>
                <w:szCs w:val="20"/>
              </w:rPr>
              <w:t>1,311</w:t>
            </w:r>
          </w:p>
        </w:tc>
        <w:tc>
          <w:tcPr>
            <w:tcW w:w="50" w:type="pct"/>
            <w:shd w:val="clear" w:color="auto" w:fill="CFF0FC"/>
            <w:noWrap/>
            <w:tcMar>
              <w:top w:w="15" w:type="dxa"/>
              <w:left w:w="0" w:type="dxa"/>
              <w:bottom w:w="0" w:type="dxa"/>
              <w:right w:w="15" w:type="dxa"/>
            </w:tcMar>
            <w:vAlign w:val="bottom"/>
            <w:hideMark/>
          </w:tcPr>
          <w:p w14:paraId="0EFF163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63B9F8F" w14:textId="77777777">
        <w:trPr>
          <w:divId w:val="1088422470"/>
        </w:trPr>
        <w:tc>
          <w:tcPr>
            <w:tcW w:w="3349" w:type="pct"/>
            <w:shd w:val="clear" w:color="auto" w:fill="FFFFFF"/>
            <w:tcMar>
              <w:top w:w="15" w:type="dxa"/>
              <w:left w:w="0" w:type="dxa"/>
              <w:bottom w:w="0" w:type="dxa"/>
              <w:right w:w="15" w:type="dxa"/>
            </w:tcMar>
            <w:vAlign w:val="bottom"/>
            <w:hideMark/>
          </w:tcPr>
          <w:p w14:paraId="1A1304F1" w14:textId="77777777" w:rsidR="00000000" w:rsidRDefault="00B8284C">
            <w:pPr>
              <w:pStyle w:val="a3"/>
              <w:spacing w:before="0" w:beforeAutospacing="0" w:after="0" w:afterAutospacing="0"/>
              <w:rPr>
                <w:color w:val="000000"/>
                <w:sz w:val="20"/>
                <w:szCs w:val="20"/>
              </w:rPr>
            </w:pPr>
            <w:r>
              <w:rPr>
                <w:color w:val="000000"/>
                <w:sz w:val="20"/>
                <w:szCs w:val="20"/>
              </w:rPr>
              <w:t>Common stock warrants</w:t>
            </w:r>
          </w:p>
        </w:tc>
        <w:tc>
          <w:tcPr>
            <w:tcW w:w="81" w:type="pct"/>
            <w:shd w:val="clear" w:color="auto" w:fill="FFFFFF"/>
            <w:tcMar>
              <w:top w:w="15" w:type="dxa"/>
              <w:left w:w="0" w:type="dxa"/>
              <w:bottom w:w="0" w:type="dxa"/>
              <w:right w:w="15" w:type="dxa"/>
            </w:tcMar>
            <w:vAlign w:val="bottom"/>
            <w:hideMark/>
          </w:tcPr>
          <w:p w14:paraId="66B1549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07D45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368F3A2" w14:textId="77777777" w:rsidR="00000000" w:rsidRDefault="00B8284C">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FFFFFF"/>
            <w:noWrap/>
            <w:tcMar>
              <w:top w:w="15" w:type="dxa"/>
              <w:left w:w="0" w:type="dxa"/>
              <w:bottom w:w="0" w:type="dxa"/>
              <w:right w:w="15" w:type="dxa"/>
            </w:tcMar>
            <w:vAlign w:val="bottom"/>
            <w:hideMark/>
          </w:tcPr>
          <w:p w14:paraId="3C5736E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8E2772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025D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CB79635" w14:textId="77777777" w:rsidR="00000000" w:rsidRDefault="00B8284C">
            <w:pPr>
              <w:pStyle w:val="a3"/>
              <w:spacing w:before="0" w:beforeAutospacing="0" w:after="0" w:afterAutospacing="0"/>
              <w:jc w:val="right"/>
              <w:rPr>
                <w:color w:val="000000"/>
                <w:sz w:val="20"/>
                <w:szCs w:val="20"/>
              </w:rPr>
            </w:pPr>
            <w:r>
              <w:rPr>
                <w:color w:val="000000"/>
                <w:sz w:val="20"/>
                <w:szCs w:val="20"/>
              </w:rPr>
              <w:t>664</w:t>
            </w:r>
          </w:p>
        </w:tc>
        <w:tc>
          <w:tcPr>
            <w:tcW w:w="50" w:type="pct"/>
            <w:shd w:val="clear" w:color="auto" w:fill="FFFFFF"/>
            <w:noWrap/>
            <w:tcMar>
              <w:top w:w="15" w:type="dxa"/>
              <w:left w:w="0" w:type="dxa"/>
              <w:bottom w:w="0" w:type="dxa"/>
              <w:right w:w="15" w:type="dxa"/>
            </w:tcMar>
            <w:vAlign w:val="bottom"/>
            <w:hideMark/>
          </w:tcPr>
          <w:p w14:paraId="1A0A3FB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C52B729" w14:textId="77777777">
        <w:trPr>
          <w:divId w:val="1088422470"/>
        </w:trPr>
        <w:tc>
          <w:tcPr>
            <w:tcW w:w="3349" w:type="pct"/>
            <w:shd w:val="clear" w:color="auto" w:fill="CFF0FC"/>
            <w:tcMar>
              <w:top w:w="15" w:type="dxa"/>
              <w:left w:w="0" w:type="dxa"/>
              <w:bottom w:w="0" w:type="dxa"/>
              <w:right w:w="15" w:type="dxa"/>
            </w:tcMar>
            <w:vAlign w:val="bottom"/>
            <w:hideMark/>
          </w:tcPr>
          <w:p w14:paraId="0864F463" w14:textId="77777777" w:rsidR="00000000" w:rsidRDefault="00B8284C">
            <w:pPr>
              <w:pStyle w:val="a3"/>
              <w:spacing w:before="0" w:beforeAutospacing="0" w:after="0" w:afterAutospacing="0"/>
              <w:rPr>
                <w:color w:val="000000"/>
                <w:sz w:val="20"/>
                <w:szCs w:val="20"/>
              </w:rPr>
            </w:pPr>
            <w:r>
              <w:rPr>
                <w:color w:val="000000"/>
                <w:sz w:val="20"/>
                <w:szCs w:val="20"/>
              </w:rPr>
              <w:t>ESPP</w:t>
            </w:r>
          </w:p>
        </w:tc>
        <w:tc>
          <w:tcPr>
            <w:tcW w:w="81" w:type="pct"/>
            <w:shd w:val="clear" w:color="auto" w:fill="CFF0FC"/>
            <w:tcMar>
              <w:top w:w="15" w:type="dxa"/>
              <w:left w:w="0" w:type="dxa"/>
              <w:bottom w:w="0" w:type="dxa"/>
              <w:right w:w="15" w:type="dxa"/>
            </w:tcMar>
            <w:vAlign w:val="bottom"/>
            <w:hideMark/>
          </w:tcPr>
          <w:p w14:paraId="24003FB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997A2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2F094EA" w14:textId="77777777" w:rsidR="00000000" w:rsidRDefault="00B8284C">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128DD8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6AF24F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2AC7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C3F6DF8" w14:textId="77777777" w:rsidR="00000000" w:rsidRDefault="00B8284C">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386A97EA"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3C4980DA" w14:textId="77777777" w:rsidR="00000000" w:rsidRDefault="00B8284C">
      <w:pPr>
        <w:pStyle w:val="a3"/>
        <w:spacing w:before="0" w:beforeAutospacing="0" w:after="0" w:afterAutospacing="0"/>
        <w:rPr>
          <w:sz w:val="20"/>
          <w:szCs w:val="20"/>
        </w:rPr>
      </w:pPr>
      <w:r>
        <w:rPr>
          <w:sz w:val="20"/>
          <w:szCs w:val="20"/>
        </w:rPr>
        <w:t> </w:t>
      </w:r>
    </w:p>
    <w:p w14:paraId="6AE106D5" w14:textId="77777777" w:rsidR="00000000" w:rsidRDefault="00B8284C">
      <w:pPr>
        <w:pStyle w:val="a3"/>
        <w:spacing w:before="40" w:beforeAutospacing="0" w:after="0" w:afterAutospacing="0"/>
        <w:ind w:firstLine="556"/>
        <w:rPr>
          <w:sz w:val="20"/>
          <w:szCs w:val="20"/>
        </w:rPr>
      </w:pPr>
      <w:r>
        <w:rPr>
          <w:sz w:val="20"/>
          <w:szCs w:val="20"/>
        </w:rPr>
        <w:t>The Company expects to settle the principal amount of the 2022 Notes (Note 9) in cash, and therefore, the Company uses the treasury stock method for calculating any potential dilutive effect of the Conversion Option on diluted net income per share, if ap</w:t>
      </w:r>
      <w:r>
        <w:rPr>
          <w:sz w:val="20"/>
          <w:szCs w:val="20"/>
        </w:rPr>
        <w:t>plicable. The Conversion Option will have a dilutive impact on net income per share of common stock when the average market price of the Company’s common stock for a given period exceeds the conversion price of the 2022 Notes of $94.77 per share.</w:t>
      </w:r>
      <w:r>
        <w:rPr>
          <w:color w:val="1F497D"/>
          <w:sz w:val="22"/>
          <w:szCs w:val="22"/>
        </w:rPr>
        <w:t> </w:t>
      </w:r>
      <w:r>
        <w:rPr>
          <w:sz w:val="20"/>
          <w:szCs w:val="20"/>
        </w:rPr>
        <w:t>Because t</w:t>
      </w:r>
      <w:r>
        <w:rPr>
          <w:sz w:val="20"/>
          <w:szCs w:val="20"/>
        </w:rPr>
        <w:t>he last reported sale price of the Company’s common stock for at least 20 trading days during the period of 30 consecutive trading days ending on the last trading day of the calendar quarter ended September 30, 2019 was equal to or greater than 130% of the</w:t>
      </w:r>
      <w:r>
        <w:rPr>
          <w:sz w:val="20"/>
          <w:szCs w:val="20"/>
        </w:rPr>
        <w:t xml:space="preserve"> applicable conversion price on each applicable trading day, the 2022 Notes are convertible at the option of the holders thereof during the calendar quarter ending December 31, 2019.</w:t>
      </w:r>
      <w:r>
        <w:rPr>
          <w:color w:val="222222"/>
          <w:sz w:val="20"/>
          <w:szCs w:val="20"/>
          <w:shd w:val="clear" w:color="auto" w:fill="FFFFFF"/>
        </w:rPr>
        <w:t xml:space="preserve"> </w:t>
      </w:r>
      <w:r>
        <w:rPr>
          <w:sz w:val="20"/>
          <w:szCs w:val="20"/>
        </w:rPr>
        <w:t>As of November 1, 2019, the Company has received conversion notices for a</w:t>
      </w:r>
      <w:r>
        <w:rPr>
          <w:sz w:val="20"/>
          <w:szCs w:val="20"/>
        </w:rPr>
        <w:t>pproximately $8 thousand of the principal balance of the 2022 Notes, which will be settled in cash during the quarter ended December 31, 2019.</w:t>
      </w:r>
      <w:r>
        <w:rPr>
          <w:rFonts w:ascii="inherit" w:hAnsi="inherit"/>
          <w:color w:val="000000"/>
          <w:sz w:val="20"/>
          <w:szCs w:val="20"/>
        </w:rPr>
        <w:t xml:space="preserve"> </w:t>
      </w:r>
    </w:p>
    <w:p w14:paraId="55CFF8D6" w14:textId="77777777" w:rsidR="00000000" w:rsidRDefault="00B8284C">
      <w:pPr>
        <w:pStyle w:val="a3"/>
        <w:spacing w:before="0" w:beforeAutospacing="0" w:after="0" w:afterAutospacing="0"/>
        <w:rPr>
          <w:sz w:val="18"/>
          <w:szCs w:val="18"/>
        </w:rPr>
      </w:pPr>
      <w:r>
        <w:rPr>
          <w:sz w:val="18"/>
          <w:szCs w:val="18"/>
        </w:rPr>
        <w:t> </w:t>
      </w:r>
    </w:p>
    <w:p w14:paraId="268A1378" w14:textId="77777777" w:rsidR="00000000" w:rsidRDefault="00B8284C">
      <w:pPr>
        <w:pStyle w:val="a3"/>
        <w:spacing w:before="240" w:beforeAutospacing="0" w:after="0" w:afterAutospacing="0"/>
        <w:jc w:val="center"/>
        <w:rPr>
          <w:sz w:val="20"/>
          <w:szCs w:val="20"/>
        </w:rPr>
      </w:pPr>
      <w:r>
        <w:rPr>
          <w:sz w:val="20"/>
          <w:szCs w:val="20"/>
        </w:rPr>
        <w:t>12</w:t>
      </w:r>
    </w:p>
    <w:p w14:paraId="1A19A163" w14:textId="77777777" w:rsidR="00000000" w:rsidRDefault="00B8284C">
      <w:pPr>
        <w:rPr>
          <w:rFonts w:eastAsia="Times New Roman"/>
        </w:rPr>
      </w:pPr>
      <w:r>
        <w:rPr>
          <w:rFonts w:eastAsia="Times New Roman"/>
        </w:rPr>
        <w:pict w14:anchorId="6AFC69B0">
          <v:rect id="_x0000_i1036" style="width:0;height:1.5pt" o:hralign="center" o:hrstd="t" o:hr="t" fillcolor="#a0a0a0" stroked="f"/>
        </w:pict>
      </w:r>
    </w:p>
    <w:p w14:paraId="64510EAE" w14:textId="77777777" w:rsidR="00000000" w:rsidRDefault="00B8284C">
      <w:pPr>
        <w:pStyle w:val="a3"/>
        <w:spacing w:before="0" w:beforeAutospacing="0" w:after="0" w:afterAutospacing="0"/>
        <w:rPr>
          <w:sz w:val="20"/>
          <w:szCs w:val="20"/>
        </w:rPr>
      </w:pPr>
      <w:r>
        <w:rPr>
          <w:sz w:val="20"/>
          <w:szCs w:val="20"/>
        </w:rPr>
        <w:t> </w:t>
      </w:r>
    </w:p>
    <w:p w14:paraId="14AD2080" w14:textId="77777777" w:rsidR="00000000" w:rsidRDefault="00B8284C">
      <w:pPr>
        <w:pStyle w:val="a3"/>
        <w:spacing w:before="180" w:beforeAutospacing="0" w:after="0" w:afterAutospacing="0"/>
        <w:rPr>
          <w:b/>
          <w:bCs/>
          <w:sz w:val="20"/>
          <w:szCs w:val="20"/>
        </w:rPr>
      </w:pPr>
      <w:r>
        <w:rPr>
          <w:b/>
          <w:bCs/>
          <w:sz w:val="20"/>
          <w:szCs w:val="20"/>
        </w:rPr>
        <w:t>5. Fair Value of Financial Instruments</w:t>
      </w:r>
    </w:p>
    <w:p w14:paraId="50C48892" w14:textId="77777777" w:rsidR="00000000" w:rsidRDefault="00B8284C">
      <w:pPr>
        <w:pStyle w:val="a3"/>
        <w:spacing w:before="120" w:beforeAutospacing="0" w:after="0" w:afterAutospacing="0"/>
        <w:ind w:firstLine="556"/>
        <w:rPr>
          <w:sz w:val="20"/>
          <w:szCs w:val="20"/>
        </w:rPr>
      </w:pPr>
      <w:r>
        <w:rPr>
          <w:sz w:val="20"/>
          <w:szCs w:val="20"/>
        </w:rPr>
        <w:t xml:space="preserve">The Company measures certain financial assets at fair value. Fair value is determined based upon the exit price that would be received to sell an asset or paid to transfer a liability in an orderly transaction between market participants, as determined by </w:t>
      </w:r>
      <w:r>
        <w:rPr>
          <w:sz w:val="20"/>
          <w:szCs w:val="20"/>
        </w:rPr>
        <w:t>either the principal market or the most advantageous market. Inputs used in the valuation techniques to derive fair values are classified based on a three-level hierarchy,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4980A46" w14:textId="77777777">
        <w:trPr>
          <w:divId w:val="1794130361"/>
        </w:trPr>
        <w:tc>
          <w:tcPr>
            <w:tcW w:w="227" w:type="pct"/>
            <w:noWrap/>
            <w:hideMark/>
          </w:tcPr>
          <w:p w14:paraId="1EB81A1D"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17CE928B"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6AD8A753" w14:textId="77777777" w:rsidR="00000000" w:rsidRDefault="00B8284C">
            <w:pPr>
              <w:pStyle w:val="a3"/>
              <w:spacing w:before="120" w:beforeAutospacing="0" w:after="0" w:afterAutospacing="0"/>
              <w:rPr>
                <w:sz w:val="20"/>
                <w:szCs w:val="20"/>
              </w:rPr>
            </w:pPr>
            <w:r>
              <w:rPr>
                <w:sz w:val="20"/>
                <w:szCs w:val="20"/>
              </w:rPr>
              <w:t>Level 1 — Quoted prices in active markets for identical assets or li</w:t>
            </w:r>
            <w:r>
              <w:rPr>
                <w:sz w:val="20"/>
                <w:szCs w:val="20"/>
              </w:rPr>
              <w:t>abilities.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070C110" w14:textId="77777777">
        <w:tc>
          <w:tcPr>
            <w:tcW w:w="227" w:type="pct"/>
            <w:noWrap/>
            <w:hideMark/>
          </w:tcPr>
          <w:p w14:paraId="27CEE14B"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46A5C71F"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60D4D809" w14:textId="77777777" w:rsidR="00000000" w:rsidRDefault="00B8284C">
            <w:pPr>
              <w:pStyle w:val="a3"/>
              <w:spacing w:before="120" w:beforeAutospacing="0" w:after="0" w:afterAutospacing="0"/>
              <w:rPr>
                <w:sz w:val="20"/>
                <w:szCs w:val="20"/>
              </w:rPr>
            </w:pPr>
            <w:r>
              <w:rPr>
                <w:sz w:val="20"/>
                <w:szCs w:val="20"/>
              </w:rPr>
              <w:t xml:space="preserve">Level 2 — Observable inputs other than Level 1 prices such as quoted prices for similar assets or liabilities; quoted prices in markets with insufficient volume or infrequent transactions (less active markets); or model-derived valuations </w:t>
            </w:r>
            <w:r>
              <w:rPr>
                <w:sz w:val="20"/>
                <w:szCs w:val="20"/>
              </w:rPr>
              <w:t>in which all significant inputs are observable or can be derived principally from or corroborated by observable market data for substantially the full term of the assets or liabilities.</w:t>
            </w:r>
          </w:p>
        </w:tc>
      </w:tr>
    </w:tbl>
    <w:p w14:paraId="60AB5CF3" w14:textId="77777777" w:rsidR="00000000" w:rsidRDefault="00B8284C">
      <w:pPr>
        <w:divId w:val="192279345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9658184" w14:textId="77777777">
        <w:trPr>
          <w:divId w:val="1922793456"/>
        </w:trPr>
        <w:tc>
          <w:tcPr>
            <w:tcW w:w="227" w:type="pct"/>
            <w:noWrap/>
            <w:hideMark/>
          </w:tcPr>
          <w:p w14:paraId="2919C3D3"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5C7A3E8E"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58BEC3AC" w14:textId="77777777" w:rsidR="00000000" w:rsidRDefault="00B8284C">
            <w:pPr>
              <w:pStyle w:val="a3"/>
              <w:spacing w:before="120" w:beforeAutospacing="0" w:after="0" w:afterAutospacing="0"/>
              <w:rPr>
                <w:sz w:val="20"/>
                <w:szCs w:val="20"/>
              </w:rPr>
            </w:pPr>
            <w:r>
              <w:rPr>
                <w:sz w:val="20"/>
                <w:szCs w:val="20"/>
              </w:rPr>
              <w:t xml:space="preserve">Level 3 — Unobservable inputs to the valuation methodology that </w:t>
            </w:r>
            <w:r>
              <w:rPr>
                <w:sz w:val="20"/>
                <w:szCs w:val="20"/>
              </w:rPr>
              <w:t>are significant to the measurement of fair value of assets or liabilities.</w:t>
            </w:r>
          </w:p>
        </w:tc>
      </w:tr>
    </w:tbl>
    <w:p w14:paraId="36266B3D" w14:textId="77777777" w:rsidR="00000000" w:rsidRDefault="00B8284C">
      <w:pPr>
        <w:pStyle w:val="a3"/>
        <w:spacing w:before="240" w:beforeAutospacing="0" w:after="0" w:afterAutospacing="0"/>
        <w:ind w:firstLine="556"/>
        <w:rPr>
          <w:sz w:val="20"/>
          <w:szCs w:val="20"/>
        </w:rPr>
      </w:pPr>
      <w:r>
        <w:rPr>
          <w:sz w:val="20"/>
          <w:szCs w:val="20"/>
        </w:rPr>
        <w:t>The following table details the fair value measurements within the fair value hierarchy of the Company’s financial assets and liabilities at September 30, 2019 and December 31, 2018:</w:t>
      </w:r>
    </w:p>
    <w:p w14:paraId="7AECC52B"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12"/>
        <w:gridCol w:w="106"/>
        <w:gridCol w:w="115"/>
        <w:gridCol w:w="787"/>
        <w:gridCol w:w="73"/>
        <w:gridCol w:w="91"/>
        <w:gridCol w:w="115"/>
        <w:gridCol w:w="787"/>
        <w:gridCol w:w="73"/>
        <w:gridCol w:w="91"/>
        <w:gridCol w:w="116"/>
        <w:gridCol w:w="788"/>
        <w:gridCol w:w="74"/>
        <w:gridCol w:w="92"/>
        <w:gridCol w:w="115"/>
        <w:gridCol w:w="797"/>
        <w:gridCol w:w="74"/>
      </w:tblGrid>
      <w:tr w:rsidR="00000000" w14:paraId="63E971C1" w14:textId="77777777">
        <w:trPr>
          <w:divId w:val="1856529095"/>
        </w:trPr>
        <w:tc>
          <w:tcPr>
            <w:tcW w:w="2421" w:type="pct"/>
            <w:shd w:val="clear" w:color="auto" w:fill="FFFFFF"/>
            <w:tcMar>
              <w:top w:w="15" w:type="dxa"/>
              <w:left w:w="0" w:type="dxa"/>
              <w:bottom w:w="0" w:type="dxa"/>
              <w:right w:w="15" w:type="dxa"/>
            </w:tcMar>
            <w:vAlign w:val="bottom"/>
            <w:hideMark/>
          </w:tcPr>
          <w:p w14:paraId="685503CC" w14:textId="77777777" w:rsidR="00000000" w:rsidRDefault="00B8284C">
            <w:pPr>
              <w:pStyle w:val="a3"/>
              <w:spacing w:before="0" w:beforeAutospacing="0" w:after="0" w:afterAutospacing="0"/>
              <w:rPr>
                <w:sz w:val="20"/>
                <w:szCs w:val="20"/>
              </w:rPr>
            </w:pPr>
            <w:r>
              <w:rPr>
                <w:sz w:val="20"/>
                <w:szCs w:val="20"/>
              </w:rPr>
              <w:t> </w:t>
            </w:r>
          </w:p>
        </w:tc>
        <w:tc>
          <w:tcPr>
            <w:tcW w:w="70" w:type="pct"/>
            <w:shd w:val="clear" w:color="auto" w:fill="FFFFFF"/>
            <w:tcMar>
              <w:top w:w="15" w:type="dxa"/>
              <w:left w:w="0" w:type="dxa"/>
              <w:bottom w:w="0" w:type="dxa"/>
              <w:right w:w="15" w:type="dxa"/>
            </w:tcMar>
            <w:vAlign w:val="bottom"/>
            <w:hideMark/>
          </w:tcPr>
          <w:p w14:paraId="207F88A5" w14:textId="77777777" w:rsidR="00000000" w:rsidRDefault="00B8284C">
            <w:pPr>
              <w:pStyle w:val="a3"/>
              <w:spacing w:before="0" w:beforeAutospacing="0" w:after="0" w:afterAutospacing="0"/>
              <w:jc w:val="right"/>
              <w:rPr>
                <w:color w:val="000000"/>
                <w:sz w:val="16"/>
                <w:szCs w:val="16"/>
              </w:rPr>
            </w:pPr>
            <w:r>
              <w:rPr>
                <w:color w:val="000000"/>
                <w:sz w:val="16"/>
                <w:szCs w:val="16"/>
              </w:rPr>
              <w:t> </w:t>
            </w:r>
          </w:p>
        </w:tc>
        <w:tc>
          <w:tcPr>
            <w:tcW w:w="2458" w:type="pct"/>
            <w:gridSpan w:val="14"/>
            <w:tcBorders>
              <w:bottom w:val="single" w:sz="6" w:space="0" w:color="000000"/>
            </w:tcBorders>
            <w:shd w:val="clear" w:color="auto" w:fill="FFFFFF"/>
            <w:tcMar>
              <w:top w:w="15" w:type="dxa"/>
              <w:left w:w="0" w:type="dxa"/>
              <w:bottom w:w="0" w:type="dxa"/>
              <w:right w:w="15" w:type="dxa"/>
            </w:tcMar>
            <w:vAlign w:val="bottom"/>
            <w:hideMark/>
          </w:tcPr>
          <w:p w14:paraId="57A9EC1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14:paraId="2CD4345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139467B" w14:textId="77777777">
        <w:trPr>
          <w:divId w:val="1856529095"/>
        </w:trPr>
        <w:tc>
          <w:tcPr>
            <w:tcW w:w="2421" w:type="pct"/>
            <w:shd w:val="clear" w:color="auto" w:fill="FFFFFF"/>
            <w:tcMar>
              <w:top w:w="15" w:type="dxa"/>
              <w:left w:w="0" w:type="dxa"/>
              <w:bottom w:w="0" w:type="dxa"/>
              <w:right w:w="15" w:type="dxa"/>
            </w:tcMar>
            <w:vAlign w:val="bottom"/>
            <w:hideMark/>
          </w:tcPr>
          <w:p w14:paraId="0DBDEC22"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0" w:type="pct"/>
            <w:shd w:val="clear" w:color="auto" w:fill="FFFFFF"/>
            <w:tcMar>
              <w:top w:w="15" w:type="dxa"/>
              <w:left w:w="0" w:type="dxa"/>
              <w:bottom w:w="0" w:type="dxa"/>
              <w:right w:w="15" w:type="dxa"/>
            </w:tcMar>
            <w:vAlign w:val="bottom"/>
            <w:hideMark/>
          </w:tcPr>
          <w:p w14:paraId="4A1880DC" w14:textId="77777777" w:rsidR="00000000" w:rsidRDefault="00B8284C">
            <w:pPr>
              <w:pStyle w:val="a3"/>
              <w:spacing w:before="0" w:beforeAutospacing="0" w:after="0" w:afterAutospacing="0"/>
              <w:jc w:val="right"/>
              <w:rPr>
                <w:color w:val="000000"/>
                <w:sz w:val="16"/>
                <w:szCs w:val="16"/>
              </w:rPr>
            </w:pPr>
            <w:r>
              <w:rPr>
                <w:color w:val="000000"/>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9144DB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14:paraId="0AF63E8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23C85FE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13417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14:paraId="52C315F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212EBD9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2BEBF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14:paraId="4507958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F013EFA"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D9E73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2B88267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07B7B2E" w14:textId="77777777">
        <w:trPr>
          <w:divId w:val="1856529095"/>
        </w:trPr>
        <w:tc>
          <w:tcPr>
            <w:tcW w:w="2421" w:type="pct"/>
            <w:shd w:val="clear" w:color="auto" w:fill="FFFFFF"/>
            <w:tcMar>
              <w:top w:w="15" w:type="dxa"/>
              <w:left w:w="0" w:type="dxa"/>
              <w:bottom w:w="0" w:type="dxa"/>
              <w:right w:w="15" w:type="dxa"/>
            </w:tcMar>
            <w:vAlign w:val="bottom"/>
            <w:hideMark/>
          </w:tcPr>
          <w:p w14:paraId="2D519196"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0" w:type="pct"/>
            <w:shd w:val="clear" w:color="auto" w:fill="FFFFFF"/>
            <w:tcMar>
              <w:top w:w="15" w:type="dxa"/>
              <w:left w:w="0" w:type="dxa"/>
              <w:bottom w:w="0" w:type="dxa"/>
              <w:right w:w="15" w:type="dxa"/>
            </w:tcMar>
            <w:vAlign w:val="bottom"/>
            <w:hideMark/>
          </w:tcPr>
          <w:p w14:paraId="2D4AE41C" w14:textId="77777777" w:rsidR="00000000" w:rsidRDefault="00B8284C">
            <w:pPr>
              <w:pStyle w:val="a3"/>
              <w:spacing w:before="0" w:beforeAutospacing="0" w:after="0" w:afterAutospacing="0"/>
              <w:jc w:val="right"/>
              <w:rPr>
                <w:color w:val="000000"/>
                <w:sz w:val="16"/>
                <w:szCs w:val="16"/>
              </w:rPr>
            </w:pPr>
            <w:r>
              <w:rPr>
                <w:color w:val="000000"/>
                <w:sz w:val="16"/>
                <w:szCs w:val="16"/>
              </w:rPr>
              <w:t> </w:t>
            </w:r>
          </w:p>
        </w:tc>
        <w:tc>
          <w:tcPr>
            <w:tcW w:w="2458" w:type="pct"/>
            <w:gridSpan w:val="14"/>
            <w:shd w:val="clear" w:color="auto" w:fill="FFFFFF"/>
            <w:tcMar>
              <w:top w:w="15" w:type="dxa"/>
              <w:left w:w="0" w:type="dxa"/>
              <w:bottom w:w="0" w:type="dxa"/>
              <w:right w:w="15" w:type="dxa"/>
            </w:tcMar>
            <w:vAlign w:val="bottom"/>
            <w:hideMark/>
          </w:tcPr>
          <w:p w14:paraId="2D1DDDF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6DDA084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325CB44" w14:textId="77777777">
        <w:trPr>
          <w:divId w:val="1856529095"/>
        </w:trPr>
        <w:tc>
          <w:tcPr>
            <w:tcW w:w="2421" w:type="pct"/>
            <w:shd w:val="clear" w:color="auto" w:fill="CFF0FC"/>
            <w:tcMar>
              <w:top w:w="15" w:type="dxa"/>
              <w:left w:w="0" w:type="dxa"/>
              <w:bottom w:w="0" w:type="dxa"/>
              <w:right w:w="15" w:type="dxa"/>
            </w:tcMar>
            <w:vAlign w:val="bottom"/>
            <w:hideMark/>
          </w:tcPr>
          <w:p w14:paraId="7C317E55" w14:textId="77777777" w:rsidR="00000000" w:rsidRDefault="00B8284C">
            <w:pPr>
              <w:pStyle w:val="a3"/>
              <w:spacing w:before="0" w:beforeAutospacing="0" w:after="0" w:afterAutospacing="0"/>
              <w:rPr>
                <w:color w:val="000000"/>
                <w:sz w:val="20"/>
                <w:szCs w:val="20"/>
              </w:rPr>
            </w:pPr>
            <w:r>
              <w:rPr>
                <w:color w:val="000000"/>
                <w:sz w:val="20"/>
                <w:szCs w:val="20"/>
              </w:rPr>
              <w:t>Cash equivalents and investments:</w:t>
            </w:r>
          </w:p>
        </w:tc>
        <w:tc>
          <w:tcPr>
            <w:tcW w:w="70" w:type="pct"/>
            <w:shd w:val="clear" w:color="auto" w:fill="CFF0FC"/>
            <w:tcMar>
              <w:top w:w="15" w:type="dxa"/>
              <w:left w:w="0" w:type="dxa"/>
              <w:bottom w:w="0" w:type="dxa"/>
              <w:right w:w="15" w:type="dxa"/>
            </w:tcMar>
            <w:vAlign w:val="bottom"/>
            <w:hideMark/>
          </w:tcPr>
          <w:p w14:paraId="11C86EE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5451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2ABD748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2BC0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67B17F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541C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64D0818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0735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5938E9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D2916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7121B02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6FB2C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C2ADB8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33C1D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039F8CF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EF233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FD6B5C6" w14:textId="77777777">
        <w:trPr>
          <w:divId w:val="1856529095"/>
        </w:trPr>
        <w:tc>
          <w:tcPr>
            <w:tcW w:w="2421" w:type="pct"/>
            <w:shd w:val="clear" w:color="auto" w:fill="FFFFFF"/>
            <w:tcMar>
              <w:top w:w="15" w:type="dxa"/>
              <w:left w:w="0" w:type="dxa"/>
              <w:bottom w:w="0" w:type="dxa"/>
              <w:right w:w="15" w:type="dxa"/>
            </w:tcMar>
            <w:vAlign w:val="bottom"/>
            <w:hideMark/>
          </w:tcPr>
          <w:p w14:paraId="3BF3DFF2" w14:textId="77777777" w:rsidR="00000000" w:rsidRDefault="00B8284C">
            <w:pPr>
              <w:pStyle w:val="a3"/>
              <w:spacing w:before="0" w:beforeAutospacing="0" w:after="0" w:afterAutospacing="0"/>
              <w:ind w:left="274"/>
              <w:rPr>
                <w:color w:val="000000"/>
                <w:sz w:val="20"/>
                <w:szCs w:val="20"/>
              </w:rPr>
            </w:pPr>
            <w:r>
              <w:rPr>
                <w:color w:val="000000"/>
                <w:sz w:val="20"/>
                <w:szCs w:val="20"/>
              </w:rPr>
              <w:t>Money market funds</w:t>
            </w:r>
          </w:p>
        </w:tc>
        <w:tc>
          <w:tcPr>
            <w:tcW w:w="70" w:type="pct"/>
            <w:shd w:val="clear" w:color="auto" w:fill="FFFFFF"/>
            <w:tcMar>
              <w:top w:w="15" w:type="dxa"/>
              <w:left w:w="0" w:type="dxa"/>
              <w:bottom w:w="0" w:type="dxa"/>
              <w:right w:w="15" w:type="dxa"/>
            </w:tcMar>
            <w:vAlign w:val="bottom"/>
            <w:hideMark/>
          </w:tcPr>
          <w:p w14:paraId="15E3248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FC175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73176FF0" w14:textId="77777777" w:rsidR="00000000" w:rsidRDefault="00B8284C">
            <w:pPr>
              <w:pStyle w:val="a3"/>
              <w:spacing w:before="0" w:beforeAutospacing="0" w:after="0" w:afterAutospacing="0"/>
              <w:jc w:val="right"/>
              <w:rPr>
                <w:color w:val="000000"/>
                <w:sz w:val="20"/>
                <w:szCs w:val="20"/>
              </w:rPr>
            </w:pPr>
            <w:r>
              <w:rPr>
                <w:color w:val="000000"/>
                <w:sz w:val="20"/>
                <w:szCs w:val="20"/>
              </w:rPr>
              <w:t>115,376</w:t>
            </w:r>
          </w:p>
        </w:tc>
        <w:tc>
          <w:tcPr>
            <w:tcW w:w="50" w:type="pct"/>
            <w:shd w:val="clear" w:color="auto" w:fill="FFFFFF"/>
            <w:noWrap/>
            <w:tcMar>
              <w:top w:w="15" w:type="dxa"/>
              <w:left w:w="0" w:type="dxa"/>
              <w:bottom w:w="0" w:type="dxa"/>
              <w:right w:w="15" w:type="dxa"/>
            </w:tcMar>
            <w:vAlign w:val="bottom"/>
            <w:hideMark/>
          </w:tcPr>
          <w:p w14:paraId="652E518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CF9C3D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DBD4B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107D669A"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5D5D2C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704C66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3D607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76ABCF9C"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8488DF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27AB44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625A6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00325EF6" w14:textId="77777777" w:rsidR="00000000" w:rsidRDefault="00B8284C">
            <w:pPr>
              <w:pStyle w:val="a3"/>
              <w:spacing w:before="0" w:beforeAutospacing="0" w:after="0" w:afterAutospacing="0"/>
              <w:jc w:val="right"/>
              <w:rPr>
                <w:color w:val="000000"/>
                <w:sz w:val="20"/>
                <w:szCs w:val="20"/>
              </w:rPr>
            </w:pPr>
            <w:r>
              <w:rPr>
                <w:color w:val="000000"/>
                <w:sz w:val="20"/>
                <w:szCs w:val="20"/>
              </w:rPr>
              <w:t>115,376</w:t>
            </w:r>
          </w:p>
        </w:tc>
        <w:tc>
          <w:tcPr>
            <w:tcW w:w="50" w:type="pct"/>
            <w:shd w:val="clear" w:color="auto" w:fill="FFFFFF"/>
            <w:noWrap/>
            <w:tcMar>
              <w:top w:w="15" w:type="dxa"/>
              <w:left w:w="0" w:type="dxa"/>
              <w:bottom w:w="0" w:type="dxa"/>
              <w:right w:w="15" w:type="dxa"/>
            </w:tcMar>
            <w:vAlign w:val="bottom"/>
            <w:hideMark/>
          </w:tcPr>
          <w:p w14:paraId="2771B26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E063735" w14:textId="77777777">
        <w:trPr>
          <w:divId w:val="1856529095"/>
        </w:trPr>
        <w:tc>
          <w:tcPr>
            <w:tcW w:w="2421" w:type="pct"/>
            <w:shd w:val="clear" w:color="auto" w:fill="CFF0FC"/>
            <w:tcMar>
              <w:top w:w="15" w:type="dxa"/>
              <w:left w:w="0" w:type="dxa"/>
              <w:bottom w:w="0" w:type="dxa"/>
              <w:right w:w="15" w:type="dxa"/>
            </w:tcMar>
            <w:vAlign w:val="bottom"/>
            <w:hideMark/>
          </w:tcPr>
          <w:p w14:paraId="7B083B4D" w14:textId="77777777" w:rsidR="00000000" w:rsidRDefault="00B8284C">
            <w:pPr>
              <w:pStyle w:val="a3"/>
              <w:spacing w:before="0" w:beforeAutospacing="0" w:after="0" w:afterAutospacing="0"/>
              <w:ind w:left="274"/>
              <w:rPr>
                <w:color w:val="000000"/>
                <w:sz w:val="20"/>
                <w:szCs w:val="20"/>
              </w:rPr>
            </w:pPr>
            <w:r>
              <w:rPr>
                <w:color w:val="000000"/>
                <w:sz w:val="20"/>
                <w:szCs w:val="20"/>
              </w:rPr>
              <w:t>Corporate bonds</w:t>
            </w:r>
          </w:p>
        </w:tc>
        <w:tc>
          <w:tcPr>
            <w:tcW w:w="70" w:type="pct"/>
            <w:shd w:val="clear" w:color="auto" w:fill="CFF0FC"/>
            <w:tcMar>
              <w:top w:w="15" w:type="dxa"/>
              <w:left w:w="0" w:type="dxa"/>
              <w:bottom w:w="0" w:type="dxa"/>
              <w:right w:w="15" w:type="dxa"/>
            </w:tcMar>
            <w:vAlign w:val="bottom"/>
            <w:hideMark/>
          </w:tcPr>
          <w:p w14:paraId="05D7F90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7945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4C66764B"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1D50AF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51278E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B5013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5AFCB03C" w14:textId="77777777" w:rsidR="00000000" w:rsidRDefault="00B8284C">
            <w:pPr>
              <w:pStyle w:val="a3"/>
              <w:spacing w:before="0" w:beforeAutospacing="0" w:after="0" w:afterAutospacing="0"/>
              <w:jc w:val="right"/>
              <w:rPr>
                <w:color w:val="000000"/>
                <w:sz w:val="20"/>
                <w:szCs w:val="20"/>
              </w:rPr>
            </w:pPr>
            <w:r>
              <w:rPr>
                <w:color w:val="000000"/>
                <w:sz w:val="20"/>
                <w:szCs w:val="20"/>
              </w:rPr>
              <w:t>83,426</w:t>
            </w:r>
          </w:p>
        </w:tc>
        <w:tc>
          <w:tcPr>
            <w:tcW w:w="50" w:type="pct"/>
            <w:shd w:val="clear" w:color="auto" w:fill="CFF0FC"/>
            <w:noWrap/>
            <w:tcMar>
              <w:top w:w="15" w:type="dxa"/>
              <w:left w:w="0" w:type="dxa"/>
              <w:bottom w:w="0" w:type="dxa"/>
              <w:right w:w="15" w:type="dxa"/>
            </w:tcMar>
            <w:vAlign w:val="bottom"/>
            <w:hideMark/>
          </w:tcPr>
          <w:p w14:paraId="2B01E76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31753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DA04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36EB4FC3"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C5FAB3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D38C38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B235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20AE505F" w14:textId="77777777" w:rsidR="00000000" w:rsidRDefault="00B8284C">
            <w:pPr>
              <w:pStyle w:val="a3"/>
              <w:spacing w:before="0" w:beforeAutospacing="0" w:after="0" w:afterAutospacing="0"/>
              <w:jc w:val="right"/>
              <w:rPr>
                <w:color w:val="000000"/>
                <w:sz w:val="20"/>
                <w:szCs w:val="20"/>
              </w:rPr>
            </w:pPr>
            <w:r>
              <w:rPr>
                <w:color w:val="000000"/>
                <w:sz w:val="20"/>
                <w:szCs w:val="20"/>
              </w:rPr>
              <w:t>83,426</w:t>
            </w:r>
          </w:p>
        </w:tc>
        <w:tc>
          <w:tcPr>
            <w:tcW w:w="50" w:type="pct"/>
            <w:shd w:val="clear" w:color="auto" w:fill="CFF0FC"/>
            <w:noWrap/>
            <w:tcMar>
              <w:top w:w="15" w:type="dxa"/>
              <w:left w:w="0" w:type="dxa"/>
              <w:bottom w:w="0" w:type="dxa"/>
              <w:right w:w="15" w:type="dxa"/>
            </w:tcMar>
            <w:vAlign w:val="bottom"/>
            <w:hideMark/>
          </w:tcPr>
          <w:p w14:paraId="5A4E044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7E7A65E" w14:textId="77777777">
        <w:trPr>
          <w:divId w:val="1856529095"/>
        </w:trPr>
        <w:tc>
          <w:tcPr>
            <w:tcW w:w="2421" w:type="pct"/>
            <w:shd w:val="clear" w:color="auto" w:fill="FFFFFF"/>
            <w:tcMar>
              <w:top w:w="15" w:type="dxa"/>
              <w:left w:w="0" w:type="dxa"/>
              <w:bottom w:w="0" w:type="dxa"/>
              <w:right w:w="15" w:type="dxa"/>
            </w:tcMar>
            <w:vAlign w:val="bottom"/>
            <w:hideMark/>
          </w:tcPr>
          <w:p w14:paraId="4F80E749" w14:textId="77777777" w:rsidR="00000000" w:rsidRDefault="00B8284C">
            <w:pPr>
              <w:pStyle w:val="a3"/>
              <w:spacing w:before="0" w:beforeAutospacing="0" w:after="0" w:afterAutospacing="0"/>
              <w:ind w:left="274"/>
              <w:rPr>
                <w:color w:val="000000"/>
                <w:sz w:val="20"/>
                <w:szCs w:val="20"/>
              </w:rPr>
            </w:pPr>
            <w:r>
              <w:rPr>
                <w:color w:val="000000"/>
                <w:sz w:val="20"/>
                <w:szCs w:val="20"/>
              </w:rPr>
              <w:t>U.S. Treasury securities</w:t>
            </w:r>
          </w:p>
        </w:tc>
        <w:tc>
          <w:tcPr>
            <w:tcW w:w="70" w:type="pct"/>
            <w:shd w:val="clear" w:color="auto" w:fill="FFFFFF"/>
            <w:tcMar>
              <w:top w:w="15" w:type="dxa"/>
              <w:left w:w="0" w:type="dxa"/>
              <w:bottom w:w="0" w:type="dxa"/>
              <w:right w:w="15" w:type="dxa"/>
            </w:tcMar>
            <w:vAlign w:val="bottom"/>
            <w:hideMark/>
          </w:tcPr>
          <w:p w14:paraId="1F35BF4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F6CB0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14:paraId="75D777AC"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617013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B974F7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D034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14:paraId="4C7E4CB6" w14:textId="77777777" w:rsidR="00000000" w:rsidRDefault="00B8284C">
            <w:pPr>
              <w:pStyle w:val="a3"/>
              <w:spacing w:before="0" w:beforeAutospacing="0" w:after="0" w:afterAutospacing="0"/>
              <w:jc w:val="right"/>
              <w:rPr>
                <w:color w:val="000000"/>
                <w:sz w:val="20"/>
                <w:szCs w:val="20"/>
              </w:rPr>
            </w:pPr>
            <w:r>
              <w:rPr>
                <w:color w:val="000000"/>
                <w:sz w:val="20"/>
                <w:szCs w:val="20"/>
              </w:rPr>
              <w:t>699,123</w:t>
            </w:r>
          </w:p>
        </w:tc>
        <w:tc>
          <w:tcPr>
            <w:tcW w:w="50" w:type="pct"/>
            <w:shd w:val="clear" w:color="auto" w:fill="FFFFFF"/>
            <w:noWrap/>
            <w:tcMar>
              <w:top w:w="15" w:type="dxa"/>
              <w:left w:w="0" w:type="dxa"/>
              <w:bottom w:w="0" w:type="dxa"/>
              <w:right w:w="15" w:type="dxa"/>
            </w:tcMar>
            <w:vAlign w:val="bottom"/>
            <w:hideMark/>
          </w:tcPr>
          <w:p w14:paraId="2451C36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FC10AD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CAF4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14:paraId="140F5376"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B019E4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820C28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D4C27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14:paraId="4C3512E4" w14:textId="77777777" w:rsidR="00000000" w:rsidRDefault="00B8284C">
            <w:pPr>
              <w:pStyle w:val="a3"/>
              <w:spacing w:before="0" w:beforeAutospacing="0" w:after="0" w:afterAutospacing="0"/>
              <w:jc w:val="right"/>
              <w:rPr>
                <w:color w:val="000000"/>
                <w:sz w:val="20"/>
                <w:szCs w:val="20"/>
              </w:rPr>
            </w:pPr>
            <w:r>
              <w:rPr>
                <w:color w:val="000000"/>
                <w:sz w:val="20"/>
                <w:szCs w:val="20"/>
              </w:rPr>
              <w:t>699,123</w:t>
            </w:r>
          </w:p>
        </w:tc>
        <w:tc>
          <w:tcPr>
            <w:tcW w:w="50" w:type="pct"/>
            <w:shd w:val="clear" w:color="auto" w:fill="FFFFFF"/>
            <w:noWrap/>
            <w:tcMar>
              <w:top w:w="15" w:type="dxa"/>
              <w:left w:w="0" w:type="dxa"/>
              <w:bottom w:w="0" w:type="dxa"/>
              <w:right w:w="15" w:type="dxa"/>
            </w:tcMar>
            <w:vAlign w:val="bottom"/>
            <w:hideMark/>
          </w:tcPr>
          <w:p w14:paraId="2B228F7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A992AE1" w14:textId="77777777">
        <w:trPr>
          <w:divId w:val="1856529095"/>
        </w:trPr>
        <w:tc>
          <w:tcPr>
            <w:tcW w:w="2421" w:type="pct"/>
            <w:shd w:val="clear" w:color="auto" w:fill="CFF0FC"/>
            <w:tcMar>
              <w:top w:w="15" w:type="dxa"/>
              <w:left w:w="0" w:type="dxa"/>
              <w:bottom w:w="0" w:type="dxa"/>
              <w:right w:w="15" w:type="dxa"/>
            </w:tcMar>
            <w:vAlign w:val="bottom"/>
            <w:hideMark/>
          </w:tcPr>
          <w:p w14:paraId="3CE65CEF" w14:textId="77777777" w:rsidR="00000000" w:rsidRDefault="00B8284C">
            <w:pPr>
              <w:pStyle w:val="a3"/>
              <w:spacing w:before="0" w:beforeAutospacing="0" w:after="0" w:afterAutospacing="0"/>
              <w:rPr>
                <w:color w:val="000000"/>
                <w:sz w:val="20"/>
                <w:szCs w:val="20"/>
              </w:rPr>
            </w:pPr>
            <w:r>
              <w:rPr>
                <w:color w:val="000000"/>
                <w:sz w:val="20"/>
                <w:szCs w:val="20"/>
              </w:rPr>
              <w:t>Restricted cash:</w:t>
            </w:r>
          </w:p>
        </w:tc>
        <w:tc>
          <w:tcPr>
            <w:tcW w:w="70" w:type="pct"/>
            <w:shd w:val="clear" w:color="auto" w:fill="CFF0FC"/>
            <w:tcMar>
              <w:top w:w="15" w:type="dxa"/>
              <w:left w:w="0" w:type="dxa"/>
              <w:bottom w:w="0" w:type="dxa"/>
              <w:right w:w="15" w:type="dxa"/>
            </w:tcMar>
            <w:vAlign w:val="bottom"/>
            <w:hideMark/>
          </w:tcPr>
          <w:p w14:paraId="6C880F2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BAD65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2CBE7D6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DEE86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C85E85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30462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0EFFFE2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C578D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BBA31D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17CF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6992FB8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C8ED2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53E82A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261A5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CFF0FC"/>
            <w:noWrap/>
            <w:tcMar>
              <w:top w:w="15" w:type="dxa"/>
              <w:left w:w="0" w:type="dxa"/>
              <w:bottom w:w="0" w:type="dxa"/>
              <w:right w:w="15" w:type="dxa"/>
            </w:tcMar>
            <w:vAlign w:val="bottom"/>
            <w:hideMark/>
          </w:tcPr>
          <w:p w14:paraId="52CCD91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B01EC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902F906" w14:textId="77777777">
        <w:trPr>
          <w:divId w:val="1856529095"/>
        </w:trPr>
        <w:tc>
          <w:tcPr>
            <w:tcW w:w="2421" w:type="pct"/>
            <w:shd w:val="clear" w:color="auto" w:fill="FFFFFF"/>
            <w:tcMar>
              <w:top w:w="15" w:type="dxa"/>
              <w:left w:w="0" w:type="dxa"/>
              <w:bottom w:w="0" w:type="dxa"/>
              <w:right w:w="15" w:type="dxa"/>
            </w:tcMar>
            <w:vAlign w:val="bottom"/>
            <w:hideMark/>
          </w:tcPr>
          <w:p w14:paraId="410EE63C" w14:textId="77777777" w:rsidR="00000000" w:rsidRDefault="00B8284C">
            <w:pPr>
              <w:pStyle w:val="a3"/>
              <w:spacing w:before="0" w:beforeAutospacing="0" w:after="0" w:afterAutospacing="0"/>
              <w:ind w:left="274"/>
              <w:rPr>
                <w:color w:val="000000"/>
                <w:sz w:val="20"/>
                <w:szCs w:val="20"/>
              </w:rPr>
            </w:pPr>
            <w:r>
              <w:rPr>
                <w:color w:val="000000"/>
                <w:sz w:val="20"/>
                <w:szCs w:val="20"/>
              </w:rPr>
              <w:t>Certificates of deposit</w:t>
            </w:r>
          </w:p>
        </w:tc>
        <w:tc>
          <w:tcPr>
            <w:tcW w:w="70" w:type="pct"/>
            <w:shd w:val="clear" w:color="auto" w:fill="FFFFFF"/>
            <w:tcMar>
              <w:top w:w="15" w:type="dxa"/>
              <w:left w:w="0" w:type="dxa"/>
              <w:bottom w:w="0" w:type="dxa"/>
              <w:right w:w="15" w:type="dxa"/>
            </w:tcMar>
            <w:vAlign w:val="bottom"/>
            <w:hideMark/>
          </w:tcPr>
          <w:p w14:paraId="73A3663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95EED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14:paraId="38F90021"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386D12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6126C8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D978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14:paraId="50F31523" w14:textId="77777777" w:rsidR="00000000" w:rsidRDefault="00B8284C">
            <w:pPr>
              <w:pStyle w:val="a3"/>
              <w:spacing w:before="0" w:beforeAutospacing="0" w:after="0" w:afterAutospacing="0"/>
              <w:jc w:val="right"/>
              <w:rPr>
                <w:color w:val="000000"/>
                <w:sz w:val="20"/>
                <w:szCs w:val="20"/>
              </w:rPr>
            </w:pPr>
            <w:r>
              <w:rPr>
                <w:color w:val="000000"/>
                <w:sz w:val="20"/>
                <w:szCs w:val="20"/>
              </w:rPr>
              <w:t>5,569</w:t>
            </w:r>
          </w:p>
        </w:tc>
        <w:tc>
          <w:tcPr>
            <w:tcW w:w="50" w:type="pct"/>
            <w:shd w:val="clear" w:color="auto" w:fill="FFFFFF"/>
            <w:noWrap/>
            <w:tcMar>
              <w:top w:w="15" w:type="dxa"/>
              <w:left w:w="0" w:type="dxa"/>
              <w:bottom w:w="0" w:type="dxa"/>
              <w:right w:w="15" w:type="dxa"/>
            </w:tcMar>
            <w:vAlign w:val="bottom"/>
            <w:hideMark/>
          </w:tcPr>
          <w:p w14:paraId="187EBD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14AE6A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7E7AE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14:paraId="2C3E4757"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C43906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70770F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84D0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14:paraId="4937F276" w14:textId="77777777" w:rsidR="00000000" w:rsidRDefault="00B8284C">
            <w:pPr>
              <w:pStyle w:val="a3"/>
              <w:spacing w:before="0" w:beforeAutospacing="0" w:after="0" w:afterAutospacing="0"/>
              <w:jc w:val="right"/>
              <w:rPr>
                <w:color w:val="000000"/>
                <w:sz w:val="20"/>
                <w:szCs w:val="20"/>
              </w:rPr>
            </w:pPr>
            <w:r>
              <w:rPr>
                <w:color w:val="000000"/>
                <w:sz w:val="20"/>
                <w:szCs w:val="20"/>
              </w:rPr>
              <w:t>5,569</w:t>
            </w:r>
          </w:p>
        </w:tc>
        <w:tc>
          <w:tcPr>
            <w:tcW w:w="50" w:type="pct"/>
            <w:shd w:val="clear" w:color="auto" w:fill="FFFFFF"/>
            <w:noWrap/>
            <w:tcMar>
              <w:top w:w="15" w:type="dxa"/>
              <w:left w:w="0" w:type="dxa"/>
              <w:bottom w:w="0" w:type="dxa"/>
              <w:right w:w="15" w:type="dxa"/>
            </w:tcMar>
            <w:vAlign w:val="bottom"/>
            <w:hideMark/>
          </w:tcPr>
          <w:p w14:paraId="025D86A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7156869" w14:textId="77777777">
        <w:trPr>
          <w:divId w:val="1856529095"/>
        </w:trPr>
        <w:tc>
          <w:tcPr>
            <w:tcW w:w="2421" w:type="pct"/>
            <w:shd w:val="clear" w:color="auto" w:fill="CFF0FC"/>
            <w:tcMar>
              <w:top w:w="15" w:type="dxa"/>
              <w:left w:w="0" w:type="dxa"/>
              <w:bottom w:w="0" w:type="dxa"/>
              <w:right w:w="15" w:type="dxa"/>
            </w:tcMar>
            <w:vAlign w:val="bottom"/>
            <w:hideMark/>
          </w:tcPr>
          <w:p w14:paraId="621844E7" w14:textId="77777777" w:rsidR="00000000" w:rsidRDefault="00B8284C">
            <w:pPr>
              <w:pStyle w:val="a3"/>
              <w:spacing w:before="0" w:beforeAutospacing="0" w:after="0" w:afterAutospacing="0"/>
              <w:ind w:left="274"/>
              <w:rPr>
                <w:color w:val="000000"/>
                <w:sz w:val="20"/>
                <w:szCs w:val="20"/>
              </w:rPr>
            </w:pPr>
            <w:r>
              <w:rPr>
                <w:color w:val="000000"/>
                <w:sz w:val="20"/>
                <w:szCs w:val="20"/>
              </w:rPr>
              <w:t>Money market funds</w:t>
            </w:r>
          </w:p>
        </w:tc>
        <w:tc>
          <w:tcPr>
            <w:tcW w:w="70" w:type="pct"/>
            <w:shd w:val="clear" w:color="auto" w:fill="CFF0FC"/>
            <w:tcMar>
              <w:top w:w="15" w:type="dxa"/>
              <w:left w:w="0" w:type="dxa"/>
              <w:bottom w:w="0" w:type="dxa"/>
              <w:right w:w="15" w:type="dxa"/>
            </w:tcMar>
            <w:vAlign w:val="bottom"/>
            <w:hideMark/>
          </w:tcPr>
          <w:p w14:paraId="58184E1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77807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tcBorders>
              <w:bottom w:val="single" w:sz="6" w:space="0" w:color="000000"/>
            </w:tcBorders>
            <w:shd w:val="clear" w:color="auto" w:fill="CFF0FC"/>
            <w:noWrap/>
            <w:tcMar>
              <w:top w:w="15" w:type="dxa"/>
              <w:left w:w="0" w:type="dxa"/>
              <w:bottom w:w="0" w:type="dxa"/>
              <w:right w:w="15" w:type="dxa"/>
            </w:tcMar>
            <w:vAlign w:val="bottom"/>
            <w:hideMark/>
          </w:tcPr>
          <w:p w14:paraId="12D4941F"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04323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AAC651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2AEA2C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tcBorders>
              <w:bottom w:val="single" w:sz="6" w:space="0" w:color="000000"/>
            </w:tcBorders>
            <w:shd w:val="clear" w:color="auto" w:fill="CFF0FC"/>
            <w:noWrap/>
            <w:tcMar>
              <w:top w:w="15" w:type="dxa"/>
              <w:left w:w="0" w:type="dxa"/>
              <w:bottom w:w="0" w:type="dxa"/>
              <w:right w:w="15" w:type="dxa"/>
            </w:tcMar>
            <w:vAlign w:val="bottom"/>
            <w:hideMark/>
          </w:tcPr>
          <w:p w14:paraId="70A6C351" w14:textId="77777777" w:rsidR="00000000" w:rsidRDefault="00B8284C">
            <w:pPr>
              <w:pStyle w:val="a3"/>
              <w:spacing w:before="0" w:beforeAutospacing="0" w:after="0" w:afterAutospacing="0"/>
              <w:jc w:val="right"/>
              <w:rPr>
                <w:color w:val="000000"/>
                <w:sz w:val="20"/>
                <w:szCs w:val="20"/>
              </w:rPr>
            </w:pPr>
            <w:r>
              <w:rPr>
                <w:color w:val="000000"/>
                <w:sz w:val="20"/>
                <w:szCs w:val="20"/>
              </w:rPr>
              <w:t>1,955</w:t>
            </w:r>
          </w:p>
        </w:tc>
        <w:tc>
          <w:tcPr>
            <w:tcW w:w="50" w:type="pct"/>
            <w:shd w:val="clear" w:color="auto" w:fill="CFF0FC"/>
            <w:noWrap/>
            <w:tcMar>
              <w:top w:w="15" w:type="dxa"/>
              <w:left w:w="0" w:type="dxa"/>
              <w:bottom w:w="0" w:type="dxa"/>
              <w:right w:w="15" w:type="dxa"/>
            </w:tcMar>
            <w:vAlign w:val="bottom"/>
            <w:hideMark/>
          </w:tcPr>
          <w:p w14:paraId="489FE84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99E83F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13A9AD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tcBorders>
              <w:bottom w:val="single" w:sz="6" w:space="0" w:color="000000"/>
            </w:tcBorders>
            <w:shd w:val="clear" w:color="auto" w:fill="CFF0FC"/>
            <w:noWrap/>
            <w:tcMar>
              <w:top w:w="15" w:type="dxa"/>
              <w:left w:w="0" w:type="dxa"/>
              <w:bottom w:w="0" w:type="dxa"/>
              <w:right w:w="15" w:type="dxa"/>
            </w:tcMar>
            <w:vAlign w:val="bottom"/>
            <w:hideMark/>
          </w:tcPr>
          <w:p w14:paraId="1051FADA"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41136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356DEB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6AAF1F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0" w:type="pct"/>
            <w:tcBorders>
              <w:bottom w:val="single" w:sz="6" w:space="0" w:color="000000"/>
            </w:tcBorders>
            <w:shd w:val="clear" w:color="auto" w:fill="CFF0FC"/>
            <w:noWrap/>
            <w:tcMar>
              <w:top w:w="15" w:type="dxa"/>
              <w:left w:w="0" w:type="dxa"/>
              <w:bottom w:w="0" w:type="dxa"/>
              <w:right w:w="15" w:type="dxa"/>
            </w:tcMar>
            <w:vAlign w:val="bottom"/>
            <w:hideMark/>
          </w:tcPr>
          <w:p w14:paraId="67106DC2" w14:textId="77777777" w:rsidR="00000000" w:rsidRDefault="00B8284C">
            <w:pPr>
              <w:pStyle w:val="a3"/>
              <w:spacing w:before="0" w:beforeAutospacing="0" w:after="0" w:afterAutospacing="0"/>
              <w:jc w:val="right"/>
              <w:rPr>
                <w:color w:val="000000"/>
                <w:sz w:val="20"/>
                <w:szCs w:val="20"/>
              </w:rPr>
            </w:pPr>
            <w:r>
              <w:rPr>
                <w:color w:val="000000"/>
                <w:sz w:val="20"/>
                <w:szCs w:val="20"/>
              </w:rPr>
              <w:t>1,955</w:t>
            </w:r>
          </w:p>
        </w:tc>
        <w:tc>
          <w:tcPr>
            <w:tcW w:w="50" w:type="pct"/>
            <w:shd w:val="clear" w:color="auto" w:fill="CFF0FC"/>
            <w:noWrap/>
            <w:tcMar>
              <w:top w:w="15" w:type="dxa"/>
              <w:left w:w="0" w:type="dxa"/>
              <w:bottom w:w="0" w:type="dxa"/>
              <w:right w:w="15" w:type="dxa"/>
            </w:tcMar>
            <w:vAlign w:val="bottom"/>
            <w:hideMark/>
          </w:tcPr>
          <w:p w14:paraId="7C4FA90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ACB50DF" w14:textId="77777777">
        <w:trPr>
          <w:divId w:val="1856529095"/>
        </w:trPr>
        <w:tc>
          <w:tcPr>
            <w:tcW w:w="2421" w:type="pct"/>
            <w:shd w:val="clear" w:color="auto" w:fill="FFFFFF"/>
            <w:tcMar>
              <w:top w:w="15" w:type="dxa"/>
              <w:left w:w="0" w:type="dxa"/>
              <w:bottom w:w="0" w:type="dxa"/>
              <w:right w:w="15" w:type="dxa"/>
            </w:tcMar>
            <w:vAlign w:val="bottom"/>
            <w:hideMark/>
          </w:tcPr>
          <w:p w14:paraId="2B535465" w14:textId="77777777" w:rsidR="00000000" w:rsidRDefault="00B8284C">
            <w:pPr>
              <w:pStyle w:val="a3"/>
              <w:spacing w:before="0" w:beforeAutospacing="0" w:after="0" w:afterAutospacing="0"/>
              <w:rPr>
                <w:color w:val="000000"/>
                <w:sz w:val="20"/>
                <w:szCs w:val="20"/>
              </w:rPr>
            </w:pPr>
            <w:r>
              <w:rPr>
                <w:color w:val="000000"/>
                <w:sz w:val="20"/>
                <w:szCs w:val="20"/>
              </w:rPr>
              <w:t>Total</w:t>
            </w:r>
          </w:p>
        </w:tc>
        <w:tc>
          <w:tcPr>
            <w:tcW w:w="70" w:type="pct"/>
            <w:shd w:val="clear" w:color="auto" w:fill="FFFFFF"/>
            <w:tcMar>
              <w:top w:w="15" w:type="dxa"/>
              <w:left w:w="0" w:type="dxa"/>
              <w:bottom w:w="0" w:type="dxa"/>
              <w:right w:w="15" w:type="dxa"/>
            </w:tcMar>
            <w:vAlign w:val="bottom"/>
            <w:hideMark/>
          </w:tcPr>
          <w:p w14:paraId="36D96EC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7B71B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C6D791" w14:textId="77777777" w:rsidR="00000000" w:rsidRDefault="00B8284C">
            <w:pPr>
              <w:pStyle w:val="a3"/>
              <w:spacing w:before="0" w:beforeAutospacing="0" w:after="0" w:afterAutospacing="0"/>
              <w:jc w:val="right"/>
              <w:rPr>
                <w:color w:val="000000"/>
                <w:sz w:val="20"/>
                <w:szCs w:val="20"/>
              </w:rPr>
            </w:pPr>
            <w:r>
              <w:rPr>
                <w:color w:val="000000"/>
                <w:sz w:val="20"/>
                <w:szCs w:val="20"/>
              </w:rPr>
              <w:t>115,376</w:t>
            </w:r>
          </w:p>
        </w:tc>
        <w:tc>
          <w:tcPr>
            <w:tcW w:w="50" w:type="pct"/>
            <w:shd w:val="clear" w:color="auto" w:fill="FFFFFF"/>
            <w:noWrap/>
            <w:tcMar>
              <w:top w:w="15" w:type="dxa"/>
              <w:left w:w="0" w:type="dxa"/>
              <w:bottom w:w="0" w:type="dxa"/>
              <w:right w:w="15" w:type="dxa"/>
            </w:tcMar>
            <w:vAlign w:val="bottom"/>
            <w:hideMark/>
          </w:tcPr>
          <w:p w14:paraId="1748BE3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CB5935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E2C1F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379ACF" w14:textId="77777777" w:rsidR="00000000" w:rsidRDefault="00B8284C">
            <w:pPr>
              <w:pStyle w:val="a3"/>
              <w:spacing w:before="0" w:beforeAutospacing="0" w:after="0" w:afterAutospacing="0"/>
              <w:jc w:val="right"/>
              <w:rPr>
                <w:color w:val="000000"/>
                <w:sz w:val="20"/>
                <w:szCs w:val="20"/>
              </w:rPr>
            </w:pPr>
            <w:r>
              <w:rPr>
                <w:color w:val="000000"/>
                <w:sz w:val="20"/>
                <w:szCs w:val="20"/>
              </w:rPr>
              <w:t>790,073</w:t>
            </w:r>
          </w:p>
        </w:tc>
        <w:tc>
          <w:tcPr>
            <w:tcW w:w="50" w:type="pct"/>
            <w:shd w:val="clear" w:color="auto" w:fill="FFFFFF"/>
            <w:noWrap/>
            <w:tcMar>
              <w:top w:w="15" w:type="dxa"/>
              <w:left w:w="0" w:type="dxa"/>
              <w:bottom w:w="0" w:type="dxa"/>
              <w:right w:w="15" w:type="dxa"/>
            </w:tcMar>
            <w:vAlign w:val="bottom"/>
            <w:hideMark/>
          </w:tcPr>
          <w:p w14:paraId="0A3AE9F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12F73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64CD5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257452"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9EC23B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323DB1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9985A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A9589F" w14:textId="77777777" w:rsidR="00000000" w:rsidRDefault="00B8284C">
            <w:pPr>
              <w:pStyle w:val="a3"/>
              <w:spacing w:before="0" w:beforeAutospacing="0" w:after="0" w:afterAutospacing="0"/>
              <w:jc w:val="right"/>
              <w:rPr>
                <w:color w:val="000000"/>
                <w:sz w:val="20"/>
                <w:szCs w:val="20"/>
              </w:rPr>
            </w:pPr>
            <w:r>
              <w:rPr>
                <w:color w:val="000000"/>
                <w:sz w:val="20"/>
                <w:szCs w:val="20"/>
              </w:rPr>
              <w:t>905,449</w:t>
            </w:r>
          </w:p>
        </w:tc>
        <w:tc>
          <w:tcPr>
            <w:tcW w:w="50" w:type="pct"/>
            <w:shd w:val="clear" w:color="auto" w:fill="FFFFFF"/>
            <w:noWrap/>
            <w:tcMar>
              <w:top w:w="15" w:type="dxa"/>
              <w:left w:w="0" w:type="dxa"/>
              <w:bottom w:w="0" w:type="dxa"/>
              <w:right w:w="15" w:type="dxa"/>
            </w:tcMar>
            <w:vAlign w:val="bottom"/>
            <w:hideMark/>
          </w:tcPr>
          <w:p w14:paraId="10B99665"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24EA4CFC"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03"/>
        <w:gridCol w:w="103"/>
        <w:gridCol w:w="115"/>
        <w:gridCol w:w="789"/>
        <w:gridCol w:w="73"/>
        <w:gridCol w:w="95"/>
        <w:gridCol w:w="115"/>
        <w:gridCol w:w="789"/>
        <w:gridCol w:w="73"/>
        <w:gridCol w:w="95"/>
        <w:gridCol w:w="116"/>
        <w:gridCol w:w="789"/>
        <w:gridCol w:w="73"/>
        <w:gridCol w:w="96"/>
        <w:gridCol w:w="115"/>
        <w:gridCol w:w="793"/>
        <w:gridCol w:w="74"/>
      </w:tblGrid>
      <w:tr w:rsidR="00000000" w14:paraId="74D729CC" w14:textId="77777777">
        <w:trPr>
          <w:divId w:val="2146117412"/>
        </w:trPr>
        <w:tc>
          <w:tcPr>
            <w:tcW w:w="2415" w:type="pct"/>
            <w:shd w:val="clear" w:color="auto" w:fill="FFFFFF"/>
            <w:tcMar>
              <w:top w:w="15" w:type="dxa"/>
              <w:left w:w="0" w:type="dxa"/>
              <w:bottom w:w="0" w:type="dxa"/>
              <w:right w:w="15" w:type="dxa"/>
            </w:tcMar>
            <w:vAlign w:val="bottom"/>
            <w:hideMark/>
          </w:tcPr>
          <w:p w14:paraId="4B982E72" w14:textId="77777777" w:rsidR="00000000" w:rsidRDefault="00B8284C">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283AAF8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465" w:type="pct"/>
            <w:gridSpan w:val="14"/>
            <w:tcBorders>
              <w:bottom w:val="single" w:sz="6" w:space="0" w:color="000000"/>
            </w:tcBorders>
            <w:shd w:val="clear" w:color="auto" w:fill="FFFFFF"/>
            <w:tcMar>
              <w:top w:w="15" w:type="dxa"/>
              <w:left w:w="0" w:type="dxa"/>
              <w:bottom w:w="0" w:type="dxa"/>
              <w:right w:w="15" w:type="dxa"/>
            </w:tcMar>
            <w:vAlign w:val="bottom"/>
            <w:hideMark/>
          </w:tcPr>
          <w:p w14:paraId="6E6C4E9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4C0EF4E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FFDD0FC" w14:textId="77777777">
        <w:trPr>
          <w:divId w:val="2146117412"/>
        </w:trPr>
        <w:tc>
          <w:tcPr>
            <w:tcW w:w="2415" w:type="pct"/>
            <w:shd w:val="clear" w:color="auto" w:fill="FFFFFF"/>
            <w:tcMar>
              <w:top w:w="15" w:type="dxa"/>
              <w:left w:w="0" w:type="dxa"/>
              <w:bottom w:w="0" w:type="dxa"/>
              <w:right w:w="15" w:type="dxa"/>
            </w:tcMar>
            <w:vAlign w:val="bottom"/>
            <w:hideMark/>
          </w:tcPr>
          <w:p w14:paraId="7D6B610E"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1B77504C"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B5030F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14:paraId="5E73B79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185714B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FC289C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14:paraId="452D1E5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6EF2CC0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89CDC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14:paraId="08A8562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3CFD468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8732E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6CB9D3C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35D99BC" w14:textId="77777777">
        <w:trPr>
          <w:divId w:val="2146117412"/>
        </w:trPr>
        <w:tc>
          <w:tcPr>
            <w:tcW w:w="2415" w:type="pct"/>
            <w:shd w:val="clear" w:color="auto" w:fill="FFFFFF"/>
            <w:tcMar>
              <w:top w:w="15" w:type="dxa"/>
              <w:left w:w="0" w:type="dxa"/>
              <w:bottom w:w="0" w:type="dxa"/>
              <w:right w:w="15" w:type="dxa"/>
            </w:tcMar>
            <w:vAlign w:val="bottom"/>
            <w:hideMark/>
          </w:tcPr>
          <w:p w14:paraId="374711D0"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3C83303B"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2465" w:type="pct"/>
            <w:gridSpan w:val="14"/>
            <w:shd w:val="clear" w:color="auto" w:fill="FFFFFF"/>
            <w:tcMar>
              <w:top w:w="15" w:type="dxa"/>
              <w:left w:w="0" w:type="dxa"/>
              <w:bottom w:w="0" w:type="dxa"/>
              <w:right w:w="15" w:type="dxa"/>
            </w:tcMar>
            <w:vAlign w:val="bottom"/>
            <w:hideMark/>
          </w:tcPr>
          <w:p w14:paraId="0FDE0ED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4EC2BE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855A54D" w14:textId="77777777">
        <w:trPr>
          <w:divId w:val="2146117412"/>
        </w:trPr>
        <w:tc>
          <w:tcPr>
            <w:tcW w:w="2415" w:type="pct"/>
            <w:shd w:val="clear" w:color="auto" w:fill="CFF0FC"/>
            <w:tcMar>
              <w:top w:w="15" w:type="dxa"/>
              <w:left w:w="0" w:type="dxa"/>
              <w:bottom w:w="0" w:type="dxa"/>
              <w:right w:w="15" w:type="dxa"/>
            </w:tcMar>
            <w:vAlign w:val="bottom"/>
            <w:hideMark/>
          </w:tcPr>
          <w:p w14:paraId="38DF8016" w14:textId="77777777" w:rsidR="00000000" w:rsidRDefault="00B8284C">
            <w:pPr>
              <w:pStyle w:val="a3"/>
              <w:spacing w:before="0" w:beforeAutospacing="0" w:after="0" w:afterAutospacing="0"/>
              <w:rPr>
                <w:color w:val="000000"/>
                <w:sz w:val="20"/>
                <w:szCs w:val="20"/>
              </w:rPr>
            </w:pPr>
            <w:r>
              <w:rPr>
                <w:color w:val="000000"/>
                <w:sz w:val="20"/>
                <w:szCs w:val="20"/>
              </w:rPr>
              <w:t>Cash equivalents and investments:</w:t>
            </w:r>
          </w:p>
        </w:tc>
        <w:tc>
          <w:tcPr>
            <w:tcW w:w="68" w:type="pct"/>
            <w:shd w:val="clear" w:color="auto" w:fill="CFF0FC"/>
            <w:tcMar>
              <w:top w:w="15" w:type="dxa"/>
              <w:left w:w="0" w:type="dxa"/>
              <w:bottom w:w="0" w:type="dxa"/>
              <w:right w:w="15" w:type="dxa"/>
            </w:tcMar>
            <w:vAlign w:val="bottom"/>
            <w:hideMark/>
          </w:tcPr>
          <w:p w14:paraId="7141AE1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BFDFD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7EFA821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5D57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76E4CF2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EAF0B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4A22751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F241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36D1598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63CC9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47AD443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1F50D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156C436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62D2A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6B395E9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EF7B30"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6666607" w14:textId="77777777">
        <w:trPr>
          <w:divId w:val="2146117412"/>
        </w:trPr>
        <w:tc>
          <w:tcPr>
            <w:tcW w:w="2415" w:type="pct"/>
            <w:shd w:val="clear" w:color="auto" w:fill="FFFFFF"/>
            <w:tcMar>
              <w:top w:w="15" w:type="dxa"/>
              <w:left w:w="0" w:type="dxa"/>
              <w:bottom w:w="0" w:type="dxa"/>
              <w:right w:w="15" w:type="dxa"/>
            </w:tcMar>
            <w:vAlign w:val="bottom"/>
            <w:hideMark/>
          </w:tcPr>
          <w:p w14:paraId="58B32BAD" w14:textId="77777777" w:rsidR="00000000" w:rsidRDefault="00B8284C">
            <w:pPr>
              <w:pStyle w:val="a3"/>
              <w:spacing w:before="0" w:beforeAutospacing="0" w:after="0" w:afterAutospacing="0"/>
              <w:ind w:left="274"/>
              <w:rPr>
                <w:color w:val="000000"/>
                <w:sz w:val="20"/>
                <w:szCs w:val="20"/>
              </w:rPr>
            </w:pPr>
            <w:r>
              <w:rPr>
                <w:color w:val="000000"/>
                <w:sz w:val="20"/>
                <w:szCs w:val="20"/>
              </w:rPr>
              <w:t>Money market funds</w:t>
            </w:r>
          </w:p>
        </w:tc>
        <w:tc>
          <w:tcPr>
            <w:tcW w:w="68" w:type="pct"/>
            <w:shd w:val="clear" w:color="auto" w:fill="FFFFFF"/>
            <w:tcMar>
              <w:top w:w="15" w:type="dxa"/>
              <w:left w:w="0" w:type="dxa"/>
              <w:bottom w:w="0" w:type="dxa"/>
              <w:right w:w="15" w:type="dxa"/>
            </w:tcMar>
            <w:vAlign w:val="bottom"/>
            <w:hideMark/>
          </w:tcPr>
          <w:p w14:paraId="6C9F683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6E9E3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40B86458" w14:textId="77777777" w:rsidR="00000000" w:rsidRDefault="00B8284C">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FFFFFF"/>
            <w:noWrap/>
            <w:tcMar>
              <w:top w:w="15" w:type="dxa"/>
              <w:left w:w="0" w:type="dxa"/>
              <w:bottom w:w="0" w:type="dxa"/>
              <w:right w:w="15" w:type="dxa"/>
            </w:tcMar>
            <w:vAlign w:val="bottom"/>
            <w:hideMark/>
          </w:tcPr>
          <w:p w14:paraId="7CEE5EE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5FBCBDE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CF3BD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37375B8E"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1C0361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25E90D7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B57B2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65422523"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597A2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154AB2C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BA5EA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21CD1F81" w14:textId="77777777" w:rsidR="00000000" w:rsidRDefault="00B8284C">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FFFFFF"/>
            <w:noWrap/>
            <w:tcMar>
              <w:top w:w="15" w:type="dxa"/>
              <w:left w:w="0" w:type="dxa"/>
              <w:bottom w:w="0" w:type="dxa"/>
              <w:right w:w="15" w:type="dxa"/>
            </w:tcMar>
            <w:vAlign w:val="bottom"/>
            <w:hideMark/>
          </w:tcPr>
          <w:p w14:paraId="553E699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6991D31" w14:textId="77777777">
        <w:trPr>
          <w:divId w:val="2146117412"/>
        </w:trPr>
        <w:tc>
          <w:tcPr>
            <w:tcW w:w="2415" w:type="pct"/>
            <w:shd w:val="clear" w:color="auto" w:fill="CFF0FC"/>
            <w:tcMar>
              <w:top w:w="15" w:type="dxa"/>
              <w:left w:w="0" w:type="dxa"/>
              <w:bottom w:w="0" w:type="dxa"/>
              <w:right w:w="15" w:type="dxa"/>
            </w:tcMar>
            <w:vAlign w:val="bottom"/>
            <w:hideMark/>
          </w:tcPr>
          <w:p w14:paraId="31650B03" w14:textId="77777777" w:rsidR="00000000" w:rsidRDefault="00B8284C">
            <w:pPr>
              <w:pStyle w:val="a3"/>
              <w:spacing w:before="0" w:beforeAutospacing="0" w:after="0" w:afterAutospacing="0"/>
              <w:ind w:left="274"/>
              <w:rPr>
                <w:color w:val="000000"/>
                <w:sz w:val="20"/>
                <w:szCs w:val="20"/>
              </w:rPr>
            </w:pPr>
            <w:r>
              <w:rPr>
                <w:color w:val="000000"/>
                <w:sz w:val="20"/>
                <w:szCs w:val="20"/>
              </w:rPr>
              <w:t>Commercial paper</w:t>
            </w:r>
          </w:p>
        </w:tc>
        <w:tc>
          <w:tcPr>
            <w:tcW w:w="68" w:type="pct"/>
            <w:shd w:val="clear" w:color="auto" w:fill="CFF0FC"/>
            <w:tcMar>
              <w:top w:w="15" w:type="dxa"/>
              <w:left w:w="0" w:type="dxa"/>
              <w:bottom w:w="0" w:type="dxa"/>
              <w:right w:w="15" w:type="dxa"/>
            </w:tcMar>
            <w:vAlign w:val="bottom"/>
            <w:hideMark/>
          </w:tcPr>
          <w:p w14:paraId="0C643E3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B3B2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14DF2EC1"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11152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208ED93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3008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04B916A2" w14:textId="77777777" w:rsidR="00000000" w:rsidRDefault="00B8284C">
            <w:pPr>
              <w:pStyle w:val="a3"/>
              <w:spacing w:before="0" w:beforeAutospacing="0" w:after="0" w:afterAutospacing="0"/>
              <w:jc w:val="right"/>
              <w:rPr>
                <w:color w:val="000000"/>
                <w:sz w:val="20"/>
                <w:szCs w:val="20"/>
              </w:rPr>
            </w:pPr>
            <w:r>
              <w:rPr>
                <w:color w:val="000000"/>
                <w:sz w:val="20"/>
                <w:szCs w:val="20"/>
              </w:rPr>
              <w:t>8,242</w:t>
            </w:r>
          </w:p>
        </w:tc>
        <w:tc>
          <w:tcPr>
            <w:tcW w:w="50" w:type="pct"/>
            <w:shd w:val="clear" w:color="auto" w:fill="CFF0FC"/>
            <w:noWrap/>
            <w:tcMar>
              <w:top w:w="15" w:type="dxa"/>
              <w:left w:w="0" w:type="dxa"/>
              <w:bottom w:w="0" w:type="dxa"/>
              <w:right w:w="15" w:type="dxa"/>
            </w:tcMar>
            <w:vAlign w:val="bottom"/>
            <w:hideMark/>
          </w:tcPr>
          <w:p w14:paraId="4BA5EB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375195E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F10D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6D94132C"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4B0814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625CA29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D54E6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102C671C" w14:textId="77777777" w:rsidR="00000000" w:rsidRDefault="00B8284C">
            <w:pPr>
              <w:pStyle w:val="a3"/>
              <w:spacing w:before="0" w:beforeAutospacing="0" w:after="0" w:afterAutospacing="0"/>
              <w:jc w:val="right"/>
              <w:rPr>
                <w:color w:val="000000"/>
                <w:sz w:val="20"/>
                <w:szCs w:val="20"/>
              </w:rPr>
            </w:pPr>
            <w:r>
              <w:rPr>
                <w:color w:val="000000"/>
                <w:sz w:val="20"/>
                <w:szCs w:val="20"/>
              </w:rPr>
              <w:t>8,242</w:t>
            </w:r>
          </w:p>
        </w:tc>
        <w:tc>
          <w:tcPr>
            <w:tcW w:w="50" w:type="pct"/>
            <w:shd w:val="clear" w:color="auto" w:fill="CFF0FC"/>
            <w:noWrap/>
            <w:tcMar>
              <w:top w:w="15" w:type="dxa"/>
              <w:left w:w="0" w:type="dxa"/>
              <w:bottom w:w="0" w:type="dxa"/>
              <w:right w:w="15" w:type="dxa"/>
            </w:tcMar>
            <w:vAlign w:val="bottom"/>
            <w:hideMark/>
          </w:tcPr>
          <w:p w14:paraId="127C536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5FF968D" w14:textId="77777777">
        <w:trPr>
          <w:divId w:val="2146117412"/>
        </w:trPr>
        <w:tc>
          <w:tcPr>
            <w:tcW w:w="2415" w:type="pct"/>
            <w:shd w:val="clear" w:color="auto" w:fill="FFFFFF"/>
            <w:tcMar>
              <w:top w:w="15" w:type="dxa"/>
              <w:left w:w="0" w:type="dxa"/>
              <w:bottom w:w="0" w:type="dxa"/>
              <w:right w:w="15" w:type="dxa"/>
            </w:tcMar>
            <w:vAlign w:val="bottom"/>
            <w:hideMark/>
          </w:tcPr>
          <w:p w14:paraId="7B01BB29" w14:textId="77777777" w:rsidR="00000000" w:rsidRDefault="00B8284C">
            <w:pPr>
              <w:pStyle w:val="a3"/>
              <w:spacing w:before="0" w:beforeAutospacing="0" w:after="0" w:afterAutospacing="0"/>
              <w:ind w:left="274"/>
              <w:rPr>
                <w:color w:val="000000"/>
                <w:sz w:val="20"/>
                <w:szCs w:val="20"/>
              </w:rPr>
            </w:pPr>
            <w:r>
              <w:rPr>
                <w:color w:val="000000"/>
                <w:sz w:val="20"/>
                <w:szCs w:val="20"/>
              </w:rPr>
              <w:t>Corporate bonds</w:t>
            </w:r>
          </w:p>
        </w:tc>
        <w:tc>
          <w:tcPr>
            <w:tcW w:w="68" w:type="pct"/>
            <w:shd w:val="clear" w:color="auto" w:fill="FFFFFF"/>
            <w:tcMar>
              <w:top w:w="15" w:type="dxa"/>
              <w:left w:w="0" w:type="dxa"/>
              <w:bottom w:w="0" w:type="dxa"/>
              <w:right w:w="15" w:type="dxa"/>
            </w:tcMar>
            <w:vAlign w:val="bottom"/>
            <w:hideMark/>
          </w:tcPr>
          <w:p w14:paraId="0C76165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4410F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334B1218"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201F8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0096536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099A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6581163A" w14:textId="77777777" w:rsidR="00000000" w:rsidRDefault="00B8284C">
            <w:pPr>
              <w:pStyle w:val="a3"/>
              <w:spacing w:before="0" w:beforeAutospacing="0" w:after="0" w:afterAutospacing="0"/>
              <w:jc w:val="right"/>
              <w:rPr>
                <w:color w:val="000000"/>
                <w:sz w:val="20"/>
                <w:szCs w:val="20"/>
              </w:rPr>
            </w:pPr>
            <w:r>
              <w:rPr>
                <w:color w:val="000000"/>
                <w:sz w:val="20"/>
                <w:szCs w:val="20"/>
              </w:rPr>
              <w:t>70,728</w:t>
            </w:r>
          </w:p>
        </w:tc>
        <w:tc>
          <w:tcPr>
            <w:tcW w:w="50" w:type="pct"/>
            <w:shd w:val="clear" w:color="auto" w:fill="FFFFFF"/>
            <w:noWrap/>
            <w:tcMar>
              <w:top w:w="15" w:type="dxa"/>
              <w:left w:w="0" w:type="dxa"/>
              <w:bottom w:w="0" w:type="dxa"/>
              <w:right w:w="15" w:type="dxa"/>
            </w:tcMar>
            <w:vAlign w:val="bottom"/>
            <w:hideMark/>
          </w:tcPr>
          <w:p w14:paraId="243E99C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109F57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E0C7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0942CAD3"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26BB1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588E2BC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331B4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00AA81C3" w14:textId="77777777" w:rsidR="00000000" w:rsidRDefault="00B8284C">
            <w:pPr>
              <w:pStyle w:val="a3"/>
              <w:spacing w:before="0" w:beforeAutospacing="0" w:after="0" w:afterAutospacing="0"/>
              <w:jc w:val="right"/>
              <w:rPr>
                <w:color w:val="000000"/>
                <w:sz w:val="20"/>
                <w:szCs w:val="20"/>
              </w:rPr>
            </w:pPr>
            <w:r>
              <w:rPr>
                <w:color w:val="000000"/>
                <w:sz w:val="20"/>
                <w:szCs w:val="20"/>
              </w:rPr>
              <w:t>70,728</w:t>
            </w:r>
          </w:p>
        </w:tc>
        <w:tc>
          <w:tcPr>
            <w:tcW w:w="50" w:type="pct"/>
            <w:shd w:val="clear" w:color="auto" w:fill="FFFFFF"/>
            <w:noWrap/>
            <w:tcMar>
              <w:top w:w="15" w:type="dxa"/>
              <w:left w:w="0" w:type="dxa"/>
              <w:bottom w:w="0" w:type="dxa"/>
              <w:right w:w="15" w:type="dxa"/>
            </w:tcMar>
            <w:vAlign w:val="bottom"/>
            <w:hideMark/>
          </w:tcPr>
          <w:p w14:paraId="2840B8D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3CFE6A8" w14:textId="77777777">
        <w:trPr>
          <w:divId w:val="2146117412"/>
        </w:trPr>
        <w:tc>
          <w:tcPr>
            <w:tcW w:w="2415" w:type="pct"/>
            <w:shd w:val="clear" w:color="auto" w:fill="CFF0FC"/>
            <w:tcMar>
              <w:top w:w="15" w:type="dxa"/>
              <w:left w:w="0" w:type="dxa"/>
              <w:bottom w:w="0" w:type="dxa"/>
              <w:right w:w="15" w:type="dxa"/>
            </w:tcMar>
            <w:vAlign w:val="bottom"/>
            <w:hideMark/>
          </w:tcPr>
          <w:p w14:paraId="493F7607" w14:textId="77777777" w:rsidR="00000000" w:rsidRDefault="00B8284C">
            <w:pPr>
              <w:pStyle w:val="a3"/>
              <w:spacing w:before="0" w:beforeAutospacing="0" w:after="0" w:afterAutospacing="0"/>
              <w:ind w:left="274"/>
              <w:rPr>
                <w:color w:val="000000"/>
                <w:sz w:val="20"/>
                <w:szCs w:val="20"/>
              </w:rPr>
            </w:pPr>
            <w:r>
              <w:rPr>
                <w:color w:val="000000"/>
                <w:sz w:val="20"/>
                <w:szCs w:val="20"/>
              </w:rPr>
              <w:t>U.S. Treasury securities</w:t>
            </w:r>
          </w:p>
        </w:tc>
        <w:tc>
          <w:tcPr>
            <w:tcW w:w="68" w:type="pct"/>
            <w:shd w:val="clear" w:color="auto" w:fill="CFF0FC"/>
            <w:tcMar>
              <w:top w:w="15" w:type="dxa"/>
              <w:left w:w="0" w:type="dxa"/>
              <w:bottom w:w="0" w:type="dxa"/>
              <w:right w:w="15" w:type="dxa"/>
            </w:tcMar>
            <w:vAlign w:val="bottom"/>
            <w:hideMark/>
          </w:tcPr>
          <w:p w14:paraId="229FC1C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D919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54BF9DA5"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60FAA6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32099EC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1D960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28109069" w14:textId="77777777" w:rsidR="00000000" w:rsidRDefault="00B8284C">
            <w:pPr>
              <w:pStyle w:val="a3"/>
              <w:spacing w:before="0" w:beforeAutospacing="0" w:after="0" w:afterAutospacing="0"/>
              <w:jc w:val="right"/>
              <w:rPr>
                <w:color w:val="000000"/>
                <w:sz w:val="20"/>
                <w:szCs w:val="20"/>
              </w:rPr>
            </w:pPr>
            <w:r>
              <w:rPr>
                <w:color w:val="000000"/>
                <w:sz w:val="20"/>
                <w:szCs w:val="20"/>
              </w:rPr>
              <w:t>413,241</w:t>
            </w:r>
          </w:p>
        </w:tc>
        <w:tc>
          <w:tcPr>
            <w:tcW w:w="50" w:type="pct"/>
            <w:shd w:val="clear" w:color="auto" w:fill="CFF0FC"/>
            <w:noWrap/>
            <w:tcMar>
              <w:top w:w="15" w:type="dxa"/>
              <w:left w:w="0" w:type="dxa"/>
              <w:bottom w:w="0" w:type="dxa"/>
              <w:right w:w="15" w:type="dxa"/>
            </w:tcMar>
            <w:vAlign w:val="bottom"/>
            <w:hideMark/>
          </w:tcPr>
          <w:p w14:paraId="1E80E3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51968B2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6473E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03BEB1D2"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5B87D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51B000D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1DB7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57282400" w14:textId="77777777" w:rsidR="00000000" w:rsidRDefault="00B8284C">
            <w:pPr>
              <w:pStyle w:val="a3"/>
              <w:spacing w:before="0" w:beforeAutospacing="0" w:after="0" w:afterAutospacing="0"/>
              <w:jc w:val="right"/>
              <w:rPr>
                <w:color w:val="000000"/>
                <w:sz w:val="20"/>
                <w:szCs w:val="20"/>
              </w:rPr>
            </w:pPr>
            <w:r>
              <w:rPr>
                <w:color w:val="000000"/>
                <w:sz w:val="20"/>
                <w:szCs w:val="20"/>
              </w:rPr>
              <w:t>413,241</w:t>
            </w:r>
          </w:p>
        </w:tc>
        <w:tc>
          <w:tcPr>
            <w:tcW w:w="50" w:type="pct"/>
            <w:shd w:val="clear" w:color="auto" w:fill="CFF0FC"/>
            <w:noWrap/>
            <w:tcMar>
              <w:top w:w="15" w:type="dxa"/>
              <w:left w:w="0" w:type="dxa"/>
              <w:bottom w:w="0" w:type="dxa"/>
              <w:right w:w="15" w:type="dxa"/>
            </w:tcMar>
            <w:vAlign w:val="bottom"/>
            <w:hideMark/>
          </w:tcPr>
          <w:p w14:paraId="39F9EB9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7DA6067" w14:textId="77777777">
        <w:trPr>
          <w:divId w:val="2146117412"/>
        </w:trPr>
        <w:tc>
          <w:tcPr>
            <w:tcW w:w="2415" w:type="pct"/>
            <w:shd w:val="clear" w:color="auto" w:fill="FFFFFF"/>
            <w:tcMar>
              <w:top w:w="15" w:type="dxa"/>
              <w:left w:w="0" w:type="dxa"/>
              <w:bottom w:w="0" w:type="dxa"/>
              <w:right w:w="15" w:type="dxa"/>
            </w:tcMar>
            <w:vAlign w:val="bottom"/>
            <w:hideMark/>
          </w:tcPr>
          <w:p w14:paraId="19D09CF7" w14:textId="77777777" w:rsidR="00000000" w:rsidRDefault="00B8284C">
            <w:pPr>
              <w:pStyle w:val="a3"/>
              <w:spacing w:before="0" w:beforeAutospacing="0" w:after="0" w:afterAutospacing="0"/>
              <w:rPr>
                <w:color w:val="000000"/>
                <w:sz w:val="20"/>
                <w:szCs w:val="20"/>
              </w:rPr>
            </w:pPr>
            <w:r>
              <w:rPr>
                <w:color w:val="000000"/>
                <w:sz w:val="20"/>
                <w:szCs w:val="20"/>
              </w:rPr>
              <w:t>Restricted cash:</w:t>
            </w:r>
          </w:p>
        </w:tc>
        <w:tc>
          <w:tcPr>
            <w:tcW w:w="68" w:type="pct"/>
            <w:shd w:val="clear" w:color="auto" w:fill="FFFFFF"/>
            <w:tcMar>
              <w:top w:w="15" w:type="dxa"/>
              <w:left w:w="0" w:type="dxa"/>
              <w:bottom w:w="0" w:type="dxa"/>
              <w:right w:w="15" w:type="dxa"/>
            </w:tcMar>
            <w:vAlign w:val="bottom"/>
            <w:hideMark/>
          </w:tcPr>
          <w:p w14:paraId="732272B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97BF2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578D31E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C14D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38C62F3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0F22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2DBAFFC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F2C1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70FF710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A140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4F46089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C45F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24A0BD1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8426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79CCA19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5F5F5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27433FD" w14:textId="77777777">
        <w:trPr>
          <w:divId w:val="2146117412"/>
        </w:trPr>
        <w:tc>
          <w:tcPr>
            <w:tcW w:w="2415" w:type="pct"/>
            <w:shd w:val="clear" w:color="auto" w:fill="CFF0FC"/>
            <w:tcMar>
              <w:top w:w="15" w:type="dxa"/>
              <w:left w:w="0" w:type="dxa"/>
              <w:bottom w:w="0" w:type="dxa"/>
              <w:right w:w="15" w:type="dxa"/>
            </w:tcMar>
            <w:vAlign w:val="bottom"/>
            <w:hideMark/>
          </w:tcPr>
          <w:p w14:paraId="0FB145A8" w14:textId="77777777" w:rsidR="00000000" w:rsidRDefault="00B8284C">
            <w:pPr>
              <w:pStyle w:val="a3"/>
              <w:spacing w:before="0" w:beforeAutospacing="0" w:after="0" w:afterAutospacing="0"/>
              <w:ind w:left="274"/>
              <w:rPr>
                <w:color w:val="000000"/>
                <w:sz w:val="20"/>
                <w:szCs w:val="20"/>
              </w:rPr>
            </w:pPr>
            <w:r>
              <w:rPr>
                <w:color w:val="000000"/>
                <w:sz w:val="20"/>
                <w:szCs w:val="20"/>
              </w:rPr>
              <w:t>Certificates of deposit</w:t>
            </w:r>
          </w:p>
        </w:tc>
        <w:tc>
          <w:tcPr>
            <w:tcW w:w="68" w:type="pct"/>
            <w:shd w:val="clear" w:color="auto" w:fill="CFF0FC"/>
            <w:tcMar>
              <w:top w:w="15" w:type="dxa"/>
              <w:left w:w="0" w:type="dxa"/>
              <w:bottom w:w="0" w:type="dxa"/>
              <w:right w:w="15" w:type="dxa"/>
            </w:tcMar>
            <w:vAlign w:val="bottom"/>
            <w:hideMark/>
          </w:tcPr>
          <w:p w14:paraId="1ECA09C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E62FF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64CC2A84"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78804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082E5B6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574B0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18926FFD" w14:textId="77777777" w:rsidR="00000000" w:rsidRDefault="00B8284C">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CFF0FC"/>
            <w:noWrap/>
            <w:tcMar>
              <w:top w:w="15" w:type="dxa"/>
              <w:left w:w="0" w:type="dxa"/>
              <w:bottom w:w="0" w:type="dxa"/>
              <w:right w:w="15" w:type="dxa"/>
            </w:tcMar>
            <w:vAlign w:val="bottom"/>
            <w:hideMark/>
          </w:tcPr>
          <w:p w14:paraId="44DEF63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38990D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A9A51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212EB55A"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7F0034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6DBB975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AA7D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37AF229B" w14:textId="77777777" w:rsidR="00000000" w:rsidRDefault="00B8284C">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CFF0FC"/>
            <w:noWrap/>
            <w:tcMar>
              <w:top w:w="15" w:type="dxa"/>
              <w:left w:w="0" w:type="dxa"/>
              <w:bottom w:w="0" w:type="dxa"/>
              <w:right w:w="15" w:type="dxa"/>
            </w:tcMar>
            <w:vAlign w:val="bottom"/>
            <w:hideMark/>
          </w:tcPr>
          <w:p w14:paraId="54CF5EC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6889035" w14:textId="77777777">
        <w:trPr>
          <w:divId w:val="2146117412"/>
        </w:trPr>
        <w:tc>
          <w:tcPr>
            <w:tcW w:w="2415" w:type="pct"/>
            <w:shd w:val="clear" w:color="auto" w:fill="FFFFFF"/>
            <w:tcMar>
              <w:top w:w="15" w:type="dxa"/>
              <w:left w:w="0" w:type="dxa"/>
              <w:bottom w:w="0" w:type="dxa"/>
              <w:right w:w="15" w:type="dxa"/>
            </w:tcMar>
            <w:vAlign w:val="bottom"/>
            <w:hideMark/>
          </w:tcPr>
          <w:p w14:paraId="2EFB4B20" w14:textId="77777777" w:rsidR="00000000" w:rsidRDefault="00B8284C">
            <w:pPr>
              <w:pStyle w:val="a3"/>
              <w:spacing w:before="0" w:beforeAutospacing="0" w:after="0" w:afterAutospacing="0"/>
              <w:rPr>
                <w:color w:val="000000"/>
                <w:sz w:val="20"/>
                <w:szCs w:val="20"/>
              </w:rPr>
            </w:pPr>
            <w:r>
              <w:rPr>
                <w:color w:val="000000"/>
                <w:sz w:val="20"/>
                <w:szCs w:val="20"/>
              </w:rPr>
              <w:t>Total</w:t>
            </w:r>
          </w:p>
        </w:tc>
        <w:tc>
          <w:tcPr>
            <w:tcW w:w="68" w:type="pct"/>
            <w:shd w:val="clear" w:color="auto" w:fill="FFFFFF"/>
            <w:tcMar>
              <w:top w:w="15" w:type="dxa"/>
              <w:left w:w="0" w:type="dxa"/>
              <w:bottom w:w="0" w:type="dxa"/>
              <w:right w:w="15" w:type="dxa"/>
            </w:tcMar>
            <w:vAlign w:val="bottom"/>
            <w:hideMark/>
          </w:tcPr>
          <w:p w14:paraId="797DD8C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F20F1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394284" w14:textId="77777777" w:rsidR="00000000" w:rsidRDefault="00B8284C">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FFFFFF"/>
            <w:noWrap/>
            <w:tcMar>
              <w:top w:w="15" w:type="dxa"/>
              <w:left w:w="0" w:type="dxa"/>
              <w:bottom w:w="0" w:type="dxa"/>
              <w:right w:w="15" w:type="dxa"/>
            </w:tcMar>
            <w:vAlign w:val="bottom"/>
            <w:hideMark/>
          </w:tcPr>
          <w:p w14:paraId="6FB98A1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3BF42AF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20203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80AE74" w14:textId="77777777" w:rsidR="00000000" w:rsidRDefault="00B8284C">
            <w:pPr>
              <w:pStyle w:val="a3"/>
              <w:spacing w:before="0" w:beforeAutospacing="0" w:after="0" w:afterAutospacing="0"/>
              <w:jc w:val="right"/>
              <w:rPr>
                <w:color w:val="000000"/>
                <w:sz w:val="20"/>
                <w:szCs w:val="20"/>
              </w:rPr>
            </w:pPr>
            <w:r>
              <w:rPr>
                <w:color w:val="000000"/>
                <w:sz w:val="20"/>
                <w:szCs w:val="20"/>
              </w:rPr>
              <w:t>497,836</w:t>
            </w:r>
          </w:p>
        </w:tc>
        <w:tc>
          <w:tcPr>
            <w:tcW w:w="50" w:type="pct"/>
            <w:shd w:val="clear" w:color="auto" w:fill="FFFFFF"/>
            <w:noWrap/>
            <w:tcMar>
              <w:top w:w="15" w:type="dxa"/>
              <w:left w:w="0" w:type="dxa"/>
              <w:bottom w:w="0" w:type="dxa"/>
              <w:right w:w="15" w:type="dxa"/>
            </w:tcMar>
            <w:vAlign w:val="bottom"/>
            <w:hideMark/>
          </w:tcPr>
          <w:p w14:paraId="2BB175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51E7366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1FB95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16B606"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C51AF1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34B7C87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91A04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BD5AC4" w14:textId="77777777" w:rsidR="00000000" w:rsidRDefault="00B8284C">
            <w:pPr>
              <w:pStyle w:val="a3"/>
              <w:spacing w:before="0" w:beforeAutospacing="0" w:after="0" w:afterAutospacing="0"/>
              <w:jc w:val="right"/>
              <w:rPr>
                <w:color w:val="000000"/>
                <w:sz w:val="20"/>
                <w:szCs w:val="20"/>
              </w:rPr>
            </w:pPr>
            <w:r>
              <w:rPr>
                <w:color w:val="000000"/>
                <w:sz w:val="20"/>
                <w:szCs w:val="20"/>
              </w:rPr>
              <w:t>499,415</w:t>
            </w:r>
          </w:p>
        </w:tc>
        <w:tc>
          <w:tcPr>
            <w:tcW w:w="50" w:type="pct"/>
            <w:shd w:val="clear" w:color="auto" w:fill="FFFFFF"/>
            <w:noWrap/>
            <w:tcMar>
              <w:top w:w="15" w:type="dxa"/>
              <w:left w:w="0" w:type="dxa"/>
              <w:bottom w:w="0" w:type="dxa"/>
              <w:right w:w="15" w:type="dxa"/>
            </w:tcMar>
            <w:vAlign w:val="bottom"/>
            <w:hideMark/>
          </w:tcPr>
          <w:p w14:paraId="254FEECA"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4010E60B" w14:textId="77777777" w:rsidR="00000000" w:rsidRDefault="00B8284C">
      <w:pPr>
        <w:pStyle w:val="a3"/>
        <w:spacing w:before="0" w:beforeAutospacing="0" w:after="0" w:afterAutospacing="0"/>
        <w:rPr>
          <w:sz w:val="20"/>
          <w:szCs w:val="20"/>
        </w:rPr>
      </w:pPr>
      <w:r>
        <w:rPr>
          <w:sz w:val="20"/>
          <w:szCs w:val="20"/>
        </w:rPr>
        <w:t> </w:t>
      </w:r>
    </w:p>
    <w:p w14:paraId="635614F4" w14:textId="77777777" w:rsidR="00000000" w:rsidRDefault="00B8284C">
      <w:pPr>
        <w:pStyle w:val="a3"/>
        <w:spacing w:before="40" w:beforeAutospacing="0" w:after="0" w:afterAutospacing="0"/>
        <w:ind w:firstLine="556"/>
        <w:rPr>
          <w:sz w:val="20"/>
          <w:szCs w:val="20"/>
        </w:rPr>
      </w:pPr>
      <w:r>
        <w:rPr>
          <w:sz w:val="20"/>
          <w:szCs w:val="20"/>
        </w:rPr>
        <w:t>The Company considers all highly liquid investments purchased with a remaining maturity of three months or less to be cash equivalents. The fair value of the Company’s investments in certain money market funds is their face value and such instruments are c</w:t>
      </w:r>
      <w:r>
        <w:rPr>
          <w:sz w:val="20"/>
          <w:szCs w:val="20"/>
        </w:rPr>
        <w:t>lassified as Level 1 and are included in cash and cash equivalents on the consolidated balance sheets. At September 30, 2019 and December 31, 2018, our Level 2 securities were priced by pricing vendors. These pricing vendors utilize the most recent observa</w:t>
      </w:r>
      <w:r>
        <w:rPr>
          <w:sz w:val="20"/>
          <w:szCs w:val="20"/>
        </w:rPr>
        <w:t>ble market information in pricing these securities or, if specific prices are not available for these securities, use other observable inputs like market transactions involving identical or comparable securities.</w:t>
      </w:r>
    </w:p>
    <w:p w14:paraId="786EB020" w14:textId="77777777" w:rsidR="00000000" w:rsidRDefault="00B8284C">
      <w:pPr>
        <w:pStyle w:val="a3"/>
        <w:spacing w:before="0" w:beforeAutospacing="0" w:after="0" w:afterAutospacing="0"/>
        <w:rPr>
          <w:sz w:val="20"/>
          <w:szCs w:val="20"/>
        </w:rPr>
      </w:pPr>
      <w:r>
        <w:rPr>
          <w:sz w:val="20"/>
          <w:szCs w:val="20"/>
        </w:rPr>
        <w:t> </w:t>
      </w:r>
    </w:p>
    <w:p w14:paraId="4967B383" w14:textId="77777777" w:rsidR="00000000" w:rsidRDefault="00B8284C">
      <w:pPr>
        <w:pStyle w:val="a3"/>
        <w:spacing w:before="40" w:beforeAutospacing="0" w:after="0" w:afterAutospacing="0"/>
        <w:ind w:firstLine="556"/>
        <w:rPr>
          <w:color w:val="000000"/>
          <w:sz w:val="20"/>
          <w:szCs w:val="20"/>
        </w:rPr>
      </w:pPr>
      <w:r>
        <w:rPr>
          <w:color w:val="000000"/>
          <w:sz w:val="20"/>
          <w:szCs w:val="20"/>
        </w:rPr>
        <w:t>As of September 30, 2019 the fair value o</w:t>
      </w:r>
      <w:r>
        <w:rPr>
          <w:color w:val="000000"/>
          <w:sz w:val="20"/>
          <w:szCs w:val="20"/>
        </w:rPr>
        <w:t>f the 2022 Notes was $659.4 million.  The fair value was determined based on the quoted price of the 2022 Notes in an inactive market on the last trading day of the reporting period and has been classified as Level 2 within the fair value hierarchy.</w:t>
      </w:r>
    </w:p>
    <w:p w14:paraId="2A5E740B" w14:textId="77777777" w:rsidR="00000000" w:rsidRDefault="00B8284C">
      <w:pPr>
        <w:pStyle w:val="a3"/>
        <w:spacing w:before="0" w:beforeAutospacing="0" w:after="0" w:afterAutospacing="0"/>
        <w:rPr>
          <w:b/>
          <w:bCs/>
          <w:sz w:val="20"/>
          <w:szCs w:val="20"/>
        </w:rPr>
      </w:pPr>
      <w:r>
        <w:rPr>
          <w:b/>
          <w:bCs/>
          <w:sz w:val="20"/>
          <w:szCs w:val="20"/>
        </w:rPr>
        <w:t> </w:t>
      </w:r>
    </w:p>
    <w:p w14:paraId="0496A078" w14:textId="77777777" w:rsidR="00000000" w:rsidRDefault="00B8284C">
      <w:pPr>
        <w:pStyle w:val="a3"/>
        <w:spacing w:before="40" w:beforeAutospacing="0" w:after="0" w:afterAutospacing="0"/>
        <w:ind w:firstLine="556"/>
        <w:rPr>
          <w:color w:val="000000"/>
          <w:sz w:val="20"/>
          <w:szCs w:val="20"/>
        </w:rPr>
      </w:pPr>
      <w:r>
        <w:rPr>
          <w:color w:val="000000"/>
          <w:sz w:val="20"/>
          <w:szCs w:val="20"/>
        </w:rPr>
        <w:t xml:space="preserve">For </w:t>
      </w:r>
      <w:r>
        <w:rPr>
          <w:color w:val="000000"/>
          <w:sz w:val="20"/>
          <w:szCs w:val="20"/>
        </w:rPr>
        <w:t>certain other financial instruments, including accounts receivable, accounts payable, capital leases and other current liabilities, the carrying amounts approximate their fair value due to the relatively short maturity of these balances.</w:t>
      </w:r>
    </w:p>
    <w:p w14:paraId="2196C03C" w14:textId="77777777" w:rsidR="00000000" w:rsidRDefault="00B8284C">
      <w:pPr>
        <w:pStyle w:val="a3"/>
        <w:spacing w:before="0" w:beforeAutospacing="0" w:after="0" w:afterAutospacing="0"/>
        <w:rPr>
          <w:sz w:val="20"/>
          <w:szCs w:val="20"/>
        </w:rPr>
      </w:pPr>
      <w:r>
        <w:rPr>
          <w:sz w:val="20"/>
          <w:szCs w:val="20"/>
        </w:rPr>
        <w:t> </w:t>
      </w:r>
    </w:p>
    <w:p w14:paraId="2F5990D2" w14:textId="77777777" w:rsidR="00000000" w:rsidRDefault="00B8284C">
      <w:pPr>
        <w:pStyle w:val="a3"/>
        <w:spacing w:before="240" w:beforeAutospacing="0" w:after="0" w:afterAutospacing="0"/>
        <w:jc w:val="center"/>
        <w:rPr>
          <w:sz w:val="20"/>
          <w:szCs w:val="20"/>
        </w:rPr>
      </w:pPr>
      <w:r>
        <w:rPr>
          <w:sz w:val="20"/>
          <w:szCs w:val="20"/>
        </w:rPr>
        <w:t>13</w:t>
      </w:r>
    </w:p>
    <w:p w14:paraId="1A1585A8" w14:textId="77777777" w:rsidR="00000000" w:rsidRDefault="00B8284C">
      <w:pPr>
        <w:rPr>
          <w:rFonts w:eastAsia="Times New Roman"/>
        </w:rPr>
      </w:pPr>
      <w:r>
        <w:rPr>
          <w:rFonts w:eastAsia="Times New Roman"/>
        </w:rPr>
        <w:pict w14:anchorId="706F7600">
          <v:rect id="_x0000_i1037" style="width:0;height:1.5pt" o:hralign="center" o:hrstd="t" o:hr="t" fillcolor="#a0a0a0" stroked="f"/>
        </w:pict>
      </w:r>
    </w:p>
    <w:p w14:paraId="46B54ECE" w14:textId="77777777" w:rsidR="00000000" w:rsidRDefault="00B8284C">
      <w:pPr>
        <w:pStyle w:val="a3"/>
        <w:spacing w:before="0" w:beforeAutospacing="0" w:after="0" w:afterAutospacing="0"/>
        <w:rPr>
          <w:sz w:val="20"/>
          <w:szCs w:val="20"/>
        </w:rPr>
      </w:pPr>
      <w:r>
        <w:rPr>
          <w:sz w:val="20"/>
          <w:szCs w:val="20"/>
        </w:rPr>
        <w:t> </w:t>
      </w:r>
    </w:p>
    <w:p w14:paraId="349D0755" w14:textId="77777777" w:rsidR="00000000" w:rsidRDefault="00B8284C">
      <w:pPr>
        <w:pStyle w:val="a3"/>
        <w:spacing w:before="40" w:beforeAutospacing="0" w:after="0" w:afterAutospacing="0"/>
        <w:ind w:firstLine="556"/>
        <w:rPr>
          <w:color w:val="000000"/>
          <w:sz w:val="20"/>
          <w:szCs w:val="20"/>
        </w:rPr>
      </w:pPr>
      <w:r>
        <w:rPr>
          <w:color w:val="000000"/>
          <w:sz w:val="20"/>
          <w:szCs w:val="20"/>
        </w:rPr>
        <w:t>Strategic investments consist of non-controlling equity investments in privately held companies. The Company elected the measurement alternative for these investments without readily determinable fair values and for which the Comp</w:t>
      </w:r>
      <w:r>
        <w:rPr>
          <w:color w:val="000000"/>
          <w:sz w:val="20"/>
          <w:szCs w:val="20"/>
        </w:rPr>
        <w:t>any does not have the ability to exercise significant influence. These investments are accounted for under the cost method of accounting. Under the cost method of accounting, the non-marketable equity securities are carried at cost less any impairment, plu</w:t>
      </w:r>
      <w:r>
        <w:rPr>
          <w:color w:val="000000"/>
          <w:sz w:val="20"/>
          <w:szCs w:val="20"/>
        </w:rPr>
        <w:t>s or minus adjustments resulting from observable price changes in orderly transactions for the identical or a similar investment of the same issuer, which is recorded within the statement of operations. The Company holds $4.6 million without readily determ</w:t>
      </w:r>
      <w:r>
        <w:rPr>
          <w:color w:val="000000"/>
          <w:sz w:val="20"/>
          <w:szCs w:val="20"/>
        </w:rPr>
        <w:t>inable fair values at September 30, 2019 and $4.0 million of investments without readily determinable fair values at December 31, 2018. These investments are included in other assets on the consolidated balance sheets. There have been no adjustments to the</w:t>
      </w:r>
      <w:r>
        <w:rPr>
          <w:color w:val="000000"/>
          <w:sz w:val="20"/>
          <w:szCs w:val="20"/>
        </w:rPr>
        <w:t xml:space="preserve"> carrying value of strategic investments resulting from impairments or observable price changes. </w:t>
      </w:r>
    </w:p>
    <w:p w14:paraId="072F2132" w14:textId="77777777" w:rsidR="00000000" w:rsidRDefault="00B8284C">
      <w:pPr>
        <w:pStyle w:val="a3"/>
        <w:spacing w:before="240" w:beforeAutospacing="0" w:after="0" w:afterAutospacing="0"/>
        <w:ind w:firstLine="556"/>
        <w:rPr>
          <w:sz w:val="20"/>
          <w:szCs w:val="20"/>
        </w:rPr>
      </w:pPr>
      <w:r>
        <w:rPr>
          <w:sz w:val="20"/>
          <w:szCs w:val="20"/>
        </w:rPr>
        <w:t xml:space="preserve">The following tables summarize the composition of our short- and long-term investments at September 30, 2019 and December 31, 2018. </w:t>
      </w:r>
    </w:p>
    <w:p w14:paraId="3619426C"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5"/>
        <w:gridCol w:w="73"/>
        <w:gridCol w:w="115"/>
        <w:gridCol w:w="668"/>
        <w:gridCol w:w="65"/>
        <w:gridCol w:w="66"/>
        <w:gridCol w:w="116"/>
        <w:gridCol w:w="687"/>
        <w:gridCol w:w="65"/>
        <w:gridCol w:w="66"/>
        <w:gridCol w:w="116"/>
        <w:gridCol w:w="687"/>
        <w:gridCol w:w="82"/>
        <w:gridCol w:w="73"/>
        <w:gridCol w:w="115"/>
        <w:gridCol w:w="671"/>
        <w:gridCol w:w="65"/>
      </w:tblGrid>
      <w:tr w:rsidR="00000000" w14:paraId="754C0A6D" w14:textId="77777777">
        <w:trPr>
          <w:divId w:val="476185384"/>
        </w:trPr>
        <w:tc>
          <w:tcPr>
            <w:tcW w:w="2517" w:type="pct"/>
            <w:shd w:val="clear" w:color="auto" w:fill="FFFFFF"/>
            <w:tcMar>
              <w:top w:w="15" w:type="dxa"/>
              <w:left w:w="0" w:type="dxa"/>
              <w:bottom w:w="0" w:type="dxa"/>
              <w:right w:w="15" w:type="dxa"/>
            </w:tcMar>
            <w:vAlign w:val="bottom"/>
            <w:hideMark/>
          </w:tcPr>
          <w:p w14:paraId="0215F91D" w14:textId="77777777" w:rsidR="00000000" w:rsidRDefault="00B8284C">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200272C7" w14:textId="77777777" w:rsidR="00000000" w:rsidRDefault="00B8284C">
            <w:pPr>
              <w:pStyle w:val="a3"/>
              <w:spacing w:before="0" w:beforeAutospacing="0" w:after="0" w:afterAutospacing="0"/>
              <w:jc w:val="right"/>
              <w:rPr>
                <w:color w:val="000000"/>
                <w:sz w:val="16"/>
                <w:szCs w:val="16"/>
              </w:rPr>
            </w:pPr>
            <w:r>
              <w:rPr>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14:paraId="18F9FA5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w:t>
            </w:r>
            <w:r>
              <w:rPr>
                <w:b/>
                <w:bCs/>
                <w:color w:val="000000"/>
                <w:sz w:val="16"/>
                <w:szCs w:val="16"/>
              </w:rPr>
              <w:t>30, 2019</w:t>
            </w:r>
          </w:p>
        </w:tc>
        <w:tc>
          <w:tcPr>
            <w:tcW w:w="50" w:type="pct"/>
            <w:shd w:val="clear" w:color="auto" w:fill="FFFFFF"/>
            <w:noWrap/>
            <w:tcMar>
              <w:top w:w="15" w:type="dxa"/>
              <w:left w:w="0" w:type="dxa"/>
              <w:bottom w:w="0" w:type="dxa"/>
              <w:right w:w="15" w:type="dxa"/>
            </w:tcMar>
            <w:vAlign w:val="bottom"/>
            <w:hideMark/>
          </w:tcPr>
          <w:p w14:paraId="49058F0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4A669138" w14:textId="77777777">
        <w:trPr>
          <w:divId w:val="476185384"/>
        </w:trPr>
        <w:tc>
          <w:tcPr>
            <w:tcW w:w="2517" w:type="pct"/>
            <w:shd w:val="clear" w:color="auto" w:fill="FFFFFF"/>
            <w:tcMar>
              <w:top w:w="15" w:type="dxa"/>
              <w:left w:w="0" w:type="dxa"/>
              <w:bottom w:w="0" w:type="dxa"/>
              <w:right w:w="15" w:type="dxa"/>
            </w:tcMar>
            <w:vAlign w:val="bottom"/>
            <w:hideMark/>
          </w:tcPr>
          <w:p w14:paraId="0138FB7A" w14:textId="77777777" w:rsidR="00000000" w:rsidRDefault="00B8284C">
            <w:pPr>
              <w:pStyle w:val="a3"/>
              <w:spacing w:before="0" w:beforeAutospacing="0" w:after="0" w:afterAutospacing="0"/>
              <w:jc w:val="center"/>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02141ED0" w14:textId="77777777" w:rsidR="00000000" w:rsidRDefault="00B8284C">
            <w:pPr>
              <w:pStyle w:val="a3"/>
              <w:spacing w:before="0" w:beforeAutospacing="0" w:after="0" w:afterAutospacing="0"/>
              <w:jc w:val="right"/>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EEBA7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Amortized</w:t>
            </w:r>
          </w:p>
          <w:p w14:paraId="5974A00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14:paraId="6A2C765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6C42E0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F27E27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Unrealized</w:t>
            </w:r>
          </w:p>
          <w:p w14:paraId="6827FA7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14:paraId="60BFD42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A3A0BB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FDF825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Unrealized</w:t>
            </w:r>
          </w:p>
          <w:p w14:paraId="1C98BCF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14:paraId="2A963CC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60A5769A" w14:textId="77777777" w:rsidR="00000000" w:rsidRDefault="00B8284C">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C3DE8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Aggregate</w:t>
            </w:r>
          </w:p>
          <w:p w14:paraId="633C4F5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1BBD5B5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DB8EF4B" w14:textId="77777777">
        <w:trPr>
          <w:divId w:val="476185384"/>
        </w:trPr>
        <w:tc>
          <w:tcPr>
            <w:tcW w:w="2517" w:type="pct"/>
            <w:shd w:val="clear" w:color="auto" w:fill="FFFFFF"/>
            <w:tcMar>
              <w:top w:w="15" w:type="dxa"/>
              <w:left w:w="0" w:type="dxa"/>
              <w:bottom w:w="0" w:type="dxa"/>
              <w:right w:w="15" w:type="dxa"/>
            </w:tcMar>
            <w:vAlign w:val="bottom"/>
            <w:hideMark/>
          </w:tcPr>
          <w:p w14:paraId="5BDDDF0B"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69C290B2" w14:textId="77777777" w:rsidR="00000000" w:rsidRDefault="00B8284C">
            <w:pPr>
              <w:pStyle w:val="a3"/>
              <w:spacing w:before="0" w:beforeAutospacing="0" w:after="0" w:afterAutospacing="0"/>
              <w:jc w:val="right"/>
              <w:rPr>
                <w:color w:val="000000"/>
                <w:sz w:val="16"/>
                <w:szCs w:val="16"/>
              </w:rPr>
            </w:pPr>
            <w:r>
              <w:rPr>
                <w:color w:val="000000"/>
                <w:sz w:val="16"/>
                <w:szCs w:val="16"/>
              </w:rPr>
              <w:t> </w:t>
            </w:r>
          </w:p>
        </w:tc>
        <w:tc>
          <w:tcPr>
            <w:tcW w:w="2371" w:type="pct"/>
            <w:gridSpan w:val="14"/>
            <w:shd w:val="clear" w:color="auto" w:fill="FFFFFF"/>
            <w:tcMar>
              <w:top w:w="15" w:type="dxa"/>
              <w:left w:w="0" w:type="dxa"/>
              <w:bottom w:w="0" w:type="dxa"/>
              <w:right w:w="15" w:type="dxa"/>
            </w:tcMar>
            <w:vAlign w:val="bottom"/>
            <w:hideMark/>
          </w:tcPr>
          <w:p w14:paraId="6835E57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6B1CAA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92810CE" w14:textId="77777777">
        <w:trPr>
          <w:divId w:val="476185384"/>
        </w:trPr>
        <w:tc>
          <w:tcPr>
            <w:tcW w:w="2517" w:type="pct"/>
            <w:shd w:val="clear" w:color="auto" w:fill="CFF0FC"/>
            <w:tcMar>
              <w:top w:w="15" w:type="dxa"/>
              <w:left w:w="0" w:type="dxa"/>
              <w:bottom w:w="0" w:type="dxa"/>
              <w:right w:w="15" w:type="dxa"/>
            </w:tcMar>
            <w:vAlign w:val="bottom"/>
            <w:hideMark/>
          </w:tcPr>
          <w:p w14:paraId="5AC0DCBF" w14:textId="77777777" w:rsidR="00000000" w:rsidRDefault="00B8284C">
            <w:pPr>
              <w:pStyle w:val="a3"/>
              <w:spacing w:before="0" w:beforeAutospacing="0" w:after="0" w:afterAutospacing="0"/>
              <w:rPr>
                <w:color w:val="000000"/>
                <w:sz w:val="20"/>
                <w:szCs w:val="20"/>
              </w:rPr>
            </w:pPr>
            <w:r>
              <w:rPr>
                <w:color w:val="000000"/>
                <w:sz w:val="20"/>
                <w:szCs w:val="20"/>
              </w:rPr>
              <w:t>Corporate bonds</w:t>
            </w:r>
          </w:p>
        </w:tc>
        <w:tc>
          <w:tcPr>
            <w:tcW w:w="61" w:type="pct"/>
            <w:shd w:val="clear" w:color="auto" w:fill="CFF0FC"/>
            <w:tcMar>
              <w:top w:w="15" w:type="dxa"/>
              <w:left w:w="0" w:type="dxa"/>
              <w:bottom w:w="0" w:type="dxa"/>
              <w:right w:w="15" w:type="dxa"/>
            </w:tcMar>
            <w:vAlign w:val="bottom"/>
            <w:hideMark/>
          </w:tcPr>
          <w:p w14:paraId="33E176A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92F59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7FE539EF" w14:textId="77777777" w:rsidR="00000000" w:rsidRDefault="00B8284C">
            <w:pPr>
              <w:pStyle w:val="a3"/>
              <w:spacing w:before="0" w:beforeAutospacing="0" w:after="0" w:afterAutospacing="0"/>
              <w:jc w:val="right"/>
              <w:rPr>
                <w:color w:val="000000"/>
                <w:sz w:val="20"/>
                <w:szCs w:val="20"/>
              </w:rPr>
            </w:pPr>
            <w:r>
              <w:rPr>
                <w:color w:val="000000"/>
                <w:sz w:val="20"/>
                <w:szCs w:val="20"/>
              </w:rPr>
              <w:t>83,174</w:t>
            </w:r>
          </w:p>
        </w:tc>
        <w:tc>
          <w:tcPr>
            <w:tcW w:w="50" w:type="pct"/>
            <w:shd w:val="clear" w:color="auto" w:fill="CFF0FC"/>
            <w:noWrap/>
            <w:tcMar>
              <w:top w:w="15" w:type="dxa"/>
              <w:left w:w="0" w:type="dxa"/>
              <w:bottom w:w="0" w:type="dxa"/>
              <w:right w:w="15" w:type="dxa"/>
            </w:tcMar>
            <w:vAlign w:val="bottom"/>
            <w:hideMark/>
          </w:tcPr>
          <w:p w14:paraId="17EC85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7BC0D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6BDC8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28F8F932" w14:textId="77777777" w:rsidR="00000000" w:rsidRDefault="00B8284C">
            <w:pPr>
              <w:pStyle w:val="a3"/>
              <w:spacing w:before="0" w:beforeAutospacing="0" w:after="0" w:afterAutospacing="0"/>
              <w:jc w:val="right"/>
              <w:rPr>
                <w:color w:val="000000"/>
                <w:sz w:val="20"/>
                <w:szCs w:val="20"/>
              </w:rPr>
            </w:pPr>
            <w:r>
              <w:rPr>
                <w:color w:val="000000"/>
                <w:sz w:val="20"/>
                <w:szCs w:val="20"/>
              </w:rPr>
              <w:t>269</w:t>
            </w:r>
          </w:p>
        </w:tc>
        <w:tc>
          <w:tcPr>
            <w:tcW w:w="50" w:type="pct"/>
            <w:shd w:val="clear" w:color="auto" w:fill="CFF0FC"/>
            <w:noWrap/>
            <w:tcMar>
              <w:top w:w="15" w:type="dxa"/>
              <w:left w:w="0" w:type="dxa"/>
              <w:bottom w:w="0" w:type="dxa"/>
              <w:right w:w="15" w:type="dxa"/>
            </w:tcMar>
            <w:vAlign w:val="bottom"/>
            <w:hideMark/>
          </w:tcPr>
          <w:p w14:paraId="727CC3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758E1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E2100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668ED9ED" w14:textId="77777777" w:rsidR="00000000" w:rsidRDefault="00B8284C">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14:paraId="114B481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0188E6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1B607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4A511378" w14:textId="77777777" w:rsidR="00000000" w:rsidRDefault="00B8284C">
            <w:pPr>
              <w:pStyle w:val="a3"/>
              <w:spacing w:before="0" w:beforeAutospacing="0" w:after="0" w:afterAutospacing="0"/>
              <w:jc w:val="right"/>
              <w:rPr>
                <w:color w:val="000000"/>
                <w:sz w:val="20"/>
                <w:szCs w:val="20"/>
              </w:rPr>
            </w:pPr>
            <w:r>
              <w:rPr>
                <w:color w:val="000000"/>
                <w:sz w:val="20"/>
                <w:szCs w:val="20"/>
              </w:rPr>
              <w:t>83,426</w:t>
            </w:r>
          </w:p>
        </w:tc>
        <w:tc>
          <w:tcPr>
            <w:tcW w:w="50" w:type="pct"/>
            <w:shd w:val="clear" w:color="auto" w:fill="CFF0FC"/>
            <w:noWrap/>
            <w:tcMar>
              <w:top w:w="15" w:type="dxa"/>
              <w:left w:w="0" w:type="dxa"/>
              <w:bottom w:w="0" w:type="dxa"/>
              <w:right w:w="15" w:type="dxa"/>
            </w:tcMar>
            <w:vAlign w:val="bottom"/>
            <w:hideMark/>
          </w:tcPr>
          <w:p w14:paraId="2364B2B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ADC1CB6" w14:textId="77777777">
        <w:trPr>
          <w:divId w:val="476185384"/>
        </w:trPr>
        <w:tc>
          <w:tcPr>
            <w:tcW w:w="2517" w:type="pct"/>
            <w:shd w:val="clear" w:color="auto" w:fill="FFFFFF"/>
            <w:tcMar>
              <w:top w:w="15" w:type="dxa"/>
              <w:left w:w="0" w:type="dxa"/>
              <w:bottom w:w="0" w:type="dxa"/>
              <w:right w:w="15" w:type="dxa"/>
            </w:tcMar>
            <w:vAlign w:val="bottom"/>
            <w:hideMark/>
          </w:tcPr>
          <w:p w14:paraId="4119AD3D" w14:textId="77777777" w:rsidR="00000000" w:rsidRDefault="00B8284C">
            <w:pPr>
              <w:pStyle w:val="a3"/>
              <w:spacing w:before="0" w:beforeAutospacing="0" w:after="0" w:afterAutospacing="0"/>
              <w:rPr>
                <w:color w:val="000000"/>
                <w:sz w:val="20"/>
                <w:szCs w:val="20"/>
              </w:rPr>
            </w:pPr>
            <w:r>
              <w:rPr>
                <w:color w:val="000000"/>
                <w:sz w:val="20"/>
                <w:szCs w:val="20"/>
              </w:rPr>
              <w:t>U.S. Treasury securities</w:t>
            </w:r>
          </w:p>
        </w:tc>
        <w:tc>
          <w:tcPr>
            <w:tcW w:w="61" w:type="pct"/>
            <w:shd w:val="clear" w:color="auto" w:fill="FFFFFF"/>
            <w:tcMar>
              <w:top w:w="15" w:type="dxa"/>
              <w:left w:w="0" w:type="dxa"/>
              <w:bottom w:w="0" w:type="dxa"/>
              <w:right w:w="15" w:type="dxa"/>
            </w:tcMar>
            <w:vAlign w:val="bottom"/>
            <w:hideMark/>
          </w:tcPr>
          <w:p w14:paraId="1117E76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D1570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A83F1EF" w14:textId="77777777" w:rsidR="00000000" w:rsidRDefault="00B8284C">
            <w:pPr>
              <w:pStyle w:val="a3"/>
              <w:spacing w:before="0" w:beforeAutospacing="0" w:after="0" w:afterAutospacing="0"/>
              <w:jc w:val="right"/>
              <w:rPr>
                <w:color w:val="000000"/>
                <w:sz w:val="20"/>
                <w:szCs w:val="20"/>
              </w:rPr>
            </w:pPr>
            <w:r>
              <w:rPr>
                <w:color w:val="000000"/>
                <w:sz w:val="20"/>
                <w:szCs w:val="20"/>
              </w:rPr>
              <w:t>698,632</w:t>
            </w:r>
          </w:p>
        </w:tc>
        <w:tc>
          <w:tcPr>
            <w:tcW w:w="50" w:type="pct"/>
            <w:shd w:val="clear" w:color="auto" w:fill="FFFFFF"/>
            <w:noWrap/>
            <w:tcMar>
              <w:top w:w="15" w:type="dxa"/>
              <w:left w:w="0" w:type="dxa"/>
              <w:bottom w:w="0" w:type="dxa"/>
              <w:right w:w="15" w:type="dxa"/>
            </w:tcMar>
            <w:vAlign w:val="bottom"/>
            <w:hideMark/>
          </w:tcPr>
          <w:p w14:paraId="52E50B0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7E4138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CD3C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3976913" w14:textId="77777777" w:rsidR="00000000" w:rsidRDefault="00B8284C">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FFFFFF"/>
            <w:noWrap/>
            <w:tcMar>
              <w:top w:w="15" w:type="dxa"/>
              <w:left w:w="0" w:type="dxa"/>
              <w:bottom w:w="0" w:type="dxa"/>
              <w:right w:w="15" w:type="dxa"/>
            </w:tcMar>
            <w:vAlign w:val="bottom"/>
            <w:hideMark/>
          </w:tcPr>
          <w:p w14:paraId="52A6BE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1E9912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723B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16C9E2F"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EFD36D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32D675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E245E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6A08BD4" w14:textId="77777777" w:rsidR="00000000" w:rsidRDefault="00B8284C">
            <w:pPr>
              <w:pStyle w:val="a3"/>
              <w:spacing w:before="0" w:beforeAutospacing="0" w:after="0" w:afterAutospacing="0"/>
              <w:jc w:val="right"/>
              <w:rPr>
                <w:color w:val="000000"/>
                <w:sz w:val="20"/>
                <w:szCs w:val="20"/>
              </w:rPr>
            </w:pPr>
            <w:r>
              <w:rPr>
                <w:color w:val="000000"/>
                <w:sz w:val="20"/>
                <w:szCs w:val="20"/>
              </w:rPr>
              <w:t>699,123</w:t>
            </w:r>
          </w:p>
        </w:tc>
        <w:tc>
          <w:tcPr>
            <w:tcW w:w="50" w:type="pct"/>
            <w:shd w:val="clear" w:color="auto" w:fill="FFFFFF"/>
            <w:noWrap/>
            <w:tcMar>
              <w:top w:w="15" w:type="dxa"/>
              <w:left w:w="0" w:type="dxa"/>
              <w:bottom w:w="0" w:type="dxa"/>
              <w:right w:w="15" w:type="dxa"/>
            </w:tcMar>
            <w:vAlign w:val="bottom"/>
            <w:hideMark/>
          </w:tcPr>
          <w:p w14:paraId="382126D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0277907" w14:textId="77777777">
        <w:trPr>
          <w:divId w:val="476185384"/>
        </w:trPr>
        <w:tc>
          <w:tcPr>
            <w:tcW w:w="2517" w:type="pct"/>
            <w:shd w:val="clear" w:color="auto" w:fill="CFF0FC"/>
            <w:tcMar>
              <w:top w:w="15" w:type="dxa"/>
              <w:left w:w="0" w:type="dxa"/>
              <w:bottom w:w="0" w:type="dxa"/>
              <w:right w:w="15" w:type="dxa"/>
            </w:tcMar>
            <w:vAlign w:val="bottom"/>
            <w:hideMark/>
          </w:tcPr>
          <w:p w14:paraId="19464FB5" w14:textId="77777777" w:rsidR="00000000" w:rsidRDefault="00B8284C">
            <w:pPr>
              <w:pStyle w:val="a3"/>
              <w:spacing w:before="0" w:beforeAutospacing="0" w:after="0" w:afterAutospacing="0"/>
              <w:ind w:left="274"/>
              <w:rPr>
                <w:color w:val="000000"/>
                <w:sz w:val="20"/>
                <w:szCs w:val="20"/>
              </w:rPr>
            </w:pPr>
            <w:r>
              <w:rPr>
                <w:color w:val="000000"/>
                <w:sz w:val="20"/>
                <w:szCs w:val="20"/>
              </w:rPr>
              <w:t>Total</w:t>
            </w:r>
          </w:p>
        </w:tc>
        <w:tc>
          <w:tcPr>
            <w:tcW w:w="61" w:type="pct"/>
            <w:shd w:val="clear" w:color="auto" w:fill="CFF0FC"/>
            <w:tcMar>
              <w:top w:w="15" w:type="dxa"/>
              <w:left w:w="0" w:type="dxa"/>
              <w:bottom w:w="0" w:type="dxa"/>
              <w:right w:w="15" w:type="dxa"/>
            </w:tcMar>
            <w:vAlign w:val="bottom"/>
            <w:hideMark/>
          </w:tcPr>
          <w:p w14:paraId="396C814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2A89FA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013369" w14:textId="77777777" w:rsidR="00000000" w:rsidRDefault="00B8284C">
            <w:pPr>
              <w:pStyle w:val="a3"/>
              <w:spacing w:before="0" w:beforeAutospacing="0" w:after="0" w:afterAutospacing="0"/>
              <w:jc w:val="right"/>
              <w:rPr>
                <w:color w:val="000000"/>
                <w:sz w:val="20"/>
                <w:szCs w:val="20"/>
              </w:rPr>
            </w:pPr>
            <w:r>
              <w:rPr>
                <w:color w:val="000000"/>
                <w:sz w:val="20"/>
                <w:szCs w:val="20"/>
              </w:rPr>
              <w:t>781,806</w:t>
            </w:r>
          </w:p>
        </w:tc>
        <w:tc>
          <w:tcPr>
            <w:tcW w:w="50" w:type="pct"/>
            <w:shd w:val="clear" w:color="auto" w:fill="CFF0FC"/>
            <w:noWrap/>
            <w:tcMar>
              <w:top w:w="15" w:type="dxa"/>
              <w:left w:w="0" w:type="dxa"/>
              <w:bottom w:w="0" w:type="dxa"/>
              <w:right w:w="15" w:type="dxa"/>
            </w:tcMar>
            <w:vAlign w:val="bottom"/>
            <w:hideMark/>
          </w:tcPr>
          <w:p w14:paraId="4B1E45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3581B8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244DC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C989CF" w14:textId="77777777" w:rsidR="00000000" w:rsidRDefault="00B8284C">
            <w:pPr>
              <w:pStyle w:val="a3"/>
              <w:spacing w:before="0" w:beforeAutospacing="0" w:after="0" w:afterAutospacing="0"/>
              <w:jc w:val="right"/>
              <w:rPr>
                <w:color w:val="000000"/>
                <w:sz w:val="20"/>
                <w:szCs w:val="20"/>
              </w:rPr>
            </w:pPr>
            <w:r>
              <w:rPr>
                <w:color w:val="000000"/>
                <w:sz w:val="20"/>
                <w:szCs w:val="20"/>
              </w:rPr>
              <w:t>760</w:t>
            </w:r>
          </w:p>
        </w:tc>
        <w:tc>
          <w:tcPr>
            <w:tcW w:w="50" w:type="pct"/>
            <w:shd w:val="clear" w:color="auto" w:fill="CFF0FC"/>
            <w:noWrap/>
            <w:tcMar>
              <w:top w:w="15" w:type="dxa"/>
              <w:left w:w="0" w:type="dxa"/>
              <w:bottom w:w="0" w:type="dxa"/>
              <w:right w:w="15" w:type="dxa"/>
            </w:tcMar>
            <w:vAlign w:val="bottom"/>
            <w:hideMark/>
          </w:tcPr>
          <w:p w14:paraId="43B8D0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41CB9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F2EFD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E83B6A" w14:textId="77777777" w:rsidR="00000000" w:rsidRDefault="00B8284C">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14:paraId="7E3C146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1E82E9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4FB83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5ABE4B" w14:textId="77777777" w:rsidR="00000000" w:rsidRDefault="00B8284C">
            <w:pPr>
              <w:pStyle w:val="a3"/>
              <w:spacing w:before="0" w:beforeAutospacing="0" w:after="0" w:afterAutospacing="0"/>
              <w:jc w:val="right"/>
              <w:rPr>
                <w:color w:val="000000"/>
                <w:sz w:val="20"/>
                <w:szCs w:val="20"/>
              </w:rPr>
            </w:pPr>
            <w:r>
              <w:rPr>
                <w:color w:val="000000"/>
                <w:sz w:val="20"/>
                <w:szCs w:val="20"/>
              </w:rPr>
              <w:t>782,549</w:t>
            </w:r>
          </w:p>
        </w:tc>
        <w:tc>
          <w:tcPr>
            <w:tcW w:w="50" w:type="pct"/>
            <w:shd w:val="clear" w:color="auto" w:fill="CFF0FC"/>
            <w:noWrap/>
            <w:tcMar>
              <w:top w:w="15" w:type="dxa"/>
              <w:left w:w="0" w:type="dxa"/>
              <w:bottom w:w="0" w:type="dxa"/>
              <w:right w:w="15" w:type="dxa"/>
            </w:tcMar>
            <w:vAlign w:val="bottom"/>
            <w:hideMark/>
          </w:tcPr>
          <w:p w14:paraId="68431271"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355AE4AD"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5"/>
        <w:gridCol w:w="73"/>
        <w:gridCol w:w="115"/>
        <w:gridCol w:w="668"/>
        <w:gridCol w:w="65"/>
        <w:gridCol w:w="66"/>
        <w:gridCol w:w="116"/>
        <w:gridCol w:w="687"/>
        <w:gridCol w:w="65"/>
        <w:gridCol w:w="66"/>
        <w:gridCol w:w="116"/>
        <w:gridCol w:w="687"/>
        <w:gridCol w:w="82"/>
        <w:gridCol w:w="73"/>
        <w:gridCol w:w="115"/>
        <w:gridCol w:w="671"/>
        <w:gridCol w:w="65"/>
      </w:tblGrid>
      <w:tr w:rsidR="00000000" w14:paraId="6EE71A47" w14:textId="77777777">
        <w:trPr>
          <w:divId w:val="1148203241"/>
        </w:trPr>
        <w:tc>
          <w:tcPr>
            <w:tcW w:w="2517" w:type="pct"/>
            <w:shd w:val="clear" w:color="auto" w:fill="FFFFFF"/>
            <w:tcMar>
              <w:top w:w="15" w:type="dxa"/>
              <w:left w:w="0" w:type="dxa"/>
              <w:bottom w:w="0" w:type="dxa"/>
              <w:right w:w="15" w:type="dxa"/>
            </w:tcMar>
            <w:vAlign w:val="bottom"/>
            <w:hideMark/>
          </w:tcPr>
          <w:p w14:paraId="7B03804F" w14:textId="77777777" w:rsidR="00000000" w:rsidRDefault="00B8284C">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505E5122" w14:textId="77777777" w:rsidR="00000000" w:rsidRDefault="00B8284C">
            <w:pPr>
              <w:pStyle w:val="a3"/>
              <w:spacing w:before="0" w:beforeAutospacing="0" w:after="0" w:afterAutospacing="0"/>
              <w:jc w:val="right"/>
              <w:rPr>
                <w:color w:val="000000"/>
                <w:sz w:val="16"/>
                <w:szCs w:val="16"/>
              </w:rPr>
            </w:pPr>
            <w:r>
              <w:rPr>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14:paraId="4D5B57B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4440396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6D19C8B" w14:textId="77777777">
        <w:trPr>
          <w:divId w:val="1148203241"/>
        </w:trPr>
        <w:tc>
          <w:tcPr>
            <w:tcW w:w="2517" w:type="pct"/>
            <w:shd w:val="clear" w:color="auto" w:fill="FFFFFF"/>
            <w:tcMar>
              <w:top w:w="15" w:type="dxa"/>
              <w:left w:w="0" w:type="dxa"/>
              <w:bottom w:w="0" w:type="dxa"/>
              <w:right w:w="15" w:type="dxa"/>
            </w:tcMar>
            <w:vAlign w:val="bottom"/>
            <w:hideMark/>
          </w:tcPr>
          <w:p w14:paraId="32E80B48" w14:textId="77777777" w:rsidR="00000000" w:rsidRDefault="00B8284C">
            <w:pPr>
              <w:pStyle w:val="a3"/>
              <w:spacing w:before="0" w:beforeAutospacing="0" w:after="0" w:afterAutospacing="0"/>
              <w:jc w:val="center"/>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0B059BCE" w14:textId="77777777" w:rsidR="00000000" w:rsidRDefault="00B8284C">
            <w:pPr>
              <w:pStyle w:val="a3"/>
              <w:spacing w:before="0" w:beforeAutospacing="0" w:after="0" w:afterAutospacing="0"/>
              <w:jc w:val="right"/>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36EEB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Amortized</w:t>
            </w:r>
          </w:p>
          <w:p w14:paraId="6371149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14:paraId="042F8F3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2F95165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8671F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Unrealized</w:t>
            </w:r>
          </w:p>
          <w:p w14:paraId="11CE648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14:paraId="35F33C1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F54851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8365B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Unrealized</w:t>
            </w:r>
          </w:p>
          <w:p w14:paraId="63E17EC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14:paraId="5CC8C6B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1D7B7BEC" w14:textId="77777777" w:rsidR="00000000" w:rsidRDefault="00B8284C">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4DDDB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Aggregate</w:t>
            </w:r>
          </w:p>
          <w:p w14:paraId="3740365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35714E3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9DDE2BA" w14:textId="77777777">
        <w:trPr>
          <w:divId w:val="1148203241"/>
        </w:trPr>
        <w:tc>
          <w:tcPr>
            <w:tcW w:w="2517" w:type="pct"/>
            <w:shd w:val="clear" w:color="auto" w:fill="FFFFFF"/>
            <w:tcMar>
              <w:top w:w="15" w:type="dxa"/>
              <w:left w:w="0" w:type="dxa"/>
              <w:bottom w:w="0" w:type="dxa"/>
              <w:right w:w="15" w:type="dxa"/>
            </w:tcMar>
            <w:vAlign w:val="bottom"/>
            <w:hideMark/>
          </w:tcPr>
          <w:p w14:paraId="426F6C2B"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47958822" w14:textId="77777777" w:rsidR="00000000" w:rsidRDefault="00B8284C">
            <w:pPr>
              <w:pStyle w:val="a3"/>
              <w:spacing w:before="0" w:beforeAutospacing="0" w:after="0" w:afterAutospacing="0"/>
              <w:jc w:val="right"/>
              <w:rPr>
                <w:color w:val="000000"/>
                <w:sz w:val="16"/>
                <w:szCs w:val="16"/>
              </w:rPr>
            </w:pPr>
            <w:r>
              <w:rPr>
                <w:color w:val="000000"/>
                <w:sz w:val="16"/>
                <w:szCs w:val="16"/>
              </w:rPr>
              <w:t> </w:t>
            </w:r>
          </w:p>
        </w:tc>
        <w:tc>
          <w:tcPr>
            <w:tcW w:w="2371" w:type="pct"/>
            <w:gridSpan w:val="14"/>
            <w:shd w:val="clear" w:color="auto" w:fill="FFFFFF"/>
            <w:tcMar>
              <w:top w:w="15" w:type="dxa"/>
              <w:left w:w="0" w:type="dxa"/>
              <w:bottom w:w="0" w:type="dxa"/>
              <w:right w:w="15" w:type="dxa"/>
            </w:tcMar>
            <w:vAlign w:val="bottom"/>
            <w:hideMark/>
          </w:tcPr>
          <w:p w14:paraId="4E946A6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EC1BF8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5B077C1" w14:textId="77777777">
        <w:trPr>
          <w:divId w:val="1148203241"/>
        </w:trPr>
        <w:tc>
          <w:tcPr>
            <w:tcW w:w="2517" w:type="pct"/>
            <w:shd w:val="clear" w:color="auto" w:fill="CFF0FC"/>
            <w:tcMar>
              <w:top w:w="15" w:type="dxa"/>
              <w:left w:w="0" w:type="dxa"/>
              <w:bottom w:w="0" w:type="dxa"/>
              <w:right w:w="15" w:type="dxa"/>
            </w:tcMar>
            <w:vAlign w:val="bottom"/>
            <w:hideMark/>
          </w:tcPr>
          <w:p w14:paraId="304FF25B" w14:textId="77777777" w:rsidR="00000000" w:rsidRDefault="00B8284C">
            <w:pPr>
              <w:pStyle w:val="a3"/>
              <w:spacing w:before="0" w:beforeAutospacing="0" w:after="0" w:afterAutospacing="0"/>
              <w:rPr>
                <w:color w:val="000000"/>
                <w:sz w:val="20"/>
                <w:szCs w:val="20"/>
              </w:rPr>
            </w:pPr>
            <w:r>
              <w:rPr>
                <w:color w:val="000000"/>
                <w:sz w:val="20"/>
                <w:szCs w:val="20"/>
              </w:rPr>
              <w:t>Commercial paper</w:t>
            </w:r>
          </w:p>
        </w:tc>
        <w:tc>
          <w:tcPr>
            <w:tcW w:w="61" w:type="pct"/>
            <w:shd w:val="clear" w:color="auto" w:fill="CFF0FC"/>
            <w:tcMar>
              <w:top w:w="15" w:type="dxa"/>
              <w:left w:w="0" w:type="dxa"/>
              <w:bottom w:w="0" w:type="dxa"/>
              <w:right w:w="15" w:type="dxa"/>
            </w:tcMar>
            <w:vAlign w:val="bottom"/>
            <w:hideMark/>
          </w:tcPr>
          <w:p w14:paraId="06115F6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85E42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228EC865" w14:textId="77777777" w:rsidR="00000000" w:rsidRDefault="00B8284C">
            <w:pPr>
              <w:pStyle w:val="a3"/>
              <w:spacing w:before="0" w:beforeAutospacing="0" w:after="0" w:afterAutospacing="0"/>
              <w:jc w:val="right"/>
              <w:rPr>
                <w:color w:val="000000"/>
                <w:sz w:val="20"/>
                <w:szCs w:val="20"/>
              </w:rPr>
            </w:pPr>
            <w:r>
              <w:rPr>
                <w:color w:val="000000"/>
                <w:sz w:val="20"/>
                <w:szCs w:val="20"/>
              </w:rPr>
              <w:t>8,256</w:t>
            </w:r>
          </w:p>
        </w:tc>
        <w:tc>
          <w:tcPr>
            <w:tcW w:w="50" w:type="pct"/>
            <w:shd w:val="clear" w:color="auto" w:fill="CFF0FC"/>
            <w:noWrap/>
            <w:tcMar>
              <w:top w:w="15" w:type="dxa"/>
              <w:left w:w="0" w:type="dxa"/>
              <w:bottom w:w="0" w:type="dxa"/>
              <w:right w:w="15" w:type="dxa"/>
            </w:tcMar>
            <w:vAlign w:val="bottom"/>
            <w:hideMark/>
          </w:tcPr>
          <w:p w14:paraId="5AAA99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DDBB99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6AFD4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1083E544"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EFF0B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97AC7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3C437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10F40C90"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7D92A0D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D3233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DF26D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50E0E695" w14:textId="77777777" w:rsidR="00000000" w:rsidRDefault="00B8284C">
            <w:pPr>
              <w:pStyle w:val="a3"/>
              <w:spacing w:before="0" w:beforeAutospacing="0" w:after="0" w:afterAutospacing="0"/>
              <w:jc w:val="right"/>
              <w:rPr>
                <w:color w:val="000000"/>
                <w:sz w:val="20"/>
                <w:szCs w:val="20"/>
              </w:rPr>
            </w:pPr>
            <w:r>
              <w:rPr>
                <w:color w:val="000000"/>
                <w:sz w:val="20"/>
                <w:szCs w:val="20"/>
              </w:rPr>
              <w:t>8,242</w:t>
            </w:r>
          </w:p>
        </w:tc>
        <w:tc>
          <w:tcPr>
            <w:tcW w:w="50" w:type="pct"/>
            <w:shd w:val="clear" w:color="auto" w:fill="CFF0FC"/>
            <w:noWrap/>
            <w:tcMar>
              <w:top w:w="15" w:type="dxa"/>
              <w:left w:w="0" w:type="dxa"/>
              <w:bottom w:w="0" w:type="dxa"/>
              <w:right w:w="15" w:type="dxa"/>
            </w:tcMar>
            <w:vAlign w:val="bottom"/>
            <w:hideMark/>
          </w:tcPr>
          <w:p w14:paraId="5EFAC6F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0E9B540" w14:textId="77777777">
        <w:trPr>
          <w:divId w:val="1148203241"/>
        </w:trPr>
        <w:tc>
          <w:tcPr>
            <w:tcW w:w="2517" w:type="pct"/>
            <w:shd w:val="clear" w:color="auto" w:fill="FFFFFF"/>
            <w:tcMar>
              <w:top w:w="15" w:type="dxa"/>
              <w:left w:w="0" w:type="dxa"/>
              <w:bottom w:w="0" w:type="dxa"/>
              <w:right w:w="15" w:type="dxa"/>
            </w:tcMar>
            <w:vAlign w:val="bottom"/>
            <w:hideMark/>
          </w:tcPr>
          <w:p w14:paraId="6DEF0885" w14:textId="77777777" w:rsidR="00000000" w:rsidRDefault="00B8284C">
            <w:pPr>
              <w:pStyle w:val="a3"/>
              <w:spacing w:before="0" w:beforeAutospacing="0" w:after="0" w:afterAutospacing="0"/>
              <w:rPr>
                <w:color w:val="000000"/>
                <w:sz w:val="20"/>
                <w:szCs w:val="20"/>
              </w:rPr>
            </w:pPr>
            <w:r>
              <w:rPr>
                <w:color w:val="000000"/>
                <w:sz w:val="20"/>
                <w:szCs w:val="20"/>
              </w:rPr>
              <w:t>Corporate bonds</w:t>
            </w:r>
          </w:p>
        </w:tc>
        <w:tc>
          <w:tcPr>
            <w:tcW w:w="61" w:type="pct"/>
            <w:shd w:val="clear" w:color="auto" w:fill="FFFFFF"/>
            <w:tcMar>
              <w:top w:w="15" w:type="dxa"/>
              <w:left w:w="0" w:type="dxa"/>
              <w:bottom w:w="0" w:type="dxa"/>
              <w:right w:w="15" w:type="dxa"/>
            </w:tcMar>
            <w:vAlign w:val="bottom"/>
            <w:hideMark/>
          </w:tcPr>
          <w:p w14:paraId="0626B54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04377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AD164B7" w14:textId="77777777" w:rsidR="00000000" w:rsidRDefault="00B8284C">
            <w:pPr>
              <w:pStyle w:val="a3"/>
              <w:spacing w:before="0" w:beforeAutospacing="0" w:after="0" w:afterAutospacing="0"/>
              <w:jc w:val="right"/>
              <w:rPr>
                <w:color w:val="000000"/>
                <w:sz w:val="20"/>
                <w:szCs w:val="20"/>
              </w:rPr>
            </w:pPr>
            <w:r>
              <w:rPr>
                <w:color w:val="000000"/>
                <w:sz w:val="20"/>
                <w:szCs w:val="20"/>
              </w:rPr>
              <w:t>70,958</w:t>
            </w:r>
          </w:p>
        </w:tc>
        <w:tc>
          <w:tcPr>
            <w:tcW w:w="50" w:type="pct"/>
            <w:shd w:val="clear" w:color="auto" w:fill="FFFFFF"/>
            <w:noWrap/>
            <w:tcMar>
              <w:top w:w="15" w:type="dxa"/>
              <w:left w:w="0" w:type="dxa"/>
              <w:bottom w:w="0" w:type="dxa"/>
              <w:right w:w="15" w:type="dxa"/>
            </w:tcMar>
            <w:vAlign w:val="bottom"/>
            <w:hideMark/>
          </w:tcPr>
          <w:p w14:paraId="0E11A41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5CFBCA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85070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36C0990" w14:textId="77777777" w:rsidR="00000000" w:rsidRDefault="00B8284C">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32B7A7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AA604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114E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8F6F422" w14:textId="77777777" w:rsidR="00000000" w:rsidRDefault="00B8284C">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14:paraId="1500B3B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6FB34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E1A9F4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E5CE272" w14:textId="77777777" w:rsidR="00000000" w:rsidRDefault="00B8284C">
            <w:pPr>
              <w:pStyle w:val="a3"/>
              <w:spacing w:before="0" w:beforeAutospacing="0" w:after="0" w:afterAutospacing="0"/>
              <w:jc w:val="right"/>
              <w:rPr>
                <w:color w:val="000000"/>
                <w:sz w:val="20"/>
                <w:szCs w:val="20"/>
              </w:rPr>
            </w:pPr>
            <w:r>
              <w:rPr>
                <w:color w:val="000000"/>
                <w:sz w:val="20"/>
                <w:szCs w:val="20"/>
              </w:rPr>
              <w:t>70,728</w:t>
            </w:r>
          </w:p>
        </w:tc>
        <w:tc>
          <w:tcPr>
            <w:tcW w:w="50" w:type="pct"/>
            <w:shd w:val="clear" w:color="auto" w:fill="FFFFFF"/>
            <w:noWrap/>
            <w:tcMar>
              <w:top w:w="15" w:type="dxa"/>
              <w:left w:w="0" w:type="dxa"/>
              <w:bottom w:w="0" w:type="dxa"/>
              <w:right w:w="15" w:type="dxa"/>
            </w:tcMar>
            <w:vAlign w:val="bottom"/>
            <w:hideMark/>
          </w:tcPr>
          <w:p w14:paraId="2C681B3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E696662" w14:textId="77777777">
        <w:trPr>
          <w:divId w:val="1148203241"/>
        </w:trPr>
        <w:tc>
          <w:tcPr>
            <w:tcW w:w="2517" w:type="pct"/>
            <w:shd w:val="clear" w:color="auto" w:fill="CFF0FC"/>
            <w:tcMar>
              <w:top w:w="15" w:type="dxa"/>
              <w:left w:w="0" w:type="dxa"/>
              <w:bottom w:w="0" w:type="dxa"/>
              <w:right w:w="15" w:type="dxa"/>
            </w:tcMar>
            <w:vAlign w:val="bottom"/>
            <w:hideMark/>
          </w:tcPr>
          <w:p w14:paraId="10DB13AC" w14:textId="77777777" w:rsidR="00000000" w:rsidRDefault="00B8284C">
            <w:pPr>
              <w:pStyle w:val="a3"/>
              <w:spacing w:before="0" w:beforeAutospacing="0" w:after="0" w:afterAutospacing="0"/>
              <w:rPr>
                <w:color w:val="000000"/>
                <w:sz w:val="20"/>
                <w:szCs w:val="20"/>
              </w:rPr>
            </w:pPr>
            <w:r>
              <w:rPr>
                <w:color w:val="000000"/>
                <w:sz w:val="20"/>
                <w:szCs w:val="20"/>
              </w:rPr>
              <w:t>U.S. Treasury securities</w:t>
            </w:r>
          </w:p>
        </w:tc>
        <w:tc>
          <w:tcPr>
            <w:tcW w:w="61" w:type="pct"/>
            <w:shd w:val="clear" w:color="auto" w:fill="CFF0FC"/>
            <w:tcMar>
              <w:top w:w="15" w:type="dxa"/>
              <w:left w:w="0" w:type="dxa"/>
              <w:bottom w:w="0" w:type="dxa"/>
              <w:right w:w="15" w:type="dxa"/>
            </w:tcMar>
            <w:vAlign w:val="bottom"/>
            <w:hideMark/>
          </w:tcPr>
          <w:p w14:paraId="3F8E628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466EC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B84FBBB" w14:textId="77777777" w:rsidR="00000000" w:rsidRDefault="00B8284C">
            <w:pPr>
              <w:pStyle w:val="a3"/>
              <w:spacing w:before="0" w:beforeAutospacing="0" w:after="0" w:afterAutospacing="0"/>
              <w:jc w:val="right"/>
              <w:rPr>
                <w:color w:val="000000"/>
                <w:sz w:val="20"/>
                <w:szCs w:val="20"/>
              </w:rPr>
            </w:pPr>
            <w:r>
              <w:rPr>
                <w:color w:val="000000"/>
                <w:sz w:val="20"/>
                <w:szCs w:val="20"/>
              </w:rPr>
              <w:t>413,323</w:t>
            </w:r>
          </w:p>
        </w:tc>
        <w:tc>
          <w:tcPr>
            <w:tcW w:w="50" w:type="pct"/>
            <w:shd w:val="clear" w:color="auto" w:fill="CFF0FC"/>
            <w:noWrap/>
            <w:tcMar>
              <w:top w:w="15" w:type="dxa"/>
              <w:left w:w="0" w:type="dxa"/>
              <w:bottom w:w="0" w:type="dxa"/>
              <w:right w:w="15" w:type="dxa"/>
            </w:tcMar>
            <w:vAlign w:val="bottom"/>
            <w:hideMark/>
          </w:tcPr>
          <w:p w14:paraId="07B9E4A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1861C4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0F7DDC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0042384" w14:textId="77777777" w:rsidR="00000000" w:rsidRDefault="00B8284C">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CFF0FC"/>
            <w:noWrap/>
            <w:tcMar>
              <w:top w:w="15" w:type="dxa"/>
              <w:left w:w="0" w:type="dxa"/>
              <w:bottom w:w="0" w:type="dxa"/>
              <w:right w:w="15" w:type="dxa"/>
            </w:tcMar>
            <w:vAlign w:val="bottom"/>
            <w:hideMark/>
          </w:tcPr>
          <w:p w14:paraId="09D346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94365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98800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19AF5FC" w14:textId="77777777" w:rsidR="00000000" w:rsidRDefault="00B8284C">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CFF0FC"/>
            <w:noWrap/>
            <w:tcMar>
              <w:top w:w="15" w:type="dxa"/>
              <w:left w:w="0" w:type="dxa"/>
              <w:bottom w:w="0" w:type="dxa"/>
              <w:right w:w="15" w:type="dxa"/>
            </w:tcMar>
            <w:vAlign w:val="bottom"/>
            <w:hideMark/>
          </w:tcPr>
          <w:p w14:paraId="60DBC7B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A8AC6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E7331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8A1055B" w14:textId="77777777" w:rsidR="00000000" w:rsidRDefault="00B8284C">
            <w:pPr>
              <w:pStyle w:val="a3"/>
              <w:spacing w:before="0" w:beforeAutospacing="0" w:after="0" w:afterAutospacing="0"/>
              <w:jc w:val="right"/>
              <w:rPr>
                <w:color w:val="000000"/>
                <w:sz w:val="20"/>
                <w:szCs w:val="20"/>
              </w:rPr>
            </w:pPr>
            <w:r>
              <w:rPr>
                <w:color w:val="000000"/>
                <w:sz w:val="20"/>
                <w:szCs w:val="20"/>
              </w:rPr>
              <w:t>413,241</w:t>
            </w:r>
          </w:p>
        </w:tc>
        <w:tc>
          <w:tcPr>
            <w:tcW w:w="50" w:type="pct"/>
            <w:shd w:val="clear" w:color="auto" w:fill="CFF0FC"/>
            <w:noWrap/>
            <w:tcMar>
              <w:top w:w="15" w:type="dxa"/>
              <w:left w:w="0" w:type="dxa"/>
              <w:bottom w:w="0" w:type="dxa"/>
              <w:right w:w="15" w:type="dxa"/>
            </w:tcMar>
            <w:vAlign w:val="bottom"/>
            <w:hideMark/>
          </w:tcPr>
          <w:p w14:paraId="2457266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DCEC34C" w14:textId="77777777">
        <w:trPr>
          <w:divId w:val="1148203241"/>
        </w:trPr>
        <w:tc>
          <w:tcPr>
            <w:tcW w:w="2517" w:type="pct"/>
            <w:shd w:val="clear" w:color="auto" w:fill="FFFFFF"/>
            <w:tcMar>
              <w:top w:w="15" w:type="dxa"/>
              <w:left w:w="0" w:type="dxa"/>
              <w:bottom w:w="0" w:type="dxa"/>
              <w:right w:w="15" w:type="dxa"/>
            </w:tcMar>
            <w:vAlign w:val="bottom"/>
            <w:hideMark/>
          </w:tcPr>
          <w:p w14:paraId="6C898814" w14:textId="77777777" w:rsidR="00000000" w:rsidRDefault="00B8284C">
            <w:pPr>
              <w:pStyle w:val="a3"/>
              <w:spacing w:before="0" w:beforeAutospacing="0" w:after="0" w:afterAutospacing="0"/>
              <w:ind w:left="274"/>
              <w:rPr>
                <w:color w:val="000000"/>
                <w:sz w:val="20"/>
                <w:szCs w:val="20"/>
              </w:rPr>
            </w:pPr>
            <w:r>
              <w:rPr>
                <w:color w:val="000000"/>
                <w:sz w:val="20"/>
                <w:szCs w:val="20"/>
              </w:rPr>
              <w:t>Total</w:t>
            </w:r>
          </w:p>
        </w:tc>
        <w:tc>
          <w:tcPr>
            <w:tcW w:w="61" w:type="pct"/>
            <w:shd w:val="clear" w:color="auto" w:fill="FFFFFF"/>
            <w:tcMar>
              <w:top w:w="15" w:type="dxa"/>
              <w:left w:w="0" w:type="dxa"/>
              <w:bottom w:w="0" w:type="dxa"/>
              <w:right w:w="15" w:type="dxa"/>
            </w:tcMar>
            <w:vAlign w:val="bottom"/>
            <w:hideMark/>
          </w:tcPr>
          <w:p w14:paraId="7336563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97161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371F2F" w14:textId="77777777" w:rsidR="00000000" w:rsidRDefault="00B8284C">
            <w:pPr>
              <w:pStyle w:val="a3"/>
              <w:spacing w:before="0" w:beforeAutospacing="0" w:after="0" w:afterAutospacing="0"/>
              <w:jc w:val="right"/>
              <w:rPr>
                <w:color w:val="000000"/>
                <w:sz w:val="20"/>
                <w:szCs w:val="20"/>
              </w:rPr>
            </w:pPr>
            <w:r>
              <w:rPr>
                <w:color w:val="000000"/>
                <w:sz w:val="20"/>
                <w:szCs w:val="20"/>
              </w:rPr>
              <w:t>492,537</w:t>
            </w:r>
          </w:p>
        </w:tc>
        <w:tc>
          <w:tcPr>
            <w:tcW w:w="50" w:type="pct"/>
            <w:shd w:val="clear" w:color="auto" w:fill="FFFFFF"/>
            <w:noWrap/>
            <w:tcMar>
              <w:top w:w="15" w:type="dxa"/>
              <w:left w:w="0" w:type="dxa"/>
              <w:bottom w:w="0" w:type="dxa"/>
              <w:right w:w="15" w:type="dxa"/>
            </w:tcMar>
            <w:vAlign w:val="bottom"/>
            <w:hideMark/>
          </w:tcPr>
          <w:p w14:paraId="76B43C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B714AE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452EA4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F1F9A9" w14:textId="77777777" w:rsidR="00000000" w:rsidRDefault="00B8284C">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FFFFFF"/>
            <w:noWrap/>
            <w:tcMar>
              <w:top w:w="15" w:type="dxa"/>
              <w:left w:w="0" w:type="dxa"/>
              <w:bottom w:w="0" w:type="dxa"/>
              <w:right w:w="15" w:type="dxa"/>
            </w:tcMar>
            <w:vAlign w:val="bottom"/>
            <w:hideMark/>
          </w:tcPr>
          <w:p w14:paraId="4D03A2C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F87C8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261F3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887831" w14:textId="77777777" w:rsidR="00000000" w:rsidRDefault="00B8284C">
            <w:pPr>
              <w:pStyle w:val="a3"/>
              <w:spacing w:before="0" w:beforeAutospacing="0" w:after="0" w:afterAutospacing="0"/>
              <w:jc w:val="right"/>
              <w:rPr>
                <w:color w:val="000000"/>
                <w:sz w:val="20"/>
                <w:szCs w:val="20"/>
              </w:rPr>
            </w:pPr>
            <w:r>
              <w:rPr>
                <w:color w:val="000000"/>
                <w:sz w:val="20"/>
                <w:szCs w:val="20"/>
              </w:rPr>
              <w:t>(385</w:t>
            </w:r>
          </w:p>
        </w:tc>
        <w:tc>
          <w:tcPr>
            <w:tcW w:w="50" w:type="pct"/>
            <w:shd w:val="clear" w:color="auto" w:fill="FFFFFF"/>
            <w:noWrap/>
            <w:tcMar>
              <w:top w:w="15" w:type="dxa"/>
              <w:left w:w="0" w:type="dxa"/>
              <w:bottom w:w="0" w:type="dxa"/>
              <w:right w:w="15" w:type="dxa"/>
            </w:tcMar>
            <w:vAlign w:val="bottom"/>
            <w:hideMark/>
          </w:tcPr>
          <w:p w14:paraId="2A77C94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0710AE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BBE13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BABACB" w14:textId="77777777" w:rsidR="00000000" w:rsidRDefault="00B8284C">
            <w:pPr>
              <w:pStyle w:val="a3"/>
              <w:spacing w:before="0" w:beforeAutospacing="0" w:after="0" w:afterAutospacing="0"/>
              <w:jc w:val="right"/>
              <w:rPr>
                <w:color w:val="000000"/>
                <w:sz w:val="20"/>
                <w:szCs w:val="20"/>
              </w:rPr>
            </w:pPr>
            <w:r>
              <w:rPr>
                <w:color w:val="000000"/>
                <w:sz w:val="20"/>
                <w:szCs w:val="20"/>
              </w:rPr>
              <w:t>492,211</w:t>
            </w:r>
          </w:p>
        </w:tc>
        <w:tc>
          <w:tcPr>
            <w:tcW w:w="50" w:type="pct"/>
            <w:shd w:val="clear" w:color="auto" w:fill="FFFFFF"/>
            <w:noWrap/>
            <w:tcMar>
              <w:top w:w="15" w:type="dxa"/>
              <w:left w:w="0" w:type="dxa"/>
              <w:bottom w:w="0" w:type="dxa"/>
              <w:right w:w="15" w:type="dxa"/>
            </w:tcMar>
            <w:vAlign w:val="bottom"/>
            <w:hideMark/>
          </w:tcPr>
          <w:p w14:paraId="439CB4BE"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3027387D" w14:textId="77777777" w:rsidR="00000000" w:rsidRDefault="00B8284C">
      <w:pPr>
        <w:pStyle w:val="a3"/>
        <w:spacing w:before="0" w:beforeAutospacing="0" w:after="0" w:afterAutospacing="0"/>
        <w:rPr>
          <w:sz w:val="20"/>
          <w:szCs w:val="20"/>
        </w:rPr>
      </w:pPr>
      <w:r>
        <w:rPr>
          <w:sz w:val="20"/>
          <w:szCs w:val="20"/>
        </w:rPr>
        <w:t> </w:t>
      </w:r>
    </w:p>
    <w:p w14:paraId="6BAEF33E" w14:textId="77777777" w:rsidR="00000000" w:rsidRDefault="00B8284C">
      <w:pPr>
        <w:pStyle w:val="a3"/>
        <w:spacing w:before="40" w:beforeAutospacing="0" w:after="0" w:afterAutospacing="0"/>
        <w:ind w:firstLine="556"/>
        <w:rPr>
          <w:sz w:val="20"/>
          <w:szCs w:val="20"/>
        </w:rPr>
      </w:pPr>
      <w:r>
        <w:rPr>
          <w:sz w:val="20"/>
          <w:szCs w:val="20"/>
        </w:rPr>
        <w:t>For all of our securities for which the amortized cost basis was greater than the fair value at September 30, 2019, the Company has concluded that there is no plan to sell the security nor is it more likely than not that the Company would be required to se</w:t>
      </w:r>
      <w:r>
        <w:rPr>
          <w:sz w:val="20"/>
          <w:szCs w:val="20"/>
        </w:rPr>
        <w:t>ll the security before its anticipated recovery. In making the determination as to whether the unrealized loss is other-than-temporary, the Company considered the length of time and extent the investment has been in an unrealized loss position, the financi</w:t>
      </w:r>
      <w:r>
        <w:rPr>
          <w:sz w:val="20"/>
          <w:szCs w:val="20"/>
        </w:rPr>
        <w:t>al condition and near-term prospects of the issuers, the issuers’ credit rating and the time to maturity.</w:t>
      </w:r>
    </w:p>
    <w:p w14:paraId="31B67794" w14:textId="77777777" w:rsidR="00000000" w:rsidRDefault="00B8284C">
      <w:pPr>
        <w:pStyle w:val="a3"/>
        <w:spacing w:before="360" w:beforeAutospacing="0" w:after="0" w:afterAutospacing="0"/>
        <w:rPr>
          <w:i/>
          <w:iCs/>
          <w:sz w:val="20"/>
          <w:szCs w:val="20"/>
        </w:rPr>
      </w:pPr>
      <w:r>
        <w:rPr>
          <w:i/>
          <w:iCs/>
          <w:sz w:val="20"/>
          <w:szCs w:val="20"/>
        </w:rPr>
        <w:t>Contractual Maturities</w:t>
      </w:r>
    </w:p>
    <w:p w14:paraId="40162B87" w14:textId="77777777" w:rsidR="00000000" w:rsidRDefault="00B8284C">
      <w:pPr>
        <w:pStyle w:val="a3"/>
        <w:spacing w:before="120" w:beforeAutospacing="0" w:after="0" w:afterAutospacing="0"/>
        <w:ind w:firstLine="556"/>
        <w:rPr>
          <w:sz w:val="20"/>
          <w:szCs w:val="20"/>
        </w:rPr>
      </w:pPr>
      <w:r>
        <w:rPr>
          <w:sz w:val="20"/>
          <w:szCs w:val="20"/>
        </w:rPr>
        <w:t>The contractual maturities of short-term and long-term investments held at September 30, 2019 and December 31, 2018 are as foll</w:t>
      </w:r>
      <w:r>
        <w:rPr>
          <w:sz w:val="20"/>
          <w:szCs w:val="20"/>
        </w:rPr>
        <w:t>ows:</w:t>
      </w:r>
    </w:p>
    <w:p w14:paraId="2D90ADD0"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14:paraId="5FFFDFEE" w14:textId="77777777">
        <w:trPr>
          <w:divId w:val="962232125"/>
        </w:trPr>
        <w:tc>
          <w:tcPr>
            <w:tcW w:w="2517" w:type="pct"/>
            <w:shd w:val="clear" w:color="auto" w:fill="FFFFFF"/>
            <w:tcMar>
              <w:top w:w="15" w:type="dxa"/>
              <w:left w:w="0" w:type="dxa"/>
              <w:bottom w:w="0" w:type="dxa"/>
              <w:right w:w="15" w:type="dxa"/>
            </w:tcMar>
            <w:vAlign w:val="bottom"/>
            <w:hideMark/>
          </w:tcPr>
          <w:p w14:paraId="2268E140" w14:textId="77777777" w:rsidR="00000000" w:rsidRDefault="00B8284C">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2C96222D"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16A9EE9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14:paraId="1032F35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bottom w:val="single" w:sz="6" w:space="0" w:color="000000"/>
            </w:tcBorders>
            <w:shd w:val="clear" w:color="auto" w:fill="FFFFFF"/>
            <w:tcMar>
              <w:top w:w="15" w:type="dxa"/>
              <w:left w:w="0" w:type="dxa"/>
              <w:bottom w:w="0" w:type="dxa"/>
              <w:right w:w="15" w:type="dxa"/>
            </w:tcMar>
            <w:vAlign w:val="bottom"/>
            <w:hideMark/>
          </w:tcPr>
          <w:p w14:paraId="0DAD49D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4BF56CC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215BF62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985777E" w14:textId="77777777">
        <w:trPr>
          <w:divId w:val="962232125"/>
        </w:trPr>
        <w:tc>
          <w:tcPr>
            <w:tcW w:w="2517" w:type="pct"/>
            <w:shd w:val="clear" w:color="auto" w:fill="FFFFFF"/>
            <w:tcMar>
              <w:top w:w="15" w:type="dxa"/>
              <w:left w:w="0" w:type="dxa"/>
              <w:bottom w:w="0" w:type="dxa"/>
              <w:right w:w="15" w:type="dxa"/>
            </w:tcMar>
            <w:vAlign w:val="bottom"/>
            <w:hideMark/>
          </w:tcPr>
          <w:p w14:paraId="763EA78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5CAD6F08"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897E5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Amortized</w:t>
            </w:r>
          </w:p>
          <w:p w14:paraId="29BFBF4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14:paraId="3C1A803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FB6250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B8912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Aggregate</w:t>
            </w:r>
          </w:p>
          <w:p w14:paraId="68A67EA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5655D0E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3C91B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FAE610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Amortized</w:t>
            </w:r>
          </w:p>
          <w:p w14:paraId="0FCE5EE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14:paraId="7B1BB7D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7168402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71964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Aggregate</w:t>
            </w:r>
          </w:p>
          <w:p w14:paraId="6B9FA6C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66CDA02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4E4AC38" w14:textId="77777777">
        <w:trPr>
          <w:divId w:val="962232125"/>
        </w:trPr>
        <w:tc>
          <w:tcPr>
            <w:tcW w:w="2517" w:type="pct"/>
            <w:shd w:val="clear" w:color="auto" w:fill="FFFFFF"/>
            <w:tcMar>
              <w:top w:w="15" w:type="dxa"/>
              <w:left w:w="0" w:type="dxa"/>
              <w:bottom w:w="0" w:type="dxa"/>
              <w:right w:w="15" w:type="dxa"/>
            </w:tcMar>
            <w:vAlign w:val="bottom"/>
            <w:hideMark/>
          </w:tcPr>
          <w:p w14:paraId="104604A1"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692C3EAC"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616D307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4E81E5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7E1C24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3AE71E9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F8D904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3D63099D" w14:textId="77777777">
        <w:trPr>
          <w:divId w:val="962232125"/>
        </w:trPr>
        <w:tc>
          <w:tcPr>
            <w:tcW w:w="2517" w:type="pct"/>
            <w:shd w:val="clear" w:color="auto" w:fill="CFF0FC"/>
            <w:tcMar>
              <w:top w:w="15" w:type="dxa"/>
              <w:left w:w="0" w:type="dxa"/>
              <w:bottom w:w="0" w:type="dxa"/>
              <w:right w:w="15" w:type="dxa"/>
            </w:tcMar>
            <w:vAlign w:val="bottom"/>
            <w:hideMark/>
          </w:tcPr>
          <w:p w14:paraId="53AF8B34" w14:textId="77777777" w:rsidR="00000000" w:rsidRDefault="00B8284C">
            <w:pPr>
              <w:pStyle w:val="a3"/>
              <w:spacing w:before="0" w:beforeAutospacing="0" w:after="0" w:afterAutospacing="0"/>
              <w:rPr>
                <w:color w:val="000000"/>
                <w:sz w:val="20"/>
                <w:szCs w:val="20"/>
              </w:rPr>
            </w:pPr>
            <w:r>
              <w:rPr>
                <w:color w:val="000000"/>
                <w:sz w:val="20"/>
                <w:szCs w:val="20"/>
              </w:rPr>
              <w:t>Due within one year</w:t>
            </w:r>
          </w:p>
        </w:tc>
        <w:tc>
          <w:tcPr>
            <w:tcW w:w="61" w:type="pct"/>
            <w:shd w:val="clear" w:color="auto" w:fill="CFF0FC"/>
            <w:tcMar>
              <w:top w:w="15" w:type="dxa"/>
              <w:left w:w="0" w:type="dxa"/>
              <w:bottom w:w="0" w:type="dxa"/>
              <w:right w:w="15" w:type="dxa"/>
            </w:tcMar>
            <w:vAlign w:val="bottom"/>
            <w:hideMark/>
          </w:tcPr>
          <w:p w14:paraId="107C1FD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DE155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56E52762" w14:textId="77777777" w:rsidR="00000000" w:rsidRDefault="00B8284C">
            <w:pPr>
              <w:pStyle w:val="a3"/>
              <w:spacing w:before="0" w:beforeAutospacing="0" w:after="0" w:afterAutospacing="0"/>
              <w:jc w:val="right"/>
              <w:rPr>
                <w:color w:val="000000"/>
                <w:sz w:val="20"/>
                <w:szCs w:val="20"/>
              </w:rPr>
            </w:pPr>
            <w:r>
              <w:rPr>
                <w:color w:val="000000"/>
                <w:sz w:val="20"/>
                <w:szCs w:val="20"/>
              </w:rPr>
              <w:t>722,251</w:t>
            </w:r>
          </w:p>
        </w:tc>
        <w:tc>
          <w:tcPr>
            <w:tcW w:w="50" w:type="pct"/>
            <w:shd w:val="clear" w:color="auto" w:fill="CFF0FC"/>
            <w:noWrap/>
            <w:tcMar>
              <w:top w:w="15" w:type="dxa"/>
              <w:left w:w="0" w:type="dxa"/>
              <w:bottom w:w="0" w:type="dxa"/>
              <w:right w:w="15" w:type="dxa"/>
            </w:tcMar>
            <w:vAlign w:val="bottom"/>
            <w:hideMark/>
          </w:tcPr>
          <w:p w14:paraId="3024BB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C41F82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DAC5F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38EA6D7A" w14:textId="77777777" w:rsidR="00000000" w:rsidRDefault="00B8284C">
            <w:pPr>
              <w:pStyle w:val="a3"/>
              <w:spacing w:before="0" w:beforeAutospacing="0" w:after="0" w:afterAutospacing="0"/>
              <w:jc w:val="right"/>
              <w:rPr>
                <w:color w:val="000000"/>
                <w:sz w:val="20"/>
                <w:szCs w:val="20"/>
              </w:rPr>
            </w:pPr>
            <w:r>
              <w:rPr>
                <w:color w:val="000000"/>
                <w:sz w:val="20"/>
                <w:szCs w:val="20"/>
              </w:rPr>
              <w:t>722,767</w:t>
            </w:r>
          </w:p>
        </w:tc>
        <w:tc>
          <w:tcPr>
            <w:tcW w:w="50" w:type="pct"/>
            <w:shd w:val="clear" w:color="auto" w:fill="CFF0FC"/>
            <w:noWrap/>
            <w:tcMar>
              <w:top w:w="15" w:type="dxa"/>
              <w:left w:w="0" w:type="dxa"/>
              <w:bottom w:w="0" w:type="dxa"/>
              <w:right w:w="15" w:type="dxa"/>
            </w:tcMar>
            <w:vAlign w:val="bottom"/>
            <w:hideMark/>
          </w:tcPr>
          <w:p w14:paraId="1476B0B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867578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96464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63125F37" w14:textId="77777777" w:rsidR="00000000" w:rsidRDefault="00B8284C">
            <w:pPr>
              <w:pStyle w:val="a3"/>
              <w:spacing w:before="0" w:beforeAutospacing="0" w:after="0" w:afterAutospacing="0"/>
              <w:jc w:val="right"/>
              <w:rPr>
                <w:color w:val="000000"/>
                <w:sz w:val="20"/>
                <w:szCs w:val="20"/>
              </w:rPr>
            </w:pPr>
            <w:r>
              <w:rPr>
                <w:color w:val="000000"/>
                <w:sz w:val="20"/>
                <w:szCs w:val="20"/>
              </w:rPr>
              <w:t>481,071</w:t>
            </w:r>
          </w:p>
        </w:tc>
        <w:tc>
          <w:tcPr>
            <w:tcW w:w="50" w:type="pct"/>
            <w:shd w:val="clear" w:color="auto" w:fill="CFF0FC"/>
            <w:noWrap/>
            <w:tcMar>
              <w:top w:w="15" w:type="dxa"/>
              <w:left w:w="0" w:type="dxa"/>
              <w:bottom w:w="0" w:type="dxa"/>
              <w:right w:w="15" w:type="dxa"/>
            </w:tcMar>
            <w:vAlign w:val="bottom"/>
            <w:hideMark/>
          </w:tcPr>
          <w:p w14:paraId="52DBA9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01101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8549C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0F6C4A76" w14:textId="77777777" w:rsidR="00000000" w:rsidRDefault="00B8284C">
            <w:pPr>
              <w:pStyle w:val="a3"/>
              <w:spacing w:before="0" w:beforeAutospacing="0" w:after="0" w:afterAutospacing="0"/>
              <w:jc w:val="right"/>
              <w:rPr>
                <w:color w:val="000000"/>
                <w:sz w:val="20"/>
                <w:szCs w:val="20"/>
              </w:rPr>
            </w:pPr>
            <w:r>
              <w:rPr>
                <w:color w:val="000000"/>
                <w:sz w:val="20"/>
                <w:szCs w:val="20"/>
              </w:rPr>
              <w:t>480,761</w:t>
            </w:r>
          </w:p>
        </w:tc>
        <w:tc>
          <w:tcPr>
            <w:tcW w:w="50" w:type="pct"/>
            <w:shd w:val="clear" w:color="auto" w:fill="CFF0FC"/>
            <w:noWrap/>
            <w:tcMar>
              <w:top w:w="15" w:type="dxa"/>
              <w:left w:w="0" w:type="dxa"/>
              <w:bottom w:w="0" w:type="dxa"/>
              <w:right w:w="15" w:type="dxa"/>
            </w:tcMar>
            <w:vAlign w:val="bottom"/>
            <w:hideMark/>
          </w:tcPr>
          <w:p w14:paraId="48714B50"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9E568BB" w14:textId="77777777">
        <w:trPr>
          <w:divId w:val="962232125"/>
        </w:trPr>
        <w:tc>
          <w:tcPr>
            <w:tcW w:w="2517" w:type="pct"/>
            <w:shd w:val="clear" w:color="auto" w:fill="FFFFFF"/>
            <w:tcMar>
              <w:top w:w="15" w:type="dxa"/>
              <w:left w:w="0" w:type="dxa"/>
              <w:bottom w:w="0" w:type="dxa"/>
              <w:right w:w="15" w:type="dxa"/>
            </w:tcMar>
            <w:vAlign w:val="bottom"/>
            <w:hideMark/>
          </w:tcPr>
          <w:p w14:paraId="1B74A5CD" w14:textId="77777777" w:rsidR="00000000" w:rsidRDefault="00B8284C">
            <w:pPr>
              <w:pStyle w:val="a3"/>
              <w:spacing w:before="0" w:beforeAutospacing="0" w:after="0" w:afterAutospacing="0"/>
              <w:rPr>
                <w:color w:val="000000"/>
                <w:sz w:val="20"/>
                <w:szCs w:val="20"/>
              </w:rPr>
            </w:pPr>
            <w:r>
              <w:rPr>
                <w:color w:val="000000"/>
                <w:sz w:val="20"/>
                <w:szCs w:val="20"/>
              </w:rPr>
              <w:t>Due after 1 year through 2 years</w:t>
            </w:r>
          </w:p>
        </w:tc>
        <w:tc>
          <w:tcPr>
            <w:tcW w:w="61" w:type="pct"/>
            <w:shd w:val="clear" w:color="auto" w:fill="FFFFFF"/>
            <w:tcMar>
              <w:top w:w="15" w:type="dxa"/>
              <w:left w:w="0" w:type="dxa"/>
              <w:bottom w:w="0" w:type="dxa"/>
              <w:right w:w="15" w:type="dxa"/>
            </w:tcMar>
            <w:vAlign w:val="bottom"/>
            <w:hideMark/>
          </w:tcPr>
          <w:p w14:paraId="650974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BABFD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55F28C6" w14:textId="77777777" w:rsidR="00000000" w:rsidRDefault="00B8284C">
            <w:pPr>
              <w:pStyle w:val="a3"/>
              <w:spacing w:before="0" w:beforeAutospacing="0" w:after="0" w:afterAutospacing="0"/>
              <w:jc w:val="right"/>
              <w:rPr>
                <w:color w:val="000000"/>
                <w:sz w:val="20"/>
                <w:szCs w:val="20"/>
              </w:rPr>
            </w:pPr>
            <w:r>
              <w:rPr>
                <w:color w:val="000000"/>
                <w:sz w:val="20"/>
                <w:szCs w:val="20"/>
              </w:rPr>
              <w:t>59,555</w:t>
            </w:r>
          </w:p>
        </w:tc>
        <w:tc>
          <w:tcPr>
            <w:tcW w:w="50" w:type="pct"/>
            <w:shd w:val="clear" w:color="auto" w:fill="FFFFFF"/>
            <w:noWrap/>
            <w:tcMar>
              <w:top w:w="15" w:type="dxa"/>
              <w:left w:w="0" w:type="dxa"/>
              <w:bottom w:w="0" w:type="dxa"/>
              <w:right w:w="15" w:type="dxa"/>
            </w:tcMar>
            <w:vAlign w:val="bottom"/>
            <w:hideMark/>
          </w:tcPr>
          <w:p w14:paraId="1EAC033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803C27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487A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EA23BDC" w14:textId="77777777" w:rsidR="00000000" w:rsidRDefault="00B8284C">
            <w:pPr>
              <w:pStyle w:val="a3"/>
              <w:spacing w:before="0" w:beforeAutospacing="0" w:after="0" w:afterAutospacing="0"/>
              <w:jc w:val="right"/>
              <w:rPr>
                <w:color w:val="000000"/>
                <w:sz w:val="20"/>
                <w:szCs w:val="20"/>
              </w:rPr>
            </w:pPr>
            <w:r>
              <w:rPr>
                <w:color w:val="000000"/>
                <w:sz w:val="20"/>
                <w:szCs w:val="20"/>
              </w:rPr>
              <w:t>59,782</w:t>
            </w:r>
          </w:p>
        </w:tc>
        <w:tc>
          <w:tcPr>
            <w:tcW w:w="50" w:type="pct"/>
            <w:shd w:val="clear" w:color="auto" w:fill="FFFFFF"/>
            <w:noWrap/>
            <w:tcMar>
              <w:top w:w="15" w:type="dxa"/>
              <w:left w:w="0" w:type="dxa"/>
              <w:bottom w:w="0" w:type="dxa"/>
              <w:right w:w="15" w:type="dxa"/>
            </w:tcMar>
            <w:vAlign w:val="bottom"/>
            <w:hideMark/>
          </w:tcPr>
          <w:p w14:paraId="50DF30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tcBorders>
              <w:bottom w:val="single" w:sz="6" w:space="0" w:color="000000"/>
            </w:tcBorders>
            <w:shd w:val="clear" w:color="auto" w:fill="FFFFFF"/>
            <w:tcMar>
              <w:top w:w="15" w:type="dxa"/>
              <w:left w:w="0" w:type="dxa"/>
              <w:bottom w:w="0" w:type="dxa"/>
              <w:right w:w="15" w:type="dxa"/>
            </w:tcMar>
            <w:vAlign w:val="bottom"/>
            <w:hideMark/>
          </w:tcPr>
          <w:p w14:paraId="1D54869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EBB9AB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E2ADB69" w14:textId="77777777" w:rsidR="00000000" w:rsidRDefault="00B8284C">
            <w:pPr>
              <w:pStyle w:val="a3"/>
              <w:spacing w:before="0" w:beforeAutospacing="0" w:after="0" w:afterAutospacing="0"/>
              <w:jc w:val="right"/>
              <w:rPr>
                <w:color w:val="000000"/>
                <w:sz w:val="20"/>
                <w:szCs w:val="20"/>
              </w:rPr>
            </w:pPr>
            <w:r>
              <w:rPr>
                <w:color w:val="000000"/>
                <w:sz w:val="20"/>
                <w:szCs w:val="20"/>
              </w:rPr>
              <w:t>11,466</w:t>
            </w:r>
          </w:p>
        </w:tc>
        <w:tc>
          <w:tcPr>
            <w:tcW w:w="50" w:type="pct"/>
            <w:shd w:val="clear" w:color="auto" w:fill="FFFFFF"/>
            <w:noWrap/>
            <w:tcMar>
              <w:top w:w="15" w:type="dxa"/>
              <w:left w:w="0" w:type="dxa"/>
              <w:bottom w:w="0" w:type="dxa"/>
              <w:right w:w="15" w:type="dxa"/>
            </w:tcMar>
            <w:vAlign w:val="bottom"/>
            <w:hideMark/>
          </w:tcPr>
          <w:p w14:paraId="1D3013D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87566D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AF6E9C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D731616" w14:textId="77777777" w:rsidR="00000000" w:rsidRDefault="00B8284C">
            <w:pPr>
              <w:pStyle w:val="a3"/>
              <w:spacing w:before="0" w:beforeAutospacing="0" w:after="0" w:afterAutospacing="0"/>
              <w:jc w:val="right"/>
              <w:rPr>
                <w:color w:val="000000"/>
                <w:sz w:val="20"/>
                <w:szCs w:val="20"/>
              </w:rPr>
            </w:pPr>
            <w:r>
              <w:rPr>
                <w:color w:val="000000"/>
                <w:sz w:val="20"/>
                <w:szCs w:val="20"/>
              </w:rPr>
              <w:t>11,450</w:t>
            </w:r>
          </w:p>
        </w:tc>
        <w:tc>
          <w:tcPr>
            <w:tcW w:w="50" w:type="pct"/>
            <w:shd w:val="clear" w:color="auto" w:fill="FFFFFF"/>
            <w:noWrap/>
            <w:tcMar>
              <w:top w:w="15" w:type="dxa"/>
              <w:left w:w="0" w:type="dxa"/>
              <w:bottom w:w="0" w:type="dxa"/>
              <w:right w:w="15" w:type="dxa"/>
            </w:tcMar>
            <w:vAlign w:val="bottom"/>
            <w:hideMark/>
          </w:tcPr>
          <w:p w14:paraId="23233CE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706B635" w14:textId="77777777">
        <w:trPr>
          <w:divId w:val="962232125"/>
        </w:trPr>
        <w:tc>
          <w:tcPr>
            <w:tcW w:w="2517" w:type="pct"/>
            <w:shd w:val="clear" w:color="auto" w:fill="CFF0FC"/>
            <w:tcMar>
              <w:top w:w="15" w:type="dxa"/>
              <w:left w:w="0" w:type="dxa"/>
              <w:bottom w:w="0" w:type="dxa"/>
              <w:right w:w="15" w:type="dxa"/>
            </w:tcMar>
            <w:vAlign w:val="bottom"/>
            <w:hideMark/>
          </w:tcPr>
          <w:p w14:paraId="10EF817D" w14:textId="77777777" w:rsidR="00000000" w:rsidRDefault="00B8284C">
            <w:pPr>
              <w:pStyle w:val="a3"/>
              <w:spacing w:before="0" w:beforeAutospacing="0" w:after="0" w:afterAutospacing="0"/>
              <w:ind w:left="274"/>
              <w:rPr>
                <w:color w:val="000000"/>
                <w:sz w:val="20"/>
                <w:szCs w:val="20"/>
              </w:rPr>
            </w:pPr>
            <w:r>
              <w:rPr>
                <w:color w:val="000000"/>
                <w:sz w:val="20"/>
                <w:szCs w:val="20"/>
              </w:rPr>
              <w:t>Total</w:t>
            </w:r>
          </w:p>
        </w:tc>
        <w:tc>
          <w:tcPr>
            <w:tcW w:w="61" w:type="pct"/>
            <w:shd w:val="clear" w:color="auto" w:fill="CFF0FC"/>
            <w:tcMar>
              <w:top w:w="15" w:type="dxa"/>
              <w:left w:w="0" w:type="dxa"/>
              <w:bottom w:w="0" w:type="dxa"/>
              <w:right w:w="15" w:type="dxa"/>
            </w:tcMar>
            <w:vAlign w:val="bottom"/>
            <w:hideMark/>
          </w:tcPr>
          <w:p w14:paraId="4F474AB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09173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CC1ADA" w14:textId="77777777" w:rsidR="00000000" w:rsidRDefault="00B8284C">
            <w:pPr>
              <w:pStyle w:val="a3"/>
              <w:spacing w:before="0" w:beforeAutospacing="0" w:after="0" w:afterAutospacing="0"/>
              <w:jc w:val="right"/>
              <w:rPr>
                <w:color w:val="000000"/>
                <w:sz w:val="20"/>
                <w:szCs w:val="20"/>
              </w:rPr>
            </w:pPr>
            <w:r>
              <w:rPr>
                <w:color w:val="000000"/>
                <w:sz w:val="20"/>
                <w:szCs w:val="20"/>
              </w:rPr>
              <w:t>781,806</w:t>
            </w:r>
          </w:p>
        </w:tc>
        <w:tc>
          <w:tcPr>
            <w:tcW w:w="50" w:type="pct"/>
            <w:shd w:val="clear" w:color="auto" w:fill="CFF0FC"/>
            <w:noWrap/>
            <w:tcMar>
              <w:top w:w="15" w:type="dxa"/>
              <w:left w:w="0" w:type="dxa"/>
              <w:bottom w:w="0" w:type="dxa"/>
              <w:right w:w="15" w:type="dxa"/>
            </w:tcMar>
            <w:vAlign w:val="bottom"/>
            <w:hideMark/>
          </w:tcPr>
          <w:p w14:paraId="112F0B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4E701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44258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612F24" w14:textId="77777777" w:rsidR="00000000" w:rsidRDefault="00B8284C">
            <w:pPr>
              <w:pStyle w:val="a3"/>
              <w:spacing w:before="0" w:beforeAutospacing="0" w:after="0" w:afterAutospacing="0"/>
              <w:jc w:val="right"/>
              <w:rPr>
                <w:color w:val="000000"/>
                <w:sz w:val="20"/>
                <w:szCs w:val="20"/>
              </w:rPr>
            </w:pPr>
            <w:r>
              <w:rPr>
                <w:color w:val="000000"/>
                <w:sz w:val="20"/>
                <w:szCs w:val="20"/>
              </w:rPr>
              <w:t>782,549</w:t>
            </w:r>
          </w:p>
        </w:tc>
        <w:tc>
          <w:tcPr>
            <w:tcW w:w="50" w:type="pct"/>
            <w:shd w:val="clear" w:color="auto" w:fill="CFF0FC"/>
            <w:noWrap/>
            <w:tcMar>
              <w:top w:w="15" w:type="dxa"/>
              <w:left w:w="0" w:type="dxa"/>
              <w:bottom w:w="0" w:type="dxa"/>
              <w:right w:w="15" w:type="dxa"/>
            </w:tcMar>
            <w:vAlign w:val="bottom"/>
            <w:hideMark/>
          </w:tcPr>
          <w:p w14:paraId="7D5A7C9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14:paraId="136BEC6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E59030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D54A88" w14:textId="77777777" w:rsidR="00000000" w:rsidRDefault="00B8284C">
            <w:pPr>
              <w:pStyle w:val="a3"/>
              <w:spacing w:before="0" w:beforeAutospacing="0" w:after="0" w:afterAutospacing="0"/>
              <w:jc w:val="right"/>
              <w:rPr>
                <w:color w:val="000000"/>
                <w:sz w:val="20"/>
                <w:szCs w:val="20"/>
              </w:rPr>
            </w:pPr>
            <w:r>
              <w:rPr>
                <w:color w:val="000000"/>
                <w:sz w:val="20"/>
                <w:szCs w:val="20"/>
              </w:rPr>
              <w:t>492,537</w:t>
            </w:r>
          </w:p>
        </w:tc>
        <w:tc>
          <w:tcPr>
            <w:tcW w:w="50" w:type="pct"/>
            <w:shd w:val="clear" w:color="auto" w:fill="CFF0FC"/>
            <w:noWrap/>
            <w:tcMar>
              <w:top w:w="15" w:type="dxa"/>
              <w:left w:w="0" w:type="dxa"/>
              <w:bottom w:w="0" w:type="dxa"/>
              <w:right w:w="15" w:type="dxa"/>
            </w:tcMar>
            <w:vAlign w:val="bottom"/>
            <w:hideMark/>
          </w:tcPr>
          <w:p w14:paraId="3C98FE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47A7F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85EA8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8273E9" w14:textId="77777777" w:rsidR="00000000" w:rsidRDefault="00B8284C">
            <w:pPr>
              <w:pStyle w:val="a3"/>
              <w:spacing w:before="0" w:beforeAutospacing="0" w:after="0" w:afterAutospacing="0"/>
              <w:jc w:val="right"/>
              <w:rPr>
                <w:color w:val="000000"/>
                <w:sz w:val="20"/>
                <w:szCs w:val="20"/>
              </w:rPr>
            </w:pPr>
            <w:r>
              <w:rPr>
                <w:color w:val="000000"/>
                <w:sz w:val="20"/>
                <w:szCs w:val="20"/>
              </w:rPr>
              <w:t>492,211</w:t>
            </w:r>
          </w:p>
        </w:tc>
        <w:tc>
          <w:tcPr>
            <w:tcW w:w="50" w:type="pct"/>
            <w:shd w:val="clear" w:color="auto" w:fill="CFF0FC"/>
            <w:noWrap/>
            <w:tcMar>
              <w:top w:w="15" w:type="dxa"/>
              <w:left w:w="0" w:type="dxa"/>
              <w:bottom w:w="0" w:type="dxa"/>
              <w:right w:w="15" w:type="dxa"/>
            </w:tcMar>
            <w:vAlign w:val="bottom"/>
            <w:hideMark/>
          </w:tcPr>
          <w:p w14:paraId="6DA5A70E"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2788B4F2" w14:textId="77777777" w:rsidR="00000000" w:rsidRDefault="00B8284C">
      <w:pPr>
        <w:pStyle w:val="a3"/>
        <w:spacing w:before="0" w:beforeAutospacing="0" w:after="0" w:afterAutospacing="0"/>
        <w:rPr>
          <w:sz w:val="18"/>
          <w:szCs w:val="18"/>
        </w:rPr>
      </w:pPr>
      <w:r>
        <w:rPr>
          <w:sz w:val="18"/>
          <w:szCs w:val="18"/>
        </w:rPr>
        <w:t> </w:t>
      </w:r>
    </w:p>
    <w:p w14:paraId="42926967" w14:textId="77777777" w:rsidR="00000000" w:rsidRDefault="00B8284C">
      <w:pPr>
        <w:pStyle w:val="a3"/>
        <w:spacing w:before="240" w:beforeAutospacing="0" w:after="0" w:afterAutospacing="0"/>
        <w:jc w:val="center"/>
        <w:rPr>
          <w:sz w:val="20"/>
          <w:szCs w:val="20"/>
        </w:rPr>
      </w:pPr>
      <w:r>
        <w:rPr>
          <w:sz w:val="20"/>
          <w:szCs w:val="20"/>
        </w:rPr>
        <w:t>14</w:t>
      </w:r>
    </w:p>
    <w:p w14:paraId="05E264D2" w14:textId="77777777" w:rsidR="00000000" w:rsidRDefault="00B8284C">
      <w:pPr>
        <w:rPr>
          <w:rFonts w:eastAsia="Times New Roman"/>
        </w:rPr>
      </w:pPr>
      <w:r>
        <w:rPr>
          <w:rFonts w:eastAsia="Times New Roman"/>
        </w:rPr>
        <w:pict w14:anchorId="7F0EE1F2">
          <v:rect id="_x0000_i1038" style="width:0;height:1.5pt" o:hralign="center" o:hrstd="t" o:hr="t" fillcolor="#a0a0a0" stroked="f"/>
        </w:pict>
      </w:r>
    </w:p>
    <w:p w14:paraId="59427BF1" w14:textId="77777777" w:rsidR="00000000" w:rsidRDefault="00B8284C">
      <w:pPr>
        <w:pStyle w:val="a3"/>
        <w:spacing w:before="0" w:beforeAutospacing="0" w:after="0" w:afterAutospacing="0"/>
        <w:rPr>
          <w:sz w:val="20"/>
          <w:szCs w:val="20"/>
        </w:rPr>
      </w:pPr>
      <w:r>
        <w:rPr>
          <w:sz w:val="20"/>
          <w:szCs w:val="20"/>
        </w:rPr>
        <w:t> </w:t>
      </w:r>
    </w:p>
    <w:p w14:paraId="6699BA78" w14:textId="77777777" w:rsidR="00000000" w:rsidRDefault="00B8284C">
      <w:pPr>
        <w:pStyle w:val="a3"/>
        <w:spacing w:before="0" w:beforeAutospacing="0" w:after="0" w:afterAutospacing="0"/>
        <w:rPr>
          <w:sz w:val="18"/>
          <w:szCs w:val="18"/>
        </w:rPr>
      </w:pPr>
      <w:r>
        <w:rPr>
          <w:sz w:val="18"/>
          <w:szCs w:val="18"/>
        </w:rPr>
        <w:t> </w:t>
      </w:r>
    </w:p>
    <w:p w14:paraId="32937957" w14:textId="77777777" w:rsidR="00000000" w:rsidRDefault="00B8284C">
      <w:pPr>
        <w:pStyle w:val="a3"/>
        <w:spacing w:before="0" w:beforeAutospacing="0" w:after="0" w:afterAutospacing="0"/>
        <w:rPr>
          <w:b/>
          <w:bCs/>
          <w:sz w:val="20"/>
          <w:szCs w:val="20"/>
        </w:rPr>
      </w:pPr>
      <w:r>
        <w:rPr>
          <w:b/>
          <w:bCs/>
          <w:sz w:val="20"/>
          <w:szCs w:val="20"/>
        </w:rPr>
        <w:t>6. Restricted Cash</w:t>
      </w:r>
    </w:p>
    <w:p w14:paraId="5EA2E016" w14:textId="77777777" w:rsidR="00000000" w:rsidRDefault="00B8284C">
      <w:pPr>
        <w:pStyle w:val="a3"/>
        <w:spacing w:before="0" w:beforeAutospacing="0" w:after="0" w:afterAutospacing="0"/>
        <w:rPr>
          <w:b/>
          <w:bCs/>
          <w:sz w:val="6"/>
          <w:szCs w:val="6"/>
        </w:rPr>
      </w:pPr>
      <w:r>
        <w:rPr>
          <w:b/>
          <w:bCs/>
          <w:sz w:val="6"/>
          <w:szCs w:val="6"/>
        </w:rPr>
        <w:t> </w:t>
      </w:r>
    </w:p>
    <w:p w14:paraId="297B91E5" w14:textId="77777777" w:rsidR="00000000" w:rsidRDefault="00B8284C">
      <w:pPr>
        <w:pStyle w:val="a3"/>
        <w:spacing w:before="0" w:beforeAutospacing="0" w:after="0" w:afterAutospacing="0"/>
        <w:ind w:firstLine="816"/>
        <w:rPr>
          <w:sz w:val="6"/>
          <w:szCs w:val="6"/>
        </w:rPr>
      </w:pPr>
      <w:r>
        <w:rPr>
          <w:sz w:val="6"/>
          <w:szCs w:val="6"/>
        </w:rPr>
        <w:t> </w:t>
      </w:r>
    </w:p>
    <w:p w14:paraId="0498D93C" w14:textId="77777777" w:rsidR="00000000" w:rsidRDefault="00B8284C">
      <w:pPr>
        <w:pStyle w:val="a3"/>
        <w:spacing w:before="0" w:beforeAutospacing="0" w:after="0" w:afterAutospacing="0"/>
        <w:ind w:firstLine="556"/>
        <w:rPr>
          <w:sz w:val="20"/>
          <w:szCs w:val="20"/>
        </w:rPr>
      </w:pPr>
      <w:r>
        <w:rPr>
          <w:sz w:val="20"/>
          <w:szCs w:val="20"/>
        </w:rPr>
        <w:t>The following table provides a reconciliation of cash, cash equivalents, and restricted cash reported within the consolidated balance sheets that sum to the total of the same such amounts shown in the statement of cash flows for the nine months ended Septe</w:t>
      </w:r>
      <w:r>
        <w:rPr>
          <w:sz w:val="20"/>
          <w:szCs w:val="20"/>
        </w:rPr>
        <w:t>mber 30, 2019 and 2018.</w:t>
      </w:r>
    </w:p>
    <w:p w14:paraId="76D27A81"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560"/>
        <w:gridCol w:w="65"/>
        <w:gridCol w:w="116"/>
        <w:gridCol w:w="928"/>
        <w:gridCol w:w="65"/>
        <w:gridCol w:w="65"/>
        <w:gridCol w:w="115"/>
        <w:gridCol w:w="665"/>
        <w:gridCol w:w="65"/>
        <w:gridCol w:w="65"/>
        <w:gridCol w:w="116"/>
        <w:gridCol w:w="924"/>
        <w:gridCol w:w="65"/>
      </w:tblGrid>
      <w:tr w:rsidR="00000000" w14:paraId="2344AE61" w14:textId="77777777">
        <w:trPr>
          <w:divId w:val="1902519693"/>
        </w:trPr>
        <w:tc>
          <w:tcPr>
            <w:tcW w:w="2399" w:type="pct"/>
            <w:shd w:val="clear" w:color="auto" w:fill="FFFFFF"/>
            <w:tcMar>
              <w:top w:w="15" w:type="dxa"/>
              <w:left w:w="0" w:type="dxa"/>
              <w:bottom w:w="0" w:type="dxa"/>
              <w:right w:w="15" w:type="dxa"/>
            </w:tcMar>
            <w:vAlign w:val="bottom"/>
            <w:hideMark/>
          </w:tcPr>
          <w:p w14:paraId="03B2B169" w14:textId="77777777" w:rsidR="00000000" w:rsidRDefault="00B8284C">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794CB713"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72" w:type="pct"/>
            <w:gridSpan w:val="2"/>
            <w:tcBorders>
              <w:bottom w:val="single" w:sz="6" w:space="0" w:color="000000"/>
            </w:tcBorders>
            <w:shd w:val="clear" w:color="auto" w:fill="FFFFFF"/>
            <w:tcMar>
              <w:top w:w="15" w:type="dxa"/>
              <w:left w:w="0" w:type="dxa"/>
              <w:bottom w:w="0" w:type="dxa"/>
              <w:right w:w="15" w:type="dxa"/>
            </w:tcMar>
            <w:vAlign w:val="bottom"/>
            <w:hideMark/>
          </w:tcPr>
          <w:p w14:paraId="0F183B0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14:paraId="2F9C6CC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1F06F3B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72" w:type="pct"/>
            <w:gridSpan w:val="2"/>
            <w:tcBorders>
              <w:bottom w:val="single" w:sz="6" w:space="0" w:color="000000"/>
            </w:tcBorders>
            <w:shd w:val="clear" w:color="auto" w:fill="FFFFFF"/>
            <w:tcMar>
              <w:top w:w="15" w:type="dxa"/>
              <w:left w:w="0" w:type="dxa"/>
              <w:bottom w:w="0" w:type="dxa"/>
              <w:right w:w="15" w:type="dxa"/>
            </w:tcMar>
            <w:vAlign w:val="bottom"/>
            <w:hideMark/>
          </w:tcPr>
          <w:p w14:paraId="68C0043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30, 2018</w:t>
            </w:r>
          </w:p>
        </w:tc>
        <w:tc>
          <w:tcPr>
            <w:tcW w:w="50" w:type="pct"/>
            <w:shd w:val="clear" w:color="auto" w:fill="FFFFFF"/>
            <w:noWrap/>
            <w:tcMar>
              <w:top w:w="15" w:type="dxa"/>
              <w:left w:w="0" w:type="dxa"/>
              <w:bottom w:w="0" w:type="dxa"/>
              <w:right w:w="15" w:type="dxa"/>
            </w:tcMar>
            <w:vAlign w:val="bottom"/>
            <w:hideMark/>
          </w:tcPr>
          <w:p w14:paraId="296E012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7C2E185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72" w:type="pct"/>
            <w:gridSpan w:val="2"/>
            <w:tcBorders>
              <w:bottom w:val="single" w:sz="6" w:space="0" w:color="000000"/>
            </w:tcBorders>
            <w:shd w:val="clear" w:color="auto" w:fill="FFFFFF"/>
            <w:tcMar>
              <w:top w:w="15" w:type="dxa"/>
              <w:left w:w="0" w:type="dxa"/>
              <w:bottom w:w="0" w:type="dxa"/>
              <w:right w:w="15" w:type="dxa"/>
            </w:tcMar>
            <w:vAlign w:val="bottom"/>
            <w:hideMark/>
          </w:tcPr>
          <w:p w14:paraId="0F68BB2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December 31, </w:t>
            </w:r>
          </w:p>
          <w:p w14:paraId="3FE01F8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4267AE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23DC573" w14:textId="77777777">
        <w:trPr>
          <w:divId w:val="1902519693"/>
        </w:trPr>
        <w:tc>
          <w:tcPr>
            <w:tcW w:w="2399" w:type="pct"/>
            <w:shd w:val="clear" w:color="auto" w:fill="FFFFFF"/>
            <w:tcMar>
              <w:top w:w="15" w:type="dxa"/>
              <w:left w:w="0" w:type="dxa"/>
              <w:bottom w:w="0" w:type="dxa"/>
              <w:right w:w="15" w:type="dxa"/>
            </w:tcMar>
            <w:vAlign w:val="bottom"/>
            <w:hideMark/>
          </w:tcPr>
          <w:p w14:paraId="1CE29243"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3B11D1B5"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2506" w:type="pct"/>
            <w:gridSpan w:val="10"/>
            <w:shd w:val="clear" w:color="auto" w:fill="FFFFFF"/>
            <w:tcMar>
              <w:top w:w="15" w:type="dxa"/>
              <w:left w:w="0" w:type="dxa"/>
              <w:bottom w:w="0" w:type="dxa"/>
              <w:right w:w="15" w:type="dxa"/>
            </w:tcMar>
            <w:vAlign w:val="bottom"/>
            <w:hideMark/>
          </w:tcPr>
          <w:p w14:paraId="35A6DD8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D8D568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A20D536" w14:textId="77777777">
        <w:trPr>
          <w:divId w:val="1902519693"/>
        </w:trPr>
        <w:tc>
          <w:tcPr>
            <w:tcW w:w="2399" w:type="pct"/>
            <w:shd w:val="clear" w:color="auto" w:fill="CFF0FC"/>
            <w:tcMar>
              <w:top w:w="15" w:type="dxa"/>
              <w:left w:w="0" w:type="dxa"/>
              <w:bottom w:w="0" w:type="dxa"/>
              <w:right w:w="15" w:type="dxa"/>
            </w:tcMar>
            <w:vAlign w:val="bottom"/>
            <w:hideMark/>
          </w:tcPr>
          <w:p w14:paraId="66CC9408" w14:textId="77777777" w:rsidR="00000000" w:rsidRDefault="00B8284C">
            <w:pPr>
              <w:pStyle w:val="a3"/>
              <w:spacing w:before="0" w:beforeAutospacing="0" w:after="0" w:afterAutospacing="0"/>
              <w:rPr>
                <w:color w:val="000000"/>
                <w:sz w:val="20"/>
                <w:szCs w:val="20"/>
              </w:rPr>
            </w:pPr>
            <w:r>
              <w:rPr>
                <w:color w:val="000000"/>
                <w:sz w:val="20"/>
                <w:szCs w:val="20"/>
              </w:rPr>
              <w:t>Cash and cash equivalents</w:t>
            </w:r>
          </w:p>
        </w:tc>
        <w:tc>
          <w:tcPr>
            <w:tcW w:w="50" w:type="pct"/>
            <w:shd w:val="clear" w:color="auto" w:fill="CFF0FC"/>
            <w:tcMar>
              <w:top w:w="15" w:type="dxa"/>
              <w:left w:w="0" w:type="dxa"/>
              <w:bottom w:w="0" w:type="dxa"/>
              <w:right w:w="15" w:type="dxa"/>
            </w:tcMar>
            <w:vAlign w:val="bottom"/>
            <w:hideMark/>
          </w:tcPr>
          <w:p w14:paraId="5157ED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31700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44A43A66" w14:textId="77777777" w:rsidR="00000000" w:rsidRDefault="00B8284C">
            <w:pPr>
              <w:pStyle w:val="a3"/>
              <w:spacing w:before="0" w:beforeAutospacing="0" w:after="0" w:afterAutospacing="0"/>
              <w:jc w:val="right"/>
              <w:rPr>
                <w:color w:val="000000"/>
                <w:sz w:val="20"/>
                <w:szCs w:val="20"/>
              </w:rPr>
            </w:pPr>
            <w:r>
              <w:rPr>
                <w:color w:val="000000"/>
                <w:sz w:val="20"/>
                <w:szCs w:val="20"/>
              </w:rPr>
              <w:t>225,770</w:t>
            </w:r>
          </w:p>
        </w:tc>
        <w:tc>
          <w:tcPr>
            <w:tcW w:w="50" w:type="pct"/>
            <w:shd w:val="clear" w:color="auto" w:fill="CFF0FC"/>
            <w:noWrap/>
            <w:tcMar>
              <w:top w:w="15" w:type="dxa"/>
              <w:left w:w="0" w:type="dxa"/>
              <w:bottom w:w="0" w:type="dxa"/>
              <w:right w:w="15" w:type="dxa"/>
            </w:tcMar>
            <w:vAlign w:val="bottom"/>
            <w:hideMark/>
          </w:tcPr>
          <w:p w14:paraId="6B6144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D816C7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2B878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55FAD52D" w14:textId="77777777" w:rsidR="00000000" w:rsidRDefault="00B8284C">
            <w:pPr>
              <w:pStyle w:val="a3"/>
              <w:spacing w:before="0" w:beforeAutospacing="0" w:after="0" w:afterAutospacing="0"/>
              <w:jc w:val="right"/>
              <w:rPr>
                <w:color w:val="000000"/>
                <w:sz w:val="20"/>
                <w:szCs w:val="20"/>
              </w:rPr>
            </w:pPr>
            <w:r>
              <w:rPr>
                <w:color w:val="000000"/>
                <w:sz w:val="20"/>
                <w:szCs w:val="20"/>
              </w:rPr>
              <w:t>96,122</w:t>
            </w:r>
          </w:p>
        </w:tc>
        <w:tc>
          <w:tcPr>
            <w:tcW w:w="50" w:type="pct"/>
            <w:shd w:val="clear" w:color="auto" w:fill="CFF0FC"/>
            <w:noWrap/>
            <w:tcMar>
              <w:top w:w="15" w:type="dxa"/>
              <w:left w:w="0" w:type="dxa"/>
              <w:bottom w:w="0" w:type="dxa"/>
              <w:right w:w="15" w:type="dxa"/>
            </w:tcMar>
            <w:vAlign w:val="bottom"/>
            <w:hideMark/>
          </w:tcPr>
          <w:p w14:paraId="12D113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9EE0A5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0F10D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29068165" w14:textId="77777777" w:rsidR="00000000" w:rsidRDefault="00B8284C">
            <w:pPr>
              <w:pStyle w:val="a3"/>
              <w:spacing w:before="0" w:beforeAutospacing="0" w:after="0" w:afterAutospacing="0"/>
              <w:jc w:val="right"/>
              <w:rPr>
                <w:color w:val="000000"/>
                <w:sz w:val="20"/>
                <w:szCs w:val="20"/>
              </w:rPr>
            </w:pPr>
            <w:r>
              <w:rPr>
                <w:color w:val="000000"/>
                <w:sz w:val="20"/>
                <w:szCs w:val="20"/>
              </w:rPr>
              <w:t>111,489</w:t>
            </w:r>
          </w:p>
        </w:tc>
        <w:tc>
          <w:tcPr>
            <w:tcW w:w="50" w:type="pct"/>
            <w:shd w:val="clear" w:color="auto" w:fill="CFF0FC"/>
            <w:noWrap/>
            <w:tcMar>
              <w:top w:w="15" w:type="dxa"/>
              <w:left w:w="0" w:type="dxa"/>
              <w:bottom w:w="0" w:type="dxa"/>
              <w:right w:w="15" w:type="dxa"/>
            </w:tcMar>
            <w:vAlign w:val="bottom"/>
            <w:hideMark/>
          </w:tcPr>
          <w:p w14:paraId="799EBF6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B67D9E4" w14:textId="77777777">
        <w:trPr>
          <w:divId w:val="1902519693"/>
        </w:trPr>
        <w:tc>
          <w:tcPr>
            <w:tcW w:w="2399" w:type="pct"/>
            <w:shd w:val="clear" w:color="auto" w:fill="FFFFFF"/>
            <w:tcMar>
              <w:top w:w="15" w:type="dxa"/>
              <w:left w:w="0" w:type="dxa"/>
              <w:bottom w:w="0" w:type="dxa"/>
              <w:right w:w="15" w:type="dxa"/>
            </w:tcMar>
            <w:vAlign w:val="bottom"/>
            <w:hideMark/>
          </w:tcPr>
          <w:p w14:paraId="38A064E4" w14:textId="77777777" w:rsidR="00000000" w:rsidRDefault="00B8284C">
            <w:pPr>
              <w:pStyle w:val="a3"/>
              <w:spacing w:before="0" w:beforeAutospacing="0" w:after="0" w:afterAutospacing="0"/>
              <w:rPr>
                <w:color w:val="000000"/>
                <w:sz w:val="20"/>
                <w:szCs w:val="20"/>
              </w:rPr>
            </w:pPr>
            <w:r>
              <w:rPr>
                <w:color w:val="000000"/>
                <w:sz w:val="20"/>
                <w:szCs w:val="20"/>
              </w:rPr>
              <w:t>Restricted cash</w:t>
            </w:r>
          </w:p>
        </w:tc>
        <w:tc>
          <w:tcPr>
            <w:tcW w:w="50" w:type="pct"/>
            <w:shd w:val="clear" w:color="auto" w:fill="FFFFFF"/>
            <w:tcMar>
              <w:top w:w="15" w:type="dxa"/>
              <w:left w:w="0" w:type="dxa"/>
              <w:bottom w:w="0" w:type="dxa"/>
              <w:right w:w="15" w:type="dxa"/>
            </w:tcMar>
            <w:vAlign w:val="bottom"/>
            <w:hideMark/>
          </w:tcPr>
          <w:p w14:paraId="7C4B44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8A6CD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4F7E51D7" w14:textId="77777777" w:rsidR="00000000" w:rsidRDefault="00B8284C">
            <w:pPr>
              <w:pStyle w:val="a3"/>
              <w:spacing w:before="0" w:beforeAutospacing="0" w:after="0" w:afterAutospacing="0"/>
              <w:jc w:val="right"/>
              <w:rPr>
                <w:color w:val="000000"/>
                <w:sz w:val="20"/>
                <w:szCs w:val="20"/>
              </w:rPr>
            </w:pPr>
            <w:r>
              <w:rPr>
                <w:color w:val="000000"/>
                <w:sz w:val="20"/>
                <w:szCs w:val="20"/>
              </w:rPr>
              <w:t>6,019</w:t>
            </w:r>
          </w:p>
        </w:tc>
        <w:tc>
          <w:tcPr>
            <w:tcW w:w="50" w:type="pct"/>
            <w:shd w:val="clear" w:color="auto" w:fill="FFFFFF"/>
            <w:noWrap/>
            <w:tcMar>
              <w:top w:w="15" w:type="dxa"/>
              <w:left w:w="0" w:type="dxa"/>
              <w:bottom w:w="0" w:type="dxa"/>
              <w:right w:w="15" w:type="dxa"/>
            </w:tcMar>
            <w:vAlign w:val="bottom"/>
            <w:hideMark/>
          </w:tcPr>
          <w:p w14:paraId="3C1687F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769CC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C685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1B065EA9" w14:textId="77777777" w:rsidR="00000000" w:rsidRDefault="00B8284C">
            <w:pPr>
              <w:pStyle w:val="a3"/>
              <w:spacing w:before="0" w:beforeAutospacing="0" w:after="0" w:afterAutospacing="0"/>
              <w:jc w:val="right"/>
              <w:rPr>
                <w:color w:val="000000"/>
                <w:sz w:val="20"/>
                <w:szCs w:val="20"/>
              </w:rPr>
            </w:pPr>
            <w:r>
              <w:rPr>
                <w:color w:val="000000"/>
                <w:sz w:val="20"/>
                <w:szCs w:val="20"/>
              </w:rPr>
              <w:t>5,175</w:t>
            </w:r>
          </w:p>
        </w:tc>
        <w:tc>
          <w:tcPr>
            <w:tcW w:w="50" w:type="pct"/>
            <w:shd w:val="clear" w:color="auto" w:fill="FFFFFF"/>
            <w:noWrap/>
            <w:tcMar>
              <w:top w:w="15" w:type="dxa"/>
              <w:left w:w="0" w:type="dxa"/>
              <w:bottom w:w="0" w:type="dxa"/>
              <w:right w:w="15" w:type="dxa"/>
            </w:tcMar>
            <w:vAlign w:val="bottom"/>
            <w:hideMark/>
          </w:tcPr>
          <w:p w14:paraId="5E6A44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2DD48FD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9E206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234E5408" w14:textId="77777777" w:rsidR="00000000" w:rsidRDefault="00B8284C">
            <w:pPr>
              <w:pStyle w:val="a3"/>
              <w:spacing w:before="0" w:beforeAutospacing="0" w:after="0" w:afterAutospacing="0"/>
              <w:jc w:val="right"/>
              <w:rPr>
                <w:color w:val="000000"/>
                <w:sz w:val="20"/>
                <w:szCs w:val="20"/>
              </w:rPr>
            </w:pPr>
            <w:r>
              <w:rPr>
                <w:color w:val="000000"/>
                <w:sz w:val="20"/>
                <w:szCs w:val="20"/>
              </w:rPr>
              <w:t>5,175</w:t>
            </w:r>
          </w:p>
        </w:tc>
        <w:tc>
          <w:tcPr>
            <w:tcW w:w="50" w:type="pct"/>
            <w:shd w:val="clear" w:color="auto" w:fill="FFFFFF"/>
            <w:noWrap/>
            <w:tcMar>
              <w:top w:w="15" w:type="dxa"/>
              <w:left w:w="0" w:type="dxa"/>
              <w:bottom w:w="0" w:type="dxa"/>
              <w:right w:w="15" w:type="dxa"/>
            </w:tcMar>
            <w:vAlign w:val="bottom"/>
            <w:hideMark/>
          </w:tcPr>
          <w:p w14:paraId="0EFA825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EF8C18B" w14:textId="77777777">
        <w:trPr>
          <w:divId w:val="1902519693"/>
        </w:trPr>
        <w:tc>
          <w:tcPr>
            <w:tcW w:w="2399" w:type="pct"/>
            <w:shd w:val="clear" w:color="auto" w:fill="CFF0FC"/>
            <w:tcMar>
              <w:top w:w="15" w:type="dxa"/>
              <w:left w:w="0" w:type="dxa"/>
              <w:bottom w:w="0" w:type="dxa"/>
              <w:right w:w="15" w:type="dxa"/>
            </w:tcMar>
            <w:vAlign w:val="bottom"/>
            <w:hideMark/>
          </w:tcPr>
          <w:p w14:paraId="1A1ECAD6" w14:textId="77777777" w:rsidR="00000000" w:rsidRDefault="00B8284C">
            <w:pPr>
              <w:pStyle w:val="a3"/>
              <w:spacing w:before="0" w:beforeAutospacing="0" w:after="0" w:afterAutospacing="0"/>
              <w:rPr>
                <w:color w:val="000000"/>
                <w:sz w:val="20"/>
                <w:szCs w:val="20"/>
              </w:rPr>
            </w:pPr>
            <w:r>
              <w:rPr>
                <w:color w:val="000000"/>
                <w:sz w:val="20"/>
                <w:szCs w:val="20"/>
              </w:rPr>
              <w:t>Restricted cash, included in other assets</w:t>
            </w:r>
          </w:p>
        </w:tc>
        <w:tc>
          <w:tcPr>
            <w:tcW w:w="50" w:type="pct"/>
            <w:shd w:val="clear" w:color="auto" w:fill="CFF0FC"/>
            <w:tcMar>
              <w:top w:w="15" w:type="dxa"/>
              <w:left w:w="0" w:type="dxa"/>
              <w:bottom w:w="0" w:type="dxa"/>
              <w:right w:w="15" w:type="dxa"/>
            </w:tcMar>
            <w:vAlign w:val="bottom"/>
            <w:hideMark/>
          </w:tcPr>
          <w:p w14:paraId="2A58206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1DFCC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51C00BCB" w14:textId="77777777" w:rsidR="00000000" w:rsidRDefault="00B8284C">
            <w:pPr>
              <w:pStyle w:val="a3"/>
              <w:spacing w:before="0" w:beforeAutospacing="0" w:after="0" w:afterAutospacing="0"/>
              <w:jc w:val="right"/>
              <w:rPr>
                <w:color w:val="000000"/>
                <w:sz w:val="20"/>
                <w:szCs w:val="20"/>
              </w:rPr>
            </w:pPr>
            <w:r>
              <w:rPr>
                <w:color w:val="000000"/>
                <w:sz w:val="20"/>
                <w:szCs w:val="20"/>
              </w:rPr>
              <w:t>1,505</w:t>
            </w:r>
          </w:p>
        </w:tc>
        <w:tc>
          <w:tcPr>
            <w:tcW w:w="50" w:type="pct"/>
            <w:shd w:val="clear" w:color="auto" w:fill="CFF0FC"/>
            <w:noWrap/>
            <w:tcMar>
              <w:top w:w="15" w:type="dxa"/>
              <w:left w:w="0" w:type="dxa"/>
              <w:bottom w:w="0" w:type="dxa"/>
              <w:right w:w="15" w:type="dxa"/>
            </w:tcMar>
            <w:vAlign w:val="bottom"/>
            <w:hideMark/>
          </w:tcPr>
          <w:p w14:paraId="4F913D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11E74C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17B9B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2E040EA9" w14:textId="77777777" w:rsidR="00000000" w:rsidRDefault="00B8284C">
            <w:pPr>
              <w:pStyle w:val="a3"/>
              <w:spacing w:before="0" w:beforeAutospacing="0" w:after="0" w:afterAutospacing="0"/>
              <w:jc w:val="right"/>
              <w:rPr>
                <w:color w:val="000000"/>
                <w:sz w:val="20"/>
                <w:szCs w:val="20"/>
              </w:rPr>
            </w:pPr>
            <w:r>
              <w:rPr>
                <w:color w:val="000000"/>
                <w:sz w:val="20"/>
                <w:szCs w:val="20"/>
              </w:rPr>
              <w:t>450</w:t>
            </w:r>
          </w:p>
        </w:tc>
        <w:tc>
          <w:tcPr>
            <w:tcW w:w="50" w:type="pct"/>
            <w:shd w:val="clear" w:color="auto" w:fill="CFF0FC"/>
            <w:noWrap/>
            <w:tcMar>
              <w:top w:w="15" w:type="dxa"/>
              <w:left w:w="0" w:type="dxa"/>
              <w:bottom w:w="0" w:type="dxa"/>
              <w:right w:w="15" w:type="dxa"/>
            </w:tcMar>
            <w:vAlign w:val="bottom"/>
            <w:hideMark/>
          </w:tcPr>
          <w:p w14:paraId="6CB3352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20ABEC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45DFB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50A34565" w14:textId="77777777" w:rsidR="00000000" w:rsidRDefault="00B8284C">
            <w:pPr>
              <w:pStyle w:val="a3"/>
              <w:spacing w:before="0" w:beforeAutospacing="0" w:after="0" w:afterAutospacing="0"/>
              <w:jc w:val="right"/>
              <w:rPr>
                <w:color w:val="000000"/>
                <w:sz w:val="20"/>
                <w:szCs w:val="20"/>
              </w:rPr>
            </w:pPr>
            <w:r>
              <w:rPr>
                <w:color w:val="000000"/>
                <w:sz w:val="20"/>
                <w:szCs w:val="20"/>
              </w:rPr>
              <w:t>450</w:t>
            </w:r>
          </w:p>
        </w:tc>
        <w:tc>
          <w:tcPr>
            <w:tcW w:w="50" w:type="pct"/>
            <w:shd w:val="clear" w:color="auto" w:fill="CFF0FC"/>
            <w:noWrap/>
            <w:tcMar>
              <w:top w:w="15" w:type="dxa"/>
              <w:left w:w="0" w:type="dxa"/>
              <w:bottom w:w="0" w:type="dxa"/>
              <w:right w:w="15" w:type="dxa"/>
            </w:tcMar>
            <w:vAlign w:val="bottom"/>
            <w:hideMark/>
          </w:tcPr>
          <w:p w14:paraId="22AA011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CDC8CB2" w14:textId="77777777">
        <w:trPr>
          <w:divId w:val="1902519693"/>
        </w:trPr>
        <w:tc>
          <w:tcPr>
            <w:tcW w:w="2399" w:type="pct"/>
            <w:shd w:val="clear" w:color="auto" w:fill="FFFFFF"/>
            <w:tcMar>
              <w:top w:w="15" w:type="dxa"/>
              <w:left w:w="0" w:type="dxa"/>
              <w:bottom w:w="0" w:type="dxa"/>
              <w:right w:w="15" w:type="dxa"/>
            </w:tcMar>
            <w:vAlign w:val="bottom"/>
            <w:hideMark/>
          </w:tcPr>
          <w:p w14:paraId="5825EACE" w14:textId="77777777" w:rsidR="00000000" w:rsidRDefault="00B8284C">
            <w:pPr>
              <w:pStyle w:val="a3"/>
              <w:spacing w:before="0" w:beforeAutospacing="0" w:after="0" w:afterAutospacing="0"/>
              <w:ind w:left="137"/>
              <w:rPr>
                <w:color w:val="000000"/>
                <w:sz w:val="20"/>
                <w:szCs w:val="20"/>
              </w:rPr>
            </w:pPr>
            <w:r>
              <w:rPr>
                <w:color w:val="000000"/>
                <w:sz w:val="20"/>
                <w:szCs w:val="20"/>
              </w:rPr>
              <w:t>Total cash, cash equivalents, and restricted cash</w:t>
            </w:r>
          </w:p>
        </w:tc>
        <w:tc>
          <w:tcPr>
            <w:tcW w:w="50" w:type="pct"/>
            <w:shd w:val="clear" w:color="auto" w:fill="FFFFFF"/>
            <w:tcMar>
              <w:top w:w="15" w:type="dxa"/>
              <w:left w:w="0" w:type="dxa"/>
              <w:bottom w:w="0" w:type="dxa"/>
              <w:right w:w="15" w:type="dxa"/>
            </w:tcMar>
            <w:vAlign w:val="bottom"/>
            <w:hideMark/>
          </w:tcPr>
          <w:p w14:paraId="41ADBDA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524B5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D216356" w14:textId="77777777" w:rsidR="00000000" w:rsidRDefault="00B8284C">
            <w:pPr>
              <w:pStyle w:val="a3"/>
              <w:spacing w:before="0" w:beforeAutospacing="0" w:after="0" w:afterAutospacing="0"/>
              <w:jc w:val="right"/>
              <w:rPr>
                <w:color w:val="000000"/>
                <w:sz w:val="20"/>
                <w:szCs w:val="20"/>
              </w:rPr>
            </w:pPr>
            <w:r>
              <w:rPr>
                <w:color w:val="000000"/>
                <w:sz w:val="20"/>
                <w:szCs w:val="20"/>
              </w:rPr>
              <w:t>233,294</w:t>
            </w:r>
          </w:p>
        </w:tc>
        <w:tc>
          <w:tcPr>
            <w:tcW w:w="50" w:type="pct"/>
            <w:shd w:val="clear" w:color="auto" w:fill="FFFFFF"/>
            <w:noWrap/>
            <w:tcMar>
              <w:top w:w="15" w:type="dxa"/>
              <w:left w:w="0" w:type="dxa"/>
              <w:bottom w:w="0" w:type="dxa"/>
              <w:right w:w="15" w:type="dxa"/>
            </w:tcMar>
            <w:vAlign w:val="bottom"/>
            <w:hideMark/>
          </w:tcPr>
          <w:p w14:paraId="54EC911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286F7B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ED9476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95D951" w14:textId="77777777" w:rsidR="00000000" w:rsidRDefault="00B8284C">
            <w:pPr>
              <w:pStyle w:val="a3"/>
              <w:spacing w:before="0" w:beforeAutospacing="0" w:after="0" w:afterAutospacing="0"/>
              <w:jc w:val="right"/>
              <w:rPr>
                <w:color w:val="000000"/>
                <w:sz w:val="20"/>
                <w:szCs w:val="20"/>
              </w:rPr>
            </w:pPr>
            <w:r>
              <w:rPr>
                <w:color w:val="000000"/>
                <w:sz w:val="20"/>
                <w:szCs w:val="20"/>
              </w:rPr>
              <w:t>101,747</w:t>
            </w:r>
          </w:p>
        </w:tc>
        <w:tc>
          <w:tcPr>
            <w:tcW w:w="50" w:type="pct"/>
            <w:shd w:val="clear" w:color="auto" w:fill="FFFFFF"/>
            <w:noWrap/>
            <w:tcMar>
              <w:top w:w="15" w:type="dxa"/>
              <w:left w:w="0" w:type="dxa"/>
              <w:bottom w:w="0" w:type="dxa"/>
              <w:right w:w="15" w:type="dxa"/>
            </w:tcMar>
            <w:vAlign w:val="bottom"/>
            <w:hideMark/>
          </w:tcPr>
          <w:p w14:paraId="1FBEE58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9780B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D50262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D4FB30" w14:textId="77777777" w:rsidR="00000000" w:rsidRDefault="00B8284C">
            <w:pPr>
              <w:pStyle w:val="a3"/>
              <w:spacing w:before="0" w:beforeAutospacing="0" w:after="0" w:afterAutospacing="0"/>
              <w:jc w:val="right"/>
              <w:rPr>
                <w:color w:val="000000"/>
                <w:sz w:val="20"/>
                <w:szCs w:val="20"/>
              </w:rPr>
            </w:pPr>
            <w:r>
              <w:rPr>
                <w:color w:val="000000"/>
                <w:sz w:val="20"/>
                <w:szCs w:val="20"/>
              </w:rPr>
              <w:t>117,114</w:t>
            </w:r>
          </w:p>
        </w:tc>
        <w:tc>
          <w:tcPr>
            <w:tcW w:w="50" w:type="pct"/>
            <w:shd w:val="clear" w:color="auto" w:fill="FFFFFF"/>
            <w:noWrap/>
            <w:tcMar>
              <w:top w:w="15" w:type="dxa"/>
              <w:left w:w="0" w:type="dxa"/>
              <w:bottom w:w="0" w:type="dxa"/>
              <w:right w:w="15" w:type="dxa"/>
            </w:tcMar>
            <w:vAlign w:val="bottom"/>
            <w:hideMark/>
          </w:tcPr>
          <w:p w14:paraId="43B549C9"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540E58FC" w14:textId="77777777" w:rsidR="00000000" w:rsidRDefault="00B8284C">
      <w:pPr>
        <w:pStyle w:val="a3"/>
        <w:spacing w:before="0" w:beforeAutospacing="0" w:after="0" w:afterAutospacing="0"/>
        <w:rPr>
          <w:sz w:val="20"/>
          <w:szCs w:val="20"/>
        </w:rPr>
      </w:pPr>
      <w:r>
        <w:rPr>
          <w:sz w:val="20"/>
          <w:szCs w:val="20"/>
        </w:rPr>
        <w:t> </w:t>
      </w:r>
    </w:p>
    <w:p w14:paraId="4578B0F6" w14:textId="77777777" w:rsidR="00000000" w:rsidRDefault="00B8284C">
      <w:pPr>
        <w:pStyle w:val="a3"/>
        <w:spacing w:before="40" w:beforeAutospacing="0" w:after="0" w:afterAutospacing="0"/>
        <w:ind w:firstLine="556"/>
        <w:rPr>
          <w:color w:val="000000"/>
          <w:sz w:val="20"/>
          <w:szCs w:val="20"/>
        </w:rPr>
      </w:pPr>
      <w:r>
        <w:rPr>
          <w:color w:val="000000"/>
          <w:sz w:val="20"/>
          <w:szCs w:val="20"/>
        </w:rPr>
        <w:t>Restricted cash is comprised of money market funds and certificates of deposit related to landlord guarantees for our leased facilities. These restricted cash balances have been excluded from our cash and cash equivalents balance on our consolidated balanc</w:t>
      </w:r>
      <w:r>
        <w:rPr>
          <w:color w:val="000000"/>
          <w:sz w:val="20"/>
          <w:szCs w:val="20"/>
        </w:rPr>
        <w:t xml:space="preserve">e sheets. </w:t>
      </w:r>
    </w:p>
    <w:p w14:paraId="4229990C" w14:textId="77777777" w:rsidR="00000000" w:rsidRDefault="00B8284C">
      <w:pPr>
        <w:pStyle w:val="a3"/>
        <w:spacing w:before="0" w:beforeAutospacing="0" w:after="0" w:afterAutospacing="0"/>
        <w:rPr>
          <w:b/>
          <w:bCs/>
          <w:sz w:val="18"/>
          <w:szCs w:val="18"/>
        </w:rPr>
      </w:pPr>
      <w:r>
        <w:rPr>
          <w:b/>
          <w:bCs/>
          <w:sz w:val="18"/>
          <w:szCs w:val="18"/>
        </w:rPr>
        <w:t> </w:t>
      </w:r>
    </w:p>
    <w:p w14:paraId="50E1265E" w14:textId="77777777" w:rsidR="00000000" w:rsidRDefault="00B8284C">
      <w:pPr>
        <w:pStyle w:val="a3"/>
        <w:spacing w:before="0" w:beforeAutospacing="0" w:after="0" w:afterAutospacing="0"/>
        <w:rPr>
          <w:b/>
          <w:bCs/>
          <w:sz w:val="18"/>
          <w:szCs w:val="18"/>
        </w:rPr>
      </w:pPr>
      <w:r>
        <w:rPr>
          <w:b/>
          <w:bCs/>
          <w:sz w:val="18"/>
          <w:szCs w:val="18"/>
        </w:rPr>
        <w:t> </w:t>
      </w:r>
    </w:p>
    <w:p w14:paraId="6889C926" w14:textId="77777777" w:rsidR="00000000" w:rsidRDefault="00B8284C">
      <w:pPr>
        <w:pStyle w:val="a3"/>
        <w:spacing w:before="0" w:beforeAutospacing="0" w:after="0" w:afterAutospacing="0"/>
        <w:rPr>
          <w:b/>
          <w:bCs/>
          <w:sz w:val="20"/>
          <w:szCs w:val="20"/>
        </w:rPr>
      </w:pPr>
      <w:r>
        <w:rPr>
          <w:b/>
          <w:bCs/>
          <w:sz w:val="20"/>
          <w:szCs w:val="20"/>
        </w:rPr>
        <w:t>7. Property and Equipment, Net</w:t>
      </w:r>
    </w:p>
    <w:p w14:paraId="08F6B151" w14:textId="77777777" w:rsidR="00000000" w:rsidRDefault="00B8284C">
      <w:pPr>
        <w:pStyle w:val="a3"/>
        <w:spacing w:before="120" w:beforeAutospacing="0" w:after="0" w:afterAutospacing="0"/>
        <w:ind w:firstLine="556"/>
        <w:rPr>
          <w:sz w:val="20"/>
          <w:szCs w:val="20"/>
        </w:rPr>
      </w:pPr>
      <w:r>
        <w:rPr>
          <w:sz w:val="20"/>
          <w:szCs w:val="20"/>
        </w:rPr>
        <w:t>Property and equipment, net consists of the following:</w:t>
      </w:r>
    </w:p>
    <w:p w14:paraId="7AFD2339"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537"/>
        <w:gridCol w:w="65"/>
        <w:gridCol w:w="116"/>
        <w:gridCol w:w="891"/>
        <w:gridCol w:w="82"/>
        <w:gridCol w:w="65"/>
        <w:gridCol w:w="116"/>
        <w:gridCol w:w="860"/>
        <w:gridCol w:w="82"/>
      </w:tblGrid>
      <w:tr w:rsidR="00000000" w14:paraId="71A8ECAC" w14:textId="77777777">
        <w:trPr>
          <w:divId w:val="1173648223"/>
        </w:trPr>
        <w:tc>
          <w:tcPr>
            <w:tcW w:w="3113" w:type="pct"/>
            <w:shd w:val="clear" w:color="auto" w:fill="FFFFFF"/>
            <w:tcMar>
              <w:top w:w="15" w:type="dxa"/>
              <w:left w:w="0" w:type="dxa"/>
              <w:bottom w:w="0" w:type="dxa"/>
              <w:right w:w="15" w:type="dxa"/>
            </w:tcMar>
            <w:vAlign w:val="bottom"/>
            <w:hideMark/>
          </w:tcPr>
          <w:p w14:paraId="5C3D47C1" w14:textId="77777777" w:rsidR="00000000" w:rsidRDefault="00B8284C">
            <w:pPr>
              <w:pStyle w:val="a3"/>
              <w:spacing w:before="0" w:beforeAutospacing="0" w:after="0" w:afterAutospacing="0"/>
              <w:rPr>
                <w:sz w:val="20"/>
                <w:szCs w:val="20"/>
              </w:rPr>
            </w:pPr>
            <w:r>
              <w:rPr>
                <w:sz w:val="20"/>
                <w:szCs w:val="20"/>
              </w:rPr>
              <w:t> </w:t>
            </w:r>
          </w:p>
        </w:tc>
        <w:tc>
          <w:tcPr>
            <w:tcW w:w="64" w:type="pct"/>
            <w:shd w:val="clear" w:color="auto" w:fill="FFFFFF"/>
            <w:tcMar>
              <w:top w:w="15" w:type="dxa"/>
              <w:left w:w="0" w:type="dxa"/>
              <w:bottom w:w="0" w:type="dxa"/>
              <w:right w:w="15" w:type="dxa"/>
            </w:tcMar>
            <w:vAlign w:val="bottom"/>
            <w:hideMark/>
          </w:tcPr>
          <w:p w14:paraId="35F68F4E"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52" w:type="pct"/>
            <w:gridSpan w:val="2"/>
            <w:tcBorders>
              <w:bottom w:val="single" w:sz="6" w:space="0" w:color="000000"/>
            </w:tcBorders>
            <w:shd w:val="clear" w:color="auto" w:fill="FFFFFF"/>
            <w:tcMar>
              <w:top w:w="15" w:type="dxa"/>
              <w:left w:w="0" w:type="dxa"/>
              <w:bottom w:w="0" w:type="dxa"/>
              <w:right w:w="15" w:type="dxa"/>
            </w:tcMar>
            <w:vAlign w:val="bottom"/>
            <w:hideMark/>
          </w:tcPr>
          <w:p w14:paraId="4EE4752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30, 2019</w:t>
            </w:r>
          </w:p>
        </w:tc>
        <w:tc>
          <w:tcPr>
            <w:tcW w:w="54" w:type="pct"/>
            <w:shd w:val="clear" w:color="auto" w:fill="FFFFFF"/>
            <w:noWrap/>
            <w:tcMar>
              <w:top w:w="15" w:type="dxa"/>
              <w:left w:w="0" w:type="dxa"/>
              <w:bottom w:w="0" w:type="dxa"/>
              <w:right w:w="15" w:type="dxa"/>
            </w:tcMar>
            <w:vAlign w:val="bottom"/>
            <w:hideMark/>
          </w:tcPr>
          <w:p w14:paraId="2D6F66D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14:paraId="25C9CBE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31" w:type="pct"/>
            <w:gridSpan w:val="2"/>
            <w:tcBorders>
              <w:bottom w:val="single" w:sz="6" w:space="0" w:color="000000"/>
            </w:tcBorders>
            <w:shd w:val="clear" w:color="auto" w:fill="FFFFFF"/>
            <w:tcMar>
              <w:top w:w="15" w:type="dxa"/>
              <w:left w:w="0" w:type="dxa"/>
              <w:bottom w:w="0" w:type="dxa"/>
              <w:right w:w="15" w:type="dxa"/>
            </w:tcMar>
            <w:vAlign w:val="bottom"/>
            <w:hideMark/>
          </w:tcPr>
          <w:p w14:paraId="49A04FC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December 31, 2018</w:t>
            </w:r>
          </w:p>
        </w:tc>
        <w:tc>
          <w:tcPr>
            <w:tcW w:w="122" w:type="pct"/>
            <w:shd w:val="clear" w:color="auto" w:fill="FFFFFF"/>
            <w:noWrap/>
            <w:tcMar>
              <w:top w:w="15" w:type="dxa"/>
              <w:left w:w="0" w:type="dxa"/>
              <w:bottom w:w="0" w:type="dxa"/>
              <w:right w:w="15" w:type="dxa"/>
            </w:tcMar>
            <w:vAlign w:val="bottom"/>
            <w:hideMark/>
          </w:tcPr>
          <w:p w14:paraId="262196F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B4D2FEF" w14:textId="77777777">
        <w:trPr>
          <w:divId w:val="1173648223"/>
        </w:trPr>
        <w:tc>
          <w:tcPr>
            <w:tcW w:w="3113" w:type="pct"/>
            <w:shd w:val="clear" w:color="auto" w:fill="FFFFFF"/>
            <w:tcMar>
              <w:top w:w="15" w:type="dxa"/>
              <w:left w:w="0" w:type="dxa"/>
              <w:bottom w:w="0" w:type="dxa"/>
              <w:right w:w="15" w:type="dxa"/>
            </w:tcMar>
            <w:vAlign w:val="bottom"/>
            <w:hideMark/>
          </w:tcPr>
          <w:p w14:paraId="788C811C"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4" w:type="pct"/>
            <w:shd w:val="clear" w:color="auto" w:fill="FFFFFF"/>
            <w:tcMar>
              <w:top w:w="15" w:type="dxa"/>
              <w:left w:w="0" w:type="dxa"/>
              <w:bottom w:w="0" w:type="dxa"/>
              <w:right w:w="15" w:type="dxa"/>
            </w:tcMar>
            <w:vAlign w:val="bottom"/>
            <w:hideMark/>
          </w:tcPr>
          <w:p w14:paraId="41420E7A"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701" w:type="pct"/>
            <w:gridSpan w:val="6"/>
            <w:shd w:val="clear" w:color="auto" w:fill="FFFFFF"/>
            <w:tcMar>
              <w:top w:w="15" w:type="dxa"/>
              <w:left w:w="0" w:type="dxa"/>
              <w:bottom w:w="0" w:type="dxa"/>
              <w:right w:w="15" w:type="dxa"/>
            </w:tcMar>
            <w:vAlign w:val="bottom"/>
            <w:hideMark/>
          </w:tcPr>
          <w:p w14:paraId="1E32292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122" w:type="pct"/>
            <w:shd w:val="clear" w:color="auto" w:fill="FFFFFF"/>
            <w:noWrap/>
            <w:tcMar>
              <w:top w:w="15" w:type="dxa"/>
              <w:left w:w="0" w:type="dxa"/>
              <w:bottom w:w="0" w:type="dxa"/>
              <w:right w:w="15" w:type="dxa"/>
            </w:tcMar>
            <w:vAlign w:val="bottom"/>
            <w:hideMark/>
          </w:tcPr>
          <w:p w14:paraId="0562686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DD03E68" w14:textId="77777777">
        <w:trPr>
          <w:divId w:val="1173648223"/>
        </w:trPr>
        <w:tc>
          <w:tcPr>
            <w:tcW w:w="3113" w:type="pct"/>
            <w:shd w:val="clear" w:color="auto" w:fill="CFF0FC"/>
            <w:tcMar>
              <w:top w:w="15" w:type="dxa"/>
              <w:left w:w="0" w:type="dxa"/>
              <w:bottom w:w="0" w:type="dxa"/>
              <w:right w:w="15" w:type="dxa"/>
            </w:tcMar>
            <w:vAlign w:val="bottom"/>
            <w:hideMark/>
          </w:tcPr>
          <w:p w14:paraId="4B34B3D9" w14:textId="77777777" w:rsidR="00000000" w:rsidRDefault="00B8284C">
            <w:pPr>
              <w:pStyle w:val="a3"/>
              <w:spacing w:before="0" w:beforeAutospacing="0" w:after="0" w:afterAutospacing="0"/>
              <w:rPr>
                <w:color w:val="000000"/>
                <w:sz w:val="20"/>
                <w:szCs w:val="20"/>
              </w:rPr>
            </w:pPr>
            <w:r>
              <w:rPr>
                <w:color w:val="000000"/>
                <w:sz w:val="20"/>
                <w:szCs w:val="20"/>
              </w:rPr>
              <w:t>Computer equipment and purchased software</w:t>
            </w:r>
          </w:p>
        </w:tc>
        <w:tc>
          <w:tcPr>
            <w:tcW w:w="64" w:type="pct"/>
            <w:shd w:val="clear" w:color="auto" w:fill="CFF0FC"/>
            <w:tcMar>
              <w:top w:w="15" w:type="dxa"/>
              <w:left w:w="0" w:type="dxa"/>
              <w:bottom w:w="0" w:type="dxa"/>
              <w:right w:w="15" w:type="dxa"/>
            </w:tcMar>
            <w:vAlign w:val="bottom"/>
            <w:hideMark/>
          </w:tcPr>
          <w:p w14:paraId="3FE465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noWrap/>
            <w:tcMar>
              <w:top w:w="15" w:type="dxa"/>
              <w:left w:w="0" w:type="dxa"/>
              <w:bottom w:w="0" w:type="dxa"/>
              <w:right w:w="15" w:type="dxa"/>
            </w:tcMar>
            <w:vAlign w:val="bottom"/>
            <w:hideMark/>
          </w:tcPr>
          <w:p w14:paraId="3811C9A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75" w:type="pct"/>
            <w:shd w:val="clear" w:color="auto" w:fill="CFF0FC"/>
            <w:noWrap/>
            <w:tcMar>
              <w:top w:w="15" w:type="dxa"/>
              <w:left w:w="0" w:type="dxa"/>
              <w:bottom w:w="0" w:type="dxa"/>
              <w:right w:w="15" w:type="dxa"/>
            </w:tcMar>
            <w:vAlign w:val="bottom"/>
            <w:hideMark/>
          </w:tcPr>
          <w:p w14:paraId="1D72B55C" w14:textId="77777777" w:rsidR="00000000" w:rsidRDefault="00B8284C">
            <w:pPr>
              <w:pStyle w:val="a3"/>
              <w:spacing w:before="0" w:beforeAutospacing="0" w:after="0" w:afterAutospacing="0"/>
              <w:jc w:val="right"/>
              <w:rPr>
                <w:color w:val="000000"/>
                <w:sz w:val="20"/>
                <w:szCs w:val="20"/>
              </w:rPr>
            </w:pPr>
            <w:r>
              <w:rPr>
                <w:color w:val="000000"/>
                <w:sz w:val="20"/>
                <w:szCs w:val="20"/>
              </w:rPr>
              <w:t>9,747</w:t>
            </w:r>
          </w:p>
        </w:tc>
        <w:tc>
          <w:tcPr>
            <w:tcW w:w="54" w:type="pct"/>
            <w:shd w:val="clear" w:color="auto" w:fill="CFF0FC"/>
            <w:noWrap/>
            <w:tcMar>
              <w:top w:w="15" w:type="dxa"/>
              <w:left w:w="0" w:type="dxa"/>
              <w:bottom w:w="0" w:type="dxa"/>
              <w:right w:w="15" w:type="dxa"/>
            </w:tcMar>
            <w:vAlign w:val="bottom"/>
            <w:hideMark/>
          </w:tcPr>
          <w:p w14:paraId="54A4572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3FB026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noWrap/>
            <w:tcMar>
              <w:top w:w="15" w:type="dxa"/>
              <w:left w:w="0" w:type="dxa"/>
              <w:bottom w:w="0" w:type="dxa"/>
              <w:right w:w="15" w:type="dxa"/>
            </w:tcMar>
            <w:vAlign w:val="bottom"/>
            <w:hideMark/>
          </w:tcPr>
          <w:p w14:paraId="63C7599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55" w:type="pct"/>
            <w:shd w:val="clear" w:color="auto" w:fill="CFF0FC"/>
            <w:noWrap/>
            <w:tcMar>
              <w:top w:w="15" w:type="dxa"/>
              <w:left w:w="0" w:type="dxa"/>
              <w:bottom w:w="0" w:type="dxa"/>
              <w:right w:w="15" w:type="dxa"/>
            </w:tcMar>
            <w:vAlign w:val="bottom"/>
            <w:hideMark/>
          </w:tcPr>
          <w:p w14:paraId="71C5B56C" w14:textId="77777777" w:rsidR="00000000" w:rsidRDefault="00B8284C">
            <w:pPr>
              <w:pStyle w:val="a3"/>
              <w:spacing w:before="0" w:beforeAutospacing="0" w:after="0" w:afterAutospacing="0"/>
              <w:jc w:val="right"/>
              <w:rPr>
                <w:color w:val="000000"/>
                <w:sz w:val="20"/>
                <w:szCs w:val="20"/>
              </w:rPr>
            </w:pPr>
            <w:r>
              <w:rPr>
                <w:color w:val="000000"/>
                <w:sz w:val="20"/>
                <w:szCs w:val="20"/>
              </w:rPr>
              <w:t>8,163</w:t>
            </w:r>
          </w:p>
        </w:tc>
        <w:tc>
          <w:tcPr>
            <w:tcW w:w="122" w:type="pct"/>
            <w:shd w:val="clear" w:color="auto" w:fill="CFF0FC"/>
            <w:noWrap/>
            <w:tcMar>
              <w:top w:w="15" w:type="dxa"/>
              <w:left w:w="0" w:type="dxa"/>
              <w:bottom w:w="0" w:type="dxa"/>
              <w:right w:w="15" w:type="dxa"/>
            </w:tcMar>
            <w:vAlign w:val="bottom"/>
            <w:hideMark/>
          </w:tcPr>
          <w:p w14:paraId="48CDE4D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2C8E75E" w14:textId="77777777">
        <w:trPr>
          <w:divId w:val="1173648223"/>
        </w:trPr>
        <w:tc>
          <w:tcPr>
            <w:tcW w:w="3113" w:type="pct"/>
            <w:shd w:val="clear" w:color="auto" w:fill="FFFFFF"/>
            <w:tcMar>
              <w:top w:w="15" w:type="dxa"/>
              <w:left w:w="0" w:type="dxa"/>
              <w:bottom w:w="0" w:type="dxa"/>
              <w:right w:w="15" w:type="dxa"/>
            </w:tcMar>
            <w:vAlign w:val="bottom"/>
            <w:hideMark/>
          </w:tcPr>
          <w:p w14:paraId="58F6E7C2" w14:textId="77777777" w:rsidR="00000000" w:rsidRDefault="00B8284C">
            <w:pPr>
              <w:pStyle w:val="a3"/>
              <w:spacing w:before="0" w:beforeAutospacing="0" w:after="0" w:afterAutospacing="0"/>
              <w:rPr>
                <w:color w:val="000000"/>
                <w:sz w:val="20"/>
                <w:szCs w:val="20"/>
              </w:rPr>
            </w:pPr>
            <w:r>
              <w:rPr>
                <w:color w:val="000000"/>
                <w:sz w:val="20"/>
                <w:szCs w:val="20"/>
              </w:rPr>
              <w:t>Employee computer equipment</w:t>
            </w:r>
          </w:p>
        </w:tc>
        <w:tc>
          <w:tcPr>
            <w:tcW w:w="64" w:type="pct"/>
            <w:shd w:val="clear" w:color="auto" w:fill="FFFFFF"/>
            <w:tcMar>
              <w:top w:w="15" w:type="dxa"/>
              <w:left w:w="0" w:type="dxa"/>
              <w:bottom w:w="0" w:type="dxa"/>
              <w:right w:w="15" w:type="dxa"/>
            </w:tcMar>
            <w:vAlign w:val="bottom"/>
            <w:hideMark/>
          </w:tcPr>
          <w:p w14:paraId="1325DE5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noWrap/>
            <w:tcMar>
              <w:top w:w="15" w:type="dxa"/>
              <w:left w:w="0" w:type="dxa"/>
              <w:bottom w:w="0" w:type="dxa"/>
              <w:right w:w="15" w:type="dxa"/>
            </w:tcMar>
            <w:vAlign w:val="bottom"/>
            <w:hideMark/>
          </w:tcPr>
          <w:p w14:paraId="2ED043F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75" w:type="pct"/>
            <w:shd w:val="clear" w:color="auto" w:fill="FFFFFF"/>
            <w:noWrap/>
            <w:tcMar>
              <w:top w:w="15" w:type="dxa"/>
              <w:left w:w="0" w:type="dxa"/>
              <w:bottom w:w="0" w:type="dxa"/>
              <w:right w:w="15" w:type="dxa"/>
            </w:tcMar>
            <w:vAlign w:val="bottom"/>
            <w:hideMark/>
          </w:tcPr>
          <w:p w14:paraId="06CB4A33" w14:textId="77777777" w:rsidR="00000000" w:rsidRDefault="00B8284C">
            <w:pPr>
              <w:pStyle w:val="a3"/>
              <w:spacing w:before="0" w:beforeAutospacing="0" w:after="0" w:afterAutospacing="0"/>
              <w:jc w:val="right"/>
              <w:rPr>
                <w:color w:val="000000"/>
                <w:sz w:val="20"/>
                <w:szCs w:val="20"/>
              </w:rPr>
            </w:pPr>
            <w:r>
              <w:rPr>
                <w:color w:val="000000"/>
                <w:sz w:val="20"/>
                <w:szCs w:val="20"/>
              </w:rPr>
              <w:t>12,304</w:t>
            </w:r>
          </w:p>
        </w:tc>
        <w:tc>
          <w:tcPr>
            <w:tcW w:w="54" w:type="pct"/>
            <w:shd w:val="clear" w:color="auto" w:fill="FFFFFF"/>
            <w:noWrap/>
            <w:tcMar>
              <w:top w:w="15" w:type="dxa"/>
              <w:left w:w="0" w:type="dxa"/>
              <w:bottom w:w="0" w:type="dxa"/>
              <w:right w:w="15" w:type="dxa"/>
            </w:tcMar>
            <w:vAlign w:val="bottom"/>
            <w:hideMark/>
          </w:tcPr>
          <w:p w14:paraId="3FEA2B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1589C3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noWrap/>
            <w:tcMar>
              <w:top w:w="15" w:type="dxa"/>
              <w:left w:w="0" w:type="dxa"/>
              <w:bottom w:w="0" w:type="dxa"/>
              <w:right w:w="15" w:type="dxa"/>
            </w:tcMar>
            <w:vAlign w:val="bottom"/>
            <w:hideMark/>
          </w:tcPr>
          <w:p w14:paraId="611E58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5" w:type="pct"/>
            <w:shd w:val="clear" w:color="auto" w:fill="FFFFFF"/>
            <w:noWrap/>
            <w:tcMar>
              <w:top w:w="15" w:type="dxa"/>
              <w:left w:w="0" w:type="dxa"/>
              <w:bottom w:w="0" w:type="dxa"/>
              <w:right w:w="15" w:type="dxa"/>
            </w:tcMar>
            <w:vAlign w:val="bottom"/>
            <w:hideMark/>
          </w:tcPr>
          <w:p w14:paraId="642A6DAC" w14:textId="77777777" w:rsidR="00000000" w:rsidRDefault="00B8284C">
            <w:pPr>
              <w:pStyle w:val="a3"/>
              <w:spacing w:before="0" w:beforeAutospacing="0" w:after="0" w:afterAutospacing="0"/>
              <w:jc w:val="right"/>
              <w:rPr>
                <w:color w:val="000000"/>
                <w:sz w:val="20"/>
                <w:szCs w:val="20"/>
              </w:rPr>
            </w:pPr>
            <w:r>
              <w:rPr>
                <w:color w:val="000000"/>
                <w:sz w:val="20"/>
                <w:szCs w:val="20"/>
              </w:rPr>
              <w:t>8,972</w:t>
            </w:r>
          </w:p>
        </w:tc>
        <w:tc>
          <w:tcPr>
            <w:tcW w:w="122" w:type="pct"/>
            <w:shd w:val="clear" w:color="auto" w:fill="FFFFFF"/>
            <w:noWrap/>
            <w:tcMar>
              <w:top w:w="15" w:type="dxa"/>
              <w:left w:w="0" w:type="dxa"/>
              <w:bottom w:w="0" w:type="dxa"/>
              <w:right w:w="15" w:type="dxa"/>
            </w:tcMar>
            <w:vAlign w:val="bottom"/>
            <w:hideMark/>
          </w:tcPr>
          <w:p w14:paraId="4ABE54D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ACAC82E" w14:textId="77777777">
        <w:trPr>
          <w:divId w:val="1173648223"/>
        </w:trPr>
        <w:tc>
          <w:tcPr>
            <w:tcW w:w="3113" w:type="pct"/>
            <w:shd w:val="clear" w:color="auto" w:fill="CFF0FC"/>
            <w:tcMar>
              <w:top w:w="15" w:type="dxa"/>
              <w:left w:w="0" w:type="dxa"/>
              <w:bottom w:w="0" w:type="dxa"/>
              <w:right w:w="15" w:type="dxa"/>
            </w:tcMar>
            <w:vAlign w:val="bottom"/>
            <w:hideMark/>
          </w:tcPr>
          <w:p w14:paraId="7060A3EA" w14:textId="77777777" w:rsidR="00000000" w:rsidRDefault="00B8284C">
            <w:pPr>
              <w:pStyle w:val="a3"/>
              <w:spacing w:before="0" w:beforeAutospacing="0" w:after="0" w:afterAutospacing="0"/>
              <w:rPr>
                <w:color w:val="000000"/>
                <w:sz w:val="20"/>
                <w:szCs w:val="20"/>
              </w:rPr>
            </w:pPr>
            <w:r>
              <w:rPr>
                <w:color w:val="000000"/>
                <w:sz w:val="20"/>
                <w:szCs w:val="20"/>
              </w:rPr>
              <w:t>Furniture and fixtures</w:t>
            </w:r>
          </w:p>
        </w:tc>
        <w:tc>
          <w:tcPr>
            <w:tcW w:w="64" w:type="pct"/>
            <w:shd w:val="clear" w:color="auto" w:fill="CFF0FC"/>
            <w:tcMar>
              <w:top w:w="15" w:type="dxa"/>
              <w:left w:w="0" w:type="dxa"/>
              <w:bottom w:w="0" w:type="dxa"/>
              <w:right w:w="15" w:type="dxa"/>
            </w:tcMar>
            <w:vAlign w:val="bottom"/>
            <w:hideMark/>
          </w:tcPr>
          <w:p w14:paraId="467D2C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noWrap/>
            <w:tcMar>
              <w:top w:w="15" w:type="dxa"/>
              <w:left w:w="0" w:type="dxa"/>
              <w:bottom w:w="0" w:type="dxa"/>
              <w:right w:w="15" w:type="dxa"/>
            </w:tcMar>
            <w:vAlign w:val="bottom"/>
            <w:hideMark/>
          </w:tcPr>
          <w:p w14:paraId="4B2657E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75" w:type="pct"/>
            <w:shd w:val="clear" w:color="auto" w:fill="CFF0FC"/>
            <w:noWrap/>
            <w:tcMar>
              <w:top w:w="15" w:type="dxa"/>
              <w:left w:w="0" w:type="dxa"/>
              <w:bottom w:w="0" w:type="dxa"/>
              <w:right w:w="15" w:type="dxa"/>
            </w:tcMar>
            <w:vAlign w:val="bottom"/>
            <w:hideMark/>
          </w:tcPr>
          <w:p w14:paraId="19065DCF" w14:textId="77777777" w:rsidR="00000000" w:rsidRDefault="00B8284C">
            <w:pPr>
              <w:pStyle w:val="a3"/>
              <w:spacing w:before="0" w:beforeAutospacing="0" w:after="0" w:afterAutospacing="0"/>
              <w:jc w:val="right"/>
              <w:rPr>
                <w:color w:val="000000"/>
                <w:sz w:val="20"/>
                <w:szCs w:val="20"/>
              </w:rPr>
            </w:pPr>
            <w:r>
              <w:rPr>
                <w:color w:val="000000"/>
                <w:sz w:val="20"/>
                <w:szCs w:val="20"/>
              </w:rPr>
              <w:t>14,053</w:t>
            </w:r>
          </w:p>
        </w:tc>
        <w:tc>
          <w:tcPr>
            <w:tcW w:w="54" w:type="pct"/>
            <w:shd w:val="clear" w:color="auto" w:fill="CFF0FC"/>
            <w:noWrap/>
            <w:tcMar>
              <w:top w:w="15" w:type="dxa"/>
              <w:left w:w="0" w:type="dxa"/>
              <w:bottom w:w="0" w:type="dxa"/>
              <w:right w:w="15" w:type="dxa"/>
            </w:tcMar>
            <w:vAlign w:val="bottom"/>
            <w:hideMark/>
          </w:tcPr>
          <w:p w14:paraId="2449867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33B893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noWrap/>
            <w:tcMar>
              <w:top w:w="15" w:type="dxa"/>
              <w:left w:w="0" w:type="dxa"/>
              <w:bottom w:w="0" w:type="dxa"/>
              <w:right w:w="15" w:type="dxa"/>
            </w:tcMar>
            <w:vAlign w:val="bottom"/>
            <w:hideMark/>
          </w:tcPr>
          <w:p w14:paraId="4AF58FB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5" w:type="pct"/>
            <w:shd w:val="clear" w:color="auto" w:fill="CFF0FC"/>
            <w:noWrap/>
            <w:tcMar>
              <w:top w:w="15" w:type="dxa"/>
              <w:left w:w="0" w:type="dxa"/>
              <w:bottom w:w="0" w:type="dxa"/>
              <w:right w:w="15" w:type="dxa"/>
            </w:tcMar>
            <w:vAlign w:val="bottom"/>
            <w:hideMark/>
          </w:tcPr>
          <w:p w14:paraId="4996F8F5" w14:textId="77777777" w:rsidR="00000000" w:rsidRDefault="00B8284C">
            <w:pPr>
              <w:pStyle w:val="a3"/>
              <w:spacing w:before="0" w:beforeAutospacing="0" w:after="0" w:afterAutospacing="0"/>
              <w:jc w:val="right"/>
              <w:rPr>
                <w:color w:val="000000"/>
                <w:sz w:val="20"/>
                <w:szCs w:val="20"/>
              </w:rPr>
            </w:pPr>
            <w:r>
              <w:rPr>
                <w:color w:val="000000"/>
                <w:sz w:val="20"/>
                <w:szCs w:val="20"/>
              </w:rPr>
              <w:t>13,019</w:t>
            </w:r>
          </w:p>
        </w:tc>
        <w:tc>
          <w:tcPr>
            <w:tcW w:w="122" w:type="pct"/>
            <w:shd w:val="clear" w:color="auto" w:fill="CFF0FC"/>
            <w:noWrap/>
            <w:tcMar>
              <w:top w:w="15" w:type="dxa"/>
              <w:left w:w="0" w:type="dxa"/>
              <w:bottom w:w="0" w:type="dxa"/>
              <w:right w:w="15" w:type="dxa"/>
            </w:tcMar>
            <w:vAlign w:val="bottom"/>
            <w:hideMark/>
          </w:tcPr>
          <w:p w14:paraId="3FD99F8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1C85F3A" w14:textId="77777777">
        <w:trPr>
          <w:divId w:val="1173648223"/>
        </w:trPr>
        <w:tc>
          <w:tcPr>
            <w:tcW w:w="3113" w:type="pct"/>
            <w:shd w:val="clear" w:color="auto" w:fill="FFFFFF"/>
            <w:tcMar>
              <w:top w:w="15" w:type="dxa"/>
              <w:left w:w="0" w:type="dxa"/>
              <w:bottom w:w="0" w:type="dxa"/>
              <w:right w:w="15" w:type="dxa"/>
            </w:tcMar>
            <w:vAlign w:val="bottom"/>
            <w:hideMark/>
          </w:tcPr>
          <w:p w14:paraId="706E4C06" w14:textId="77777777" w:rsidR="00000000" w:rsidRDefault="00B8284C">
            <w:pPr>
              <w:pStyle w:val="a3"/>
              <w:spacing w:before="0" w:beforeAutospacing="0" w:after="0" w:afterAutospacing="0"/>
              <w:rPr>
                <w:color w:val="000000"/>
                <w:sz w:val="20"/>
                <w:szCs w:val="20"/>
              </w:rPr>
            </w:pPr>
            <w:r>
              <w:rPr>
                <w:color w:val="000000"/>
                <w:sz w:val="20"/>
                <w:szCs w:val="20"/>
              </w:rPr>
              <w:t>Office equipment</w:t>
            </w:r>
          </w:p>
        </w:tc>
        <w:tc>
          <w:tcPr>
            <w:tcW w:w="64" w:type="pct"/>
            <w:shd w:val="clear" w:color="auto" w:fill="FFFFFF"/>
            <w:tcMar>
              <w:top w:w="15" w:type="dxa"/>
              <w:left w:w="0" w:type="dxa"/>
              <w:bottom w:w="0" w:type="dxa"/>
              <w:right w:w="15" w:type="dxa"/>
            </w:tcMar>
            <w:vAlign w:val="bottom"/>
            <w:hideMark/>
          </w:tcPr>
          <w:p w14:paraId="52676E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noWrap/>
            <w:tcMar>
              <w:top w:w="15" w:type="dxa"/>
              <w:left w:w="0" w:type="dxa"/>
              <w:bottom w:w="0" w:type="dxa"/>
              <w:right w:w="15" w:type="dxa"/>
            </w:tcMar>
            <w:vAlign w:val="bottom"/>
            <w:hideMark/>
          </w:tcPr>
          <w:p w14:paraId="650DBD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75" w:type="pct"/>
            <w:shd w:val="clear" w:color="auto" w:fill="FFFFFF"/>
            <w:noWrap/>
            <w:tcMar>
              <w:top w:w="15" w:type="dxa"/>
              <w:left w:w="0" w:type="dxa"/>
              <w:bottom w:w="0" w:type="dxa"/>
              <w:right w:w="15" w:type="dxa"/>
            </w:tcMar>
            <w:vAlign w:val="bottom"/>
            <w:hideMark/>
          </w:tcPr>
          <w:p w14:paraId="5B237C93" w14:textId="77777777" w:rsidR="00000000" w:rsidRDefault="00B8284C">
            <w:pPr>
              <w:pStyle w:val="a3"/>
              <w:spacing w:before="0" w:beforeAutospacing="0" w:after="0" w:afterAutospacing="0"/>
              <w:jc w:val="right"/>
              <w:rPr>
                <w:color w:val="000000"/>
                <w:sz w:val="20"/>
                <w:szCs w:val="20"/>
              </w:rPr>
            </w:pPr>
            <w:r>
              <w:rPr>
                <w:color w:val="000000"/>
                <w:sz w:val="20"/>
                <w:szCs w:val="20"/>
              </w:rPr>
              <w:t>2,551</w:t>
            </w:r>
          </w:p>
        </w:tc>
        <w:tc>
          <w:tcPr>
            <w:tcW w:w="54" w:type="pct"/>
            <w:shd w:val="clear" w:color="auto" w:fill="FFFFFF"/>
            <w:noWrap/>
            <w:tcMar>
              <w:top w:w="15" w:type="dxa"/>
              <w:left w:w="0" w:type="dxa"/>
              <w:bottom w:w="0" w:type="dxa"/>
              <w:right w:w="15" w:type="dxa"/>
            </w:tcMar>
            <w:vAlign w:val="bottom"/>
            <w:hideMark/>
          </w:tcPr>
          <w:p w14:paraId="7B6EF2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6A4DECA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noWrap/>
            <w:tcMar>
              <w:top w:w="15" w:type="dxa"/>
              <w:left w:w="0" w:type="dxa"/>
              <w:bottom w:w="0" w:type="dxa"/>
              <w:right w:w="15" w:type="dxa"/>
            </w:tcMar>
            <w:vAlign w:val="bottom"/>
            <w:hideMark/>
          </w:tcPr>
          <w:p w14:paraId="4A7CE55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5" w:type="pct"/>
            <w:shd w:val="clear" w:color="auto" w:fill="FFFFFF"/>
            <w:noWrap/>
            <w:tcMar>
              <w:top w:w="15" w:type="dxa"/>
              <w:left w:w="0" w:type="dxa"/>
              <w:bottom w:w="0" w:type="dxa"/>
              <w:right w:w="15" w:type="dxa"/>
            </w:tcMar>
            <w:vAlign w:val="bottom"/>
            <w:hideMark/>
          </w:tcPr>
          <w:p w14:paraId="3476FB32" w14:textId="77777777" w:rsidR="00000000" w:rsidRDefault="00B8284C">
            <w:pPr>
              <w:pStyle w:val="a3"/>
              <w:spacing w:before="0" w:beforeAutospacing="0" w:after="0" w:afterAutospacing="0"/>
              <w:jc w:val="right"/>
              <w:rPr>
                <w:color w:val="000000"/>
                <w:sz w:val="20"/>
                <w:szCs w:val="20"/>
              </w:rPr>
            </w:pPr>
            <w:r>
              <w:rPr>
                <w:color w:val="000000"/>
                <w:sz w:val="20"/>
                <w:szCs w:val="20"/>
              </w:rPr>
              <w:t>2,551</w:t>
            </w:r>
          </w:p>
        </w:tc>
        <w:tc>
          <w:tcPr>
            <w:tcW w:w="122" w:type="pct"/>
            <w:shd w:val="clear" w:color="auto" w:fill="FFFFFF"/>
            <w:noWrap/>
            <w:tcMar>
              <w:top w:w="15" w:type="dxa"/>
              <w:left w:w="0" w:type="dxa"/>
              <w:bottom w:w="0" w:type="dxa"/>
              <w:right w:w="15" w:type="dxa"/>
            </w:tcMar>
            <w:vAlign w:val="bottom"/>
            <w:hideMark/>
          </w:tcPr>
          <w:p w14:paraId="538F76A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87371B2" w14:textId="77777777">
        <w:trPr>
          <w:divId w:val="1173648223"/>
        </w:trPr>
        <w:tc>
          <w:tcPr>
            <w:tcW w:w="3113" w:type="pct"/>
            <w:shd w:val="clear" w:color="auto" w:fill="CFF0FC"/>
            <w:tcMar>
              <w:top w:w="15" w:type="dxa"/>
              <w:left w:w="0" w:type="dxa"/>
              <w:bottom w:w="0" w:type="dxa"/>
              <w:right w:w="15" w:type="dxa"/>
            </w:tcMar>
            <w:vAlign w:val="bottom"/>
            <w:hideMark/>
          </w:tcPr>
          <w:p w14:paraId="3EFA1D7F" w14:textId="77777777" w:rsidR="00000000" w:rsidRDefault="00B8284C">
            <w:pPr>
              <w:pStyle w:val="a3"/>
              <w:spacing w:before="0" w:beforeAutospacing="0" w:after="0" w:afterAutospacing="0"/>
              <w:rPr>
                <w:color w:val="000000"/>
                <w:sz w:val="20"/>
                <w:szCs w:val="20"/>
              </w:rPr>
            </w:pPr>
            <w:r>
              <w:rPr>
                <w:color w:val="000000"/>
                <w:sz w:val="20"/>
                <w:szCs w:val="20"/>
              </w:rPr>
              <w:t>Leasehold improvements</w:t>
            </w:r>
          </w:p>
        </w:tc>
        <w:tc>
          <w:tcPr>
            <w:tcW w:w="64" w:type="pct"/>
            <w:shd w:val="clear" w:color="auto" w:fill="CFF0FC"/>
            <w:tcMar>
              <w:top w:w="15" w:type="dxa"/>
              <w:left w:w="0" w:type="dxa"/>
              <w:bottom w:w="0" w:type="dxa"/>
              <w:right w:w="15" w:type="dxa"/>
            </w:tcMar>
            <w:vAlign w:val="bottom"/>
            <w:hideMark/>
          </w:tcPr>
          <w:p w14:paraId="1C4A5A6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noWrap/>
            <w:tcMar>
              <w:top w:w="15" w:type="dxa"/>
              <w:left w:w="0" w:type="dxa"/>
              <w:bottom w:w="0" w:type="dxa"/>
              <w:right w:w="15" w:type="dxa"/>
            </w:tcMar>
            <w:vAlign w:val="bottom"/>
            <w:hideMark/>
          </w:tcPr>
          <w:p w14:paraId="6B7B871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75" w:type="pct"/>
            <w:shd w:val="clear" w:color="auto" w:fill="CFF0FC"/>
            <w:noWrap/>
            <w:tcMar>
              <w:top w:w="15" w:type="dxa"/>
              <w:left w:w="0" w:type="dxa"/>
              <w:bottom w:w="0" w:type="dxa"/>
              <w:right w:w="15" w:type="dxa"/>
            </w:tcMar>
            <w:vAlign w:val="bottom"/>
            <w:hideMark/>
          </w:tcPr>
          <w:p w14:paraId="7CF9B353" w14:textId="77777777" w:rsidR="00000000" w:rsidRDefault="00B8284C">
            <w:pPr>
              <w:pStyle w:val="a3"/>
              <w:spacing w:before="0" w:beforeAutospacing="0" w:after="0" w:afterAutospacing="0"/>
              <w:jc w:val="right"/>
              <w:rPr>
                <w:color w:val="000000"/>
                <w:sz w:val="20"/>
                <w:szCs w:val="20"/>
              </w:rPr>
            </w:pPr>
            <w:r>
              <w:rPr>
                <w:color w:val="000000"/>
                <w:sz w:val="20"/>
                <w:szCs w:val="20"/>
              </w:rPr>
              <w:t>50,932</w:t>
            </w:r>
          </w:p>
        </w:tc>
        <w:tc>
          <w:tcPr>
            <w:tcW w:w="54" w:type="pct"/>
            <w:shd w:val="clear" w:color="auto" w:fill="CFF0FC"/>
            <w:noWrap/>
            <w:tcMar>
              <w:top w:w="15" w:type="dxa"/>
              <w:left w:w="0" w:type="dxa"/>
              <w:bottom w:w="0" w:type="dxa"/>
              <w:right w:w="15" w:type="dxa"/>
            </w:tcMar>
            <w:vAlign w:val="bottom"/>
            <w:hideMark/>
          </w:tcPr>
          <w:p w14:paraId="126165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3D864E5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noWrap/>
            <w:tcMar>
              <w:top w:w="15" w:type="dxa"/>
              <w:left w:w="0" w:type="dxa"/>
              <w:bottom w:w="0" w:type="dxa"/>
              <w:right w:w="15" w:type="dxa"/>
            </w:tcMar>
            <w:vAlign w:val="bottom"/>
            <w:hideMark/>
          </w:tcPr>
          <w:p w14:paraId="6477B3F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5" w:type="pct"/>
            <w:shd w:val="clear" w:color="auto" w:fill="CFF0FC"/>
            <w:noWrap/>
            <w:tcMar>
              <w:top w:w="15" w:type="dxa"/>
              <w:left w:w="0" w:type="dxa"/>
              <w:bottom w:w="0" w:type="dxa"/>
              <w:right w:w="15" w:type="dxa"/>
            </w:tcMar>
            <w:vAlign w:val="bottom"/>
            <w:hideMark/>
          </w:tcPr>
          <w:p w14:paraId="5F41226A" w14:textId="77777777" w:rsidR="00000000" w:rsidRDefault="00B8284C">
            <w:pPr>
              <w:pStyle w:val="a3"/>
              <w:spacing w:before="0" w:beforeAutospacing="0" w:after="0" w:afterAutospacing="0"/>
              <w:jc w:val="right"/>
              <w:rPr>
                <w:color w:val="000000"/>
                <w:sz w:val="20"/>
                <w:szCs w:val="20"/>
              </w:rPr>
            </w:pPr>
            <w:r>
              <w:rPr>
                <w:color w:val="000000"/>
                <w:sz w:val="20"/>
                <w:szCs w:val="20"/>
              </w:rPr>
              <w:t>42,894</w:t>
            </w:r>
          </w:p>
        </w:tc>
        <w:tc>
          <w:tcPr>
            <w:tcW w:w="122" w:type="pct"/>
            <w:shd w:val="clear" w:color="auto" w:fill="CFF0FC"/>
            <w:noWrap/>
            <w:tcMar>
              <w:top w:w="15" w:type="dxa"/>
              <w:left w:w="0" w:type="dxa"/>
              <w:bottom w:w="0" w:type="dxa"/>
              <w:right w:w="15" w:type="dxa"/>
            </w:tcMar>
            <w:vAlign w:val="bottom"/>
            <w:hideMark/>
          </w:tcPr>
          <w:p w14:paraId="60D2221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EBD70D9" w14:textId="77777777">
        <w:trPr>
          <w:divId w:val="1173648223"/>
        </w:trPr>
        <w:tc>
          <w:tcPr>
            <w:tcW w:w="3113" w:type="pct"/>
            <w:shd w:val="clear" w:color="auto" w:fill="FFFFFF"/>
            <w:tcMar>
              <w:top w:w="15" w:type="dxa"/>
              <w:left w:w="0" w:type="dxa"/>
              <w:bottom w:w="0" w:type="dxa"/>
              <w:right w:w="15" w:type="dxa"/>
            </w:tcMar>
            <w:vAlign w:val="bottom"/>
            <w:hideMark/>
          </w:tcPr>
          <w:p w14:paraId="7FDDBE95" w14:textId="77777777" w:rsidR="00000000" w:rsidRDefault="00B8284C">
            <w:pPr>
              <w:pStyle w:val="a3"/>
              <w:spacing w:before="0" w:beforeAutospacing="0" w:after="0" w:afterAutospacing="0"/>
              <w:rPr>
                <w:color w:val="000000"/>
                <w:sz w:val="20"/>
                <w:szCs w:val="20"/>
              </w:rPr>
            </w:pPr>
            <w:r>
              <w:rPr>
                <w:color w:val="000000"/>
                <w:sz w:val="20"/>
                <w:szCs w:val="20"/>
              </w:rPr>
              <w:t>Equipment under capital lease</w:t>
            </w:r>
          </w:p>
        </w:tc>
        <w:tc>
          <w:tcPr>
            <w:tcW w:w="64" w:type="pct"/>
            <w:shd w:val="clear" w:color="auto" w:fill="FFFFFF"/>
            <w:tcMar>
              <w:top w:w="15" w:type="dxa"/>
              <w:left w:w="0" w:type="dxa"/>
              <w:bottom w:w="0" w:type="dxa"/>
              <w:right w:w="15" w:type="dxa"/>
            </w:tcMar>
            <w:vAlign w:val="bottom"/>
            <w:hideMark/>
          </w:tcPr>
          <w:p w14:paraId="78E563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noWrap/>
            <w:tcMar>
              <w:top w:w="15" w:type="dxa"/>
              <w:left w:w="0" w:type="dxa"/>
              <w:bottom w:w="0" w:type="dxa"/>
              <w:right w:w="15" w:type="dxa"/>
            </w:tcMar>
            <w:vAlign w:val="bottom"/>
            <w:hideMark/>
          </w:tcPr>
          <w:p w14:paraId="132031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75" w:type="pct"/>
            <w:shd w:val="clear" w:color="auto" w:fill="FFFFFF"/>
            <w:noWrap/>
            <w:tcMar>
              <w:top w:w="15" w:type="dxa"/>
              <w:left w:w="0" w:type="dxa"/>
              <w:bottom w:w="0" w:type="dxa"/>
              <w:right w:w="15" w:type="dxa"/>
            </w:tcMar>
            <w:vAlign w:val="bottom"/>
            <w:hideMark/>
          </w:tcPr>
          <w:p w14:paraId="5508BD70" w14:textId="77777777" w:rsidR="00000000" w:rsidRDefault="00B8284C">
            <w:pPr>
              <w:pStyle w:val="a3"/>
              <w:spacing w:before="0" w:beforeAutospacing="0" w:after="0" w:afterAutospacing="0"/>
              <w:jc w:val="right"/>
              <w:rPr>
                <w:color w:val="000000"/>
                <w:sz w:val="20"/>
                <w:szCs w:val="20"/>
              </w:rPr>
            </w:pPr>
            <w:r>
              <w:rPr>
                <w:color w:val="000000"/>
                <w:sz w:val="20"/>
                <w:szCs w:val="20"/>
              </w:rPr>
              <w:t>3,450</w:t>
            </w:r>
          </w:p>
        </w:tc>
        <w:tc>
          <w:tcPr>
            <w:tcW w:w="54" w:type="pct"/>
            <w:shd w:val="clear" w:color="auto" w:fill="FFFFFF"/>
            <w:noWrap/>
            <w:tcMar>
              <w:top w:w="15" w:type="dxa"/>
              <w:left w:w="0" w:type="dxa"/>
              <w:bottom w:w="0" w:type="dxa"/>
              <w:right w:w="15" w:type="dxa"/>
            </w:tcMar>
            <w:vAlign w:val="bottom"/>
            <w:hideMark/>
          </w:tcPr>
          <w:p w14:paraId="4B5849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1502EF7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noWrap/>
            <w:tcMar>
              <w:top w:w="15" w:type="dxa"/>
              <w:left w:w="0" w:type="dxa"/>
              <w:bottom w:w="0" w:type="dxa"/>
              <w:right w:w="15" w:type="dxa"/>
            </w:tcMar>
            <w:vAlign w:val="bottom"/>
            <w:hideMark/>
          </w:tcPr>
          <w:p w14:paraId="2CA986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5" w:type="pct"/>
            <w:shd w:val="clear" w:color="auto" w:fill="FFFFFF"/>
            <w:noWrap/>
            <w:tcMar>
              <w:top w:w="15" w:type="dxa"/>
              <w:left w:w="0" w:type="dxa"/>
              <w:bottom w:w="0" w:type="dxa"/>
              <w:right w:w="15" w:type="dxa"/>
            </w:tcMar>
            <w:vAlign w:val="bottom"/>
            <w:hideMark/>
          </w:tcPr>
          <w:p w14:paraId="7E88175A" w14:textId="77777777" w:rsidR="00000000" w:rsidRDefault="00B8284C">
            <w:pPr>
              <w:pStyle w:val="a3"/>
              <w:spacing w:before="0" w:beforeAutospacing="0" w:after="0" w:afterAutospacing="0"/>
              <w:jc w:val="right"/>
              <w:rPr>
                <w:color w:val="000000"/>
                <w:sz w:val="20"/>
                <w:szCs w:val="20"/>
              </w:rPr>
            </w:pPr>
            <w:r>
              <w:rPr>
                <w:color w:val="000000"/>
                <w:sz w:val="20"/>
                <w:szCs w:val="20"/>
              </w:rPr>
              <w:t>3,450</w:t>
            </w:r>
          </w:p>
        </w:tc>
        <w:tc>
          <w:tcPr>
            <w:tcW w:w="122" w:type="pct"/>
            <w:shd w:val="clear" w:color="auto" w:fill="FFFFFF"/>
            <w:noWrap/>
            <w:tcMar>
              <w:top w:w="15" w:type="dxa"/>
              <w:left w:w="0" w:type="dxa"/>
              <w:bottom w:w="0" w:type="dxa"/>
              <w:right w:w="15" w:type="dxa"/>
            </w:tcMar>
            <w:vAlign w:val="bottom"/>
            <w:hideMark/>
          </w:tcPr>
          <w:p w14:paraId="45F4E33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16922A9" w14:textId="77777777">
        <w:trPr>
          <w:divId w:val="1173648223"/>
        </w:trPr>
        <w:tc>
          <w:tcPr>
            <w:tcW w:w="3113" w:type="pct"/>
            <w:shd w:val="clear" w:color="auto" w:fill="CFF0FC"/>
            <w:tcMar>
              <w:top w:w="15" w:type="dxa"/>
              <w:left w:w="0" w:type="dxa"/>
              <w:bottom w:w="0" w:type="dxa"/>
              <w:right w:w="15" w:type="dxa"/>
            </w:tcMar>
            <w:vAlign w:val="bottom"/>
            <w:hideMark/>
          </w:tcPr>
          <w:p w14:paraId="249F13B1" w14:textId="77777777" w:rsidR="00000000" w:rsidRDefault="00B8284C">
            <w:pPr>
              <w:pStyle w:val="a3"/>
              <w:spacing w:before="0" w:beforeAutospacing="0" w:after="0" w:afterAutospacing="0"/>
              <w:rPr>
                <w:color w:val="000000"/>
                <w:sz w:val="20"/>
                <w:szCs w:val="20"/>
              </w:rPr>
            </w:pPr>
            <w:r>
              <w:rPr>
                <w:color w:val="000000"/>
                <w:sz w:val="20"/>
                <w:szCs w:val="20"/>
              </w:rPr>
              <w:t>Internal-use software</w:t>
            </w:r>
          </w:p>
        </w:tc>
        <w:tc>
          <w:tcPr>
            <w:tcW w:w="64" w:type="pct"/>
            <w:shd w:val="clear" w:color="auto" w:fill="CFF0FC"/>
            <w:tcMar>
              <w:top w:w="15" w:type="dxa"/>
              <w:left w:w="0" w:type="dxa"/>
              <w:bottom w:w="0" w:type="dxa"/>
              <w:right w:w="15" w:type="dxa"/>
            </w:tcMar>
            <w:vAlign w:val="bottom"/>
            <w:hideMark/>
          </w:tcPr>
          <w:p w14:paraId="05C345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noWrap/>
            <w:tcMar>
              <w:top w:w="15" w:type="dxa"/>
              <w:left w:w="0" w:type="dxa"/>
              <w:bottom w:w="0" w:type="dxa"/>
              <w:right w:w="15" w:type="dxa"/>
            </w:tcMar>
            <w:vAlign w:val="bottom"/>
            <w:hideMark/>
          </w:tcPr>
          <w:p w14:paraId="2F4DC49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75" w:type="pct"/>
            <w:shd w:val="clear" w:color="auto" w:fill="CFF0FC"/>
            <w:noWrap/>
            <w:tcMar>
              <w:top w:w="15" w:type="dxa"/>
              <w:left w:w="0" w:type="dxa"/>
              <w:bottom w:w="0" w:type="dxa"/>
              <w:right w:w="15" w:type="dxa"/>
            </w:tcMar>
            <w:vAlign w:val="bottom"/>
            <w:hideMark/>
          </w:tcPr>
          <w:p w14:paraId="557BE28B" w14:textId="77777777" w:rsidR="00000000" w:rsidRDefault="00B8284C">
            <w:pPr>
              <w:pStyle w:val="a3"/>
              <w:spacing w:before="0" w:beforeAutospacing="0" w:after="0" w:afterAutospacing="0"/>
              <w:jc w:val="right"/>
              <w:rPr>
                <w:color w:val="000000"/>
                <w:sz w:val="20"/>
                <w:szCs w:val="20"/>
              </w:rPr>
            </w:pPr>
            <w:r>
              <w:rPr>
                <w:color w:val="000000"/>
                <w:sz w:val="20"/>
                <w:szCs w:val="20"/>
              </w:rPr>
              <w:t>6,931</w:t>
            </w:r>
          </w:p>
        </w:tc>
        <w:tc>
          <w:tcPr>
            <w:tcW w:w="54" w:type="pct"/>
            <w:shd w:val="clear" w:color="auto" w:fill="CFF0FC"/>
            <w:noWrap/>
            <w:tcMar>
              <w:top w:w="15" w:type="dxa"/>
              <w:left w:w="0" w:type="dxa"/>
              <w:bottom w:w="0" w:type="dxa"/>
              <w:right w:w="15" w:type="dxa"/>
            </w:tcMar>
            <w:vAlign w:val="bottom"/>
            <w:hideMark/>
          </w:tcPr>
          <w:p w14:paraId="0CAEDA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2B0E5C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noWrap/>
            <w:tcMar>
              <w:top w:w="15" w:type="dxa"/>
              <w:left w:w="0" w:type="dxa"/>
              <w:bottom w:w="0" w:type="dxa"/>
              <w:right w:w="15" w:type="dxa"/>
            </w:tcMar>
            <w:vAlign w:val="bottom"/>
            <w:hideMark/>
          </w:tcPr>
          <w:p w14:paraId="6111816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5" w:type="pct"/>
            <w:shd w:val="clear" w:color="auto" w:fill="CFF0FC"/>
            <w:noWrap/>
            <w:tcMar>
              <w:top w:w="15" w:type="dxa"/>
              <w:left w:w="0" w:type="dxa"/>
              <w:bottom w:w="0" w:type="dxa"/>
              <w:right w:w="15" w:type="dxa"/>
            </w:tcMar>
            <w:vAlign w:val="bottom"/>
            <w:hideMark/>
          </w:tcPr>
          <w:p w14:paraId="779DB75C" w14:textId="77777777" w:rsidR="00000000" w:rsidRDefault="00B8284C">
            <w:pPr>
              <w:pStyle w:val="a3"/>
              <w:spacing w:before="0" w:beforeAutospacing="0" w:after="0" w:afterAutospacing="0"/>
              <w:jc w:val="right"/>
              <w:rPr>
                <w:color w:val="000000"/>
                <w:sz w:val="20"/>
                <w:szCs w:val="20"/>
              </w:rPr>
            </w:pPr>
            <w:r>
              <w:rPr>
                <w:color w:val="000000"/>
                <w:sz w:val="20"/>
                <w:szCs w:val="20"/>
              </w:rPr>
              <w:t>5,363</w:t>
            </w:r>
          </w:p>
        </w:tc>
        <w:tc>
          <w:tcPr>
            <w:tcW w:w="122" w:type="pct"/>
            <w:shd w:val="clear" w:color="auto" w:fill="CFF0FC"/>
            <w:noWrap/>
            <w:tcMar>
              <w:top w:w="15" w:type="dxa"/>
              <w:left w:w="0" w:type="dxa"/>
              <w:bottom w:w="0" w:type="dxa"/>
              <w:right w:w="15" w:type="dxa"/>
            </w:tcMar>
            <w:vAlign w:val="bottom"/>
            <w:hideMark/>
          </w:tcPr>
          <w:p w14:paraId="7890430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878314C" w14:textId="77777777">
        <w:trPr>
          <w:divId w:val="1173648223"/>
        </w:trPr>
        <w:tc>
          <w:tcPr>
            <w:tcW w:w="3113" w:type="pct"/>
            <w:shd w:val="clear" w:color="auto" w:fill="FFFFFF"/>
            <w:tcMar>
              <w:top w:w="15" w:type="dxa"/>
              <w:left w:w="0" w:type="dxa"/>
              <w:bottom w:w="0" w:type="dxa"/>
              <w:right w:w="15" w:type="dxa"/>
            </w:tcMar>
            <w:vAlign w:val="bottom"/>
            <w:hideMark/>
          </w:tcPr>
          <w:p w14:paraId="49639E9C" w14:textId="77777777" w:rsidR="00000000" w:rsidRDefault="00B8284C">
            <w:pPr>
              <w:pStyle w:val="a3"/>
              <w:spacing w:before="0" w:beforeAutospacing="0" w:after="0" w:afterAutospacing="0"/>
              <w:rPr>
                <w:color w:val="000000"/>
                <w:sz w:val="20"/>
                <w:szCs w:val="20"/>
              </w:rPr>
            </w:pPr>
            <w:r>
              <w:rPr>
                <w:color w:val="000000"/>
                <w:sz w:val="20"/>
                <w:szCs w:val="20"/>
              </w:rPr>
              <w:t>Construction in progress</w:t>
            </w:r>
          </w:p>
        </w:tc>
        <w:tc>
          <w:tcPr>
            <w:tcW w:w="64" w:type="pct"/>
            <w:shd w:val="clear" w:color="auto" w:fill="FFFFFF"/>
            <w:tcMar>
              <w:top w:w="15" w:type="dxa"/>
              <w:left w:w="0" w:type="dxa"/>
              <w:bottom w:w="0" w:type="dxa"/>
              <w:right w:w="15" w:type="dxa"/>
            </w:tcMar>
            <w:vAlign w:val="bottom"/>
            <w:hideMark/>
          </w:tcPr>
          <w:p w14:paraId="0DC8B21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tcBorders>
              <w:bottom w:val="single" w:sz="6" w:space="0" w:color="000000"/>
            </w:tcBorders>
            <w:shd w:val="clear" w:color="auto" w:fill="FFFFFF"/>
            <w:noWrap/>
            <w:tcMar>
              <w:top w:w="15" w:type="dxa"/>
              <w:left w:w="0" w:type="dxa"/>
              <w:bottom w:w="0" w:type="dxa"/>
              <w:right w:w="15" w:type="dxa"/>
            </w:tcMar>
            <w:vAlign w:val="bottom"/>
            <w:hideMark/>
          </w:tcPr>
          <w:p w14:paraId="676614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75" w:type="pct"/>
            <w:tcBorders>
              <w:bottom w:val="single" w:sz="6" w:space="0" w:color="000000"/>
            </w:tcBorders>
            <w:shd w:val="clear" w:color="auto" w:fill="FFFFFF"/>
            <w:noWrap/>
            <w:tcMar>
              <w:top w:w="15" w:type="dxa"/>
              <w:left w:w="0" w:type="dxa"/>
              <w:bottom w:w="0" w:type="dxa"/>
              <w:right w:w="15" w:type="dxa"/>
            </w:tcMar>
            <w:vAlign w:val="bottom"/>
            <w:hideMark/>
          </w:tcPr>
          <w:p w14:paraId="523B7F09" w14:textId="77777777" w:rsidR="00000000" w:rsidRDefault="00B8284C">
            <w:pPr>
              <w:pStyle w:val="a3"/>
              <w:spacing w:before="0" w:beforeAutospacing="0" w:after="0" w:afterAutospacing="0"/>
              <w:jc w:val="right"/>
              <w:rPr>
                <w:color w:val="000000"/>
                <w:sz w:val="20"/>
                <w:szCs w:val="20"/>
              </w:rPr>
            </w:pPr>
            <w:r>
              <w:rPr>
                <w:color w:val="000000"/>
                <w:sz w:val="20"/>
                <w:szCs w:val="20"/>
              </w:rPr>
              <w:t>8,879</w:t>
            </w:r>
          </w:p>
        </w:tc>
        <w:tc>
          <w:tcPr>
            <w:tcW w:w="54" w:type="pct"/>
            <w:shd w:val="clear" w:color="auto" w:fill="FFFFFF"/>
            <w:noWrap/>
            <w:tcMar>
              <w:top w:w="15" w:type="dxa"/>
              <w:left w:w="0" w:type="dxa"/>
              <w:bottom w:w="0" w:type="dxa"/>
              <w:right w:w="15" w:type="dxa"/>
            </w:tcMar>
            <w:vAlign w:val="bottom"/>
            <w:hideMark/>
          </w:tcPr>
          <w:p w14:paraId="4F8555C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4939C2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tcBorders>
              <w:bottom w:val="single" w:sz="6" w:space="0" w:color="000000"/>
            </w:tcBorders>
            <w:shd w:val="clear" w:color="auto" w:fill="FFFFFF"/>
            <w:noWrap/>
            <w:tcMar>
              <w:top w:w="15" w:type="dxa"/>
              <w:left w:w="0" w:type="dxa"/>
              <w:bottom w:w="0" w:type="dxa"/>
              <w:right w:w="15" w:type="dxa"/>
            </w:tcMar>
            <w:vAlign w:val="bottom"/>
            <w:hideMark/>
          </w:tcPr>
          <w:p w14:paraId="47E22D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5" w:type="pct"/>
            <w:tcBorders>
              <w:bottom w:val="single" w:sz="6" w:space="0" w:color="000000"/>
            </w:tcBorders>
            <w:shd w:val="clear" w:color="auto" w:fill="FFFFFF"/>
            <w:noWrap/>
            <w:tcMar>
              <w:top w:w="15" w:type="dxa"/>
              <w:left w:w="0" w:type="dxa"/>
              <w:bottom w:w="0" w:type="dxa"/>
              <w:right w:w="15" w:type="dxa"/>
            </w:tcMar>
            <w:vAlign w:val="bottom"/>
            <w:hideMark/>
          </w:tcPr>
          <w:p w14:paraId="4AF08956" w14:textId="77777777" w:rsidR="00000000" w:rsidRDefault="00B8284C">
            <w:pPr>
              <w:pStyle w:val="a3"/>
              <w:spacing w:before="0" w:beforeAutospacing="0" w:after="0" w:afterAutospacing="0"/>
              <w:jc w:val="right"/>
              <w:rPr>
                <w:color w:val="000000"/>
                <w:sz w:val="20"/>
                <w:szCs w:val="20"/>
              </w:rPr>
            </w:pPr>
            <w:r>
              <w:rPr>
                <w:color w:val="000000"/>
                <w:sz w:val="20"/>
                <w:szCs w:val="20"/>
              </w:rPr>
              <w:t>2,498</w:t>
            </w:r>
          </w:p>
        </w:tc>
        <w:tc>
          <w:tcPr>
            <w:tcW w:w="122" w:type="pct"/>
            <w:shd w:val="clear" w:color="auto" w:fill="FFFFFF"/>
            <w:noWrap/>
            <w:tcMar>
              <w:top w:w="15" w:type="dxa"/>
              <w:left w:w="0" w:type="dxa"/>
              <w:bottom w:w="0" w:type="dxa"/>
              <w:right w:w="15" w:type="dxa"/>
            </w:tcMar>
            <w:vAlign w:val="bottom"/>
            <w:hideMark/>
          </w:tcPr>
          <w:p w14:paraId="08D1821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AE2DF64" w14:textId="77777777">
        <w:trPr>
          <w:divId w:val="1173648223"/>
        </w:trPr>
        <w:tc>
          <w:tcPr>
            <w:tcW w:w="3113" w:type="pct"/>
            <w:shd w:val="clear" w:color="auto" w:fill="CFF0FC"/>
            <w:tcMar>
              <w:top w:w="15" w:type="dxa"/>
              <w:left w:w="0" w:type="dxa"/>
              <w:bottom w:w="0" w:type="dxa"/>
              <w:right w:w="15" w:type="dxa"/>
            </w:tcMar>
            <w:vAlign w:val="bottom"/>
            <w:hideMark/>
          </w:tcPr>
          <w:p w14:paraId="6608305C" w14:textId="77777777" w:rsidR="00000000" w:rsidRDefault="00B8284C">
            <w:pPr>
              <w:pStyle w:val="a3"/>
              <w:spacing w:before="0" w:beforeAutospacing="0" w:after="0" w:afterAutospacing="0"/>
              <w:ind w:left="274"/>
              <w:rPr>
                <w:color w:val="000000"/>
                <w:sz w:val="20"/>
                <w:szCs w:val="20"/>
              </w:rPr>
            </w:pPr>
            <w:r>
              <w:rPr>
                <w:color w:val="000000"/>
                <w:sz w:val="20"/>
                <w:szCs w:val="20"/>
              </w:rPr>
              <w:t>Total property and equipment</w:t>
            </w:r>
          </w:p>
        </w:tc>
        <w:tc>
          <w:tcPr>
            <w:tcW w:w="64" w:type="pct"/>
            <w:shd w:val="clear" w:color="auto" w:fill="CFF0FC"/>
            <w:tcMar>
              <w:top w:w="15" w:type="dxa"/>
              <w:left w:w="0" w:type="dxa"/>
              <w:bottom w:w="0" w:type="dxa"/>
              <w:right w:w="15" w:type="dxa"/>
            </w:tcMar>
            <w:vAlign w:val="bottom"/>
            <w:hideMark/>
          </w:tcPr>
          <w:p w14:paraId="63342E0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CFF0FC"/>
            <w:noWrap/>
            <w:tcMar>
              <w:top w:w="15" w:type="dxa"/>
              <w:left w:w="0" w:type="dxa"/>
              <w:bottom w:w="0" w:type="dxa"/>
              <w:right w:w="15" w:type="dxa"/>
            </w:tcMar>
            <w:vAlign w:val="bottom"/>
            <w:hideMark/>
          </w:tcPr>
          <w:p w14:paraId="63D5F4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75" w:type="pct"/>
            <w:tcBorders>
              <w:top w:val="single" w:sz="6" w:space="0" w:color="000000"/>
            </w:tcBorders>
            <w:shd w:val="clear" w:color="auto" w:fill="CFF0FC"/>
            <w:noWrap/>
            <w:tcMar>
              <w:top w:w="15" w:type="dxa"/>
              <w:left w:w="0" w:type="dxa"/>
              <w:bottom w:w="0" w:type="dxa"/>
              <w:right w:w="15" w:type="dxa"/>
            </w:tcMar>
            <w:vAlign w:val="bottom"/>
            <w:hideMark/>
          </w:tcPr>
          <w:p w14:paraId="221ECE73" w14:textId="77777777" w:rsidR="00000000" w:rsidRDefault="00B8284C">
            <w:pPr>
              <w:pStyle w:val="a3"/>
              <w:spacing w:before="0" w:beforeAutospacing="0" w:after="0" w:afterAutospacing="0"/>
              <w:jc w:val="right"/>
              <w:rPr>
                <w:color w:val="000000"/>
                <w:sz w:val="20"/>
                <w:szCs w:val="20"/>
              </w:rPr>
            </w:pPr>
            <w:r>
              <w:rPr>
                <w:color w:val="000000"/>
                <w:sz w:val="20"/>
                <w:szCs w:val="20"/>
              </w:rPr>
              <w:t>108,847</w:t>
            </w:r>
          </w:p>
        </w:tc>
        <w:tc>
          <w:tcPr>
            <w:tcW w:w="54" w:type="pct"/>
            <w:shd w:val="clear" w:color="auto" w:fill="CFF0FC"/>
            <w:noWrap/>
            <w:tcMar>
              <w:top w:w="15" w:type="dxa"/>
              <w:left w:w="0" w:type="dxa"/>
              <w:bottom w:w="0" w:type="dxa"/>
              <w:right w:w="15" w:type="dxa"/>
            </w:tcMar>
            <w:vAlign w:val="bottom"/>
            <w:hideMark/>
          </w:tcPr>
          <w:p w14:paraId="12E2CC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21C454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CFF0FC"/>
            <w:noWrap/>
            <w:tcMar>
              <w:top w:w="15" w:type="dxa"/>
              <w:left w:w="0" w:type="dxa"/>
              <w:bottom w:w="0" w:type="dxa"/>
              <w:right w:w="15" w:type="dxa"/>
            </w:tcMar>
            <w:vAlign w:val="bottom"/>
            <w:hideMark/>
          </w:tcPr>
          <w:p w14:paraId="03DC4BA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5" w:type="pct"/>
            <w:tcBorders>
              <w:top w:val="single" w:sz="6" w:space="0" w:color="000000"/>
            </w:tcBorders>
            <w:shd w:val="clear" w:color="auto" w:fill="CFF0FC"/>
            <w:noWrap/>
            <w:tcMar>
              <w:top w:w="15" w:type="dxa"/>
              <w:left w:w="0" w:type="dxa"/>
              <w:bottom w:w="0" w:type="dxa"/>
              <w:right w:w="15" w:type="dxa"/>
            </w:tcMar>
            <w:vAlign w:val="bottom"/>
            <w:hideMark/>
          </w:tcPr>
          <w:p w14:paraId="354E50EE" w14:textId="77777777" w:rsidR="00000000" w:rsidRDefault="00B8284C">
            <w:pPr>
              <w:pStyle w:val="a3"/>
              <w:spacing w:before="0" w:beforeAutospacing="0" w:after="0" w:afterAutospacing="0"/>
              <w:jc w:val="right"/>
              <w:rPr>
                <w:color w:val="000000"/>
                <w:sz w:val="20"/>
                <w:szCs w:val="20"/>
              </w:rPr>
            </w:pPr>
            <w:r>
              <w:rPr>
                <w:color w:val="000000"/>
                <w:sz w:val="20"/>
                <w:szCs w:val="20"/>
              </w:rPr>
              <w:t>86,910</w:t>
            </w:r>
          </w:p>
        </w:tc>
        <w:tc>
          <w:tcPr>
            <w:tcW w:w="122" w:type="pct"/>
            <w:shd w:val="clear" w:color="auto" w:fill="CFF0FC"/>
            <w:noWrap/>
            <w:tcMar>
              <w:top w:w="15" w:type="dxa"/>
              <w:left w:w="0" w:type="dxa"/>
              <w:bottom w:w="0" w:type="dxa"/>
              <w:right w:w="15" w:type="dxa"/>
            </w:tcMar>
            <w:vAlign w:val="bottom"/>
            <w:hideMark/>
          </w:tcPr>
          <w:p w14:paraId="1883947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225BFEB" w14:textId="77777777">
        <w:trPr>
          <w:divId w:val="1173648223"/>
        </w:trPr>
        <w:tc>
          <w:tcPr>
            <w:tcW w:w="3113" w:type="pct"/>
            <w:shd w:val="clear" w:color="auto" w:fill="FFFFFF"/>
            <w:tcMar>
              <w:top w:w="15" w:type="dxa"/>
              <w:left w:w="0" w:type="dxa"/>
              <w:bottom w:w="0" w:type="dxa"/>
              <w:right w:w="15" w:type="dxa"/>
            </w:tcMar>
            <w:vAlign w:val="bottom"/>
            <w:hideMark/>
          </w:tcPr>
          <w:p w14:paraId="3CA0AA1D" w14:textId="77777777" w:rsidR="00000000" w:rsidRDefault="00B8284C">
            <w:pPr>
              <w:pStyle w:val="a3"/>
              <w:spacing w:before="0" w:beforeAutospacing="0" w:after="0" w:afterAutospacing="0"/>
              <w:rPr>
                <w:color w:val="000000"/>
                <w:sz w:val="20"/>
                <w:szCs w:val="20"/>
              </w:rPr>
            </w:pPr>
            <w:r>
              <w:rPr>
                <w:color w:val="000000"/>
                <w:sz w:val="20"/>
                <w:szCs w:val="20"/>
              </w:rPr>
              <w:t>Less accumulated depreciation and amortization</w:t>
            </w:r>
          </w:p>
        </w:tc>
        <w:tc>
          <w:tcPr>
            <w:tcW w:w="64" w:type="pct"/>
            <w:shd w:val="clear" w:color="auto" w:fill="FFFFFF"/>
            <w:tcMar>
              <w:top w:w="15" w:type="dxa"/>
              <w:left w:w="0" w:type="dxa"/>
              <w:bottom w:w="0" w:type="dxa"/>
              <w:right w:w="15" w:type="dxa"/>
            </w:tcMar>
            <w:vAlign w:val="bottom"/>
            <w:hideMark/>
          </w:tcPr>
          <w:p w14:paraId="7AAAE98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tcBorders>
              <w:bottom w:val="single" w:sz="6" w:space="0" w:color="000000"/>
            </w:tcBorders>
            <w:shd w:val="clear" w:color="auto" w:fill="FFFFFF"/>
            <w:noWrap/>
            <w:tcMar>
              <w:top w:w="15" w:type="dxa"/>
              <w:left w:w="0" w:type="dxa"/>
              <w:bottom w:w="0" w:type="dxa"/>
              <w:right w:w="15" w:type="dxa"/>
            </w:tcMar>
            <w:vAlign w:val="bottom"/>
            <w:hideMark/>
          </w:tcPr>
          <w:p w14:paraId="09CD0B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75" w:type="pct"/>
            <w:tcBorders>
              <w:bottom w:val="single" w:sz="6" w:space="0" w:color="000000"/>
            </w:tcBorders>
            <w:shd w:val="clear" w:color="auto" w:fill="FFFFFF"/>
            <w:noWrap/>
            <w:tcMar>
              <w:top w:w="15" w:type="dxa"/>
              <w:left w:w="0" w:type="dxa"/>
              <w:bottom w:w="0" w:type="dxa"/>
              <w:right w:w="15" w:type="dxa"/>
            </w:tcMar>
            <w:vAlign w:val="bottom"/>
            <w:hideMark/>
          </w:tcPr>
          <w:p w14:paraId="1A37522E" w14:textId="77777777" w:rsidR="00000000" w:rsidRDefault="00B8284C">
            <w:pPr>
              <w:pStyle w:val="a3"/>
              <w:spacing w:before="0" w:beforeAutospacing="0" w:after="0" w:afterAutospacing="0"/>
              <w:jc w:val="right"/>
              <w:rPr>
                <w:color w:val="000000"/>
                <w:sz w:val="20"/>
                <w:szCs w:val="20"/>
              </w:rPr>
            </w:pPr>
            <w:r>
              <w:rPr>
                <w:color w:val="000000"/>
                <w:sz w:val="20"/>
                <w:szCs w:val="20"/>
              </w:rPr>
              <w:t>(44,888</w:t>
            </w:r>
          </w:p>
        </w:tc>
        <w:tc>
          <w:tcPr>
            <w:tcW w:w="54" w:type="pct"/>
            <w:shd w:val="clear" w:color="auto" w:fill="FFFFFF"/>
            <w:noWrap/>
            <w:tcMar>
              <w:top w:w="15" w:type="dxa"/>
              <w:left w:w="0" w:type="dxa"/>
              <w:bottom w:w="0" w:type="dxa"/>
              <w:right w:w="15" w:type="dxa"/>
            </w:tcMar>
            <w:vAlign w:val="bottom"/>
            <w:hideMark/>
          </w:tcPr>
          <w:p w14:paraId="575873F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14:paraId="7764DE7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tcBorders>
              <w:bottom w:val="single" w:sz="6" w:space="0" w:color="000000"/>
            </w:tcBorders>
            <w:shd w:val="clear" w:color="auto" w:fill="FFFFFF"/>
            <w:noWrap/>
            <w:tcMar>
              <w:top w:w="15" w:type="dxa"/>
              <w:left w:w="0" w:type="dxa"/>
              <w:bottom w:w="0" w:type="dxa"/>
              <w:right w:w="15" w:type="dxa"/>
            </w:tcMar>
            <w:vAlign w:val="bottom"/>
            <w:hideMark/>
          </w:tcPr>
          <w:p w14:paraId="73B71C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5" w:type="pct"/>
            <w:tcBorders>
              <w:bottom w:val="single" w:sz="6" w:space="0" w:color="000000"/>
            </w:tcBorders>
            <w:shd w:val="clear" w:color="auto" w:fill="FFFFFF"/>
            <w:noWrap/>
            <w:tcMar>
              <w:top w:w="15" w:type="dxa"/>
              <w:left w:w="0" w:type="dxa"/>
              <w:bottom w:w="0" w:type="dxa"/>
              <w:right w:w="15" w:type="dxa"/>
            </w:tcMar>
            <w:vAlign w:val="bottom"/>
            <w:hideMark/>
          </w:tcPr>
          <w:p w14:paraId="52D2E6BE" w14:textId="77777777" w:rsidR="00000000" w:rsidRDefault="00B8284C">
            <w:pPr>
              <w:pStyle w:val="a3"/>
              <w:spacing w:before="0" w:beforeAutospacing="0" w:after="0" w:afterAutospacing="0"/>
              <w:jc w:val="right"/>
              <w:rPr>
                <w:color w:val="000000"/>
                <w:sz w:val="20"/>
                <w:szCs w:val="20"/>
              </w:rPr>
            </w:pPr>
            <w:r>
              <w:rPr>
                <w:color w:val="000000"/>
                <w:sz w:val="20"/>
                <w:szCs w:val="20"/>
              </w:rPr>
              <w:t>(34,442</w:t>
            </w:r>
          </w:p>
        </w:tc>
        <w:tc>
          <w:tcPr>
            <w:tcW w:w="122" w:type="pct"/>
            <w:shd w:val="clear" w:color="auto" w:fill="FFFFFF"/>
            <w:noWrap/>
            <w:tcMar>
              <w:top w:w="15" w:type="dxa"/>
              <w:left w:w="0" w:type="dxa"/>
              <w:bottom w:w="0" w:type="dxa"/>
              <w:right w:w="15" w:type="dxa"/>
            </w:tcMar>
            <w:vAlign w:val="bottom"/>
            <w:hideMark/>
          </w:tcPr>
          <w:p w14:paraId="7FEAEA26"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0020CC63" w14:textId="77777777">
        <w:trPr>
          <w:divId w:val="1173648223"/>
        </w:trPr>
        <w:tc>
          <w:tcPr>
            <w:tcW w:w="3113" w:type="pct"/>
            <w:shd w:val="clear" w:color="auto" w:fill="CFF0FC"/>
            <w:tcMar>
              <w:top w:w="15" w:type="dxa"/>
              <w:left w:w="0" w:type="dxa"/>
              <w:bottom w:w="0" w:type="dxa"/>
              <w:right w:w="15" w:type="dxa"/>
            </w:tcMar>
            <w:vAlign w:val="bottom"/>
            <w:hideMark/>
          </w:tcPr>
          <w:p w14:paraId="2D408DFD" w14:textId="77777777" w:rsidR="00000000" w:rsidRDefault="00B8284C">
            <w:pPr>
              <w:pStyle w:val="a3"/>
              <w:spacing w:before="0" w:beforeAutospacing="0" w:after="0" w:afterAutospacing="0"/>
              <w:ind w:left="274"/>
              <w:rPr>
                <w:color w:val="000000"/>
                <w:sz w:val="20"/>
                <w:szCs w:val="20"/>
              </w:rPr>
            </w:pPr>
            <w:r>
              <w:rPr>
                <w:color w:val="000000"/>
                <w:sz w:val="20"/>
                <w:szCs w:val="20"/>
              </w:rPr>
              <w:t>Property and equipment, net</w:t>
            </w:r>
          </w:p>
        </w:tc>
        <w:tc>
          <w:tcPr>
            <w:tcW w:w="64" w:type="pct"/>
            <w:shd w:val="clear" w:color="auto" w:fill="CFF0FC"/>
            <w:tcMar>
              <w:top w:w="15" w:type="dxa"/>
              <w:left w:w="0" w:type="dxa"/>
              <w:bottom w:w="0" w:type="dxa"/>
              <w:right w:w="15" w:type="dxa"/>
            </w:tcMar>
            <w:vAlign w:val="bottom"/>
            <w:hideMark/>
          </w:tcPr>
          <w:p w14:paraId="2093E0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26D38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7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8DE04C" w14:textId="77777777" w:rsidR="00000000" w:rsidRDefault="00B8284C">
            <w:pPr>
              <w:pStyle w:val="a3"/>
              <w:spacing w:before="0" w:beforeAutospacing="0" w:after="0" w:afterAutospacing="0"/>
              <w:jc w:val="right"/>
              <w:rPr>
                <w:color w:val="000000"/>
                <w:sz w:val="20"/>
                <w:szCs w:val="20"/>
              </w:rPr>
            </w:pPr>
            <w:r>
              <w:rPr>
                <w:color w:val="000000"/>
                <w:sz w:val="20"/>
                <w:szCs w:val="20"/>
              </w:rPr>
              <w:t>63,959</w:t>
            </w:r>
          </w:p>
        </w:tc>
        <w:tc>
          <w:tcPr>
            <w:tcW w:w="54" w:type="pct"/>
            <w:shd w:val="clear" w:color="auto" w:fill="CFF0FC"/>
            <w:noWrap/>
            <w:tcMar>
              <w:top w:w="15" w:type="dxa"/>
              <w:left w:w="0" w:type="dxa"/>
              <w:bottom w:w="0" w:type="dxa"/>
              <w:right w:w="15" w:type="dxa"/>
            </w:tcMar>
            <w:vAlign w:val="bottom"/>
            <w:hideMark/>
          </w:tcPr>
          <w:p w14:paraId="1DE29F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1A1DF2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E0B99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D3B7D8A" w14:textId="77777777" w:rsidR="00000000" w:rsidRDefault="00B8284C">
            <w:pPr>
              <w:pStyle w:val="a3"/>
              <w:spacing w:before="0" w:beforeAutospacing="0" w:after="0" w:afterAutospacing="0"/>
              <w:jc w:val="right"/>
              <w:rPr>
                <w:color w:val="000000"/>
                <w:sz w:val="20"/>
                <w:szCs w:val="20"/>
              </w:rPr>
            </w:pPr>
            <w:r>
              <w:rPr>
                <w:color w:val="000000"/>
                <w:sz w:val="20"/>
                <w:szCs w:val="20"/>
              </w:rPr>
              <w:t>52,468</w:t>
            </w:r>
          </w:p>
        </w:tc>
        <w:tc>
          <w:tcPr>
            <w:tcW w:w="122" w:type="pct"/>
            <w:shd w:val="clear" w:color="auto" w:fill="CFF0FC"/>
            <w:noWrap/>
            <w:tcMar>
              <w:top w:w="15" w:type="dxa"/>
              <w:left w:w="0" w:type="dxa"/>
              <w:bottom w:w="0" w:type="dxa"/>
              <w:right w:w="15" w:type="dxa"/>
            </w:tcMar>
            <w:vAlign w:val="bottom"/>
            <w:hideMark/>
          </w:tcPr>
          <w:p w14:paraId="3E4BE1C3"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054D9D94" w14:textId="77777777" w:rsidR="00000000" w:rsidRDefault="00B8284C">
      <w:pPr>
        <w:pStyle w:val="a3"/>
        <w:spacing w:before="0" w:beforeAutospacing="0" w:after="0" w:afterAutospacing="0"/>
        <w:rPr>
          <w:sz w:val="20"/>
          <w:szCs w:val="20"/>
        </w:rPr>
      </w:pPr>
      <w:r>
        <w:rPr>
          <w:sz w:val="20"/>
          <w:szCs w:val="20"/>
        </w:rPr>
        <w:t> </w:t>
      </w:r>
    </w:p>
    <w:p w14:paraId="0DA2DF4F" w14:textId="77777777" w:rsidR="00000000" w:rsidRDefault="00B8284C">
      <w:pPr>
        <w:pStyle w:val="a3"/>
        <w:spacing w:before="40" w:beforeAutospacing="0" w:after="0" w:afterAutospacing="0"/>
        <w:ind w:firstLine="556"/>
        <w:rPr>
          <w:sz w:val="20"/>
          <w:szCs w:val="20"/>
        </w:rPr>
      </w:pPr>
      <w:r>
        <w:rPr>
          <w:sz w:val="20"/>
          <w:szCs w:val="20"/>
        </w:rPr>
        <w:t xml:space="preserve">Depreciation and amortization expense on property and equipment was $3.8 million for the three months ended September 30, 2019, $11.2 million for the nine months ended September 30, 2019, $3.2 million for the three months ended September 30, 2018 and $9.3 </w:t>
      </w:r>
      <w:r>
        <w:rPr>
          <w:sz w:val="20"/>
          <w:szCs w:val="20"/>
        </w:rPr>
        <w:t>million for the nine months ended September 30, 2018.  </w:t>
      </w:r>
    </w:p>
    <w:p w14:paraId="3C5D7F73" w14:textId="77777777" w:rsidR="00000000" w:rsidRDefault="00B8284C">
      <w:pPr>
        <w:pStyle w:val="a3"/>
        <w:spacing w:before="0" w:beforeAutospacing="0" w:after="0" w:afterAutospacing="0"/>
        <w:rPr>
          <w:sz w:val="18"/>
          <w:szCs w:val="18"/>
        </w:rPr>
      </w:pPr>
      <w:r>
        <w:rPr>
          <w:sz w:val="18"/>
          <w:szCs w:val="18"/>
        </w:rPr>
        <w:t> </w:t>
      </w:r>
    </w:p>
    <w:p w14:paraId="69EF36B4" w14:textId="77777777" w:rsidR="00000000" w:rsidRDefault="00B8284C">
      <w:pPr>
        <w:pStyle w:val="a3"/>
        <w:spacing w:before="0" w:beforeAutospacing="0" w:after="0" w:afterAutospacing="0"/>
        <w:rPr>
          <w:sz w:val="18"/>
          <w:szCs w:val="18"/>
        </w:rPr>
      </w:pPr>
      <w:r>
        <w:rPr>
          <w:sz w:val="18"/>
          <w:szCs w:val="18"/>
        </w:rPr>
        <w:t> </w:t>
      </w:r>
    </w:p>
    <w:p w14:paraId="19128A55" w14:textId="77777777" w:rsidR="00000000" w:rsidRDefault="00B8284C">
      <w:pPr>
        <w:pStyle w:val="a3"/>
        <w:spacing w:before="0" w:beforeAutospacing="0" w:after="0" w:afterAutospacing="0"/>
        <w:rPr>
          <w:b/>
          <w:bCs/>
          <w:sz w:val="20"/>
          <w:szCs w:val="20"/>
        </w:rPr>
      </w:pPr>
      <w:r>
        <w:rPr>
          <w:b/>
          <w:bCs/>
          <w:sz w:val="20"/>
          <w:szCs w:val="20"/>
        </w:rPr>
        <w:t>8. Capitalized Software Development Costs</w:t>
      </w:r>
    </w:p>
    <w:p w14:paraId="7751AAC7" w14:textId="77777777" w:rsidR="00000000" w:rsidRDefault="00B8284C">
      <w:pPr>
        <w:pStyle w:val="a3"/>
        <w:spacing w:before="120" w:beforeAutospacing="0" w:after="0" w:afterAutospacing="0"/>
        <w:ind w:firstLine="556"/>
        <w:rPr>
          <w:sz w:val="20"/>
          <w:szCs w:val="20"/>
        </w:rPr>
      </w:pPr>
      <w:r>
        <w:rPr>
          <w:sz w:val="20"/>
          <w:szCs w:val="20"/>
        </w:rPr>
        <w:t>Capitalized software development costs, exclusive of those recorded within property and equipment, consisted of the following:</w:t>
      </w:r>
    </w:p>
    <w:p w14:paraId="13119493"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376"/>
        <w:gridCol w:w="65"/>
        <w:gridCol w:w="116"/>
        <w:gridCol w:w="955"/>
        <w:gridCol w:w="82"/>
        <w:gridCol w:w="65"/>
        <w:gridCol w:w="115"/>
        <w:gridCol w:w="958"/>
        <w:gridCol w:w="82"/>
      </w:tblGrid>
      <w:tr w:rsidR="00000000" w14:paraId="64FB85C2" w14:textId="77777777">
        <w:trPr>
          <w:divId w:val="1522162863"/>
        </w:trPr>
        <w:tc>
          <w:tcPr>
            <w:tcW w:w="2931" w:type="pct"/>
            <w:shd w:val="clear" w:color="auto" w:fill="FFFFFF"/>
            <w:tcMar>
              <w:top w:w="15" w:type="dxa"/>
              <w:left w:w="0" w:type="dxa"/>
              <w:bottom w:w="0" w:type="dxa"/>
              <w:right w:w="15" w:type="dxa"/>
            </w:tcMar>
            <w:vAlign w:val="bottom"/>
            <w:hideMark/>
          </w:tcPr>
          <w:p w14:paraId="247D7DAE" w14:textId="77777777" w:rsidR="00000000" w:rsidRDefault="00B8284C">
            <w:pPr>
              <w:pStyle w:val="a3"/>
              <w:spacing w:before="0" w:beforeAutospacing="0" w:after="0" w:afterAutospacing="0"/>
              <w:rPr>
                <w:sz w:val="20"/>
                <w:szCs w:val="20"/>
              </w:rPr>
            </w:pPr>
            <w:r>
              <w:rPr>
                <w:sz w:val="20"/>
                <w:szCs w:val="20"/>
              </w:rPr>
              <w:t> </w:t>
            </w:r>
          </w:p>
        </w:tc>
        <w:tc>
          <w:tcPr>
            <w:tcW w:w="82" w:type="pct"/>
            <w:shd w:val="clear" w:color="auto" w:fill="FFFFFF"/>
            <w:tcMar>
              <w:top w:w="15" w:type="dxa"/>
              <w:left w:w="0" w:type="dxa"/>
              <w:bottom w:w="0" w:type="dxa"/>
              <w:right w:w="15" w:type="dxa"/>
            </w:tcMar>
            <w:vAlign w:val="bottom"/>
            <w:hideMark/>
          </w:tcPr>
          <w:p w14:paraId="7D4B517A"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901" w:type="pct"/>
            <w:gridSpan w:val="2"/>
            <w:tcBorders>
              <w:bottom w:val="single" w:sz="6" w:space="0" w:color="000000"/>
            </w:tcBorders>
            <w:shd w:val="clear" w:color="auto" w:fill="FFFFFF"/>
            <w:tcMar>
              <w:top w:w="15" w:type="dxa"/>
              <w:left w:w="0" w:type="dxa"/>
              <w:bottom w:w="0" w:type="dxa"/>
              <w:right w:w="15" w:type="dxa"/>
            </w:tcMar>
            <w:vAlign w:val="bottom"/>
            <w:hideMark/>
          </w:tcPr>
          <w:p w14:paraId="4D81AA4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14:paraId="026E7AD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14:paraId="636AD55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901" w:type="pct"/>
            <w:gridSpan w:val="2"/>
            <w:tcBorders>
              <w:bottom w:val="single" w:sz="6" w:space="0" w:color="000000"/>
            </w:tcBorders>
            <w:shd w:val="clear" w:color="auto" w:fill="FFFFFF"/>
            <w:tcMar>
              <w:top w:w="15" w:type="dxa"/>
              <w:left w:w="0" w:type="dxa"/>
              <w:bottom w:w="0" w:type="dxa"/>
              <w:right w:w="15" w:type="dxa"/>
            </w:tcMar>
            <w:vAlign w:val="bottom"/>
            <w:hideMark/>
          </w:tcPr>
          <w:p w14:paraId="1487E2B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3C10A0F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D5D05C6" w14:textId="77777777">
        <w:trPr>
          <w:divId w:val="1522162863"/>
        </w:trPr>
        <w:tc>
          <w:tcPr>
            <w:tcW w:w="2931" w:type="pct"/>
            <w:shd w:val="clear" w:color="auto" w:fill="FFFFFF"/>
            <w:tcMar>
              <w:top w:w="15" w:type="dxa"/>
              <w:left w:w="0" w:type="dxa"/>
              <w:bottom w:w="0" w:type="dxa"/>
              <w:right w:w="15" w:type="dxa"/>
            </w:tcMar>
            <w:vAlign w:val="bottom"/>
            <w:hideMark/>
          </w:tcPr>
          <w:p w14:paraId="20474A81"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2" w:type="pct"/>
            <w:shd w:val="clear" w:color="auto" w:fill="FFFFFF"/>
            <w:tcMar>
              <w:top w:w="15" w:type="dxa"/>
              <w:left w:w="0" w:type="dxa"/>
              <w:bottom w:w="0" w:type="dxa"/>
              <w:right w:w="15" w:type="dxa"/>
            </w:tcMar>
            <w:vAlign w:val="bottom"/>
            <w:hideMark/>
          </w:tcPr>
          <w:p w14:paraId="6A020756"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936" w:type="pct"/>
            <w:gridSpan w:val="6"/>
            <w:shd w:val="clear" w:color="auto" w:fill="FFFFFF"/>
            <w:tcMar>
              <w:top w:w="15" w:type="dxa"/>
              <w:left w:w="0" w:type="dxa"/>
              <w:bottom w:w="0" w:type="dxa"/>
              <w:right w:w="15" w:type="dxa"/>
            </w:tcMar>
            <w:vAlign w:val="bottom"/>
            <w:hideMark/>
          </w:tcPr>
          <w:p w14:paraId="6AE04B3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9B2D9D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D0BA59A" w14:textId="77777777">
        <w:trPr>
          <w:divId w:val="1522162863"/>
        </w:trPr>
        <w:tc>
          <w:tcPr>
            <w:tcW w:w="2931" w:type="pct"/>
            <w:shd w:val="clear" w:color="auto" w:fill="CFF0FC"/>
            <w:tcMar>
              <w:top w:w="15" w:type="dxa"/>
              <w:left w:w="0" w:type="dxa"/>
              <w:bottom w:w="0" w:type="dxa"/>
              <w:right w:w="15" w:type="dxa"/>
            </w:tcMar>
            <w:vAlign w:val="bottom"/>
            <w:hideMark/>
          </w:tcPr>
          <w:p w14:paraId="14B33488" w14:textId="77777777" w:rsidR="00000000" w:rsidRDefault="00B8284C">
            <w:pPr>
              <w:pStyle w:val="a3"/>
              <w:spacing w:before="0" w:beforeAutospacing="0" w:after="0" w:afterAutospacing="0"/>
              <w:rPr>
                <w:color w:val="000000"/>
                <w:sz w:val="20"/>
                <w:szCs w:val="20"/>
              </w:rPr>
            </w:pPr>
            <w:r>
              <w:rPr>
                <w:color w:val="000000"/>
                <w:sz w:val="20"/>
                <w:szCs w:val="20"/>
              </w:rPr>
              <w:t>Gross capitalized software development costs</w:t>
            </w:r>
          </w:p>
        </w:tc>
        <w:tc>
          <w:tcPr>
            <w:tcW w:w="82" w:type="pct"/>
            <w:shd w:val="clear" w:color="auto" w:fill="CFF0FC"/>
            <w:tcMar>
              <w:top w:w="15" w:type="dxa"/>
              <w:left w:w="0" w:type="dxa"/>
              <w:bottom w:w="0" w:type="dxa"/>
              <w:right w:w="15" w:type="dxa"/>
            </w:tcMar>
            <w:vAlign w:val="bottom"/>
            <w:hideMark/>
          </w:tcPr>
          <w:p w14:paraId="39F2F05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FB168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51" w:type="pct"/>
            <w:shd w:val="clear" w:color="auto" w:fill="CFF0FC"/>
            <w:noWrap/>
            <w:tcMar>
              <w:top w:w="15" w:type="dxa"/>
              <w:left w:w="0" w:type="dxa"/>
              <w:bottom w:w="0" w:type="dxa"/>
              <w:right w:w="15" w:type="dxa"/>
            </w:tcMar>
            <w:vAlign w:val="bottom"/>
            <w:hideMark/>
          </w:tcPr>
          <w:p w14:paraId="369BA8C9" w14:textId="77777777" w:rsidR="00000000" w:rsidRDefault="00B8284C">
            <w:pPr>
              <w:pStyle w:val="a3"/>
              <w:spacing w:before="0" w:beforeAutospacing="0" w:after="0" w:afterAutospacing="0"/>
              <w:jc w:val="right"/>
              <w:rPr>
                <w:color w:val="000000"/>
                <w:sz w:val="20"/>
                <w:szCs w:val="20"/>
              </w:rPr>
            </w:pPr>
            <w:r>
              <w:rPr>
                <w:color w:val="000000"/>
                <w:sz w:val="20"/>
                <w:szCs w:val="20"/>
              </w:rPr>
              <w:t>56,794</w:t>
            </w:r>
          </w:p>
        </w:tc>
        <w:tc>
          <w:tcPr>
            <w:tcW w:w="50" w:type="pct"/>
            <w:shd w:val="clear" w:color="auto" w:fill="CFF0FC"/>
            <w:noWrap/>
            <w:tcMar>
              <w:top w:w="15" w:type="dxa"/>
              <w:left w:w="0" w:type="dxa"/>
              <w:bottom w:w="0" w:type="dxa"/>
              <w:right w:w="15" w:type="dxa"/>
            </w:tcMar>
            <w:vAlign w:val="bottom"/>
            <w:hideMark/>
          </w:tcPr>
          <w:p w14:paraId="0CA6F0E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7B7485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248AE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51" w:type="pct"/>
            <w:shd w:val="clear" w:color="auto" w:fill="CFF0FC"/>
            <w:noWrap/>
            <w:tcMar>
              <w:top w:w="15" w:type="dxa"/>
              <w:left w:w="0" w:type="dxa"/>
              <w:bottom w:w="0" w:type="dxa"/>
              <w:right w:w="15" w:type="dxa"/>
            </w:tcMar>
            <w:vAlign w:val="bottom"/>
            <w:hideMark/>
          </w:tcPr>
          <w:p w14:paraId="54F164B5" w14:textId="77777777" w:rsidR="00000000" w:rsidRDefault="00B8284C">
            <w:pPr>
              <w:pStyle w:val="a3"/>
              <w:spacing w:before="0" w:beforeAutospacing="0" w:after="0" w:afterAutospacing="0"/>
              <w:jc w:val="right"/>
              <w:rPr>
                <w:color w:val="000000"/>
                <w:sz w:val="20"/>
                <w:szCs w:val="20"/>
              </w:rPr>
            </w:pPr>
            <w:r>
              <w:rPr>
                <w:color w:val="000000"/>
                <w:sz w:val="20"/>
                <w:szCs w:val="20"/>
              </w:rPr>
              <w:t>46,169</w:t>
            </w:r>
          </w:p>
        </w:tc>
        <w:tc>
          <w:tcPr>
            <w:tcW w:w="50" w:type="pct"/>
            <w:shd w:val="clear" w:color="auto" w:fill="CFF0FC"/>
            <w:noWrap/>
            <w:tcMar>
              <w:top w:w="15" w:type="dxa"/>
              <w:left w:w="0" w:type="dxa"/>
              <w:bottom w:w="0" w:type="dxa"/>
              <w:right w:w="15" w:type="dxa"/>
            </w:tcMar>
            <w:vAlign w:val="bottom"/>
            <w:hideMark/>
          </w:tcPr>
          <w:p w14:paraId="4BB154B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9C8F232" w14:textId="77777777">
        <w:trPr>
          <w:divId w:val="1522162863"/>
        </w:trPr>
        <w:tc>
          <w:tcPr>
            <w:tcW w:w="2931" w:type="pct"/>
            <w:shd w:val="clear" w:color="auto" w:fill="FFFFFF"/>
            <w:tcMar>
              <w:top w:w="15" w:type="dxa"/>
              <w:left w:w="0" w:type="dxa"/>
              <w:bottom w:w="0" w:type="dxa"/>
              <w:right w:w="15" w:type="dxa"/>
            </w:tcMar>
            <w:vAlign w:val="bottom"/>
            <w:hideMark/>
          </w:tcPr>
          <w:p w14:paraId="72DCFCD4" w14:textId="77777777" w:rsidR="00000000" w:rsidRDefault="00B8284C">
            <w:pPr>
              <w:pStyle w:val="a3"/>
              <w:spacing w:before="0" w:beforeAutospacing="0" w:after="0" w:afterAutospacing="0"/>
              <w:rPr>
                <w:color w:val="000000"/>
                <w:sz w:val="20"/>
                <w:szCs w:val="20"/>
              </w:rPr>
            </w:pPr>
            <w:r>
              <w:rPr>
                <w:color w:val="000000"/>
                <w:sz w:val="20"/>
                <w:szCs w:val="20"/>
              </w:rPr>
              <w:t>Accumulated amortization</w:t>
            </w:r>
          </w:p>
        </w:tc>
        <w:tc>
          <w:tcPr>
            <w:tcW w:w="82" w:type="pct"/>
            <w:shd w:val="clear" w:color="auto" w:fill="FFFFFF"/>
            <w:tcMar>
              <w:top w:w="15" w:type="dxa"/>
              <w:left w:w="0" w:type="dxa"/>
              <w:bottom w:w="0" w:type="dxa"/>
              <w:right w:w="15" w:type="dxa"/>
            </w:tcMar>
            <w:vAlign w:val="bottom"/>
            <w:hideMark/>
          </w:tcPr>
          <w:p w14:paraId="22DC42D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6FCBB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51" w:type="pct"/>
            <w:tcBorders>
              <w:bottom w:val="single" w:sz="6" w:space="0" w:color="000000"/>
            </w:tcBorders>
            <w:shd w:val="clear" w:color="auto" w:fill="FFFFFF"/>
            <w:noWrap/>
            <w:tcMar>
              <w:top w:w="15" w:type="dxa"/>
              <w:left w:w="0" w:type="dxa"/>
              <w:bottom w:w="0" w:type="dxa"/>
              <w:right w:w="15" w:type="dxa"/>
            </w:tcMar>
            <w:vAlign w:val="bottom"/>
            <w:hideMark/>
          </w:tcPr>
          <w:p w14:paraId="58C21EB4" w14:textId="77777777" w:rsidR="00000000" w:rsidRDefault="00B8284C">
            <w:pPr>
              <w:pStyle w:val="a3"/>
              <w:spacing w:before="0" w:beforeAutospacing="0" w:after="0" w:afterAutospacing="0"/>
              <w:jc w:val="right"/>
              <w:rPr>
                <w:color w:val="000000"/>
                <w:sz w:val="20"/>
                <w:szCs w:val="20"/>
              </w:rPr>
            </w:pPr>
            <w:r>
              <w:rPr>
                <w:color w:val="000000"/>
                <w:sz w:val="20"/>
                <w:szCs w:val="20"/>
              </w:rPr>
              <w:t>(41,699</w:t>
            </w:r>
          </w:p>
        </w:tc>
        <w:tc>
          <w:tcPr>
            <w:tcW w:w="50" w:type="pct"/>
            <w:shd w:val="clear" w:color="auto" w:fill="FFFFFF"/>
            <w:noWrap/>
            <w:tcMar>
              <w:top w:w="15" w:type="dxa"/>
              <w:left w:w="0" w:type="dxa"/>
              <w:bottom w:w="0" w:type="dxa"/>
              <w:right w:w="15" w:type="dxa"/>
            </w:tcMar>
            <w:vAlign w:val="bottom"/>
            <w:hideMark/>
          </w:tcPr>
          <w:p w14:paraId="2A20D4C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14:paraId="4890AE8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183C2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51" w:type="pct"/>
            <w:tcBorders>
              <w:bottom w:val="single" w:sz="6" w:space="0" w:color="000000"/>
            </w:tcBorders>
            <w:shd w:val="clear" w:color="auto" w:fill="FFFFFF"/>
            <w:noWrap/>
            <w:tcMar>
              <w:top w:w="15" w:type="dxa"/>
              <w:left w:w="0" w:type="dxa"/>
              <w:bottom w:w="0" w:type="dxa"/>
              <w:right w:w="15" w:type="dxa"/>
            </w:tcMar>
            <w:vAlign w:val="bottom"/>
            <w:hideMark/>
          </w:tcPr>
          <w:p w14:paraId="66DB3C5E" w14:textId="77777777" w:rsidR="00000000" w:rsidRDefault="00B8284C">
            <w:pPr>
              <w:pStyle w:val="a3"/>
              <w:spacing w:before="0" w:beforeAutospacing="0" w:after="0" w:afterAutospacing="0"/>
              <w:jc w:val="right"/>
              <w:rPr>
                <w:color w:val="000000"/>
                <w:sz w:val="20"/>
                <w:szCs w:val="20"/>
              </w:rPr>
            </w:pPr>
            <w:r>
              <w:rPr>
                <w:color w:val="000000"/>
                <w:sz w:val="20"/>
                <w:szCs w:val="20"/>
              </w:rPr>
              <w:t>(33,423</w:t>
            </w:r>
          </w:p>
        </w:tc>
        <w:tc>
          <w:tcPr>
            <w:tcW w:w="50" w:type="pct"/>
            <w:shd w:val="clear" w:color="auto" w:fill="FFFFFF"/>
            <w:noWrap/>
            <w:tcMar>
              <w:top w:w="15" w:type="dxa"/>
              <w:left w:w="0" w:type="dxa"/>
              <w:bottom w:w="0" w:type="dxa"/>
              <w:right w:w="15" w:type="dxa"/>
            </w:tcMar>
            <w:vAlign w:val="bottom"/>
            <w:hideMark/>
          </w:tcPr>
          <w:p w14:paraId="03A7DCA9"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2B32743F" w14:textId="77777777">
        <w:trPr>
          <w:divId w:val="1522162863"/>
        </w:trPr>
        <w:tc>
          <w:tcPr>
            <w:tcW w:w="2931" w:type="pct"/>
            <w:shd w:val="clear" w:color="auto" w:fill="CFF0FC"/>
            <w:tcMar>
              <w:top w:w="15" w:type="dxa"/>
              <w:left w:w="0" w:type="dxa"/>
              <w:bottom w:w="0" w:type="dxa"/>
              <w:right w:w="15" w:type="dxa"/>
            </w:tcMar>
            <w:vAlign w:val="bottom"/>
            <w:hideMark/>
          </w:tcPr>
          <w:p w14:paraId="0D0047DA" w14:textId="77777777" w:rsidR="00000000" w:rsidRDefault="00B8284C">
            <w:pPr>
              <w:pStyle w:val="a3"/>
              <w:spacing w:before="0" w:beforeAutospacing="0" w:after="0" w:afterAutospacing="0"/>
              <w:rPr>
                <w:color w:val="000000"/>
                <w:sz w:val="20"/>
                <w:szCs w:val="20"/>
              </w:rPr>
            </w:pPr>
            <w:r>
              <w:rPr>
                <w:color w:val="000000"/>
                <w:sz w:val="20"/>
                <w:szCs w:val="20"/>
              </w:rPr>
              <w:t>Capitalized software development costs, net</w:t>
            </w:r>
          </w:p>
        </w:tc>
        <w:tc>
          <w:tcPr>
            <w:tcW w:w="82" w:type="pct"/>
            <w:shd w:val="clear" w:color="auto" w:fill="CFF0FC"/>
            <w:tcMar>
              <w:top w:w="15" w:type="dxa"/>
              <w:left w:w="0" w:type="dxa"/>
              <w:bottom w:w="0" w:type="dxa"/>
              <w:right w:w="15" w:type="dxa"/>
            </w:tcMar>
            <w:vAlign w:val="bottom"/>
            <w:hideMark/>
          </w:tcPr>
          <w:p w14:paraId="5ED127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F6602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5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D2BD70" w14:textId="77777777" w:rsidR="00000000" w:rsidRDefault="00B8284C">
            <w:pPr>
              <w:pStyle w:val="a3"/>
              <w:spacing w:before="0" w:beforeAutospacing="0" w:after="0" w:afterAutospacing="0"/>
              <w:jc w:val="right"/>
              <w:rPr>
                <w:color w:val="000000"/>
                <w:sz w:val="20"/>
                <w:szCs w:val="20"/>
              </w:rPr>
            </w:pPr>
            <w:r>
              <w:rPr>
                <w:color w:val="000000"/>
                <w:sz w:val="20"/>
                <w:szCs w:val="20"/>
              </w:rPr>
              <w:t>15,095</w:t>
            </w:r>
          </w:p>
        </w:tc>
        <w:tc>
          <w:tcPr>
            <w:tcW w:w="50" w:type="pct"/>
            <w:shd w:val="clear" w:color="auto" w:fill="CFF0FC"/>
            <w:noWrap/>
            <w:tcMar>
              <w:top w:w="15" w:type="dxa"/>
              <w:left w:w="0" w:type="dxa"/>
              <w:bottom w:w="0" w:type="dxa"/>
              <w:right w:w="15" w:type="dxa"/>
            </w:tcMar>
            <w:vAlign w:val="bottom"/>
            <w:hideMark/>
          </w:tcPr>
          <w:p w14:paraId="35BA37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43E82EA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51D66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5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9A967E" w14:textId="77777777" w:rsidR="00000000" w:rsidRDefault="00B8284C">
            <w:pPr>
              <w:pStyle w:val="a3"/>
              <w:spacing w:before="0" w:beforeAutospacing="0" w:after="0" w:afterAutospacing="0"/>
              <w:jc w:val="right"/>
              <w:rPr>
                <w:color w:val="000000"/>
                <w:sz w:val="20"/>
                <w:szCs w:val="20"/>
              </w:rPr>
            </w:pPr>
            <w:r>
              <w:rPr>
                <w:color w:val="000000"/>
                <w:sz w:val="20"/>
                <w:szCs w:val="20"/>
              </w:rPr>
              <w:t>12,746</w:t>
            </w:r>
          </w:p>
        </w:tc>
        <w:tc>
          <w:tcPr>
            <w:tcW w:w="50" w:type="pct"/>
            <w:shd w:val="clear" w:color="auto" w:fill="CFF0FC"/>
            <w:noWrap/>
            <w:tcMar>
              <w:top w:w="15" w:type="dxa"/>
              <w:left w:w="0" w:type="dxa"/>
              <w:bottom w:w="0" w:type="dxa"/>
              <w:right w:w="15" w:type="dxa"/>
            </w:tcMar>
            <w:vAlign w:val="bottom"/>
            <w:hideMark/>
          </w:tcPr>
          <w:p w14:paraId="508C2348"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49A26EBA" w14:textId="77777777" w:rsidR="00000000" w:rsidRDefault="00B8284C">
      <w:pPr>
        <w:pStyle w:val="a3"/>
        <w:spacing w:before="0" w:beforeAutospacing="0" w:after="0" w:afterAutospacing="0"/>
        <w:rPr>
          <w:sz w:val="20"/>
          <w:szCs w:val="20"/>
        </w:rPr>
      </w:pPr>
      <w:r>
        <w:rPr>
          <w:sz w:val="20"/>
          <w:szCs w:val="20"/>
        </w:rPr>
        <w:t> </w:t>
      </w:r>
    </w:p>
    <w:p w14:paraId="777EA73D" w14:textId="77777777" w:rsidR="00000000" w:rsidRDefault="00B8284C">
      <w:pPr>
        <w:pStyle w:val="a3"/>
        <w:spacing w:before="40" w:beforeAutospacing="0" w:after="0" w:afterAutospacing="0"/>
        <w:ind w:firstLine="556"/>
        <w:rPr>
          <w:sz w:val="20"/>
          <w:szCs w:val="20"/>
        </w:rPr>
      </w:pPr>
      <w:r>
        <w:rPr>
          <w:sz w:val="20"/>
          <w:szCs w:val="20"/>
        </w:rPr>
        <w:t>Capitalized software development costs are amortized on a straight-line basis over their estimated useful life of two years.</w:t>
      </w:r>
    </w:p>
    <w:p w14:paraId="50E2CEEA" w14:textId="77777777" w:rsidR="00000000" w:rsidRDefault="00B8284C">
      <w:pPr>
        <w:pStyle w:val="a3"/>
        <w:spacing w:before="0" w:beforeAutospacing="0" w:after="0" w:afterAutospacing="0"/>
        <w:rPr>
          <w:sz w:val="20"/>
          <w:szCs w:val="20"/>
        </w:rPr>
      </w:pPr>
      <w:r>
        <w:rPr>
          <w:sz w:val="20"/>
          <w:szCs w:val="20"/>
        </w:rPr>
        <w:t> </w:t>
      </w:r>
    </w:p>
    <w:p w14:paraId="2828B54F" w14:textId="77777777" w:rsidR="00000000" w:rsidRDefault="00B8284C">
      <w:pPr>
        <w:pStyle w:val="a3"/>
        <w:spacing w:before="240" w:beforeAutospacing="0" w:after="0" w:afterAutospacing="0"/>
        <w:jc w:val="center"/>
        <w:rPr>
          <w:sz w:val="20"/>
          <w:szCs w:val="20"/>
        </w:rPr>
      </w:pPr>
      <w:r>
        <w:rPr>
          <w:sz w:val="20"/>
          <w:szCs w:val="20"/>
        </w:rPr>
        <w:t>15</w:t>
      </w:r>
    </w:p>
    <w:p w14:paraId="3CC06A6C" w14:textId="77777777" w:rsidR="00000000" w:rsidRDefault="00B8284C">
      <w:pPr>
        <w:rPr>
          <w:rFonts w:eastAsia="Times New Roman"/>
        </w:rPr>
      </w:pPr>
      <w:r>
        <w:rPr>
          <w:rFonts w:eastAsia="Times New Roman"/>
        </w:rPr>
        <w:pict w14:anchorId="78FEFC2B">
          <v:rect id="_x0000_i1039" style="width:0;height:1.5pt" o:hralign="center" o:hrstd="t" o:hr="t" fillcolor="#a0a0a0" stroked="f"/>
        </w:pict>
      </w:r>
    </w:p>
    <w:p w14:paraId="3CBF7917" w14:textId="77777777" w:rsidR="00000000" w:rsidRDefault="00B8284C">
      <w:pPr>
        <w:pStyle w:val="a3"/>
        <w:spacing w:before="0" w:beforeAutospacing="0" w:after="0" w:afterAutospacing="0"/>
        <w:rPr>
          <w:sz w:val="20"/>
          <w:szCs w:val="20"/>
        </w:rPr>
      </w:pPr>
      <w:r>
        <w:rPr>
          <w:sz w:val="20"/>
          <w:szCs w:val="20"/>
        </w:rPr>
        <w:t> </w:t>
      </w:r>
    </w:p>
    <w:p w14:paraId="1895489D" w14:textId="77777777" w:rsidR="00000000" w:rsidRDefault="00B8284C">
      <w:pPr>
        <w:pStyle w:val="a3"/>
        <w:spacing w:before="40" w:beforeAutospacing="0" w:after="0" w:afterAutospacing="0"/>
        <w:ind w:firstLine="556"/>
        <w:rPr>
          <w:sz w:val="20"/>
          <w:szCs w:val="20"/>
        </w:rPr>
      </w:pPr>
      <w:r>
        <w:rPr>
          <w:sz w:val="20"/>
          <w:szCs w:val="20"/>
        </w:rPr>
        <w:t>The following table summarizes software development costs capitalized, stock-based compe</w:t>
      </w:r>
      <w:r>
        <w:rPr>
          <w:sz w:val="20"/>
          <w:szCs w:val="20"/>
        </w:rPr>
        <w:t xml:space="preserve">nsation included in capitalized software development costs, and amortization of capitalized software development costs. </w:t>
      </w:r>
    </w:p>
    <w:p w14:paraId="320F8009"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1934"/>
        <w:gridCol w:w="65"/>
        <w:gridCol w:w="115"/>
        <w:gridCol w:w="725"/>
        <w:gridCol w:w="65"/>
        <w:gridCol w:w="65"/>
        <w:gridCol w:w="115"/>
        <w:gridCol w:w="725"/>
        <w:gridCol w:w="65"/>
        <w:gridCol w:w="65"/>
        <w:gridCol w:w="115"/>
        <w:gridCol w:w="725"/>
        <w:gridCol w:w="65"/>
        <w:gridCol w:w="65"/>
        <w:gridCol w:w="115"/>
        <w:gridCol w:w="725"/>
        <w:gridCol w:w="65"/>
      </w:tblGrid>
      <w:tr w:rsidR="00000000" w14:paraId="005AED29" w14:textId="77777777">
        <w:trPr>
          <w:divId w:val="1364205577"/>
        </w:trPr>
        <w:tc>
          <w:tcPr>
            <w:tcW w:w="1720" w:type="pct"/>
            <w:shd w:val="clear" w:color="auto" w:fill="FFFFFF"/>
            <w:tcMar>
              <w:top w:w="15" w:type="dxa"/>
              <w:left w:w="0" w:type="dxa"/>
              <w:bottom w:w="0" w:type="dxa"/>
              <w:right w:w="15" w:type="dxa"/>
            </w:tcMar>
            <w:vAlign w:val="bottom"/>
            <w:hideMark/>
          </w:tcPr>
          <w:p w14:paraId="17AF9A4F" w14:textId="77777777" w:rsidR="00000000" w:rsidRDefault="00B8284C">
            <w:pPr>
              <w:pStyle w:val="a3"/>
              <w:spacing w:before="0" w:beforeAutospacing="0" w:after="0" w:afterAutospacing="0"/>
              <w:rPr>
                <w:sz w:val="20"/>
                <w:szCs w:val="20"/>
              </w:rPr>
            </w:pPr>
            <w:r>
              <w:rPr>
                <w:sz w:val="20"/>
                <w:szCs w:val="20"/>
              </w:rPr>
              <w:t> </w:t>
            </w:r>
          </w:p>
        </w:tc>
        <w:tc>
          <w:tcPr>
            <w:tcW w:w="40" w:type="pct"/>
            <w:shd w:val="clear" w:color="auto" w:fill="FFFFFF"/>
            <w:tcMar>
              <w:top w:w="15" w:type="dxa"/>
              <w:left w:w="0" w:type="dxa"/>
              <w:bottom w:w="0" w:type="dxa"/>
              <w:right w:w="15" w:type="dxa"/>
            </w:tcMar>
            <w:vAlign w:val="bottom"/>
            <w:hideMark/>
          </w:tcPr>
          <w:p w14:paraId="46BF95A7"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550" w:type="pct"/>
            <w:gridSpan w:val="6"/>
            <w:tcBorders>
              <w:bottom w:val="single" w:sz="6" w:space="0" w:color="000000"/>
            </w:tcBorders>
            <w:shd w:val="clear" w:color="auto" w:fill="FFFFFF"/>
            <w:tcMar>
              <w:top w:w="15" w:type="dxa"/>
              <w:left w:w="0" w:type="dxa"/>
              <w:bottom w:w="0" w:type="dxa"/>
              <w:right w:w="15" w:type="dxa"/>
            </w:tcMar>
            <w:vAlign w:val="bottom"/>
            <w:hideMark/>
          </w:tcPr>
          <w:p w14:paraId="3EDCF00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14:paraId="3CF1E80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275F556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550" w:type="pct"/>
            <w:gridSpan w:val="6"/>
            <w:tcBorders>
              <w:bottom w:val="single" w:sz="6" w:space="0" w:color="000000"/>
            </w:tcBorders>
            <w:shd w:val="clear" w:color="auto" w:fill="FFFFFF"/>
            <w:tcMar>
              <w:top w:w="15" w:type="dxa"/>
              <w:left w:w="0" w:type="dxa"/>
              <w:bottom w:w="0" w:type="dxa"/>
              <w:right w:w="15" w:type="dxa"/>
            </w:tcMar>
            <w:vAlign w:val="bottom"/>
            <w:hideMark/>
          </w:tcPr>
          <w:p w14:paraId="0F5CD3E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14:paraId="7739D2D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35CF60A8" w14:textId="77777777">
        <w:trPr>
          <w:divId w:val="1364205577"/>
        </w:trPr>
        <w:tc>
          <w:tcPr>
            <w:tcW w:w="1720" w:type="pct"/>
            <w:shd w:val="clear" w:color="auto" w:fill="FFFFFF"/>
            <w:tcMar>
              <w:top w:w="15" w:type="dxa"/>
              <w:left w:w="0" w:type="dxa"/>
              <w:bottom w:w="0" w:type="dxa"/>
              <w:right w:w="15" w:type="dxa"/>
            </w:tcMar>
            <w:vAlign w:val="bottom"/>
            <w:hideMark/>
          </w:tcPr>
          <w:p w14:paraId="3B48EA07"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40" w:type="pct"/>
            <w:shd w:val="clear" w:color="auto" w:fill="FFFFFF"/>
            <w:tcMar>
              <w:top w:w="15" w:type="dxa"/>
              <w:left w:w="0" w:type="dxa"/>
              <w:bottom w:w="0" w:type="dxa"/>
              <w:right w:w="15" w:type="dxa"/>
            </w:tcMar>
            <w:vAlign w:val="bottom"/>
            <w:hideMark/>
          </w:tcPr>
          <w:p w14:paraId="7746E7DB"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30"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7639B89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hideMark/>
          </w:tcPr>
          <w:p w14:paraId="1F6A5DD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hideMark/>
          </w:tcPr>
          <w:p w14:paraId="4E9E6F0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30"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2F1701D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hideMark/>
          </w:tcPr>
          <w:p w14:paraId="20AD7C5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3A876E5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30"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78A0F8E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hideMark/>
          </w:tcPr>
          <w:p w14:paraId="527A05C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0" w:type="pct"/>
            <w:tcBorders>
              <w:top w:val="single" w:sz="6" w:space="0" w:color="000000"/>
            </w:tcBorders>
            <w:shd w:val="clear" w:color="auto" w:fill="FFFFFF"/>
            <w:tcMar>
              <w:top w:w="15" w:type="dxa"/>
              <w:left w:w="0" w:type="dxa"/>
              <w:bottom w:w="0" w:type="dxa"/>
              <w:right w:w="15" w:type="dxa"/>
            </w:tcMar>
            <w:vAlign w:val="bottom"/>
            <w:hideMark/>
          </w:tcPr>
          <w:p w14:paraId="2E3C2B9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61DFB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6D0DD8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4773BE4" w14:textId="77777777">
        <w:trPr>
          <w:divId w:val="1364205577"/>
        </w:trPr>
        <w:tc>
          <w:tcPr>
            <w:tcW w:w="1720" w:type="pct"/>
            <w:shd w:val="clear" w:color="auto" w:fill="FFFFFF"/>
            <w:tcMar>
              <w:top w:w="15" w:type="dxa"/>
              <w:left w:w="0" w:type="dxa"/>
              <w:bottom w:w="0" w:type="dxa"/>
              <w:right w:w="15" w:type="dxa"/>
            </w:tcMar>
            <w:vAlign w:val="bottom"/>
            <w:hideMark/>
          </w:tcPr>
          <w:p w14:paraId="6FBBD3FC"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40" w:type="pct"/>
            <w:shd w:val="clear" w:color="auto" w:fill="FFFFFF"/>
            <w:tcMar>
              <w:top w:w="15" w:type="dxa"/>
              <w:left w:w="0" w:type="dxa"/>
              <w:bottom w:w="0" w:type="dxa"/>
              <w:right w:w="15" w:type="dxa"/>
            </w:tcMar>
            <w:vAlign w:val="bottom"/>
            <w:hideMark/>
          </w:tcPr>
          <w:p w14:paraId="13C06B47"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550" w:type="pct"/>
            <w:gridSpan w:val="6"/>
            <w:shd w:val="clear" w:color="auto" w:fill="FFFFFF"/>
            <w:tcMar>
              <w:top w:w="15" w:type="dxa"/>
              <w:left w:w="0" w:type="dxa"/>
              <w:bottom w:w="0" w:type="dxa"/>
              <w:right w:w="15" w:type="dxa"/>
            </w:tcMar>
            <w:vAlign w:val="bottom"/>
            <w:hideMark/>
          </w:tcPr>
          <w:p w14:paraId="57E038A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FEAC29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0" w:type="pct"/>
            <w:shd w:val="clear" w:color="auto" w:fill="FFFFFF"/>
            <w:tcMar>
              <w:top w:w="15" w:type="dxa"/>
              <w:left w:w="0" w:type="dxa"/>
              <w:bottom w:w="0" w:type="dxa"/>
              <w:right w:w="15" w:type="dxa"/>
            </w:tcMar>
            <w:vAlign w:val="bottom"/>
            <w:hideMark/>
          </w:tcPr>
          <w:p w14:paraId="7C38568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550" w:type="pct"/>
            <w:gridSpan w:val="6"/>
            <w:shd w:val="clear" w:color="auto" w:fill="FFFFFF"/>
            <w:tcMar>
              <w:top w:w="15" w:type="dxa"/>
              <w:left w:w="0" w:type="dxa"/>
              <w:bottom w:w="0" w:type="dxa"/>
              <w:right w:w="15" w:type="dxa"/>
            </w:tcMar>
            <w:vAlign w:val="bottom"/>
            <w:hideMark/>
          </w:tcPr>
          <w:p w14:paraId="185D397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B714BD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205364C" w14:textId="77777777">
        <w:trPr>
          <w:divId w:val="1364205577"/>
        </w:trPr>
        <w:tc>
          <w:tcPr>
            <w:tcW w:w="1720" w:type="pct"/>
            <w:shd w:val="clear" w:color="auto" w:fill="CFF0FC"/>
            <w:tcMar>
              <w:top w:w="15" w:type="dxa"/>
              <w:left w:w="0" w:type="dxa"/>
              <w:bottom w:w="0" w:type="dxa"/>
              <w:right w:w="15" w:type="dxa"/>
            </w:tcMar>
            <w:vAlign w:val="bottom"/>
            <w:hideMark/>
          </w:tcPr>
          <w:p w14:paraId="7D4169EC" w14:textId="77777777" w:rsidR="00000000" w:rsidRDefault="00B8284C">
            <w:pPr>
              <w:pStyle w:val="a3"/>
              <w:spacing w:before="0" w:beforeAutospacing="0" w:after="0" w:afterAutospacing="0"/>
              <w:rPr>
                <w:color w:val="000000"/>
                <w:sz w:val="20"/>
                <w:szCs w:val="20"/>
              </w:rPr>
            </w:pPr>
            <w:r>
              <w:rPr>
                <w:color w:val="000000"/>
                <w:sz w:val="20"/>
                <w:szCs w:val="20"/>
              </w:rPr>
              <w:t>Software development cost capitalized</w:t>
            </w:r>
          </w:p>
        </w:tc>
        <w:tc>
          <w:tcPr>
            <w:tcW w:w="40" w:type="pct"/>
            <w:shd w:val="clear" w:color="auto" w:fill="CFF0FC"/>
            <w:tcMar>
              <w:top w:w="15" w:type="dxa"/>
              <w:left w:w="0" w:type="dxa"/>
              <w:bottom w:w="0" w:type="dxa"/>
              <w:right w:w="15" w:type="dxa"/>
            </w:tcMar>
            <w:vAlign w:val="bottom"/>
            <w:hideMark/>
          </w:tcPr>
          <w:p w14:paraId="5189899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470D75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18025B95" w14:textId="77777777" w:rsidR="00000000" w:rsidRDefault="00B8284C">
            <w:pPr>
              <w:pStyle w:val="a3"/>
              <w:spacing w:before="0" w:beforeAutospacing="0" w:after="0" w:afterAutospacing="0"/>
              <w:jc w:val="right"/>
              <w:rPr>
                <w:color w:val="000000"/>
                <w:sz w:val="20"/>
                <w:szCs w:val="20"/>
              </w:rPr>
            </w:pPr>
            <w:r>
              <w:rPr>
                <w:color w:val="000000"/>
                <w:sz w:val="20"/>
                <w:szCs w:val="20"/>
              </w:rPr>
              <w:t>4,388</w:t>
            </w:r>
          </w:p>
        </w:tc>
        <w:tc>
          <w:tcPr>
            <w:tcW w:w="50" w:type="pct"/>
            <w:shd w:val="clear" w:color="auto" w:fill="CFF0FC"/>
            <w:noWrap/>
            <w:tcMar>
              <w:top w:w="15" w:type="dxa"/>
              <w:left w:w="0" w:type="dxa"/>
              <w:bottom w:w="0" w:type="dxa"/>
              <w:right w:w="15" w:type="dxa"/>
            </w:tcMar>
            <w:vAlign w:val="bottom"/>
            <w:hideMark/>
          </w:tcPr>
          <w:p w14:paraId="2D802C5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2931A4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7FAFD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6D8A9F6D" w14:textId="77777777" w:rsidR="00000000" w:rsidRDefault="00B8284C">
            <w:pPr>
              <w:pStyle w:val="a3"/>
              <w:spacing w:before="0" w:beforeAutospacing="0" w:after="0" w:afterAutospacing="0"/>
              <w:jc w:val="right"/>
              <w:rPr>
                <w:color w:val="000000"/>
                <w:sz w:val="20"/>
                <w:szCs w:val="20"/>
              </w:rPr>
            </w:pPr>
            <w:r>
              <w:rPr>
                <w:color w:val="000000"/>
                <w:sz w:val="20"/>
                <w:szCs w:val="20"/>
              </w:rPr>
              <w:t>3,439</w:t>
            </w:r>
          </w:p>
        </w:tc>
        <w:tc>
          <w:tcPr>
            <w:tcW w:w="50" w:type="pct"/>
            <w:shd w:val="clear" w:color="auto" w:fill="CFF0FC"/>
            <w:noWrap/>
            <w:tcMar>
              <w:top w:w="15" w:type="dxa"/>
              <w:left w:w="0" w:type="dxa"/>
              <w:bottom w:w="0" w:type="dxa"/>
              <w:right w:w="15" w:type="dxa"/>
            </w:tcMar>
            <w:vAlign w:val="bottom"/>
            <w:hideMark/>
          </w:tcPr>
          <w:p w14:paraId="7A13196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49C2412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4B8DE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398FAAFD" w14:textId="77777777" w:rsidR="00000000" w:rsidRDefault="00B8284C">
            <w:pPr>
              <w:pStyle w:val="a3"/>
              <w:spacing w:before="0" w:beforeAutospacing="0" w:after="0" w:afterAutospacing="0"/>
              <w:jc w:val="right"/>
              <w:rPr>
                <w:color w:val="000000"/>
                <w:sz w:val="20"/>
                <w:szCs w:val="20"/>
              </w:rPr>
            </w:pPr>
            <w:r>
              <w:rPr>
                <w:color w:val="000000"/>
                <w:sz w:val="20"/>
                <w:szCs w:val="20"/>
              </w:rPr>
              <w:t>10,625</w:t>
            </w:r>
          </w:p>
        </w:tc>
        <w:tc>
          <w:tcPr>
            <w:tcW w:w="50" w:type="pct"/>
            <w:shd w:val="clear" w:color="auto" w:fill="CFF0FC"/>
            <w:noWrap/>
            <w:tcMar>
              <w:top w:w="15" w:type="dxa"/>
              <w:left w:w="0" w:type="dxa"/>
              <w:bottom w:w="0" w:type="dxa"/>
              <w:right w:w="15" w:type="dxa"/>
            </w:tcMar>
            <w:vAlign w:val="bottom"/>
            <w:hideMark/>
          </w:tcPr>
          <w:p w14:paraId="579F7E1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1CB5B59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051FC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19A0E3AC" w14:textId="77777777" w:rsidR="00000000" w:rsidRDefault="00B8284C">
            <w:pPr>
              <w:pStyle w:val="a3"/>
              <w:spacing w:before="0" w:beforeAutospacing="0" w:after="0" w:afterAutospacing="0"/>
              <w:jc w:val="right"/>
              <w:rPr>
                <w:color w:val="000000"/>
                <w:sz w:val="20"/>
                <w:szCs w:val="20"/>
              </w:rPr>
            </w:pPr>
            <w:r>
              <w:rPr>
                <w:color w:val="000000"/>
                <w:sz w:val="20"/>
                <w:szCs w:val="20"/>
              </w:rPr>
              <w:t>9,960</w:t>
            </w:r>
          </w:p>
        </w:tc>
        <w:tc>
          <w:tcPr>
            <w:tcW w:w="50" w:type="pct"/>
            <w:shd w:val="clear" w:color="auto" w:fill="CFF0FC"/>
            <w:noWrap/>
            <w:tcMar>
              <w:top w:w="15" w:type="dxa"/>
              <w:left w:w="0" w:type="dxa"/>
              <w:bottom w:w="0" w:type="dxa"/>
              <w:right w:w="15" w:type="dxa"/>
            </w:tcMar>
            <w:vAlign w:val="bottom"/>
            <w:hideMark/>
          </w:tcPr>
          <w:p w14:paraId="4C4AF0D0"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08C3C27" w14:textId="77777777">
        <w:trPr>
          <w:divId w:val="1364205577"/>
        </w:trPr>
        <w:tc>
          <w:tcPr>
            <w:tcW w:w="1720" w:type="pct"/>
            <w:shd w:val="clear" w:color="auto" w:fill="FFFFFF"/>
            <w:tcMar>
              <w:top w:w="15" w:type="dxa"/>
              <w:left w:w="0" w:type="dxa"/>
              <w:bottom w:w="0" w:type="dxa"/>
              <w:right w:w="15" w:type="dxa"/>
            </w:tcMar>
            <w:vAlign w:val="bottom"/>
            <w:hideMark/>
          </w:tcPr>
          <w:p w14:paraId="4D01008A" w14:textId="77777777" w:rsidR="00000000" w:rsidRDefault="00B8284C">
            <w:pPr>
              <w:pStyle w:val="a3"/>
              <w:spacing w:before="0" w:beforeAutospacing="0" w:after="0" w:afterAutospacing="0"/>
              <w:rPr>
                <w:color w:val="000000"/>
                <w:sz w:val="20"/>
                <w:szCs w:val="20"/>
              </w:rPr>
            </w:pPr>
            <w:r>
              <w:rPr>
                <w:color w:val="000000"/>
                <w:sz w:val="20"/>
                <w:szCs w:val="20"/>
              </w:rPr>
              <w:t>Stock-based compensation included in capitalized software development costs</w:t>
            </w:r>
          </w:p>
        </w:tc>
        <w:tc>
          <w:tcPr>
            <w:tcW w:w="40" w:type="pct"/>
            <w:shd w:val="clear" w:color="auto" w:fill="FFFFFF"/>
            <w:tcMar>
              <w:top w:w="15" w:type="dxa"/>
              <w:left w:w="0" w:type="dxa"/>
              <w:bottom w:w="0" w:type="dxa"/>
              <w:right w:w="15" w:type="dxa"/>
            </w:tcMar>
            <w:vAlign w:val="bottom"/>
            <w:hideMark/>
          </w:tcPr>
          <w:p w14:paraId="3A7E7C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7E40C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FFFFFF"/>
            <w:noWrap/>
            <w:tcMar>
              <w:top w:w="15" w:type="dxa"/>
              <w:left w:w="0" w:type="dxa"/>
              <w:bottom w:w="0" w:type="dxa"/>
              <w:right w:w="15" w:type="dxa"/>
            </w:tcMar>
            <w:vAlign w:val="bottom"/>
            <w:hideMark/>
          </w:tcPr>
          <w:p w14:paraId="03884500" w14:textId="77777777" w:rsidR="00000000" w:rsidRDefault="00B8284C">
            <w:pPr>
              <w:pStyle w:val="a3"/>
              <w:spacing w:before="0" w:beforeAutospacing="0" w:after="0" w:afterAutospacing="0"/>
              <w:jc w:val="right"/>
              <w:rPr>
                <w:color w:val="000000"/>
                <w:sz w:val="20"/>
                <w:szCs w:val="20"/>
              </w:rPr>
            </w:pPr>
            <w:r>
              <w:rPr>
                <w:color w:val="000000"/>
                <w:sz w:val="20"/>
                <w:szCs w:val="20"/>
              </w:rPr>
              <w:t>640</w:t>
            </w:r>
          </w:p>
        </w:tc>
        <w:tc>
          <w:tcPr>
            <w:tcW w:w="50" w:type="pct"/>
            <w:shd w:val="clear" w:color="auto" w:fill="FFFFFF"/>
            <w:noWrap/>
            <w:tcMar>
              <w:top w:w="15" w:type="dxa"/>
              <w:left w:w="0" w:type="dxa"/>
              <w:bottom w:w="0" w:type="dxa"/>
              <w:right w:w="15" w:type="dxa"/>
            </w:tcMar>
            <w:vAlign w:val="bottom"/>
            <w:hideMark/>
          </w:tcPr>
          <w:p w14:paraId="1DCBCC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2E769FE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E0F8B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FFFFFF"/>
            <w:noWrap/>
            <w:tcMar>
              <w:top w:w="15" w:type="dxa"/>
              <w:left w:w="0" w:type="dxa"/>
              <w:bottom w:w="0" w:type="dxa"/>
              <w:right w:w="15" w:type="dxa"/>
            </w:tcMar>
            <w:vAlign w:val="bottom"/>
            <w:hideMark/>
          </w:tcPr>
          <w:p w14:paraId="2CB38816" w14:textId="77777777" w:rsidR="00000000" w:rsidRDefault="00B8284C">
            <w:pPr>
              <w:pStyle w:val="a3"/>
              <w:spacing w:before="0" w:beforeAutospacing="0" w:after="0" w:afterAutospacing="0"/>
              <w:jc w:val="right"/>
              <w:rPr>
                <w:color w:val="000000"/>
                <w:sz w:val="20"/>
                <w:szCs w:val="20"/>
              </w:rPr>
            </w:pPr>
            <w:r>
              <w:rPr>
                <w:color w:val="000000"/>
                <w:sz w:val="20"/>
                <w:szCs w:val="20"/>
              </w:rPr>
              <w:t>563</w:t>
            </w:r>
          </w:p>
        </w:tc>
        <w:tc>
          <w:tcPr>
            <w:tcW w:w="50" w:type="pct"/>
            <w:shd w:val="clear" w:color="auto" w:fill="FFFFFF"/>
            <w:noWrap/>
            <w:tcMar>
              <w:top w:w="15" w:type="dxa"/>
              <w:left w:w="0" w:type="dxa"/>
              <w:bottom w:w="0" w:type="dxa"/>
              <w:right w:w="15" w:type="dxa"/>
            </w:tcMar>
            <w:vAlign w:val="bottom"/>
            <w:hideMark/>
          </w:tcPr>
          <w:p w14:paraId="7E787F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6FC0EEC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94291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FFFFFF"/>
            <w:noWrap/>
            <w:tcMar>
              <w:top w:w="15" w:type="dxa"/>
              <w:left w:w="0" w:type="dxa"/>
              <w:bottom w:w="0" w:type="dxa"/>
              <w:right w:w="15" w:type="dxa"/>
            </w:tcMar>
            <w:vAlign w:val="bottom"/>
            <w:hideMark/>
          </w:tcPr>
          <w:p w14:paraId="69F871FA" w14:textId="77777777" w:rsidR="00000000" w:rsidRDefault="00B8284C">
            <w:pPr>
              <w:pStyle w:val="a3"/>
              <w:spacing w:before="0" w:beforeAutospacing="0" w:after="0" w:afterAutospacing="0"/>
              <w:jc w:val="right"/>
              <w:rPr>
                <w:color w:val="000000"/>
                <w:sz w:val="20"/>
                <w:szCs w:val="20"/>
              </w:rPr>
            </w:pPr>
            <w:r>
              <w:rPr>
                <w:color w:val="000000"/>
                <w:sz w:val="20"/>
                <w:szCs w:val="20"/>
              </w:rPr>
              <w:t>1,755</w:t>
            </w:r>
          </w:p>
        </w:tc>
        <w:tc>
          <w:tcPr>
            <w:tcW w:w="50" w:type="pct"/>
            <w:shd w:val="clear" w:color="auto" w:fill="FFFFFF"/>
            <w:noWrap/>
            <w:tcMar>
              <w:top w:w="15" w:type="dxa"/>
              <w:left w:w="0" w:type="dxa"/>
              <w:bottom w:w="0" w:type="dxa"/>
              <w:right w:w="15" w:type="dxa"/>
            </w:tcMar>
            <w:vAlign w:val="bottom"/>
            <w:hideMark/>
          </w:tcPr>
          <w:p w14:paraId="7B3966D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0" w:type="pct"/>
            <w:shd w:val="clear" w:color="auto" w:fill="FFFFFF"/>
            <w:tcMar>
              <w:top w:w="15" w:type="dxa"/>
              <w:left w:w="0" w:type="dxa"/>
              <w:bottom w:w="0" w:type="dxa"/>
              <w:right w:w="15" w:type="dxa"/>
            </w:tcMar>
            <w:vAlign w:val="bottom"/>
            <w:hideMark/>
          </w:tcPr>
          <w:p w14:paraId="642C7E2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F0BC3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FFFFFF"/>
            <w:noWrap/>
            <w:tcMar>
              <w:top w:w="15" w:type="dxa"/>
              <w:left w:w="0" w:type="dxa"/>
              <w:bottom w:w="0" w:type="dxa"/>
              <w:right w:w="15" w:type="dxa"/>
            </w:tcMar>
            <w:vAlign w:val="bottom"/>
            <w:hideMark/>
          </w:tcPr>
          <w:p w14:paraId="437080B6" w14:textId="77777777" w:rsidR="00000000" w:rsidRDefault="00B8284C">
            <w:pPr>
              <w:pStyle w:val="a3"/>
              <w:spacing w:before="0" w:beforeAutospacing="0" w:after="0" w:afterAutospacing="0"/>
              <w:jc w:val="right"/>
              <w:rPr>
                <w:color w:val="000000"/>
                <w:sz w:val="20"/>
                <w:szCs w:val="20"/>
              </w:rPr>
            </w:pPr>
            <w:r>
              <w:rPr>
                <w:color w:val="000000"/>
                <w:sz w:val="20"/>
                <w:szCs w:val="20"/>
              </w:rPr>
              <w:t>1,910</w:t>
            </w:r>
          </w:p>
        </w:tc>
        <w:tc>
          <w:tcPr>
            <w:tcW w:w="50" w:type="pct"/>
            <w:shd w:val="clear" w:color="auto" w:fill="FFFFFF"/>
            <w:noWrap/>
            <w:tcMar>
              <w:top w:w="15" w:type="dxa"/>
              <w:left w:w="0" w:type="dxa"/>
              <w:bottom w:w="0" w:type="dxa"/>
              <w:right w:w="15" w:type="dxa"/>
            </w:tcMar>
            <w:vAlign w:val="bottom"/>
            <w:hideMark/>
          </w:tcPr>
          <w:p w14:paraId="4E06A8F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68C3C88" w14:textId="77777777">
        <w:trPr>
          <w:divId w:val="1364205577"/>
        </w:trPr>
        <w:tc>
          <w:tcPr>
            <w:tcW w:w="1720" w:type="pct"/>
            <w:shd w:val="clear" w:color="auto" w:fill="CFF0FC"/>
            <w:tcMar>
              <w:top w:w="15" w:type="dxa"/>
              <w:left w:w="0" w:type="dxa"/>
              <w:bottom w:w="0" w:type="dxa"/>
              <w:right w:w="15" w:type="dxa"/>
            </w:tcMar>
            <w:vAlign w:val="bottom"/>
            <w:hideMark/>
          </w:tcPr>
          <w:p w14:paraId="4EECA81E" w14:textId="77777777" w:rsidR="00000000" w:rsidRDefault="00B8284C">
            <w:pPr>
              <w:pStyle w:val="a3"/>
              <w:spacing w:before="0" w:beforeAutospacing="0" w:after="0" w:afterAutospacing="0"/>
              <w:rPr>
                <w:color w:val="000000"/>
                <w:sz w:val="20"/>
                <w:szCs w:val="20"/>
              </w:rPr>
            </w:pPr>
            <w:r>
              <w:rPr>
                <w:color w:val="000000"/>
                <w:sz w:val="20"/>
                <w:szCs w:val="20"/>
              </w:rPr>
              <w:t>Amortization of capitalized software development costs</w:t>
            </w:r>
          </w:p>
        </w:tc>
        <w:tc>
          <w:tcPr>
            <w:tcW w:w="40" w:type="pct"/>
            <w:shd w:val="clear" w:color="auto" w:fill="CFF0FC"/>
            <w:tcMar>
              <w:top w:w="15" w:type="dxa"/>
              <w:left w:w="0" w:type="dxa"/>
              <w:bottom w:w="0" w:type="dxa"/>
              <w:right w:w="15" w:type="dxa"/>
            </w:tcMar>
            <w:vAlign w:val="bottom"/>
            <w:hideMark/>
          </w:tcPr>
          <w:p w14:paraId="67FA5B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A04CD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42B1BD7C" w14:textId="77777777" w:rsidR="00000000" w:rsidRDefault="00B8284C">
            <w:pPr>
              <w:pStyle w:val="a3"/>
              <w:spacing w:before="0" w:beforeAutospacing="0" w:after="0" w:afterAutospacing="0"/>
              <w:jc w:val="right"/>
              <w:rPr>
                <w:color w:val="000000"/>
                <w:sz w:val="20"/>
                <w:szCs w:val="20"/>
              </w:rPr>
            </w:pPr>
            <w:r>
              <w:rPr>
                <w:color w:val="000000"/>
                <w:sz w:val="20"/>
                <w:szCs w:val="20"/>
              </w:rPr>
              <w:t>2,661</w:t>
            </w:r>
          </w:p>
        </w:tc>
        <w:tc>
          <w:tcPr>
            <w:tcW w:w="50" w:type="pct"/>
            <w:shd w:val="clear" w:color="auto" w:fill="CFF0FC"/>
            <w:noWrap/>
            <w:tcMar>
              <w:top w:w="15" w:type="dxa"/>
              <w:left w:w="0" w:type="dxa"/>
              <w:bottom w:w="0" w:type="dxa"/>
              <w:right w:w="15" w:type="dxa"/>
            </w:tcMar>
            <w:vAlign w:val="bottom"/>
            <w:hideMark/>
          </w:tcPr>
          <w:p w14:paraId="37BF19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3951CD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4B102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64B78082" w14:textId="77777777" w:rsidR="00000000" w:rsidRDefault="00B8284C">
            <w:pPr>
              <w:pStyle w:val="a3"/>
              <w:spacing w:before="0" w:beforeAutospacing="0" w:after="0" w:afterAutospacing="0"/>
              <w:jc w:val="right"/>
              <w:rPr>
                <w:color w:val="000000"/>
                <w:sz w:val="20"/>
                <w:szCs w:val="20"/>
              </w:rPr>
            </w:pPr>
            <w:r>
              <w:rPr>
                <w:color w:val="000000"/>
                <w:sz w:val="20"/>
                <w:szCs w:val="20"/>
              </w:rPr>
              <w:t>2,293</w:t>
            </w:r>
          </w:p>
        </w:tc>
        <w:tc>
          <w:tcPr>
            <w:tcW w:w="50" w:type="pct"/>
            <w:shd w:val="clear" w:color="auto" w:fill="CFF0FC"/>
            <w:noWrap/>
            <w:tcMar>
              <w:top w:w="15" w:type="dxa"/>
              <w:left w:w="0" w:type="dxa"/>
              <w:bottom w:w="0" w:type="dxa"/>
              <w:right w:w="15" w:type="dxa"/>
            </w:tcMar>
            <w:vAlign w:val="bottom"/>
            <w:hideMark/>
          </w:tcPr>
          <w:p w14:paraId="6EC9DAF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50E2D4A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0411A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1C264CD3" w14:textId="77777777" w:rsidR="00000000" w:rsidRDefault="00B8284C">
            <w:pPr>
              <w:pStyle w:val="a3"/>
              <w:spacing w:before="0" w:beforeAutospacing="0" w:after="0" w:afterAutospacing="0"/>
              <w:jc w:val="right"/>
              <w:rPr>
                <w:color w:val="000000"/>
                <w:sz w:val="20"/>
                <w:szCs w:val="20"/>
              </w:rPr>
            </w:pPr>
            <w:r>
              <w:rPr>
                <w:color w:val="000000"/>
                <w:sz w:val="20"/>
                <w:szCs w:val="20"/>
              </w:rPr>
              <w:t>7,727</w:t>
            </w:r>
          </w:p>
        </w:tc>
        <w:tc>
          <w:tcPr>
            <w:tcW w:w="50" w:type="pct"/>
            <w:shd w:val="clear" w:color="auto" w:fill="CFF0FC"/>
            <w:noWrap/>
            <w:tcMar>
              <w:top w:w="15" w:type="dxa"/>
              <w:left w:w="0" w:type="dxa"/>
              <w:bottom w:w="0" w:type="dxa"/>
              <w:right w:w="15" w:type="dxa"/>
            </w:tcMar>
            <w:vAlign w:val="bottom"/>
            <w:hideMark/>
          </w:tcPr>
          <w:p w14:paraId="045DF89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0" w:type="pct"/>
            <w:shd w:val="clear" w:color="auto" w:fill="CFF0FC"/>
            <w:tcMar>
              <w:top w:w="15" w:type="dxa"/>
              <w:left w:w="0" w:type="dxa"/>
              <w:bottom w:w="0" w:type="dxa"/>
              <w:right w:w="15" w:type="dxa"/>
            </w:tcMar>
            <w:vAlign w:val="bottom"/>
            <w:hideMark/>
          </w:tcPr>
          <w:p w14:paraId="2417A78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83CA7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6CFB86A1" w14:textId="77777777" w:rsidR="00000000" w:rsidRDefault="00B8284C">
            <w:pPr>
              <w:pStyle w:val="a3"/>
              <w:spacing w:before="0" w:beforeAutospacing="0" w:after="0" w:afterAutospacing="0"/>
              <w:jc w:val="right"/>
              <w:rPr>
                <w:color w:val="000000"/>
                <w:sz w:val="20"/>
                <w:szCs w:val="20"/>
              </w:rPr>
            </w:pPr>
            <w:r>
              <w:rPr>
                <w:color w:val="000000"/>
                <w:sz w:val="20"/>
                <w:szCs w:val="20"/>
              </w:rPr>
              <w:t>6,620</w:t>
            </w:r>
          </w:p>
        </w:tc>
        <w:tc>
          <w:tcPr>
            <w:tcW w:w="50" w:type="pct"/>
            <w:shd w:val="clear" w:color="auto" w:fill="CFF0FC"/>
            <w:noWrap/>
            <w:tcMar>
              <w:top w:w="15" w:type="dxa"/>
              <w:left w:w="0" w:type="dxa"/>
              <w:bottom w:w="0" w:type="dxa"/>
              <w:right w:w="15" w:type="dxa"/>
            </w:tcMar>
            <w:vAlign w:val="bottom"/>
            <w:hideMark/>
          </w:tcPr>
          <w:p w14:paraId="0868C64D"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3CFB0EF7" w14:textId="77777777" w:rsidR="00000000" w:rsidRDefault="00B8284C">
      <w:pPr>
        <w:pStyle w:val="a3"/>
        <w:spacing w:before="0" w:beforeAutospacing="0" w:after="0" w:afterAutospacing="0"/>
        <w:rPr>
          <w:sz w:val="18"/>
          <w:szCs w:val="18"/>
        </w:rPr>
      </w:pPr>
      <w:r>
        <w:rPr>
          <w:sz w:val="18"/>
          <w:szCs w:val="18"/>
        </w:rPr>
        <w:t> </w:t>
      </w:r>
    </w:p>
    <w:p w14:paraId="0679E03E" w14:textId="77777777" w:rsidR="00000000" w:rsidRDefault="00B8284C">
      <w:pPr>
        <w:pStyle w:val="a3"/>
        <w:spacing w:before="0" w:beforeAutospacing="0" w:after="0" w:afterAutospacing="0"/>
        <w:rPr>
          <w:sz w:val="18"/>
          <w:szCs w:val="18"/>
        </w:rPr>
      </w:pPr>
      <w:r>
        <w:rPr>
          <w:sz w:val="18"/>
          <w:szCs w:val="18"/>
        </w:rPr>
        <w:t> </w:t>
      </w:r>
    </w:p>
    <w:p w14:paraId="0C9C5B15" w14:textId="77777777" w:rsidR="00000000" w:rsidRDefault="00B8284C">
      <w:pPr>
        <w:pStyle w:val="a3"/>
        <w:spacing w:before="0" w:beforeAutospacing="0" w:after="0" w:afterAutospacing="0"/>
        <w:rPr>
          <w:b/>
          <w:bCs/>
          <w:sz w:val="20"/>
          <w:szCs w:val="20"/>
        </w:rPr>
      </w:pPr>
      <w:r>
        <w:rPr>
          <w:b/>
          <w:bCs/>
          <w:sz w:val="20"/>
          <w:szCs w:val="20"/>
        </w:rPr>
        <w:t>9. 0.25% Convertible Senior Notes, Convertible Note Hedge and Warrant</w:t>
      </w:r>
    </w:p>
    <w:p w14:paraId="655EDCB7" w14:textId="77777777" w:rsidR="00000000" w:rsidRDefault="00B8284C">
      <w:pPr>
        <w:pStyle w:val="a3"/>
        <w:spacing w:before="0" w:beforeAutospacing="0" w:after="0" w:afterAutospacing="0"/>
        <w:rPr>
          <w:b/>
          <w:bCs/>
          <w:sz w:val="12"/>
          <w:szCs w:val="12"/>
        </w:rPr>
      </w:pPr>
      <w:r>
        <w:rPr>
          <w:b/>
          <w:bCs/>
          <w:sz w:val="12"/>
          <w:szCs w:val="12"/>
        </w:rPr>
        <w:t> </w:t>
      </w:r>
    </w:p>
    <w:p w14:paraId="03463924" w14:textId="77777777" w:rsidR="00000000" w:rsidRDefault="00B8284C">
      <w:pPr>
        <w:pStyle w:val="a3"/>
        <w:spacing w:before="0" w:beforeAutospacing="0" w:after="0" w:afterAutospacing="0"/>
        <w:ind w:firstLine="556"/>
        <w:rPr>
          <w:sz w:val="20"/>
          <w:szCs w:val="20"/>
        </w:rPr>
      </w:pPr>
      <w:r>
        <w:rPr>
          <w:sz w:val="20"/>
          <w:szCs w:val="20"/>
        </w:rPr>
        <w:t>In May 2017, the Company issued $350 million aggregate principal amount of 0.25% convertible senior notes due June 1, 2022 in a private offering and an additional $50 million aggregate</w:t>
      </w:r>
      <w:r>
        <w:rPr>
          <w:sz w:val="20"/>
          <w:szCs w:val="20"/>
        </w:rPr>
        <w:t xml:space="preserve"> principal amount of such notes pursuant to the exercise in full of the over-allotment options of the initial purchasers (the “2022 Notes”). The 2022 Notes are convertible at the option of the holders prior to the close of business on the business day imme</w:t>
      </w:r>
      <w:r>
        <w:rPr>
          <w:sz w:val="20"/>
          <w:szCs w:val="20"/>
        </w:rPr>
        <w:t>diately preceding February 1, 2022 under certain conditions or upon the occurrence of certain events. Upon conversion, the Company will pay or deliver, as the case may be, cash, shares of the Company’s common stock or a combination of cash and shares of th</w:t>
      </w:r>
      <w:r>
        <w:rPr>
          <w:sz w:val="20"/>
          <w:szCs w:val="20"/>
        </w:rPr>
        <w:t>e Company’s common stock, at the Company’s election. Because the last reported sale price of the Company’s common stock for at least 20 trading days during the period of 30 consecutive trading days ending on the last trading day of the calendar quarter end</w:t>
      </w:r>
      <w:r>
        <w:rPr>
          <w:sz w:val="20"/>
          <w:szCs w:val="20"/>
        </w:rPr>
        <w:t>ed September 30, 2019 was equal to or greater than 130% of the applicable conversion price on each applicable trading day, the 2022 Notes are convertible at the option of the holders thereof during the calendar quarter ending December 31, 2019. As of Novem</w:t>
      </w:r>
      <w:r>
        <w:rPr>
          <w:sz w:val="20"/>
          <w:szCs w:val="20"/>
        </w:rPr>
        <w:t>ber 1, 2019, the Company has received conversion notices for approximately $8 thousand of the principal balance of the 2022 Notes, which will be settled in cash during the quarter ended December 31, 2019.</w:t>
      </w:r>
    </w:p>
    <w:p w14:paraId="380AD9B1" w14:textId="77777777" w:rsidR="00000000" w:rsidRDefault="00B8284C">
      <w:pPr>
        <w:pStyle w:val="a3"/>
        <w:spacing w:before="240" w:beforeAutospacing="0" w:after="0" w:afterAutospacing="0"/>
        <w:ind w:firstLine="556"/>
        <w:rPr>
          <w:sz w:val="20"/>
          <w:szCs w:val="20"/>
        </w:rPr>
      </w:pPr>
      <w:r>
        <w:rPr>
          <w:sz w:val="20"/>
          <w:szCs w:val="20"/>
        </w:rPr>
        <w:t xml:space="preserve">The net carrying amount of the liability component </w:t>
      </w:r>
      <w:r>
        <w:rPr>
          <w:sz w:val="20"/>
          <w:szCs w:val="20"/>
        </w:rPr>
        <w:t>of the 2022 Notes is as follows:</w:t>
      </w:r>
    </w:p>
    <w:p w14:paraId="134E3D50"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335"/>
        <w:gridCol w:w="81"/>
        <w:gridCol w:w="115"/>
        <w:gridCol w:w="961"/>
        <w:gridCol w:w="82"/>
        <w:gridCol w:w="81"/>
        <w:gridCol w:w="115"/>
        <w:gridCol w:w="962"/>
        <w:gridCol w:w="82"/>
      </w:tblGrid>
      <w:tr w:rsidR="00000000" w14:paraId="4B3B17A0" w14:textId="77777777">
        <w:trPr>
          <w:divId w:val="1125805622"/>
        </w:trPr>
        <w:tc>
          <w:tcPr>
            <w:tcW w:w="2895" w:type="pct"/>
            <w:shd w:val="clear" w:color="auto" w:fill="FFFFFF"/>
            <w:tcMar>
              <w:top w:w="15" w:type="dxa"/>
              <w:left w:w="0" w:type="dxa"/>
              <w:bottom w:w="0" w:type="dxa"/>
              <w:right w:w="15" w:type="dxa"/>
            </w:tcMar>
            <w:vAlign w:val="bottom"/>
            <w:hideMark/>
          </w:tcPr>
          <w:p w14:paraId="3B92E0A8" w14:textId="77777777" w:rsidR="00000000" w:rsidRDefault="00B8284C">
            <w:pPr>
              <w:pStyle w:val="a3"/>
              <w:spacing w:before="0" w:beforeAutospacing="0" w:after="0" w:afterAutospacing="0"/>
              <w:rPr>
                <w:sz w:val="20"/>
                <w:szCs w:val="20"/>
              </w:rPr>
            </w:pPr>
            <w:r>
              <w:rPr>
                <w:sz w:val="20"/>
                <w:szCs w:val="20"/>
              </w:rPr>
              <w:t> </w:t>
            </w:r>
          </w:p>
        </w:tc>
        <w:tc>
          <w:tcPr>
            <w:tcW w:w="97" w:type="pct"/>
            <w:shd w:val="clear" w:color="auto" w:fill="FFFFFF"/>
            <w:tcMar>
              <w:top w:w="15" w:type="dxa"/>
              <w:left w:w="0" w:type="dxa"/>
              <w:bottom w:w="0" w:type="dxa"/>
              <w:right w:w="15" w:type="dxa"/>
            </w:tcMar>
            <w:vAlign w:val="bottom"/>
            <w:hideMark/>
          </w:tcPr>
          <w:p w14:paraId="0CC16886"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04" w:type="pct"/>
            <w:gridSpan w:val="2"/>
            <w:tcBorders>
              <w:bottom w:val="single" w:sz="6" w:space="0" w:color="000000"/>
            </w:tcBorders>
            <w:shd w:val="clear" w:color="auto" w:fill="FFFFFF"/>
            <w:tcMar>
              <w:top w:w="15" w:type="dxa"/>
              <w:left w:w="0" w:type="dxa"/>
              <w:bottom w:w="0" w:type="dxa"/>
              <w:right w:w="15" w:type="dxa"/>
            </w:tcMar>
            <w:vAlign w:val="bottom"/>
            <w:hideMark/>
          </w:tcPr>
          <w:p w14:paraId="72D387D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As of September 30, 2019</w:t>
            </w:r>
          </w:p>
        </w:tc>
        <w:tc>
          <w:tcPr>
            <w:tcW w:w="50" w:type="pct"/>
            <w:shd w:val="clear" w:color="auto" w:fill="FFFFFF"/>
            <w:noWrap/>
            <w:tcMar>
              <w:top w:w="15" w:type="dxa"/>
              <w:left w:w="0" w:type="dxa"/>
              <w:bottom w:w="0" w:type="dxa"/>
              <w:right w:w="15" w:type="dxa"/>
            </w:tcMar>
            <w:vAlign w:val="bottom"/>
            <w:hideMark/>
          </w:tcPr>
          <w:p w14:paraId="380F0E8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97" w:type="pct"/>
            <w:shd w:val="clear" w:color="auto" w:fill="FFFFFF"/>
            <w:tcMar>
              <w:top w:w="15" w:type="dxa"/>
              <w:left w:w="0" w:type="dxa"/>
              <w:bottom w:w="0" w:type="dxa"/>
              <w:right w:w="15" w:type="dxa"/>
            </w:tcMar>
            <w:vAlign w:val="bottom"/>
            <w:hideMark/>
          </w:tcPr>
          <w:p w14:paraId="34AE5A7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904" w:type="pct"/>
            <w:gridSpan w:val="2"/>
            <w:tcBorders>
              <w:bottom w:val="single" w:sz="6" w:space="0" w:color="000000"/>
            </w:tcBorders>
            <w:shd w:val="clear" w:color="auto" w:fill="FFFFFF"/>
            <w:tcMar>
              <w:top w:w="15" w:type="dxa"/>
              <w:left w:w="0" w:type="dxa"/>
              <w:bottom w:w="0" w:type="dxa"/>
              <w:right w:w="15" w:type="dxa"/>
            </w:tcMar>
            <w:vAlign w:val="bottom"/>
            <w:hideMark/>
          </w:tcPr>
          <w:p w14:paraId="1FD265B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As of December 31, 2018</w:t>
            </w:r>
          </w:p>
        </w:tc>
        <w:tc>
          <w:tcPr>
            <w:tcW w:w="50" w:type="pct"/>
            <w:shd w:val="clear" w:color="auto" w:fill="FFFFFF"/>
            <w:noWrap/>
            <w:tcMar>
              <w:top w:w="15" w:type="dxa"/>
              <w:left w:w="0" w:type="dxa"/>
              <w:bottom w:w="0" w:type="dxa"/>
              <w:right w:w="15" w:type="dxa"/>
            </w:tcMar>
            <w:vAlign w:val="bottom"/>
            <w:hideMark/>
          </w:tcPr>
          <w:p w14:paraId="65961F4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018B15D" w14:textId="77777777">
        <w:trPr>
          <w:divId w:val="1125805622"/>
        </w:trPr>
        <w:tc>
          <w:tcPr>
            <w:tcW w:w="2895" w:type="pct"/>
            <w:shd w:val="clear" w:color="auto" w:fill="FFFFFF"/>
            <w:tcMar>
              <w:top w:w="15" w:type="dxa"/>
              <w:left w:w="0" w:type="dxa"/>
              <w:bottom w:w="0" w:type="dxa"/>
              <w:right w:w="15" w:type="dxa"/>
            </w:tcMar>
            <w:vAlign w:val="bottom"/>
            <w:hideMark/>
          </w:tcPr>
          <w:p w14:paraId="3506226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vAlign w:val="bottom"/>
            <w:hideMark/>
          </w:tcPr>
          <w:p w14:paraId="4761A1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1956" w:type="pct"/>
            <w:gridSpan w:val="6"/>
            <w:shd w:val="clear" w:color="auto" w:fill="FFFFFF"/>
            <w:tcMar>
              <w:top w:w="15" w:type="dxa"/>
              <w:left w:w="0" w:type="dxa"/>
              <w:bottom w:w="0" w:type="dxa"/>
              <w:right w:w="15" w:type="dxa"/>
            </w:tcMar>
            <w:vAlign w:val="bottom"/>
            <w:hideMark/>
          </w:tcPr>
          <w:p w14:paraId="076F4A2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37D7C5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6D1D2B2" w14:textId="77777777">
        <w:trPr>
          <w:divId w:val="1125805622"/>
        </w:trPr>
        <w:tc>
          <w:tcPr>
            <w:tcW w:w="2895" w:type="pct"/>
            <w:shd w:val="clear" w:color="auto" w:fill="CFF0FC"/>
            <w:tcMar>
              <w:top w:w="15" w:type="dxa"/>
              <w:left w:w="0" w:type="dxa"/>
              <w:bottom w:w="0" w:type="dxa"/>
              <w:right w:w="15" w:type="dxa"/>
            </w:tcMar>
            <w:vAlign w:val="bottom"/>
            <w:hideMark/>
          </w:tcPr>
          <w:p w14:paraId="1E58EB65" w14:textId="77777777" w:rsidR="00000000" w:rsidRDefault="00B8284C">
            <w:pPr>
              <w:pStyle w:val="a3"/>
              <w:spacing w:before="0" w:beforeAutospacing="0" w:after="0" w:afterAutospacing="0"/>
              <w:rPr>
                <w:color w:val="000000"/>
                <w:sz w:val="20"/>
                <w:szCs w:val="20"/>
              </w:rPr>
            </w:pPr>
            <w:r>
              <w:rPr>
                <w:color w:val="000000"/>
                <w:sz w:val="20"/>
                <w:szCs w:val="20"/>
              </w:rPr>
              <w:t>Principal</w:t>
            </w:r>
          </w:p>
        </w:tc>
        <w:tc>
          <w:tcPr>
            <w:tcW w:w="97" w:type="pct"/>
            <w:shd w:val="clear" w:color="auto" w:fill="CFF0FC"/>
            <w:tcMar>
              <w:top w:w="15" w:type="dxa"/>
              <w:left w:w="0" w:type="dxa"/>
              <w:bottom w:w="0" w:type="dxa"/>
              <w:right w:w="15" w:type="dxa"/>
            </w:tcMar>
            <w:vAlign w:val="bottom"/>
            <w:hideMark/>
          </w:tcPr>
          <w:p w14:paraId="544B346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26C59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54" w:type="pct"/>
            <w:shd w:val="clear" w:color="auto" w:fill="CFF0FC"/>
            <w:noWrap/>
            <w:tcMar>
              <w:top w:w="15" w:type="dxa"/>
              <w:left w:w="0" w:type="dxa"/>
              <w:bottom w:w="0" w:type="dxa"/>
              <w:right w:w="15" w:type="dxa"/>
            </w:tcMar>
            <w:vAlign w:val="bottom"/>
            <w:hideMark/>
          </w:tcPr>
          <w:p w14:paraId="3E76E7BB" w14:textId="77777777" w:rsidR="00000000" w:rsidRDefault="00B8284C">
            <w:pPr>
              <w:pStyle w:val="a3"/>
              <w:spacing w:before="0" w:beforeAutospacing="0" w:after="0" w:afterAutospacing="0"/>
              <w:jc w:val="right"/>
              <w:rPr>
                <w:color w:val="000000"/>
                <w:sz w:val="20"/>
                <w:szCs w:val="20"/>
              </w:rPr>
            </w:pPr>
            <w:r>
              <w:rPr>
                <w:color w:val="000000"/>
                <w:sz w:val="20"/>
                <w:szCs w:val="20"/>
              </w:rPr>
              <w:t>400,000</w:t>
            </w:r>
          </w:p>
        </w:tc>
        <w:tc>
          <w:tcPr>
            <w:tcW w:w="50" w:type="pct"/>
            <w:shd w:val="clear" w:color="auto" w:fill="CFF0FC"/>
            <w:noWrap/>
            <w:tcMar>
              <w:top w:w="15" w:type="dxa"/>
              <w:left w:w="0" w:type="dxa"/>
              <w:bottom w:w="0" w:type="dxa"/>
              <w:right w:w="15" w:type="dxa"/>
            </w:tcMar>
            <w:vAlign w:val="bottom"/>
            <w:hideMark/>
          </w:tcPr>
          <w:p w14:paraId="72A4BB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vAlign w:val="bottom"/>
            <w:hideMark/>
          </w:tcPr>
          <w:p w14:paraId="34B69A1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4324D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54" w:type="pct"/>
            <w:shd w:val="clear" w:color="auto" w:fill="CFF0FC"/>
            <w:noWrap/>
            <w:tcMar>
              <w:top w:w="15" w:type="dxa"/>
              <w:left w:w="0" w:type="dxa"/>
              <w:bottom w:w="0" w:type="dxa"/>
              <w:right w:w="15" w:type="dxa"/>
            </w:tcMar>
            <w:vAlign w:val="bottom"/>
            <w:hideMark/>
          </w:tcPr>
          <w:p w14:paraId="16E887C6" w14:textId="77777777" w:rsidR="00000000" w:rsidRDefault="00B8284C">
            <w:pPr>
              <w:pStyle w:val="a3"/>
              <w:spacing w:before="0" w:beforeAutospacing="0" w:after="0" w:afterAutospacing="0"/>
              <w:jc w:val="right"/>
              <w:rPr>
                <w:color w:val="000000"/>
                <w:sz w:val="20"/>
                <w:szCs w:val="20"/>
              </w:rPr>
            </w:pPr>
            <w:r>
              <w:rPr>
                <w:color w:val="000000"/>
                <w:sz w:val="20"/>
                <w:szCs w:val="20"/>
              </w:rPr>
              <w:t>400,000</w:t>
            </w:r>
          </w:p>
        </w:tc>
        <w:tc>
          <w:tcPr>
            <w:tcW w:w="50" w:type="pct"/>
            <w:shd w:val="clear" w:color="auto" w:fill="CFF0FC"/>
            <w:noWrap/>
            <w:tcMar>
              <w:top w:w="15" w:type="dxa"/>
              <w:left w:w="0" w:type="dxa"/>
              <w:bottom w:w="0" w:type="dxa"/>
              <w:right w:w="15" w:type="dxa"/>
            </w:tcMar>
            <w:vAlign w:val="bottom"/>
            <w:hideMark/>
          </w:tcPr>
          <w:p w14:paraId="71AD779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C1314BF" w14:textId="77777777">
        <w:trPr>
          <w:divId w:val="1125805622"/>
        </w:trPr>
        <w:tc>
          <w:tcPr>
            <w:tcW w:w="2895" w:type="pct"/>
            <w:shd w:val="clear" w:color="auto" w:fill="FFFFFF"/>
            <w:tcMar>
              <w:top w:w="15" w:type="dxa"/>
              <w:left w:w="0" w:type="dxa"/>
              <w:bottom w:w="0" w:type="dxa"/>
              <w:right w:w="15" w:type="dxa"/>
            </w:tcMar>
            <w:vAlign w:val="bottom"/>
            <w:hideMark/>
          </w:tcPr>
          <w:p w14:paraId="5A8CAD6F" w14:textId="77777777" w:rsidR="00000000" w:rsidRDefault="00B8284C">
            <w:pPr>
              <w:pStyle w:val="a3"/>
              <w:spacing w:before="0" w:beforeAutospacing="0" w:after="0" w:afterAutospacing="0"/>
              <w:rPr>
                <w:color w:val="000000"/>
                <w:sz w:val="20"/>
                <w:szCs w:val="20"/>
              </w:rPr>
            </w:pPr>
            <w:r>
              <w:rPr>
                <w:color w:val="000000"/>
                <w:sz w:val="20"/>
                <w:szCs w:val="20"/>
              </w:rPr>
              <w:t>Unamortized debt discount</w:t>
            </w:r>
          </w:p>
        </w:tc>
        <w:tc>
          <w:tcPr>
            <w:tcW w:w="97" w:type="pct"/>
            <w:shd w:val="clear" w:color="auto" w:fill="FFFFFF"/>
            <w:tcMar>
              <w:top w:w="15" w:type="dxa"/>
              <w:left w:w="0" w:type="dxa"/>
              <w:bottom w:w="0" w:type="dxa"/>
              <w:right w:w="15" w:type="dxa"/>
            </w:tcMar>
            <w:vAlign w:val="bottom"/>
            <w:hideMark/>
          </w:tcPr>
          <w:p w14:paraId="61E673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D8EA5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54" w:type="pct"/>
            <w:shd w:val="clear" w:color="auto" w:fill="FFFFFF"/>
            <w:noWrap/>
            <w:tcMar>
              <w:top w:w="15" w:type="dxa"/>
              <w:left w:w="0" w:type="dxa"/>
              <w:bottom w:w="0" w:type="dxa"/>
              <w:right w:w="15" w:type="dxa"/>
            </w:tcMar>
            <w:vAlign w:val="bottom"/>
            <w:hideMark/>
          </w:tcPr>
          <w:p w14:paraId="7CA27739" w14:textId="77777777" w:rsidR="00000000" w:rsidRDefault="00B8284C">
            <w:pPr>
              <w:pStyle w:val="a3"/>
              <w:spacing w:before="0" w:beforeAutospacing="0" w:after="0" w:afterAutospacing="0"/>
              <w:jc w:val="right"/>
              <w:rPr>
                <w:color w:val="000000"/>
                <w:sz w:val="20"/>
                <w:szCs w:val="20"/>
              </w:rPr>
            </w:pPr>
            <w:r>
              <w:rPr>
                <w:color w:val="000000"/>
                <w:sz w:val="20"/>
                <w:szCs w:val="20"/>
              </w:rPr>
              <w:t>(60,516</w:t>
            </w:r>
          </w:p>
        </w:tc>
        <w:tc>
          <w:tcPr>
            <w:tcW w:w="50" w:type="pct"/>
            <w:shd w:val="clear" w:color="auto" w:fill="FFFFFF"/>
            <w:noWrap/>
            <w:tcMar>
              <w:top w:w="15" w:type="dxa"/>
              <w:left w:w="0" w:type="dxa"/>
              <w:bottom w:w="0" w:type="dxa"/>
              <w:right w:w="15" w:type="dxa"/>
            </w:tcMar>
            <w:vAlign w:val="bottom"/>
            <w:hideMark/>
          </w:tcPr>
          <w:p w14:paraId="7FC4B65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97" w:type="pct"/>
            <w:shd w:val="clear" w:color="auto" w:fill="FFFFFF"/>
            <w:tcMar>
              <w:top w:w="15" w:type="dxa"/>
              <w:left w:w="0" w:type="dxa"/>
              <w:bottom w:w="0" w:type="dxa"/>
              <w:right w:w="15" w:type="dxa"/>
            </w:tcMar>
            <w:vAlign w:val="bottom"/>
            <w:hideMark/>
          </w:tcPr>
          <w:p w14:paraId="3893684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14CC8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54" w:type="pct"/>
            <w:shd w:val="clear" w:color="auto" w:fill="FFFFFF"/>
            <w:noWrap/>
            <w:tcMar>
              <w:top w:w="15" w:type="dxa"/>
              <w:left w:w="0" w:type="dxa"/>
              <w:bottom w:w="0" w:type="dxa"/>
              <w:right w:w="15" w:type="dxa"/>
            </w:tcMar>
            <w:vAlign w:val="bottom"/>
            <w:hideMark/>
          </w:tcPr>
          <w:p w14:paraId="5AF640BC" w14:textId="77777777" w:rsidR="00000000" w:rsidRDefault="00B8284C">
            <w:pPr>
              <w:pStyle w:val="a3"/>
              <w:spacing w:before="0" w:beforeAutospacing="0" w:after="0" w:afterAutospacing="0"/>
              <w:jc w:val="right"/>
              <w:rPr>
                <w:color w:val="000000"/>
                <w:sz w:val="20"/>
                <w:szCs w:val="20"/>
              </w:rPr>
            </w:pPr>
            <w:r>
              <w:rPr>
                <w:color w:val="000000"/>
                <w:sz w:val="20"/>
                <w:szCs w:val="20"/>
              </w:rPr>
              <w:t>(75,575</w:t>
            </w:r>
          </w:p>
        </w:tc>
        <w:tc>
          <w:tcPr>
            <w:tcW w:w="50" w:type="pct"/>
            <w:shd w:val="clear" w:color="auto" w:fill="FFFFFF"/>
            <w:noWrap/>
            <w:tcMar>
              <w:top w:w="15" w:type="dxa"/>
              <w:left w:w="0" w:type="dxa"/>
              <w:bottom w:w="0" w:type="dxa"/>
              <w:right w:w="15" w:type="dxa"/>
            </w:tcMar>
            <w:vAlign w:val="bottom"/>
            <w:hideMark/>
          </w:tcPr>
          <w:p w14:paraId="341E5E44"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6FF5E182" w14:textId="77777777">
        <w:trPr>
          <w:divId w:val="1125805622"/>
        </w:trPr>
        <w:tc>
          <w:tcPr>
            <w:tcW w:w="2895" w:type="pct"/>
            <w:shd w:val="clear" w:color="auto" w:fill="CFF0FC"/>
            <w:tcMar>
              <w:top w:w="15" w:type="dxa"/>
              <w:left w:w="0" w:type="dxa"/>
              <w:bottom w:w="0" w:type="dxa"/>
              <w:right w:w="15" w:type="dxa"/>
            </w:tcMar>
            <w:vAlign w:val="bottom"/>
            <w:hideMark/>
          </w:tcPr>
          <w:p w14:paraId="530FA626" w14:textId="77777777" w:rsidR="00000000" w:rsidRDefault="00B8284C">
            <w:pPr>
              <w:pStyle w:val="a3"/>
              <w:spacing w:before="0" w:beforeAutospacing="0" w:after="0" w:afterAutospacing="0"/>
              <w:rPr>
                <w:color w:val="000000"/>
                <w:sz w:val="20"/>
                <w:szCs w:val="20"/>
              </w:rPr>
            </w:pPr>
            <w:r>
              <w:rPr>
                <w:color w:val="000000"/>
                <w:sz w:val="20"/>
                <w:szCs w:val="20"/>
              </w:rPr>
              <w:t>Unamortized issuance costs</w:t>
            </w:r>
          </w:p>
        </w:tc>
        <w:tc>
          <w:tcPr>
            <w:tcW w:w="97" w:type="pct"/>
            <w:shd w:val="clear" w:color="auto" w:fill="CFF0FC"/>
            <w:tcMar>
              <w:top w:w="15" w:type="dxa"/>
              <w:left w:w="0" w:type="dxa"/>
              <w:bottom w:w="0" w:type="dxa"/>
              <w:right w:w="15" w:type="dxa"/>
            </w:tcMar>
            <w:vAlign w:val="bottom"/>
            <w:hideMark/>
          </w:tcPr>
          <w:p w14:paraId="1A65D39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728B1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54" w:type="pct"/>
            <w:tcBorders>
              <w:bottom w:val="single" w:sz="6" w:space="0" w:color="000000"/>
            </w:tcBorders>
            <w:shd w:val="clear" w:color="auto" w:fill="CFF0FC"/>
            <w:noWrap/>
            <w:tcMar>
              <w:top w:w="15" w:type="dxa"/>
              <w:left w:w="0" w:type="dxa"/>
              <w:bottom w:w="0" w:type="dxa"/>
              <w:right w:w="15" w:type="dxa"/>
            </w:tcMar>
            <w:vAlign w:val="bottom"/>
            <w:hideMark/>
          </w:tcPr>
          <w:p w14:paraId="784EBF47" w14:textId="77777777" w:rsidR="00000000" w:rsidRDefault="00B8284C">
            <w:pPr>
              <w:pStyle w:val="a3"/>
              <w:spacing w:before="0" w:beforeAutospacing="0" w:after="0" w:afterAutospacing="0"/>
              <w:jc w:val="right"/>
              <w:rPr>
                <w:color w:val="000000"/>
                <w:sz w:val="20"/>
                <w:szCs w:val="20"/>
              </w:rPr>
            </w:pPr>
            <w:r>
              <w:rPr>
                <w:color w:val="000000"/>
                <w:sz w:val="20"/>
                <w:szCs w:val="20"/>
              </w:rPr>
              <w:t>(4,518</w:t>
            </w:r>
          </w:p>
        </w:tc>
        <w:tc>
          <w:tcPr>
            <w:tcW w:w="50" w:type="pct"/>
            <w:shd w:val="clear" w:color="auto" w:fill="CFF0FC"/>
            <w:noWrap/>
            <w:tcMar>
              <w:top w:w="15" w:type="dxa"/>
              <w:left w:w="0" w:type="dxa"/>
              <w:bottom w:w="0" w:type="dxa"/>
              <w:right w:w="15" w:type="dxa"/>
            </w:tcMar>
            <w:vAlign w:val="bottom"/>
            <w:hideMark/>
          </w:tcPr>
          <w:p w14:paraId="000D036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97" w:type="pct"/>
            <w:shd w:val="clear" w:color="auto" w:fill="CFF0FC"/>
            <w:tcMar>
              <w:top w:w="15" w:type="dxa"/>
              <w:left w:w="0" w:type="dxa"/>
              <w:bottom w:w="0" w:type="dxa"/>
              <w:right w:w="15" w:type="dxa"/>
            </w:tcMar>
            <w:vAlign w:val="bottom"/>
            <w:hideMark/>
          </w:tcPr>
          <w:p w14:paraId="0E483C9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44953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54" w:type="pct"/>
            <w:tcBorders>
              <w:bottom w:val="single" w:sz="6" w:space="0" w:color="000000"/>
            </w:tcBorders>
            <w:shd w:val="clear" w:color="auto" w:fill="CFF0FC"/>
            <w:noWrap/>
            <w:tcMar>
              <w:top w:w="15" w:type="dxa"/>
              <w:left w:w="0" w:type="dxa"/>
              <w:bottom w:w="0" w:type="dxa"/>
              <w:right w:w="15" w:type="dxa"/>
            </w:tcMar>
            <w:vAlign w:val="bottom"/>
            <w:hideMark/>
          </w:tcPr>
          <w:p w14:paraId="0C0A0466" w14:textId="77777777" w:rsidR="00000000" w:rsidRDefault="00B8284C">
            <w:pPr>
              <w:pStyle w:val="a3"/>
              <w:spacing w:before="0" w:beforeAutospacing="0" w:after="0" w:afterAutospacing="0"/>
              <w:jc w:val="right"/>
              <w:rPr>
                <w:color w:val="000000"/>
                <w:sz w:val="20"/>
                <w:szCs w:val="20"/>
              </w:rPr>
            </w:pPr>
            <w:r>
              <w:rPr>
                <w:color w:val="000000"/>
                <w:sz w:val="20"/>
                <w:szCs w:val="20"/>
              </w:rPr>
              <w:t>(5,643</w:t>
            </w:r>
          </w:p>
        </w:tc>
        <w:tc>
          <w:tcPr>
            <w:tcW w:w="50" w:type="pct"/>
            <w:shd w:val="clear" w:color="auto" w:fill="CFF0FC"/>
            <w:noWrap/>
            <w:tcMar>
              <w:top w:w="15" w:type="dxa"/>
              <w:left w:w="0" w:type="dxa"/>
              <w:bottom w:w="0" w:type="dxa"/>
              <w:right w:w="15" w:type="dxa"/>
            </w:tcMar>
            <w:vAlign w:val="bottom"/>
            <w:hideMark/>
          </w:tcPr>
          <w:p w14:paraId="77576CCD"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3F111CF9" w14:textId="77777777">
        <w:trPr>
          <w:divId w:val="1125805622"/>
        </w:trPr>
        <w:tc>
          <w:tcPr>
            <w:tcW w:w="2895" w:type="pct"/>
            <w:shd w:val="clear" w:color="auto" w:fill="FFFFFF"/>
            <w:tcMar>
              <w:top w:w="15" w:type="dxa"/>
              <w:left w:w="0" w:type="dxa"/>
              <w:bottom w:w="0" w:type="dxa"/>
              <w:right w:w="15" w:type="dxa"/>
            </w:tcMar>
            <w:vAlign w:val="bottom"/>
            <w:hideMark/>
          </w:tcPr>
          <w:p w14:paraId="46D93BBA" w14:textId="77777777" w:rsidR="00000000" w:rsidRDefault="00B8284C">
            <w:pPr>
              <w:pStyle w:val="a3"/>
              <w:spacing w:before="0" w:beforeAutospacing="0" w:after="0" w:afterAutospacing="0"/>
              <w:rPr>
                <w:color w:val="000000"/>
                <w:sz w:val="20"/>
                <w:szCs w:val="20"/>
              </w:rPr>
            </w:pPr>
            <w:r>
              <w:rPr>
                <w:color w:val="000000"/>
                <w:sz w:val="20"/>
                <w:szCs w:val="20"/>
              </w:rPr>
              <w:t>Net carrying amount</w:t>
            </w:r>
          </w:p>
        </w:tc>
        <w:tc>
          <w:tcPr>
            <w:tcW w:w="97" w:type="pct"/>
            <w:shd w:val="clear" w:color="auto" w:fill="FFFFFF"/>
            <w:tcMar>
              <w:top w:w="15" w:type="dxa"/>
              <w:left w:w="0" w:type="dxa"/>
              <w:bottom w:w="0" w:type="dxa"/>
              <w:right w:w="15" w:type="dxa"/>
            </w:tcMar>
            <w:vAlign w:val="bottom"/>
            <w:hideMark/>
          </w:tcPr>
          <w:p w14:paraId="16D5200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3A244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8F7890" w14:textId="77777777" w:rsidR="00000000" w:rsidRDefault="00B8284C">
            <w:pPr>
              <w:pStyle w:val="a3"/>
              <w:spacing w:before="0" w:beforeAutospacing="0" w:after="0" w:afterAutospacing="0"/>
              <w:jc w:val="right"/>
              <w:rPr>
                <w:color w:val="000000"/>
                <w:sz w:val="20"/>
                <w:szCs w:val="20"/>
              </w:rPr>
            </w:pPr>
            <w:r>
              <w:rPr>
                <w:color w:val="000000"/>
                <w:sz w:val="20"/>
                <w:szCs w:val="20"/>
              </w:rPr>
              <w:t>334,966</w:t>
            </w:r>
          </w:p>
        </w:tc>
        <w:tc>
          <w:tcPr>
            <w:tcW w:w="50" w:type="pct"/>
            <w:shd w:val="clear" w:color="auto" w:fill="FFFFFF"/>
            <w:noWrap/>
            <w:tcMar>
              <w:top w:w="15" w:type="dxa"/>
              <w:left w:w="0" w:type="dxa"/>
              <w:bottom w:w="0" w:type="dxa"/>
              <w:right w:w="15" w:type="dxa"/>
            </w:tcMar>
            <w:vAlign w:val="bottom"/>
            <w:hideMark/>
          </w:tcPr>
          <w:p w14:paraId="1910F6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vAlign w:val="bottom"/>
            <w:hideMark/>
          </w:tcPr>
          <w:p w14:paraId="3ADE521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0034B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F23933" w14:textId="77777777" w:rsidR="00000000" w:rsidRDefault="00B8284C">
            <w:pPr>
              <w:pStyle w:val="a3"/>
              <w:spacing w:before="0" w:beforeAutospacing="0" w:after="0" w:afterAutospacing="0"/>
              <w:jc w:val="right"/>
              <w:rPr>
                <w:color w:val="000000"/>
                <w:sz w:val="20"/>
                <w:szCs w:val="20"/>
              </w:rPr>
            </w:pPr>
            <w:r>
              <w:rPr>
                <w:color w:val="000000"/>
                <w:sz w:val="20"/>
                <w:szCs w:val="20"/>
              </w:rPr>
              <w:t>318,782</w:t>
            </w:r>
          </w:p>
        </w:tc>
        <w:tc>
          <w:tcPr>
            <w:tcW w:w="50" w:type="pct"/>
            <w:shd w:val="clear" w:color="auto" w:fill="FFFFFF"/>
            <w:noWrap/>
            <w:tcMar>
              <w:top w:w="15" w:type="dxa"/>
              <w:left w:w="0" w:type="dxa"/>
              <w:bottom w:w="0" w:type="dxa"/>
              <w:right w:w="15" w:type="dxa"/>
            </w:tcMar>
            <w:vAlign w:val="bottom"/>
            <w:hideMark/>
          </w:tcPr>
          <w:p w14:paraId="2F893DB5"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0E915C98" w14:textId="77777777" w:rsidR="00000000" w:rsidRDefault="00B8284C">
      <w:pPr>
        <w:pStyle w:val="a3"/>
        <w:spacing w:before="0" w:beforeAutospacing="0" w:after="0" w:afterAutospacing="0"/>
        <w:rPr>
          <w:sz w:val="12"/>
          <w:szCs w:val="12"/>
        </w:rPr>
      </w:pPr>
      <w:r>
        <w:rPr>
          <w:sz w:val="12"/>
          <w:szCs w:val="12"/>
        </w:rPr>
        <w:t> </w:t>
      </w:r>
    </w:p>
    <w:p w14:paraId="7999E86A" w14:textId="77777777" w:rsidR="00000000" w:rsidRDefault="00B8284C">
      <w:pPr>
        <w:pStyle w:val="a3"/>
        <w:spacing w:before="0" w:beforeAutospacing="0" w:after="0" w:afterAutospacing="0"/>
        <w:ind w:firstLine="727"/>
        <w:rPr>
          <w:sz w:val="12"/>
          <w:szCs w:val="12"/>
        </w:rPr>
      </w:pPr>
      <w:r>
        <w:rPr>
          <w:sz w:val="12"/>
          <w:szCs w:val="12"/>
        </w:rPr>
        <w:t> </w:t>
      </w:r>
    </w:p>
    <w:p w14:paraId="2076295D" w14:textId="77777777" w:rsidR="00000000" w:rsidRDefault="00B8284C">
      <w:pPr>
        <w:pStyle w:val="a3"/>
        <w:spacing w:before="0" w:beforeAutospacing="0" w:after="0" w:afterAutospacing="0"/>
        <w:ind w:firstLine="556"/>
        <w:rPr>
          <w:sz w:val="20"/>
          <w:szCs w:val="20"/>
        </w:rPr>
      </w:pPr>
      <w:r>
        <w:rPr>
          <w:sz w:val="20"/>
          <w:szCs w:val="20"/>
        </w:rPr>
        <w:t>Interest expense related to the 2022 Notes is as follows:</w:t>
      </w:r>
    </w:p>
    <w:p w14:paraId="701D9C30"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342"/>
        <w:gridCol w:w="65"/>
        <w:gridCol w:w="115"/>
        <w:gridCol w:w="622"/>
        <w:gridCol w:w="65"/>
        <w:gridCol w:w="65"/>
        <w:gridCol w:w="115"/>
        <w:gridCol w:w="624"/>
        <w:gridCol w:w="65"/>
        <w:gridCol w:w="65"/>
        <w:gridCol w:w="115"/>
        <w:gridCol w:w="622"/>
        <w:gridCol w:w="65"/>
        <w:gridCol w:w="65"/>
        <w:gridCol w:w="115"/>
        <w:gridCol w:w="624"/>
        <w:gridCol w:w="65"/>
      </w:tblGrid>
      <w:tr w:rsidR="00000000" w14:paraId="2BB414FD" w14:textId="77777777">
        <w:trPr>
          <w:divId w:val="1634095669"/>
        </w:trPr>
        <w:tc>
          <w:tcPr>
            <w:tcW w:w="2037" w:type="pct"/>
            <w:shd w:val="clear" w:color="auto" w:fill="FFFFFF"/>
            <w:tcMar>
              <w:top w:w="15" w:type="dxa"/>
              <w:left w:w="0" w:type="dxa"/>
              <w:bottom w:w="0" w:type="dxa"/>
              <w:right w:w="15" w:type="dxa"/>
            </w:tcMar>
            <w:vAlign w:val="bottom"/>
            <w:hideMark/>
          </w:tcPr>
          <w:p w14:paraId="3AFDE19D" w14:textId="77777777" w:rsidR="00000000" w:rsidRDefault="00B8284C">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38C50765"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362" w:type="pct"/>
            <w:gridSpan w:val="6"/>
            <w:tcBorders>
              <w:bottom w:val="single" w:sz="6" w:space="0" w:color="000000"/>
            </w:tcBorders>
            <w:shd w:val="clear" w:color="auto" w:fill="FFFFFF"/>
            <w:tcMar>
              <w:top w:w="15" w:type="dxa"/>
              <w:left w:w="0" w:type="dxa"/>
              <w:bottom w:w="0" w:type="dxa"/>
              <w:right w:w="15" w:type="dxa"/>
            </w:tcMar>
            <w:vAlign w:val="bottom"/>
            <w:hideMark/>
          </w:tcPr>
          <w:p w14:paraId="79B992D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14:paraId="5F434A8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338FD439"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362" w:type="pct"/>
            <w:gridSpan w:val="6"/>
            <w:tcBorders>
              <w:bottom w:val="single" w:sz="6" w:space="0" w:color="000000"/>
            </w:tcBorders>
            <w:shd w:val="clear" w:color="auto" w:fill="FFFFFF"/>
            <w:tcMar>
              <w:top w:w="15" w:type="dxa"/>
              <w:left w:w="0" w:type="dxa"/>
              <w:bottom w:w="0" w:type="dxa"/>
              <w:right w:w="15" w:type="dxa"/>
            </w:tcMar>
            <w:vAlign w:val="bottom"/>
            <w:hideMark/>
          </w:tcPr>
          <w:p w14:paraId="2FCD4FB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14:paraId="72791F5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38AC097" w14:textId="77777777">
        <w:trPr>
          <w:divId w:val="1634095669"/>
        </w:trPr>
        <w:tc>
          <w:tcPr>
            <w:tcW w:w="2037" w:type="pct"/>
            <w:shd w:val="clear" w:color="auto" w:fill="FFFFFF"/>
            <w:tcMar>
              <w:top w:w="15" w:type="dxa"/>
              <w:left w:w="0" w:type="dxa"/>
              <w:bottom w:w="0" w:type="dxa"/>
              <w:right w:w="15" w:type="dxa"/>
            </w:tcMar>
            <w:vAlign w:val="bottom"/>
            <w:hideMark/>
          </w:tcPr>
          <w:p w14:paraId="3695F35F"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8" w:type="pct"/>
            <w:shd w:val="clear" w:color="auto" w:fill="FFFFFF"/>
            <w:tcMar>
              <w:top w:w="15" w:type="dxa"/>
              <w:left w:w="0" w:type="dxa"/>
              <w:bottom w:w="0" w:type="dxa"/>
              <w:right w:w="15" w:type="dxa"/>
            </w:tcMar>
            <w:vAlign w:val="bottom"/>
            <w:hideMark/>
          </w:tcPr>
          <w:p w14:paraId="31A6459A"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C8E05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F542B3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vAlign w:val="bottom"/>
            <w:hideMark/>
          </w:tcPr>
          <w:p w14:paraId="5B0A0E1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CB0B4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77C7FD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6E41BEF6"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47CB5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C51B37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vAlign w:val="bottom"/>
            <w:hideMark/>
          </w:tcPr>
          <w:p w14:paraId="255F69E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6E6BD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F2B849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403B365" w14:textId="77777777">
        <w:trPr>
          <w:divId w:val="1634095669"/>
        </w:trPr>
        <w:tc>
          <w:tcPr>
            <w:tcW w:w="2037" w:type="pct"/>
            <w:shd w:val="clear" w:color="auto" w:fill="FFFFFF"/>
            <w:tcMar>
              <w:top w:w="15" w:type="dxa"/>
              <w:left w:w="0" w:type="dxa"/>
              <w:bottom w:w="0" w:type="dxa"/>
              <w:right w:w="15" w:type="dxa"/>
            </w:tcMar>
            <w:vAlign w:val="bottom"/>
            <w:hideMark/>
          </w:tcPr>
          <w:p w14:paraId="5D0B46F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14AEFB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1362" w:type="pct"/>
            <w:gridSpan w:val="6"/>
            <w:shd w:val="clear" w:color="auto" w:fill="FFFFFF"/>
            <w:tcMar>
              <w:top w:w="15" w:type="dxa"/>
              <w:left w:w="0" w:type="dxa"/>
              <w:bottom w:w="0" w:type="dxa"/>
              <w:right w:w="15" w:type="dxa"/>
            </w:tcMar>
            <w:vAlign w:val="bottom"/>
            <w:hideMark/>
          </w:tcPr>
          <w:p w14:paraId="17E4E2B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2D9D25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3966D089"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362" w:type="pct"/>
            <w:gridSpan w:val="6"/>
            <w:shd w:val="clear" w:color="auto" w:fill="FFFFFF"/>
            <w:tcMar>
              <w:top w:w="15" w:type="dxa"/>
              <w:left w:w="0" w:type="dxa"/>
              <w:bottom w:w="0" w:type="dxa"/>
              <w:right w:w="15" w:type="dxa"/>
            </w:tcMar>
            <w:vAlign w:val="bottom"/>
            <w:hideMark/>
          </w:tcPr>
          <w:p w14:paraId="385AE07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11617CF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3377031" w14:textId="77777777">
        <w:trPr>
          <w:divId w:val="1634095669"/>
        </w:trPr>
        <w:tc>
          <w:tcPr>
            <w:tcW w:w="2037" w:type="pct"/>
            <w:shd w:val="clear" w:color="auto" w:fill="CFF0FC"/>
            <w:tcMar>
              <w:top w:w="15" w:type="dxa"/>
              <w:left w:w="0" w:type="dxa"/>
              <w:bottom w:w="0" w:type="dxa"/>
              <w:right w:w="15" w:type="dxa"/>
            </w:tcMar>
            <w:vAlign w:val="bottom"/>
            <w:hideMark/>
          </w:tcPr>
          <w:p w14:paraId="7D061536" w14:textId="77777777" w:rsidR="00000000" w:rsidRDefault="00B8284C">
            <w:pPr>
              <w:pStyle w:val="a3"/>
              <w:spacing w:before="0" w:beforeAutospacing="0" w:after="0" w:afterAutospacing="0"/>
              <w:rPr>
                <w:color w:val="000000"/>
                <w:sz w:val="20"/>
                <w:szCs w:val="20"/>
              </w:rPr>
            </w:pPr>
            <w:r>
              <w:rPr>
                <w:color w:val="000000"/>
                <w:sz w:val="20"/>
                <w:szCs w:val="20"/>
              </w:rPr>
              <w:t>Contractual interest expense</w:t>
            </w:r>
          </w:p>
        </w:tc>
        <w:tc>
          <w:tcPr>
            <w:tcW w:w="68" w:type="pct"/>
            <w:shd w:val="clear" w:color="auto" w:fill="CFF0FC"/>
            <w:tcMar>
              <w:top w:w="15" w:type="dxa"/>
              <w:left w:w="0" w:type="dxa"/>
              <w:bottom w:w="0" w:type="dxa"/>
              <w:right w:w="15" w:type="dxa"/>
            </w:tcMar>
            <w:vAlign w:val="bottom"/>
            <w:hideMark/>
          </w:tcPr>
          <w:p w14:paraId="6D68AB8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8A590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4D853CED" w14:textId="77777777" w:rsidR="00000000" w:rsidRDefault="00B8284C">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0B7F277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2819D22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9F03E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4C663699" w14:textId="77777777" w:rsidR="00000000" w:rsidRDefault="00B8284C">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0849587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00D373BF"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4B0C27C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2C5FACE8" w14:textId="77777777" w:rsidR="00000000" w:rsidRDefault="00B8284C">
            <w:pPr>
              <w:pStyle w:val="a3"/>
              <w:spacing w:before="0" w:beforeAutospacing="0" w:after="0" w:afterAutospacing="0"/>
              <w:jc w:val="right"/>
              <w:rPr>
                <w:color w:val="000000"/>
                <w:sz w:val="20"/>
                <w:szCs w:val="20"/>
              </w:rPr>
            </w:pPr>
            <w:r>
              <w:rPr>
                <w:color w:val="000000"/>
                <w:sz w:val="20"/>
                <w:szCs w:val="20"/>
              </w:rPr>
              <w:t>750</w:t>
            </w:r>
          </w:p>
        </w:tc>
        <w:tc>
          <w:tcPr>
            <w:tcW w:w="50" w:type="pct"/>
            <w:shd w:val="clear" w:color="auto" w:fill="CFF0FC"/>
            <w:noWrap/>
            <w:tcMar>
              <w:top w:w="15" w:type="dxa"/>
              <w:left w:w="0" w:type="dxa"/>
              <w:bottom w:w="0" w:type="dxa"/>
              <w:right w:w="15" w:type="dxa"/>
            </w:tcMar>
            <w:vAlign w:val="bottom"/>
            <w:hideMark/>
          </w:tcPr>
          <w:p w14:paraId="6D78FF8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55EF76D8"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5EAF1B1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7EAF9E17" w14:textId="77777777" w:rsidR="00000000" w:rsidRDefault="00B8284C">
            <w:pPr>
              <w:pStyle w:val="a3"/>
              <w:spacing w:before="0" w:beforeAutospacing="0" w:after="0" w:afterAutospacing="0"/>
              <w:jc w:val="right"/>
              <w:rPr>
                <w:color w:val="000000"/>
                <w:sz w:val="20"/>
                <w:szCs w:val="20"/>
              </w:rPr>
            </w:pPr>
            <w:r>
              <w:rPr>
                <w:color w:val="000000"/>
                <w:sz w:val="20"/>
                <w:szCs w:val="20"/>
              </w:rPr>
              <w:t>750</w:t>
            </w:r>
          </w:p>
        </w:tc>
        <w:tc>
          <w:tcPr>
            <w:tcW w:w="50" w:type="pct"/>
            <w:shd w:val="clear" w:color="auto" w:fill="CFF0FC"/>
            <w:noWrap/>
            <w:tcMar>
              <w:top w:w="15" w:type="dxa"/>
              <w:left w:w="0" w:type="dxa"/>
              <w:bottom w:w="0" w:type="dxa"/>
              <w:right w:w="15" w:type="dxa"/>
            </w:tcMar>
            <w:vAlign w:val="bottom"/>
            <w:hideMark/>
          </w:tcPr>
          <w:p w14:paraId="3250DCE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9292335" w14:textId="77777777">
        <w:trPr>
          <w:divId w:val="1634095669"/>
        </w:trPr>
        <w:tc>
          <w:tcPr>
            <w:tcW w:w="2037" w:type="pct"/>
            <w:shd w:val="clear" w:color="auto" w:fill="FFFFFF"/>
            <w:tcMar>
              <w:top w:w="15" w:type="dxa"/>
              <w:left w:w="0" w:type="dxa"/>
              <w:bottom w:w="0" w:type="dxa"/>
              <w:right w:w="15" w:type="dxa"/>
            </w:tcMar>
            <w:vAlign w:val="bottom"/>
            <w:hideMark/>
          </w:tcPr>
          <w:p w14:paraId="60D805AE" w14:textId="77777777" w:rsidR="00000000" w:rsidRDefault="00B8284C">
            <w:pPr>
              <w:pStyle w:val="a3"/>
              <w:spacing w:before="0" w:beforeAutospacing="0" w:after="0" w:afterAutospacing="0"/>
              <w:rPr>
                <w:color w:val="000000"/>
                <w:sz w:val="20"/>
                <w:szCs w:val="20"/>
              </w:rPr>
            </w:pPr>
            <w:r>
              <w:rPr>
                <w:color w:val="000000"/>
                <w:sz w:val="20"/>
                <w:szCs w:val="20"/>
              </w:rPr>
              <w:t>Amortization of debt discount</w:t>
            </w:r>
          </w:p>
        </w:tc>
        <w:tc>
          <w:tcPr>
            <w:tcW w:w="68" w:type="pct"/>
            <w:shd w:val="clear" w:color="auto" w:fill="FFFFFF"/>
            <w:tcMar>
              <w:top w:w="15" w:type="dxa"/>
              <w:left w:w="0" w:type="dxa"/>
              <w:bottom w:w="0" w:type="dxa"/>
              <w:right w:w="15" w:type="dxa"/>
            </w:tcMar>
            <w:vAlign w:val="bottom"/>
            <w:hideMark/>
          </w:tcPr>
          <w:p w14:paraId="5A5EC4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93C00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1" w:type="pct"/>
            <w:shd w:val="clear" w:color="auto" w:fill="FFFFFF"/>
            <w:noWrap/>
            <w:tcMar>
              <w:top w:w="15" w:type="dxa"/>
              <w:left w:w="0" w:type="dxa"/>
              <w:bottom w:w="0" w:type="dxa"/>
              <w:right w:w="15" w:type="dxa"/>
            </w:tcMar>
            <w:vAlign w:val="bottom"/>
            <w:hideMark/>
          </w:tcPr>
          <w:p w14:paraId="3F3B7556" w14:textId="77777777" w:rsidR="00000000" w:rsidRDefault="00B8284C">
            <w:pPr>
              <w:pStyle w:val="a3"/>
              <w:spacing w:before="0" w:beforeAutospacing="0" w:after="0" w:afterAutospacing="0"/>
              <w:jc w:val="right"/>
              <w:rPr>
                <w:color w:val="000000"/>
                <w:sz w:val="20"/>
                <w:szCs w:val="20"/>
              </w:rPr>
            </w:pPr>
            <w:r>
              <w:rPr>
                <w:color w:val="000000"/>
                <w:sz w:val="20"/>
                <w:szCs w:val="20"/>
              </w:rPr>
              <w:t>5,126</w:t>
            </w:r>
          </w:p>
        </w:tc>
        <w:tc>
          <w:tcPr>
            <w:tcW w:w="50" w:type="pct"/>
            <w:shd w:val="clear" w:color="auto" w:fill="FFFFFF"/>
            <w:noWrap/>
            <w:tcMar>
              <w:top w:w="15" w:type="dxa"/>
              <w:left w:w="0" w:type="dxa"/>
              <w:bottom w:w="0" w:type="dxa"/>
              <w:right w:w="15" w:type="dxa"/>
            </w:tcMar>
            <w:vAlign w:val="bottom"/>
            <w:hideMark/>
          </w:tcPr>
          <w:p w14:paraId="67112A1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18880B4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2627C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1" w:type="pct"/>
            <w:shd w:val="clear" w:color="auto" w:fill="FFFFFF"/>
            <w:noWrap/>
            <w:tcMar>
              <w:top w:w="15" w:type="dxa"/>
              <w:left w:w="0" w:type="dxa"/>
              <w:bottom w:w="0" w:type="dxa"/>
              <w:right w:w="15" w:type="dxa"/>
            </w:tcMar>
            <w:vAlign w:val="bottom"/>
            <w:hideMark/>
          </w:tcPr>
          <w:p w14:paraId="70D07D24" w14:textId="77777777" w:rsidR="00000000" w:rsidRDefault="00B8284C">
            <w:pPr>
              <w:pStyle w:val="a3"/>
              <w:spacing w:before="0" w:beforeAutospacing="0" w:after="0" w:afterAutospacing="0"/>
              <w:jc w:val="right"/>
              <w:rPr>
                <w:color w:val="000000"/>
                <w:sz w:val="20"/>
                <w:szCs w:val="20"/>
              </w:rPr>
            </w:pPr>
            <w:r>
              <w:rPr>
                <w:color w:val="000000"/>
                <w:sz w:val="20"/>
                <w:szCs w:val="20"/>
              </w:rPr>
              <w:t>4,784</w:t>
            </w:r>
          </w:p>
        </w:tc>
        <w:tc>
          <w:tcPr>
            <w:tcW w:w="50" w:type="pct"/>
            <w:shd w:val="clear" w:color="auto" w:fill="FFFFFF"/>
            <w:noWrap/>
            <w:tcMar>
              <w:top w:w="15" w:type="dxa"/>
              <w:left w:w="0" w:type="dxa"/>
              <w:bottom w:w="0" w:type="dxa"/>
              <w:right w:w="15" w:type="dxa"/>
            </w:tcMar>
            <w:vAlign w:val="bottom"/>
            <w:hideMark/>
          </w:tcPr>
          <w:p w14:paraId="095DC0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6CA8C9F5"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22589B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1" w:type="pct"/>
            <w:shd w:val="clear" w:color="auto" w:fill="FFFFFF"/>
            <w:noWrap/>
            <w:tcMar>
              <w:top w:w="15" w:type="dxa"/>
              <w:left w:w="0" w:type="dxa"/>
              <w:bottom w:w="0" w:type="dxa"/>
              <w:right w:w="15" w:type="dxa"/>
            </w:tcMar>
            <w:vAlign w:val="bottom"/>
            <w:hideMark/>
          </w:tcPr>
          <w:p w14:paraId="3C56A72F" w14:textId="77777777" w:rsidR="00000000" w:rsidRDefault="00B8284C">
            <w:pPr>
              <w:pStyle w:val="a3"/>
              <w:spacing w:before="0" w:beforeAutospacing="0" w:after="0" w:afterAutospacing="0"/>
              <w:jc w:val="right"/>
              <w:rPr>
                <w:color w:val="000000"/>
                <w:sz w:val="20"/>
                <w:szCs w:val="20"/>
              </w:rPr>
            </w:pPr>
            <w:r>
              <w:rPr>
                <w:color w:val="000000"/>
                <w:sz w:val="20"/>
                <w:szCs w:val="20"/>
              </w:rPr>
              <w:t>15,060</w:t>
            </w:r>
          </w:p>
        </w:tc>
        <w:tc>
          <w:tcPr>
            <w:tcW w:w="50" w:type="pct"/>
            <w:shd w:val="clear" w:color="auto" w:fill="FFFFFF"/>
            <w:noWrap/>
            <w:tcMar>
              <w:top w:w="15" w:type="dxa"/>
              <w:left w:w="0" w:type="dxa"/>
              <w:bottom w:w="0" w:type="dxa"/>
              <w:right w:w="15" w:type="dxa"/>
            </w:tcMar>
            <w:vAlign w:val="bottom"/>
            <w:hideMark/>
          </w:tcPr>
          <w:p w14:paraId="6358850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55F5086E"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3451537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1" w:type="pct"/>
            <w:shd w:val="clear" w:color="auto" w:fill="FFFFFF"/>
            <w:noWrap/>
            <w:tcMar>
              <w:top w:w="15" w:type="dxa"/>
              <w:left w:w="0" w:type="dxa"/>
              <w:bottom w:w="0" w:type="dxa"/>
              <w:right w:w="15" w:type="dxa"/>
            </w:tcMar>
            <w:vAlign w:val="bottom"/>
            <w:hideMark/>
          </w:tcPr>
          <w:p w14:paraId="2EFB6DC5" w14:textId="77777777" w:rsidR="00000000" w:rsidRDefault="00B8284C">
            <w:pPr>
              <w:pStyle w:val="a3"/>
              <w:spacing w:before="0" w:beforeAutospacing="0" w:after="0" w:afterAutospacing="0"/>
              <w:jc w:val="right"/>
              <w:rPr>
                <w:color w:val="000000"/>
                <w:sz w:val="20"/>
                <w:szCs w:val="20"/>
              </w:rPr>
            </w:pPr>
            <w:r>
              <w:rPr>
                <w:color w:val="000000"/>
                <w:sz w:val="20"/>
                <w:szCs w:val="20"/>
              </w:rPr>
              <w:t>14,054</w:t>
            </w:r>
          </w:p>
        </w:tc>
        <w:tc>
          <w:tcPr>
            <w:tcW w:w="50" w:type="pct"/>
            <w:shd w:val="clear" w:color="auto" w:fill="FFFFFF"/>
            <w:noWrap/>
            <w:tcMar>
              <w:top w:w="15" w:type="dxa"/>
              <w:left w:w="0" w:type="dxa"/>
              <w:bottom w:w="0" w:type="dxa"/>
              <w:right w:w="15" w:type="dxa"/>
            </w:tcMar>
            <w:vAlign w:val="bottom"/>
            <w:hideMark/>
          </w:tcPr>
          <w:p w14:paraId="7EAEF63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F144584" w14:textId="77777777">
        <w:trPr>
          <w:divId w:val="1634095669"/>
        </w:trPr>
        <w:tc>
          <w:tcPr>
            <w:tcW w:w="2037" w:type="pct"/>
            <w:shd w:val="clear" w:color="auto" w:fill="CFF0FC"/>
            <w:tcMar>
              <w:top w:w="15" w:type="dxa"/>
              <w:left w:w="0" w:type="dxa"/>
              <w:bottom w:w="0" w:type="dxa"/>
              <w:right w:w="15" w:type="dxa"/>
            </w:tcMar>
            <w:vAlign w:val="bottom"/>
            <w:hideMark/>
          </w:tcPr>
          <w:p w14:paraId="5A385FC6" w14:textId="77777777" w:rsidR="00000000" w:rsidRDefault="00B8284C">
            <w:pPr>
              <w:pStyle w:val="a3"/>
              <w:spacing w:before="0" w:beforeAutospacing="0" w:after="0" w:afterAutospacing="0"/>
              <w:rPr>
                <w:color w:val="000000"/>
                <w:sz w:val="20"/>
                <w:szCs w:val="20"/>
              </w:rPr>
            </w:pPr>
            <w:r>
              <w:rPr>
                <w:color w:val="000000"/>
                <w:sz w:val="20"/>
                <w:szCs w:val="20"/>
              </w:rPr>
              <w:t>Amortization of issuance costs</w:t>
            </w:r>
          </w:p>
        </w:tc>
        <w:tc>
          <w:tcPr>
            <w:tcW w:w="68" w:type="pct"/>
            <w:shd w:val="clear" w:color="auto" w:fill="CFF0FC"/>
            <w:tcMar>
              <w:top w:w="15" w:type="dxa"/>
              <w:left w:w="0" w:type="dxa"/>
              <w:bottom w:w="0" w:type="dxa"/>
              <w:right w:w="15" w:type="dxa"/>
            </w:tcMar>
            <w:vAlign w:val="bottom"/>
            <w:hideMark/>
          </w:tcPr>
          <w:p w14:paraId="3FBF1F9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22CF7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1" w:type="pct"/>
            <w:tcBorders>
              <w:bottom w:val="single" w:sz="6" w:space="0" w:color="000000"/>
            </w:tcBorders>
            <w:shd w:val="clear" w:color="auto" w:fill="CFF0FC"/>
            <w:noWrap/>
            <w:tcMar>
              <w:top w:w="15" w:type="dxa"/>
              <w:left w:w="0" w:type="dxa"/>
              <w:bottom w:w="0" w:type="dxa"/>
              <w:right w:w="15" w:type="dxa"/>
            </w:tcMar>
            <w:vAlign w:val="bottom"/>
            <w:hideMark/>
          </w:tcPr>
          <w:p w14:paraId="322B0934" w14:textId="77777777" w:rsidR="00000000" w:rsidRDefault="00B8284C">
            <w:pPr>
              <w:pStyle w:val="a3"/>
              <w:spacing w:before="0" w:beforeAutospacing="0" w:after="0" w:afterAutospacing="0"/>
              <w:jc w:val="right"/>
              <w:rPr>
                <w:color w:val="000000"/>
                <w:sz w:val="20"/>
                <w:szCs w:val="20"/>
              </w:rPr>
            </w:pPr>
            <w:r>
              <w:rPr>
                <w:color w:val="000000"/>
                <w:sz w:val="20"/>
                <w:szCs w:val="20"/>
              </w:rPr>
              <w:t>383</w:t>
            </w:r>
          </w:p>
        </w:tc>
        <w:tc>
          <w:tcPr>
            <w:tcW w:w="50" w:type="pct"/>
            <w:shd w:val="clear" w:color="auto" w:fill="CFF0FC"/>
            <w:noWrap/>
            <w:tcMar>
              <w:top w:w="15" w:type="dxa"/>
              <w:left w:w="0" w:type="dxa"/>
              <w:bottom w:w="0" w:type="dxa"/>
              <w:right w:w="15" w:type="dxa"/>
            </w:tcMar>
            <w:vAlign w:val="bottom"/>
            <w:hideMark/>
          </w:tcPr>
          <w:p w14:paraId="380CDD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6092521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6375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1" w:type="pct"/>
            <w:tcBorders>
              <w:bottom w:val="single" w:sz="6" w:space="0" w:color="000000"/>
            </w:tcBorders>
            <w:shd w:val="clear" w:color="auto" w:fill="CFF0FC"/>
            <w:noWrap/>
            <w:tcMar>
              <w:top w:w="15" w:type="dxa"/>
              <w:left w:w="0" w:type="dxa"/>
              <w:bottom w:w="0" w:type="dxa"/>
              <w:right w:w="15" w:type="dxa"/>
            </w:tcMar>
            <w:vAlign w:val="bottom"/>
            <w:hideMark/>
          </w:tcPr>
          <w:p w14:paraId="4AACE298" w14:textId="77777777" w:rsidR="00000000" w:rsidRDefault="00B8284C">
            <w:pPr>
              <w:pStyle w:val="a3"/>
              <w:spacing w:before="0" w:beforeAutospacing="0" w:after="0" w:afterAutospacing="0"/>
              <w:jc w:val="right"/>
              <w:rPr>
                <w:color w:val="000000"/>
                <w:sz w:val="20"/>
                <w:szCs w:val="20"/>
              </w:rPr>
            </w:pPr>
            <w:r>
              <w:rPr>
                <w:color w:val="000000"/>
                <w:sz w:val="20"/>
                <w:szCs w:val="20"/>
              </w:rPr>
              <w:t>357</w:t>
            </w:r>
          </w:p>
        </w:tc>
        <w:tc>
          <w:tcPr>
            <w:tcW w:w="50" w:type="pct"/>
            <w:shd w:val="clear" w:color="auto" w:fill="CFF0FC"/>
            <w:noWrap/>
            <w:tcMar>
              <w:top w:w="15" w:type="dxa"/>
              <w:left w:w="0" w:type="dxa"/>
              <w:bottom w:w="0" w:type="dxa"/>
              <w:right w:w="15" w:type="dxa"/>
            </w:tcMar>
            <w:vAlign w:val="bottom"/>
            <w:hideMark/>
          </w:tcPr>
          <w:p w14:paraId="657DB6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22C048A9"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B031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1" w:type="pct"/>
            <w:tcBorders>
              <w:bottom w:val="single" w:sz="6" w:space="0" w:color="000000"/>
            </w:tcBorders>
            <w:shd w:val="clear" w:color="auto" w:fill="CFF0FC"/>
            <w:noWrap/>
            <w:tcMar>
              <w:top w:w="15" w:type="dxa"/>
              <w:left w:w="0" w:type="dxa"/>
              <w:bottom w:w="0" w:type="dxa"/>
              <w:right w:w="15" w:type="dxa"/>
            </w:tcMar>
            <w:vAlign w:val="bottom"/>
            <w:hideMark/>
          </w:tcPr>
          <w:p w14:paraId="1375ED83" w14:textId="77777777" w:rsidR="00000000" w:rsidRDefault="00B8284C">
            <w:pPr>
              <w:pStyle w:val="a3"/>
              <w:spacing w:before="0" w:beforeAutospacing="0" w:after="0" w:afterAutospacing="0"/>
              <w:jc w:val="right"/>
              <w:rPr>
                <w:color w:val="000000"/>
                <w:sz w:val="20"/>
                <w:szCs w:val="20"/>
              </w:rPr>
            </w:pPr>
            <w:r>
              <w:rPr>
                <w:color w:val="000000"/>
                <w:sz w:val="20"/>
                <w:szCs w:val="20"/>
              </w:rPr>
              <w:t>1,124</w:t>
            </w:r>
          </w:p>
        </w:tc>
        <w:tc>
          <w:tcPr>
            <w:tcW w:w="50" w:type="pct"/>
            <w:shd w:val="clear" w:color="auto" w:fill="CFF0FC"/>
            <w:noWrap/>
            <w:tcMar>
              <w:top w:w="15" w:type="dxa"/>
              <w:left w:w="0" w:type="dxa"/>
              <w:bottom w:w="0" w:type="dxa"/>
              <w:right w:w="15" w:type="dxa"/>
            </w:tcMar>
            <w:vAlign w:val="bottom"/>
            <w:hideMark/>
          </w:tcPr>
          <w:p w14:paraId="2E2588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70F5E610"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87F28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1" w:type="pct"/>
            <w:tcBorders>
              <w:bottom w:val="single" w:sz="6" w:space="0" w:color="000000"/>
            </w:tcBorders>
            <w:shd w:val="clear" w:color="auto" w:fill="CFF0FC"/>
            <w:noWrap/>
            <w:tcMar>
              <w:top w:w="15" w:type="dxa"/>
              <w:left w:w="0" w:type="dxa"/>
              <w:bottom w:w="0" w:type="dxa"/>
              <w:right w:w="15" w:type="dxa"/>
            </w:tcMar>
            <w:vAlign w:val="bottom"/>
            <w:hideMark/>
          </w:tcPr>
          <w:p w14:paraId="0E6F91CA" w14:textId="77777777" w:rsidR="00000000" w:rsidRDefault="00B8284C">
            <w:pPr>
              <w:pStyle w:val="a3"/>
              <w:spacing w:before="0" w:beforeAutospacing="0" w:after="0" w:afterAutospacing="0"/>
              <w:jc w:val="right"/>
              <w:rPr>
                <w:color w:val="000000"/>
                <w:sz w:val="20"/>
                <w:szCs w:val="20"/>
              </w:rPr>
            </w:pPr>
            <w:r>
              <w:rPr>
                <w:color w:val="000000"/>
                <w:sz w:val="20"/>
                <w:szCs w:val="20"/>
              </w:rPr>
              <w:t>1,049</w:t>
            </w:r>
          </w:p>
        </w:tc>
        <w:tc>
          <w:tcPr>
            <w:tcW w:w="50" w:type="pct"/>
            <w:shd w:val="clear" w:color="auto" w:fill="CFF0FC"/>
            <w:noWrap/>
            <w:tcMar>
              <w:top w:w="15" w:type="dxa"/>
              <w:left w:w="0" w:type="dxa"/>
              <w:bottom w:w="0" w:type="dxa"/>
              <w:right w:w="15" w:type="dxa"/>
            </w:tcMar>
            <w:vAlign w:val="bottom"/>
            <w:hideMark/>
          </w:tcPr>
          <w:p w14:paraId="6938B21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517EA5F" w14:textId="77777777">
        <w:trPr>
          <w:divId w:val="1634095669"/>
        </w:trPr>
        <w:tc>
          <w:tcPr>
            <w:tcW w:w="2037" w:type="pct"/>
            <w:shd w:val="clear" w:color="auto" w:fill="FFFFFF"/>
            <w:tcMar>
              <w:top w:w="15" w:type="dxa"/>
              <w:left w:w="0" w:type="dxa"/>
              <w:bottom w:w="0" w:type="dxa"/>
              <w:right w:w="15" w:type="dxa"/>
            </w:tcMar>
            <w:vAlign w:val="bottom"/>
            <w:hideMark/>
          </w:tcPr>
          <w:p w14:paraId="07BB9ECA" w14:textId="77777777" w:rsidR="00000000" w:rsidRDefault="00B8284C">
            <w:pPr>
              <w:pStyle w:val="a3"/>
              <w:spacing w:before="0" w:beforeAutospacing="0" w:after="0" w:afterAutospacing="0"/>
              <w:rPr>
                <w:color w:val="000000"/>
                <w:sz w:val="20"/>
                <w:szCs w:val="20"/>
              </w:rPr>
            </w:pPr>
            <w:r>
              <w:rPr>
                <w:color w:val="000000"/>
                <w:sz w:val="20"/>
                <w:szCs w:val="20"/>
              </w:rPr>
              <w:t>Total interest expense</w:t>
            </w:r>
          </w:p>
        </w:tc>
        <w:tc>
          <w:tcPr>
            <w:tcW w:w="68" w:type="pct"/>
            <w:shd w:val="clear" w:color="auto" w:fill="FFFFFF"/>
            <w:tcMar>
              <w:top w:w="15" w:type="dxa"/>
              <w:left w:w="0" w:type="dxa"/>
              <w:bottom w:w="0" w:type="dxa"/>
              <w:right w:w="15" w:type="dxa"/>
            </w:tcMar>
            <w:vAlign w:val="bottom"/>
            <w:hideMark/>
          </w:tcPr>
          <w:p w14:paraId="43C769F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4385C7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3FAB6E" w14:textId="77777777" w:rsidR="00000000" w:rsidRDefault="00B8284C">
            <w:pPr>
              <w:pStyle w:val="a3"/>
              <w:spacing w:before="0" w:beforeAutospacing="0" w:after="0" w:afterAutospacing="0"/>
              <w:jc w:val="right"/>
              <w:rPr>
                <w:color w:val="000000"/>
                <w:sz w:val="20"/>
                <w:szCs w:val="20"/>
              </w:rPr>
            </w:pPr>
            <w:r>
              <w:rPr>
                <w:color w:val="000000"/>
                <w:sz w:val="20"/>
                <w:szCs w:val="20"/>
              </w:rPr>
              <w:t>5,759</w:t>
            </w:r>
          </w:p>
        </w:tc>
        <w:tc>
          <w:tcPr>
            <w:tcW w:w="50" w:type="pct"/>
            <w:shd w:val="clear" w:color="auto" w:fill="FFFFFF"/>
            <w:noWrap/>
            <w:tcMar>
              <w:top w:w="15" w:type="dxa"/>
              <w:left w:w="0" w:type="dxa"/>
              <w:bottom w:w="0" w:type="dxa"/>
              <w:right w:w="15" w:type="dxa"/>
            </w:tcMar>
            <w:vAlign w:val="bottom"/>
            <w:hideMark/>
          </w:tcPr>
          <w:p w14:paraId="52A053E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6BBFC6E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3F04D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A922BE" w14:textId="77777777" w:rsidR="00000000" w:rsidRDefault="00B8284C">
            <w:pPr>
              <w:pStyle w:val="a3"/>
              <w:spacing w:before="0" w:beforeAutospacing="0" w:after="0" w:afterAutospacing="0"/>
              <w:jc w:val="right"/>
              <w:rPr>
                <w:color w:val="000000"/>
                <w:sz w:val="20"/>
                <w:szCs w:val="20"/>
              </w:rPr>
            </w:pPr>
            <w:r>
              <w:rPr>
                <w:color w:val="000000"/>
                <w:sz w:val="20"/>
                <w:szCs w:val="20"/>
              </w:rPr>
              <w:t>5,391</w:t>
            </w:r>
          </w:p>
        </w:tc>
        <w:tc>
          <w:tcPr>
            <w:tcW w:w="50" w:type="pct"/>
            <w:shd w:val="clear" w:color="auto" w:fill="FFFFFF"/>
            <w:noWrap/>
            <w:tcMar>
              <w:top w:w="15" w:type="dxa"/>
              <w:left w:w="0" w:type="dxa"/>
              <w:bottom w:w="0" w:type="dxa"/>
              <w:right w:w="15" w:type="dxa"/>
            </w:tcMar>
            <w:vAlign w:val="bottom"/>
            <w:hideMark/>
          </w:tcPr>
          <w:p w14:paraId="7EA691C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5734BAA4"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E91CF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080A97" w14:textId="77777777" w:rsidR="00000000" w:rsidRDefault="00B8284C">
            <w:pPr>
              <w:pStyle w:val="a3"/>
              <w:spacing w:before="0" w:beforeAutospacing="0" w:after="0" w:afterAutospacing="0"/>
              <w:jc w:val="right"/>
              <w:rPr>
                <w:color w:val="000000"/>
                <w:sz w:val="20"/>
                <w:szCs w:val="20"/>
              </w:rPr>
            </w:pPr>
            <w:r>
              <w:rPr>
                <w:color w:val="000000"/>
                <w:sz w:val="20"/>
                <w:szCs w:val="20"/>
              </w:rPr>
              <w:t>16,934</w:t>
            </w:r>
          </w:p>
        </w:tc>
        <w:tc>
          <w:tcPr>
            <w:tcW w:w="50" w:type="pct"/>
            <w:shd w:val="clear" w:color="auto" w:fill="FFFFFF"/>
            <w:noWrap/>
            <w:tcMar>
              <w:top w:w="15" w:type="dxa"/>
              <w:left w:w="0" w:type="dxa"/>
              <w:bottom w:w="0" w:type="dxa"/>
              <w:right w:w="15" w:type="dxa"/>
            </w:tcMar>
            <w:vAlign w:val="bottom"/>
            <w:hideMark/>
          </w:tcPr>
          <w:p w14:paraId="6D8B0F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0AEA4095"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BC599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C5B7F1" w14:textId="77777777" w:rsidR="00000000" w:rsidRDefault="00B8284C">
            <w:pPr>
              <w:pStyle w:val="a3"/>
              <w:spacing w:before="0" w:beforeAutospacing="0" w:after="0" w:afterAutospacing="0"/>
              <w:jc w:val="right"/>
              <w:rPr>
                <w:color w:val="000000"/>
                <w:sz w:val="20"/>
                <w:szCs w:val="20"/>
              </w:rPr>
            </w:pPr>
            <w:r>
              <w:rPr>
                <w:color w:val="000000"/>
                <w:sz w:val="20"/>
                <w:szCs w:val="20"/>
              </w:rPr>
              <w:t>15,853</w:t>
            </w:r>
          </w:p>
        </w:tc>
        <w:tc>
          <w:tcPr>
            <w:tcW w:w="50" w:type="pct"/>
            <w:shd w:val="clear" w:color="auto" w:fill="FFFFFF"/>
            <w:noWrap/>
            <w:tcMar>
              <w:top w:w="15" w:type="dxa"/>
              <w:left w:w="0" w:type="dxa"/>
              <w:bottom w:w="0" w:type="dxa"/>
              <w:right w:w="15" w:type="dxa"/>
            </w:tcMar>
            <w:vAlign w:val="bottom"/>
            <w:hideMark/>
          </w:tcPr>
          <w:p w14:paraId="0F2E7A56"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0186E9AD" w14:textId="77777777" w:rsidR="00000000" w:rsidRDefault="00B8284C">
      <w:pPr>
        <w:pStyle w:val="a3"/>
        <w:spacing w:before="0" w:beforeAutospacing="0" w:after="0" w:afterAutospacing="0"/>
        <w:rPr>
          <w:sz w:val="18"/>
          <w:szCs w:val="18"/>
        </w:rPr>
      </w:pPr>
      <w:r>
        <w:rPr>
          <w:sz w:val="18"/>
          <w:szCs w:val="18"/>
        </w:rPr>
        <w:t> </w:t>
      </w:r>
    </w:p>
    <w:p w14:paraId="2FBF36F0" w14:textId="77777777" w:rsidR="00000000" w:rsidRDefault="00B8284C">
      <w:pPr>
        <w:pStyle w:val="a3"/>
        <w:spacing w:before="240" w:beforeAutospacing="0" w:after="0" w:afterAutospacing="0"/>
        <w:jc w:val="center"/>
        <w:rPr>
          <w:sz w:val="20"/>
          <w:szCs w:val="20"/>
        </w:rPr>
      </w:pPr>
      <w:r>
        <w:rPr>
          <w:sz w:val="20"/>
          <w:szCs w:val="20"/>
        </w:rPr>
        <w:t>16</w:t>
      </w:r>
    </w:p>
    <w:p w14:paraId="55AB6BA8" w14:textId="77777777" w:rsidR="00000000" w:rsidRDefault="00B8284C">
      <w:pPr>
        <w:rPr>
          <w:rFonts w:eastAsia="Times New Roman"/>
        </w:rPr>
      </w:pPr>
      <w:r>
        <w:rPr>
          <w:rFonts w:eastAsia="Times New Roman"/>
        </w:rPr>
        <w:pict w14:anchorId="691CF62E">
          <v:rect id="_x0000_i1040" style="width:0;height:1.5pt" o:hralign="center" o:hrstd="t" o:hr="t" fillcolor="#a0a0a0" stroked="f"/>
        </w:pict>
      </w:r>
    </w:p>
    <w:p w14:paraId="2C4DE28A" w14:textId="77777777" w:rsidR="00000000" w:rsidRDefault="00B8284C">
      <w:pPr>
        <w:pStyle w:val="a3"/>
        <w:spacing w:before="0" w:beforeAutospacing="0" w:after="0" w:afterAutospacing="0"/>
        <w:rPr>
          <w:sz w:val="20"/>
          <w:szCs w:val="20"/>
        </w:rPr>
      </w:pPr>
      <w:r>
        <w:rPr>
          <w:sz w:val="20"/>
          <w:szCs w:val="20"/>
        </w:rPr>
        <w:t> </w:t>
      </w:r>
    </w:p>
    <w:p w14:paraId="42F8837A" w14:textId="77777777" w:rsidR="00000000" w:rsidRDefault="00B8284C">
      <w:pPr>
        <w:pStyle w:val="a3"/>
        <w:spacing w:before="0" w:beforeAutospacing="0" w:after="0" w:afterAutospacing="0"/>
        <w:rPr>
          <w:sz w:val="18"/>
          <w:szCs w:val="18"/>
        </w:rPr>
      </w:pPr>
      <w:r>
        <w:rPr>
          <w:sz w:val="18"/>
          <w:szCs w:val="18"/>
        </w:rPr>
        <w:t> </w:t>
      </w:r>
    </w:p>
    <w:p w14:paraId="52D8B3C4" w14:textId="77777777" w:rsidR="00000000" w:rsidRDefault="00B8284C">
      <w:pPr>
        <w:pStyle w:val="a3"/>
        <w:spacing w:before="0" w:beforeAutospacing="0" w:after="0" w:afterAutospacing="0"/>
        <w:rPr>
          <w:b/>
          <w:bCs/>
          <w:sz w:val="20"/>
          <w:szCs w:val="20"/>
        </w:rPr>
      </w:pPr>
      <w:r>
        <w:rPr>
          <w:b/>
          <w:bCs/>
          <w:sz w:val="20"/>
          <w:szCs w:val="20"/>
        </w:rPr>
        <w:t>10. Commitments and Contingencies</w:t>
      </w:r>
    </w:p>
    <w:p w14:paraId="5E7534E0" w14:textId="77777777" w:rsidR="00000000" w:rsidRDefault="00B8284C">
      <w:pPr>
        <w:pStyle w:val="a3"/>
        <w:spacing w:before="120" w:beforeAutospacing="0" w:after="0" w:afterAutospacing="0"/>
        <w:rPr>
          <w:i/>
          <w:iCs/>
          <w:sz w:val="20"/>
          <w:szCs w:val="20"/>
        </w:rPr>
      </w:pPr>
      <w:r>
        <w:rPr>
          <w:i/>
          <w:iCs/>
          <w:sz w:val="20"/>
          <w:szCs w:val="20"/>
        </w:rPr>
        <w:t>Contractual Obligations</w:t>
      </w:r>
    </w:p>
    <w:p w14:paraId="517A6AF0" w14:textId="77777777" w:rsidR="00000000" w:rsidRDefault="00B8284C">
      <w:pPr>
        <w:pStyle w:val="a3"/>
        <w:spacing w:before="120" w:beforeAutospacing="0" w:after="0" w:afterAutospacing="0"/>
        <w:ind w:firstLine="556"/>
        <w:rPr>
          <w:color w:val="000000"/>
          <w:sz w:val="20"/>
          <w:szCs w:val="20"/>
        </w:rPr>
      </w:pPr>
      <w:r>
        <w:rPr>
          <w:color w:val="000000"/>
          <w:sz w:val="20"/>
          <w:szCs w:val="20"/>
        </w:rPr>
        <w:t>The Company leases its office facilities under non-cancelable operating leases that expire at various dates through May 2031. Lease expense for non-cancelable</w:t>
      </w:r>
      <w:r>
        <w:rPr>
          <w:color w:val="000000"/>
          <w:sz w:val="20"/>
          <w:szCs w:val="20"/>
        </w:rPr>
        <w:t xml:space="preserve"> operating leases with free rental periods or scheduled rent increases is recognized on a straight-line basis over the terms of the leases. Improvement reimbursements from landlords of $13.8 million are being amortized on a straight-line basis into lease e</w:t>
      </w:r>
      <w:r>
        <w:rPr>
          <w:color w:val="000000"/>
          <w:sz w:val="20"/>
          <w:szCs w:val="20"/>
        </w:rPr>
        <w:t>xpense over the terms of the leases.  Certain leases contain optional termination dates. The table below only includes payments up to the optional termination date. If the Company were to extend leases beyond the optional termination date the future commit</w:t>
      </w:r>
      <w:r>
        <w:rPr>
          <w:color w:val="000000"/>
          <w:sz w:val="20"/>
          <w:szCs w:val="20"/>
        </w:rPr>
        <w:t>ments would increase by approximately $80.2 million.</w:t>
      </w:r>
    </w:p>
    <w:p w14:paraId="606552CD" w14:textId="77777777" w:rsidR="00000000" w:rsidRDefault="00B8284C">
      <w:pPr>
        <w:pStyle w:val="a3"/>
        <w:spacing w:before="240" w:beforeAutospacing="0" w:after="0" w:afterAutospacing="0"/>
        <w:ind w:firstLine="556"/>
        <w:rPr>
          <w:sz w:val="20"/>
          <w:szCs w:val="20"/>
        </w:rPr>
      </w:pPr>
      <w:r>
        <w:rPr>
          <w:sz w:val="20"/>
          <w:szCs w:val="20"/>
        </w:rPr>
        <w:t>Included in the table below are operating lease commitments for leases that have not yet commenced of approximately $41.3 million for facilities with lease terms of approximately 10 years in the United S</w:t>
      </w:r>
      <w:r>
        <w:rPr>
          <w:sz w:val="20"/>
          <w:szCs w:val="20"/>
        </w:rPr>
        <w:t>tates, 4 years in Singapore, and 1 year in Colombia.</w:t>
      </w:r>
    </w:p>
    <w:p w14:paraId="2A26659B" w14:textId="77777777" w:rsidR="00000000" w:rsidRDefault="00B8284C">
      <w:pPr>
        <w:pStyle w:val="a3"/>
        <w:spacing w:before="240" w:beforeAutospacing="0" w:after="0" w:afterAutospacing="0"/>
        <w:ind w:firstLine="556"/>
        <w:rPr>
          <w:sz w:val="20"/>
          <w:szCs w:val="20"/>
        </w:rPr>
      </w:pPr>
      <w:r>
        <w:rPr>
          <w:sz w:val="20"/>
          <w:szCs w:val="20"/>
        </w:rPr>
        <w:t>Future minimum payments under all operating and finance lease agreements as of September 30, 2019 are as follows:</w:t>
      </w:r>
    </w:p>
    <w:p w14:paraId="1E14AAB3" w14:textId="77777777" w:rsidR="00000000" w:rsidRDefault="00B8284C">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44"/>
        <w:gridCol w:w="100"/>
        <w:gridCol w:w="115"/>
        <w:gridCol w:w="848"/>
        <w:gridCol w:w="65"/>
        <w:gridCol w:w="94"/>
        <w:gridCol w:w="66"/>
        <w:gridCol w:w="848"/>
        <w:gridCol w:w="65"/>
      </w:tblGrid>
      <w:tr w:rsidR="00000000" w14:paraId="6B8FF2C3" w14:textId="77777777">
        <w:trPr>
          <w:divId w:val="263728320"/>
        </w:trPr>
        <w:tc>
          <w:tcPr>
            <w:tcW w:w="3349" w:type="pct"/>
            <w:shd w:val="clear" w:color="auto" w:fill="FFFFFF"/>
            <w:tcMar>
              <w:top w:w="15" w:type="dxa"/>
              <w:left w:w="0" w:type="dxa"/>
              <w:bottom w:w="0" w:type="dxa"/>
              <w:right w:w="15" w:type="dxa"/>
            </w:tcMar>
            <w:vAlign w:val="bottom"/>
            <w:hideMark/>
          </w:tcPr>
          <w:p w14:paraId="19E56222" w14:textId="77777777" w:rsidR="00000000" w:rsidRDefault="00B8284C">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0FF2624F"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60B22DC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14:paraId="2E92937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48301F3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792A326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Finance</w:t>
            </w:r>
          </w:p>
        </w:tc>
        <w:tc>
          <w:tcPr>
            <w:tcW w:w="50" w:type="pct"/>
            <w:shd w:val="clear" w:color="auto" w:fill="FFFFFF"/>
            <w:noWrap/>
            <w:tcMar>
              <w:top w:w="15" w:type="dxa"/>
              <w:left w:w="0" w:type="dxa"/>
              <w:bottom w:w="0" w:type="dxa"/>
              <w:right w:w="15" w:type="dxa"/>
            </w:tcMar>
            <w:vAlign w:val="bottom"/>
            <w:hideMark/>
          </w:tcPr>
          <w:p w14:paraId="62DDA1A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C6E5365" w14:textId="77777777">
        <w:trPr>
          <w:divId w:val="263728320"/>
        </w:trPr>
        <w:tc>
          <w:tcPr>
            <w:tcW w:w="3349" w:type="pct"/>
            <w:shd w:val="clear" w:color="auto" w:fill="FFFFFF"/>
            <w:tcMar>
              <w:top w:w="15" w:type="dxa"/>
              <w:left w:w="0" w:type="dxa"/>
              <w:bottom w:w="0" w:type="dxa"/>
              <w:right w:w="15" w:type="dxa"/>
            </w:tcMar>
            <w:vAlign w:val="bottom"/>
            <w:hideMark/>
          </w:tcPr>
          <w:p w14:paraId="0C611449"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0353E84D"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450372C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0579EA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1BD17F3" w14:textId="77777777">
        <w:trPr>
          <w:divId w:val="263728320"/>
        </w:trPr>
        <w:tc>
          <w:tcPr>
            <w:tcW w:w="3349" w:type="pct"/>
            <w:shd w:val="clear" w:color="auto" w:fill="CFF0FC"/>
            <w:tcMar>
              <w:top w:w="15" w:type="dxa"/>
              <w:left w:w="0" w:type="dxa"/>
              <w:bottom w:w="0" w:type="dxa"/>
              <w:right w:w="15" w:type="dxa"/>
            </w:tcMar>
            <w:hideMark/>
          </w:tcPr>
          <w:p w14:paraId="1F8224A8" w14:textId="77777777" w:rsidR="00000000" w:rsidRDefault="00B8284C">
            <w:pPr>
              <w:pStyle w:val="a3"/>
              <w:spacing w:before="0" w:beforeAutospacing="0" w:after="0" w:afterAutospacing="0"/>
              <w:rPr>
                <w:color w:val="000000"/>
                <w:sz w:val="20"/>
                <w:szCs w:val="20"/>
              </w:rPr>
            </w:pPr>
            <w:r>
              <w:rPr>
                <w:color w:val="000000"/>
                <w:sz w:val="20"/>
                <w:szCs w:val="20"/>
              </w:rPr>
              <w:t>2019</w:t>
            </w:r>
          </w:p>
        </w:tc>
        <w:tc>
          <w:tcPr>
            <w:tcW w:w="81" w:type="pct"/>
            <w:shd w:val="clear" w:color="auto" w:fill="CFF0FC"/>
            <w:tcMar>
              <w:top w:w="15" w:type="dxa"/>
              <w:left w:w="0" w:type="dxa"/>
              <w:bottom w:w="0" w:type="dxa"/>
              <w:right w:w="15" w:type="dxa"/>
            </w:tcMar>
            <w:vAlign w:val="center"/>
            <w:hideMark/>
          </w:tcPr>
          <w:p w14:paraId="5EC508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D60F0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7A0AE04B" w14:textId="77777777" w:rsidR="00000000" w:rsidRDefault="00B8284C">
            <w:pPr>
              <w:pStyle w:val="a3"/>
              <w:spacing w:before="0" w:beforeAutospacing="0" w:after="0" w:afterAutospacing="0"/>
              <w:jc w:val="right"/>
              <w:rPr>
                <w:color w:val="000000"/>
                <w:sz w:val="20"/>
                <w:szCs w:val="20"/>
              </w:rPr>
            </w:pPr>
            <w:r>
              <w:rPr>
                <w:color w:val="000000"/>
                <w:sz w:val="20"/>
                <w:szCs w:val="20"/>
              </w:rPr>
              <w:t>7,326</w:t>
            </w:r>
          </w:p>
        </w:tc>
        <w:tc>
          <w:tcPr>
            <w:tcW w:w="50" w:type="pct"/>
            <w:shd w:val="clear" w:color="auto" w:fill="CFF0FC"/>
            <w:noWrap/>
            <w:tcMar>
              <w:top w:w="15" w:type="dxa"/>
              <w:left w:w="0" w:type="dxa"/>
              <w:bottom w:w="0" w:type="dxa"/>
              <w:right w:w="15" w:type="dxa"/>
            </w:tcMar>
            <w:vAlign w:val="bottom"/>
            <w:hideMark/>
          </w:tcPr>
          <w:p w14:paraId="0E4BA74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75CA5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084C02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14:paraId="670C0530" w14:textId="77777777" w:rsidR="00000000" w:rsidRDefault="00B8284C">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center"/>
            <w:hideMark/>
          </w:tcPr>
          <w:p w14:paraId="532FF45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D5A5445" w14:textId="77777777">
        <w:trPr>
          <w:divId w:val="263728320"/>
        </w:trPr>
        <w:tc>
          <w:tcPr>
            <w:tcW w:w="3349" w:type="pct"/>
            <w:shd w:val="clear" w:color="auto" w:fill="FFFFFF"/>
            <w:tcMar>
              <w:top w:w="15" w:type="dxa"/>
              <w:left w:w="0" w:type="dxa"/>
              <w:bottom w:w="0" w:type="dxa"/>
              <w:right w:w="15" w:type="dxa"/>
            </w:tcMar>
            <w:hideMark/>
          </w:tcPr>
          <w:p w14:paraId="7E4CB285" w14:textId="77777777" w:rsidR="00000000" w:rsidRDefault="00B8284C">
            <w:pPr>
              <w:pStyle w:val="a3"/>
              <w:spacing w:before="0" w:beforeAutospacing="0" w:after="0" w:afterAutospacing="0"/>
              <w:rPr>
                <w:color w:val="000000"/>
                <w:sz w:val="20"/>
                <w:szCs w:val="20"/>
              </w:rPr>
            </w:pPr>
            <w:r>
              <w:rPr>
                <w:color w:val="000000"/>
                <w:sz w:val="20"/>
                <w:szCs w:val="20"/>
              </w:rPr>
              <w:t>2020</w:t>
            </w:r>
          </w:p>
        </w:tc>
        <w:tc>
          <w:tcPr>
            <w:tcW w:w="81" w:type="pct"/>
            <w:shd w:val="clear" w:color="auto" w:fill="FFFFFF"/>
            <w:tcMar>
              <w:top w:w="15" w:type="dxa"/>
              <w:left w:w="0" w:type="dxa"/>
              <w:bottom w:w="0" w:type="dxa"/>
              <w:right w:w="15" w:type="dxa"/>
            </w:tcMar>
            <w:vAlign w:val="center"/>
            <w:hideMark/>
          </w:tcPr>
          <w:p w14:paraId="5F69923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1B82E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A7A9F5A" w14:textId="77777777" w:rsidR="00000000" w:rsidRDefault="00B8284C">
            <w:pPr>
              <w:pStyle w:val="a3"/>
              <w:spacing w:before="0" w:beforeAutospacing="0" w:after="0" w:afterAutospacing="0"/>
              <w:jc w:val="right"/>
              <w:rPr>
                <w:color w:val="000000"/>
                <w:sz w:val="20"/>
                <w:szCs w:val="20"/>
              </w:rPr>
            </w:pPr>
            <w:r>
              <w:rPr>
                <w:color w:val="000000"/>
                <w:sz w:val="20"/>
                <w:szCs w:val="20"/>
              </w:rPr>
              <w:t>36,782</w:t>
            </w:r>
          </w:p>
        </w:tc>
        <w:tc>
          <w:tcPr>
            <w:tcW w:w="50" w:type="pct"/>
            <w:shd w:val="clear" w:color="auto" w:fill="FFFFFF"/>
            <w:noWrap/>
            <w:tcMar>
              <w:top w:w="15" w:type="dxa"/>
              <w:left w:w="0" w:type="dxa"/>
              <w:bottom w:w="0" w:type="dxa"/>
              <w:right w:w="15" w:type="dxa"/>
            </w:tcMar>
            <w:vAlign w:val="bottom"/>
            <w:hideMark/>
          </w:tcPr>
          <w:p w14:paraId="7D40373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392BB3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4F258B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14:paraId="6E5D934F"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14:paraId="16E9407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C292088" w14:textId="77777777">
        <w:trPr>
          <w:divId w:val="263728320"/>
        </w:trPr>
        <w:tc>
          <w:tcPr>
            <w:tcW w:w="3349" w:type="pct"/>
            <w:shd w:val="clear" w:color="auto" w:fill="CFF0FC"/>
            <w:tcMar>
              <w:top w:w="15" w:type="dxa"/>
              <w:left w:w="0" w:type="dxa"/>
              <w:bottom w:w="0" w:type="dxa"/>
              <w:right w:w="15" w:type="dxa"/>
            </w:tcMar>
            <w:hideMark/>
          </w:tcPr>
          <w:p w14:paraId="5D5FA266" w14:textId="77777777" w:rsidR="00000000" w:rsidRDefault="00B8284C">
            <w:pPr>
              <w:pStyle w:val="a3"/>
              <w:spacing w:before="0" w:beforeAutospacing="0" w:after="0" w:afterAutospacing="0"/>
              <w:rPr>
                <w:color w:val="000000"/>
                <w:sz w:val="20"/>
                <w:szCs w:val="20"/>
              </w:rPr>
            </w:pPr>
            <w:r>
              <w:rPr>
                <w:color w:val="000000"/>
                <w:sz w:val="20"/>
                <w:szCs w:val="20"/>
              </w:rPr>
              <w:t>2021</w:t>
            </w:r>
          </w:p>
        </w:tc>
        <w:tc>
          <w:tcPr>
            <w:tcW w:w="81" w:type="pct"/>
            <w:shd w:val="clear" w:color="auto" w:fill="CFF0FC"/>
            <w:tcMar>
              <w:top w:w="15" w:type="dxa"/>
              <w:left w:w="0" w:type="dxa"/>
              <w:bottom w:w="0" w:type="dxa"/>
              <w:right w:w="15" w:type="dxa"/>
            </w:tcMar>
            <w:vAlign w:val="center"/>
            <w:hideMark/>
          </w:tcPr>
          <w:p w14:paraId="38E5F9E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B0B40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AF7A20C" w14:textId="77777777" w:rsidR="00000000" w:rsidRDefault="00B8284C">
            <w:pPr>
              <w:pStyle w:val="a3"/>
              <w:spacing w:before="0" w:beforeAutospacing="0" w:after="0" w:afterAutospacing="0"/>
              <w:jc w:val="right"/>
              <w:rPr>
                <w:color w:val="000000"/>
                <w:sz w:val="20"/>
                <w:szCs w:val="20"/>
              </w:rPr>
            </w:pPr>
            <w:r>
              <w:rPr>
                <w:color w:val="000000"/>
                <w:sz w:val="20"/>
                <w:szCs w:val="20"/>
              </w:rPr>
              <w:t>39,957</w:t>
            </w:r>
          </w:p>
        </w:tc>
        <w:tc>
          <w:tcPr>
            <w:tcW w:w="50" w:type="pct"/>
            <w:shd w:val="clear" w:color="auto" w:fill="CFF0FC"/>
            <w:noWrap/>
            <w:tcMar>
              <w:top w:w="15" w:type="dxa"/>
              <w:left w:w="0" w:type="dxa"/>
              <w:bottom w:w="0" w:type="dxa"/>
              <w:right w:w="15" w:type="dxa"/>
            </w:tcMar>
            <w:vAlign w:val="bottom"/>
            <w:hideMark/>
          </w:tcPr>
          <w:p w14:paraId="49108B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AD641E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28AACC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14:paraId="3B7DC46E"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14:paraId="62E5924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2ABF6C1" w14:textId="77777777">
        <w:trPr>
          <w:divId w:val="263728320"/>
        </w:trPr>
        <w:tc>
          <w:tcPr>
            <w:tcW w:w="3349" w:type="pct"/>
            <w:shd w:val="clear" w:color="auto" w:fill="FFFFFF"/>
            <w:tcMar>
              <w:top w:w="15" w:type="dxa"/>
              <w:left w:w="0" w:type="dxa"/>
              <w:bottom w:w="0" w:type="dxa"/>
              <w:right w:w="15" w:type="dxa"/>
            </w:tcMar>
            <w:hideMark/>
          </w:tcPr>
          <w:p w14:paraId="70D1D579" w14:textId="77777777" w:rsidR="00000000" w:rsidRDefault="00B8284C">
            <w:pPr>
              <w:pStyle w:val="a3"/>
              <w:spacing w:before="0" w:beforeAutospacing="0" w:after="0" w:afterAutospacing="0"/>
              <w:rPr>
                <w:color w:val="000000"/>
                <w:sz w:val="20"/>
                <w:szCs w:val="20"/>
              </w:rPr>
            </w:pPr>
            <w:r>
              <w:rPr>
                <w:color w:val="000000"/>
                <w:sz w:val="20"/>
                <w:szCs w:val="20"/>
              </w:rPr>
              <w:t>2022</w:t>
            </w:r>
          </w:p>
        </w:tc>
        <w:tc>
          <w:tcPr>
            <w:tcW w:w="81" w:type="pct"/>
            <w:shd w:val="clear" w:color="auto" w:fill="FFFFFF"/>
            <w:tcMar>
              <w:top w:w="15" w:type="dxa"/>
              <w:left w:w="0" w:type="dxa"/>
              <w:bottom w:w="0" w:type="dxa"/>
              <w:right w:w="15" w:type="dxa"/>
            </w:tcMar>
            <w:vAlign w:val="center"/>
            <w:hideMark/>
          </w:tcPr>
          <w:p w14:paraId="3CF77B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4A5AD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88B7C17" w14:textId="77777777" w:rsidR="00000000" w:rsidRDefault="00B8284C">
            <w:pPr>
              <w:pStyle w:val="a3"/>
              <w:spacing w:before="0" w:beforeAutospacing="0" w:after="0" w:afterAutospacing="0"/>
              <w:jc w:val="right"/>
              <w:rPr>
                <w:color w:val="000000"/>
                <w:sz w:val="20"/>
                <w:szCs w:val="20"/>
              </w:rPr>
            </w:pPr>
            <w:r>
              <w:rPr>
                <w:color w:val="000000"/>
                <w:sz w:val="20"/>
                <w:szCs w:val="20"/>
              </w:rPr>
              <w:t>39,875</w:t>
            </w:r>
          </w:p>
        </w:tc>
        <w:tc>
          <w:tcPr>
            <w:tcW w:w="50" w:type="pct"/>
            <w:shd w:val="clear" w:color="auto" w:fill="FFFFFF"/>
            <w:noWrap/>
            <w:tcMar>
              <w:top w:w="15" w:type="dxa"/>
              <w:left w:w="0" w:type="dxa"/>
              <w:bottom w:w="0" w:type="dxa"/>
              <w:right w:w="15" w:type="dxa"/>
            </w:tcMar>
            <w:vAlign w:val="bottom"/>
            <w:hideMark/>
          </w:tcPr>
          <w:p w14:paraId="0A2448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D0262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4F92ACE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14:paraId="48FEDA67"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14:paraId="740D70C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C4F8A6C" w14:textId="77777777">
        <w:trPr>
          <w:divId w:val="263728320"/>
        </w:trPr>
        <w:tc>
          <w:tcPr>
            <w:tcW w:w="3349" w:type="pct"/>
            <w:shd w:val="clear" w:color="auto" w:fill="CFF0FC"/>
            <w:tcMar>
              <w:top w:w="15" w:type="dxa"/>
              <w:left w:w="0" w:type="dxa"/>
              <w:bottom w:w="0" w:type="dxa"/>
              <w:right w:w="15" w:type="dxa"/>
            </w:tcMar>
            <w:hideMark/>
          </w:tcPr>
          <w:p w14:paraId="5A262526" w14:textId="77777777" w:rsidR="00000000" w:rsidRDefault="00B8284C">
            <w:pPr>
              <w:pStyle w:val="a3"/>
              <w:spacing w:before="0" w:beforeAutospacing="0" w:after="0" w:afterAutospacing="0"/>
              <w:rPr>
                <w:color w:val="000000"/>
                <w:sz w:val="20"/>
                <w:szCs w:val="20"/>
              </w:rPr>
            </w:pPr>
            <w:r>
              <w:rPr>
                <w:color w:val="000000"/>
                <w:sz w:val="20"/>
                <w:szCs w:val="20"/>
              </w:rPr>
              <w:t>2023</w:t>
            </w:r>
          </w:p>
        </w:tc>
        <w:tc>
          <w:tcPr>
            <w:tcW w:w="81" w:type="pct"/>
            <w:shd w:val="clear" w:color="auto" w:fill="CFF0FC"/>
            <w:tcMar>
              <w:top w:w="15" w:type="dxa"/>
              <w:left w:w="0" w:type="dxa"/>
              <w:bottom w:w="0" w:type="dxa"/>
              <w:right w:w="15" w:type="dxa"/>
            </w:tcMar>
            <w:vAlign w:val="center"/>
            <w:hideMark/>
          </w:tcPr>
          <w:p w14:paraId="046C17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C489B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BE3929D" w14:textId="77777777" w:rsidR="00000000" w:rsidRDefault="00B8284C">
            <w:pPr>
              <w:pStyle w:val="a3"/>
              <w:spacing w:before="0" w:beforeAutospacing="0" w:after="0" w:afterAutospacing="0"/>
              <w:jc w:val="right"/>
              <w:rPr>
                <w:color w:val="000000"/>
                <w:sz w:val="20"/>
                <w:szCs w:val="20"/>
              </w:rPr>
            </w:pPr>
            <w:r>
              <w:rPr>
                <w:color w:val="000000"/>
                <w:sz w:val="20"/>
                <w:szCs w:val="20"/>
              </w:rPr>
              <w:t>39,542</w:t>
            </w:r>
          </w:p>
        </w:tc>
        <w:tc>
          <w:tcPr>
            <w:tcW w:w="50" w:type="pct"/>
            <w:shd w:val="clear" w:color="auto" w:fill="CFF0FC"/>
            <w:noWrap/>
            <w:tcMar>
              <w:top w:w="15" w:type="dxa"/>
              <w:left w:w="0" w:type="dxa"/>
              <w:bottom w:w="0" w:type="dxa"/>
              <w:right w:w="15" w:type="dxa"/>
            </w:tcMar>
            <w:vAlign w:val="bottom"/>
            <w:hideMark/>
          </w:tcPr>
          <w:p w14:paraId="547C4A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F4E9C6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45D2CD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14:paraId="43243B31"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14:paraId="5FFF9DA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E152828" w14:textId="77777777">
        <w:trPr>
          <w:divId w:val="263728320"/>
        </w:trPr>
        <w:tc>
          <w:tcPr>
            <w:tcW w:w="3349" w:type="pct"/>
            <w:shd w:val="clear" w:color="auto" w:fill="FFFFFF"/>
            <w:tcMar>
              <w:top w:w="15" w:type="dxa"/>
              <w:left w:w="0" w:type="dxa"/>
              <w:bottom w:w="0" w:type="dxa"/>
              <w:right w:w="15" w:type="dxa"/>
            </w:tcMar>
            <w:hideMark/>
          </w:tcPr>
          <w:p w14:paraId="427E3603" w14:textId="77777777" w:rsidR="00000000" w:rsidRDefault="00B8284C">
            <w:pPr>
              <w:pStyle w:val="a3"/>
              <w:spacing w:before="0" w:beforeAutospacing="0" w:after="0" w:afterAutospacing="0"/>
              <w:rPr>
                <w:color w:val="000000"/>
                <w:sz w:val="20"/>
                <w:szCs w:val="20"/>
              </w:rPr>
            </w:pPr>
            <w:r>
              <w:rPr>
                <w:color w:val="000000"/>
                <w:sz w:val="20"/>
                <w:szCs w:val="20"/>
              </w:rPr>
              <w:t>Thereafter</w:t>
            </w:r>
          </w:p>
        </w:tc>
        <w:tc>
          <w:tcPr>
            <w:tcW w:w="81" w:type="pct"/>
            <w:shd w:val="clear" w:color="auto" w:fill="FFFFFF"/>
            <w:tcMar>
              <w:top w:w="15" w:type="dxa"/>
              <w:left w:w="0" w:type="dxa"/>
              <w:bottom w:w="0" w:type="dxa"/>
              <w:right w:w="15" w:type="dxa"/>
            </w:tcMar>
            <w:vAlign w:val="center"/>
            <w:hideMark/>
          </w:tcPr>
          <w:p w14:paraId="7EEAF6C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709A9B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8C01277" w14:textId="77777777" w:rsidR="00000000" w:rsidRDefault="00B8284C">
            <w:pPr>
              <w:pStyle w:val="a3"/>
              <w:spacing w:before="0" w:beforeAutospacing="0" w:after="0" w:afterAutospacing="0"/>
              <w:jc w:val="right"/>
              <w:rPr>
                <w:color w:val="000000"/>
                <w:sz w:val="20"/>
                <w:szCs w:val="20"/>
              </w:rPr>
            </w:pPr>
            <w:r>
              <w:rPr>
                <w:color w:val="000000"/>
                <w:sz w:val="20"/>
                <w:szCs w:val="20"/>
              </w:rPr>
              <w:t>194,274</w:t>
            </w:r>
          </w:p>
        </w:tc>
        <w:tc>
          <w:tcPr>
            <w:tcW w:w="50" w:type="pct"/>
            <w:shd w:val="clear" w:color="auto" w:fill="FFFFFF"/>
            <w:noWrap/>
            <w:tcMar>
              <w:top w:w="15" w:type="dxa"/>
              <w:left w:w="0" w:type="dxa"/>
              <w:bottom w:w="0" w:type="dxa"/>
              <w:right w:w="15" w:type="dxa"/>
            </w:tcMar>
            <w:vAlign w:val="bottom"/>
            <w:hideMark/>
          </w:tcPr>
          <w:p w14:paraId="2B9142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EA8C9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14:paraId="2C3F86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14:paraId="1C19F1E5"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14:paraId="2A619EC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7330C5F" w14:textId="77777777">
        <w:trPr>
          <w:divId w:val="263728320"/>
        </w:trPr>
        <w:tc>
          <w:tcPr>
            <w:tcW w:w="3349" w:type="pct"/>
            <w:shd w:val="clear" w:color="auto" w:fill="CFF0FC"/>
            <w:tcMar>
              <w:top w:w="15" w:type="dxa"/>
              <w:left w:w="0" w:type="dxa"/>
              <w:bottom w:w="0" w:type="dxa"/>
              <w:right w:w="15" w:type="dxa"/>
            </w:tcMar>
            <w:hideMark/>
          </w:tcPr>
          <w:p w14:paraId="0CB28E01" w14:textId="77777777" w:rsidR="00000000" w:rsidRDefault="00B8284C">
            <w:pPr>
              <w:pStyle w:val="a3"/>
              <w:spacing w:before="0" w:beforeAutospacing="0" w:after="0" w:afterAutospacing="0"/>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vAlign w:val="center"/>
            <w:hideMark/>
          </w:tcPr>
          <w:p w14:paraId="38FE7F6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66B41E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CB20F1" w14:textId="77777777" w:rsidR="00000000" w:rsidRDefault="00B8284C">
            <w:pPr>
              <w:pStyle w:val="a3"/>
              <w:spacing w:before="0" w:beforeAutospacing="0" w:after="0" w:afterAutospacing="0"/>
              <w:jc w:val="right"/>
              <w:rPr>
                <w:color w:val="000000"/>
                <w:sz w:val="20"/>
                <w:szCs w:val="20"/>
              </w:rPr>
            </w:pPr>
            <w:r>
              <w:rPr>
                <w:color w:val="000000"/>
                <w:sz w:val="20"/>
                <w:szCs w:val="20"/>
              </w:rPr>
              <w:t>357,756</w:t>
            </w:r>
          </w:p>
        </w:tc>
        <w:tc>
          <w:tcPr>
            <w:tcW w:w="50" w:type="pct"/>
            <w:shd w:val="clear" w:color="auto" w:fill="CFF0FC"/>
            <w:noWrap/>
            <w:tcMar>
              <w:top w:w="15" w:type="dxa"/>
              <w:left w:w="0" w:type="dxa"/>
              <w:bottom w:w="0" w:type="dxa"/>
              <w:right w:w="15" w:type="dxa"/>
            </w:tcMar>
            <w:vAlign w:val="bottom"/>
            <w:hideMark/>
          </w:tcPr>
          <w:p w14:paraId="2ABB8C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81C1A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6943BF9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14:paraId="6719C484" w14:textId="77777777" w:rsidR="00000000" w:rsidRDefault="00B8284C">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center"/>
            <w:hideMark/>
          </w:tcPr>
          <w:p w14:paraId="6294F2C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997C879" w14:textId="77777777">
        <w:trPr>
          <w:divId w:val="263728320"/>
        </w:trPr>
        <w:tc>
          <w:tcPr>
            <w:tcW w:w="3349" w:type="pct"/>
            <w:shd w:val="clear" w:color="auto" w:fill="FFFFFF"/>
            <w:tcMar>
              <w:top w:w="15" w:type="dxa"/>
              <w:left w:w="0" w:type="dxa"/>
              <w:bottom w:w="0" w:type="dxa"/>
              <w:right w:w="15" w:type="dxa"/>
            </w:tcMar>
            <w:vAlign w:val="bottom"/>
            <w:hideMark/>
          </w:tcPr>
          <w:p w14:paraId="4C6E5BF2" w14:textId="77777777" w:rsidR="00000000" w:rsidRDefault="00B8284C">
            <w:pPr>
              <w:pStyle w:val="a3"/>
              <w:spacing w:before="0" w:beforeAutospacing="0" w:after="0" w:afterAutospacing="0"/>
              <w:rPr>
                <w:color w:val="000000"/>
                <w:sz w:val="20"/>
                <w:szCs w:val="20"/>
              </w:rPr>
            </w:pPr>
            <w:r>
              <w:rPr>
                <w:color w:val="000000"/>
                <w:sz w:val="20"/>
                <w:szCs w:val="20"/>
              </w:rPr>
              <w:t>Less: Portion representing interest</w:t>
            </w:r>
          </w:p>
        </w:tc>
        <w:tc>
          <w:tcPr>
            <w:tcW w:w="81" w:type="pct"/>
            <w:shd w:val="clear" w:color="auto" w:fill="FFFFFF"/>
            <w:tcMar>
              <w:top w:w="15" w:type="dxa"/>
              <w:left w:w="0" w:type="dxa"/>
              <w:bottom w:w="0" w:type="dxa"/>
              <w:right w:w="15" w:type="dxa"/>
            </w:tcMar>
            <w:vAlign w:val="bottom"/>
            <w:hideMark/>
          </w:tcPr>
          <w:p w14:paraId="40CA3F0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9E11A3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3BB81A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E654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F51C5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14:paraId="3F0AE4D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14:paraId="1FFA5CC8"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14:paraId="62C6397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43DFD60" w14:textId="77777777">
        <w:trPr>
          <w:divId w:val="263728320"/>
        </w:trPr>
        <w:tc>
          <w:tcPr>
            <w:tcW w:w="3349" w:type="pct"/>
            <w:shd w:val="clear" w:color="auto" w:fill="CFF0FC"/>
            <w:tcMar>
              <w:top w:w="15" w:type="dxa"/>
              <w:left w:w="0" w:type="dxa"/>
              <w:bottom w:w="0" w:type="dxa"/>
              <w:right w:w="15" w:type="dxa"/>
            </w:tcMar>
            <w:hideMark/>
          </w:tcPr>
          <w:p w14:paraId="7EF2AAE9" w14:textId="77777777" w:rsidR="00000000" w:rsidRDefault="00B8284C">
            <w:pPr>
              <w:pStyle w:val="a3"/>
              <w:spacing w:before="0" w:beforeAutospacing="0" w:after="0" w:afterAutospacing="0"/>
              <w:ind w:left="137"/>
              <w:rPr>
                <w:color w:val="000000"/>
                <w:sz w:val="20"/>
                <w:szCs w:val="20"/>
              </w:rPr>
            </w:pPr>
            <w:r>
              <w:rPr>
                <w:color w:val="000000"/>
                <w:sz w:val="20"/>
                <w:szCs w:val="20"/>
              </w:rPr>
              <w:t>Capital lease obligation</w:t>
            </w:r>
          </w:p>
        </w:tc>
        <w:tc>
          <w:tcPr>
            <w:tcW w:w="81" w:type="pct"/>
            <w:shd w:val="clear" w:color="auto" w:fill="CFF0FC"/>
            <w:tcMar>
              <w:top w:w="15" w:type="dxa"/>
              <w:left w:w="0" w:type="dxa"/>
              <w:bottom w:w="0" w:type="dxa"/>
              <w:right w:w="15" w:type="dxa"/>
            </w:tcMar>
            <w:vAlign w:val="center"/>
            <w:hideMark/>
          </w:tcPr>
          <w:p w14:paraId="3E93AE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9A0FB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B5A71B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C972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62E8D2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14:paraId="12EAED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14:paraId="599AFFBD" w14:textId="77777777" w:rsidR="00000000" w:rsidRDefault="00B8284C">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center"/>
            <w:hideMark/>
          </w:tcPr>
          <w:p w14:paraId="2A51EEAC"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792E0AE3" w14:textId="77777777" w:rsidR="00000000" w:rsidRDefault="00B8284C">
      <w:pPr>
        <w:pStyle w:val="a3"/>
        <w:spacing w:before="0" w:beforeAutospacing="0" w:after="0" w:afterAutospacing="0"/>
        <w:rPr>
          <w:sz w:val="20"/>
          <w:szCs w:val="20"/>
        </w:rPr>
      </w:pPr>
      <w:r>
        <w:rPr>
          <w:sz w:val="20"/>
          <w:szCs w:val="20"/>
        </w:rPr>
        <w:t> </w:t>
      </w:r>
    </w:p>
    <w:p w14:paraId="76649D73" w14:textId="77777777" w:rsidR="00000000" w:rsidRDefault="00B8284C">
      <w:pPr>
        <w:pStyle w:val="a3"/>
        <w:spacing w:before="40" w:beforeAutospacing="0" w:after="0" w:afterAutospacing="0"/>
        <w:ind w:firstLine="556"/>
        <w:rPr>
          <w:sz w:val="20"/>
          <w:szCs w:val="20"/>
        </w:rPr>
      </w:pPr>
      <w:r>
        <w:rPr>
          <w:sz w:val="20"/>
          <w:szCs w:val="20"/>
        </w:rPr>
        <w:t>In October 2019, the Company entered into a new 10 year lease in Germany. The new lease commences on or near June 1, 2020. The Company will pay an aggregate of approximately $29.1 million in incremental rent over the lease term.</w:t>
      </w:r>
    </w:p>
    <w:p w14:paraId="0CF92FB4" w14:textId="77777777" w:rsidR="00000000" w:rsidRDefault="00B8284C">
      <w:pPr>
        <w:pStyle w:val="a3"/>
        <w:spacing w:before="40" w:beforeAutospacing="0" w:after="0" w:afterAutospacing="0"/>
        <w:ind w:firstLine="556"/>
        <w:rPr>
          <w:sz w:val="20"/>
          <w:szCs w:val="20"/>
        </w:rPr>
      </w:pPr>
      <w:r>
        <w:rPr>
          <w:sz w:val="20"/>
          <w:szCs w:val="20"/>
        </w:rPr>
        <w:t> </w:t>
      </w:r>
    </w:p>
    <w:p w14:paraId="4EA7C7A9" w14:textId="77777777" w:rsidR="00000000" w:rsidRDefault="00B8284C">
      <w:pPr>
        <w:pStyle w:val="a3"/>
        <w:spacing w:before="40" w:beforeAutospacing="0" w:after="0" w:afterAutospacing="0"/>
        <w:ind w:firstLine="556"/>
        <w:rPr>
          <w:sz w:val="20"/>
          <w:szCs w:val="20"/>
        </w:rPr>
      </w:pPr>
      <w:r>
        <w:rPr>
          <w:sz w:val="20"/>
          <w:szCs w:val="20"/>
        </w:rPr>
        <w:t>As previously disclosed i</w:t>
      </w:r>
      <w:r>
        <w:rPr>
          <w:sz w:val="20"/>
          <w:szCs w:val="20"/>
        </w:rPr>
        <w:t xml:space="preserve">n our 2018 Annual Report on Form 10-K and under the previous lease accounting standard, ASC 840, </w:t>
      </w:r>
      <w:r>
        <w:rPr>
          <w:i/>
          <w:iCs/>
          <w:sz w:val="20"/>
          <w:szCs w:val="20"/>
        </w:rPr>
        <w:t>Leases</w:t>
      </w:r>
      <w:r>
        <w:rPr>
          <w:sz w:val="20"/>
          <w:szCs w:val="20"/>
        </w:rPr>
        <w:t>, the future minimum payments under all operating and finance lease agreements as of December 31, 2018 are as follows:</w:t>
      </w:r>
    </w:p>
    <w:p w14:paraId="15A36BE0" w14:textId="77777777" w:rsidR="00000000" w:rsidRDefault="00B8284C">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33"/>
        <w:gridCol w:w="89"/>
        <w:gridCol w:w="115"/>
        <w:gridCol w:w="837"/>
        <w:gridCol w:w="65"/>
        <w:gridCol w:w="71"/>
        <w:gridCol w:w="116"/>
        <w:gridCol w:w="837"/>
        <w:gridCol w:w="82"/>
      </w:tblGrid>
      <w:tr w:rsidR="00000000" w14:paraId="5447E584" w14:textId="77777777">
        <w:trPr>
          <w:divId w:val="1936790278"/>
        </w:trPr>
        <w:tc>
          <w:tcPr>
            <w:tcW w:w="3349" w:type="pct"/>
            <w:shd w:val="clear" w:color="auto" w:fill="FFFFFF"/>
            <w:tcMar>
              <w:top w:w="15" w:type="dxa"/>
              <w:left w:w="0" w:type="dxa"/>
              <w:bottom w:w="0" w:type="dxa"/>
              <w:right w:w="15" w:type="dxa"/>
            </w:tcMar>
            <w:vAlign w:val="bottom"/>
            <w:hideMark/>
          </w:tcPr>
          <w:p w14:paraId="396E1CCF" w14:textId="77777777" w:rsidR="00000000" w:rsidRDefault="00B8284C">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50540006"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4191C35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14:paraId="0FFECBC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3CDD34F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0D46AC9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Finance</w:t>
            </w:r>
          </w:p>
        </w:tc>
        <w:tc>
          <w:tcPr>
            <w:tcW w:w="50" w:type="pct"/>
            <w:shd w:val="clear" w:color="auto" w:fill="FFFFFF"/>
            <w:noWrap/>
            <w:tcMar>
              <w:top w:w="15" w:type="dxa"/>
              <w:left w:w="0" w:type="dxa"/>
              <w:bottom w:w="0" w:type="dxa"/>
              <w:right w:w="15" w:type="dxa"/>
            </w:tcMar>
            <w:vAlign w:val="bottom"/>
            <w:hideMark/>
          </w:tcPr>
          <w:p w14:paraId="6B591A0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ABFA6C3" w14:textId="77777777">
        <w:trPr>
          <w:divId w:val="1936790278"/>
        </w:trPr>
        <w:tc>
          <w:tcPr>
            <w:tcW w:w="3349" w:type="pct"/>
            <w:shd w:val="clear" w:color="auto" w:fill="FFFFFF"/>
            <w:tcMar>
              <w:top w:w="15" w:type="dxa"/>
              <w:left w:w="0" w:type="dxa"/>
              <w:bottom w:w="0" w:type="dxa"/>
              <w:right w:w="15" w:type="dxa"/>
            </w:tcMar>
            <w:vAlign w:val="bottom"/>
            <w:hideMark/>
          </w:tcPr>
          <w:p w14:paraId="653CDFAE"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6B5DF12C"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0DFA127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DA2D48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3947E749" w14:textId="77777777">
        <w:trPr>
          <w:divId w:val="1936790278"/>
        </w:trPr>
        <w:tc>
          <w:tcPr>
            <w:tcW w:w="3349" w:type="pct"/>
            <w:shd w:val="clear" w:color="auto" w:fill="CFF0FC"/>
            <w:tcMar>
              <w:top w:w="15" w:type="dxa"/>
              <w:left w:w="0" w:type="dxa"/>
              <w:bottom w:w="0" w:type="dxa"/>
              <w:right w:w="15" w:type="dxa"/>
            </w:tcMar>
            <w:hideMark/>
          </w:tcPr>
          <w:p w14:paraId="256D8CBD" w14:textId="77777777" w:rsidR="00000000" w:rsidRDefault="00B8284C">
            <w:pPr>
              <w:pStyle w:val="a3"/>
              <w:spacing w:before="0" w:beforeAutospacing="0" w:after="0" w:afterAutospacing="0"/>
              <w:rPr>
                <w:color w:val="000000"/>
                <w:sz w:val="20"/>
                <w:szCs w:val="20"/>
              </w:rPr>
            </w:pPr>
            <w:r>
              <w:rPr>
                <w:color w:val="000000"/>
                <w:sz w:val="20"/>
                <w:szCs w:val="20"/>
              </w:rPr>
              <w:t>2019</w:t>
            </w:r>
          </w:p>
        </w:tc>
        <w:tc>
          <w:tcPr>
            <w:tcW w:w="81" w:type="pct"/>
            <w:shd w:val="clear" w:color="auto" w:fill="CFF0FC"/>
            <w:tcMar>
              <w:top w:w="15" w:type="dxa"/>
              <w:left w:w="0" w:type="dxa"/>
              <w:bottom w:w="0" w:type="dxa"/>
              <w:right w:w="15" w:type="dxa"/>
            </w:tcMar>
            <w:vAlign w:val="center"/>
            <w:hideMark/>
          </w:tcPr>
          <w:p w14:paraId="76BCF8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A6031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5DD0B044" w14:textId="77777777" w:rsidR="00000000" w:rsidRDefault="00B8284C">
            <w:pPr>
              <w:pStyle w:val="a3"/>
              <w:spacing w:before="0" w:beforeAutospacing="0" w:after="0" w:afterAutospacing="0"/>
              <w:jc w:val="right"/>
              <w:rPr>
                <w:color w:val="000000"/>
                <w:sz w:val="20"/>
                <w:szCs w:val="20"/>
              </w:rPr>
            </w:pPr>
            <w:r>
              <w:rPr>
                <w:color w:val="000000"/>
                <w:sz w:val="20"/>
                <w:szCs w:val="20"/>
              </w:rPr>
              <w:t>27,755</w:t>
            </w:r>
          </w:p>
        </w:tc>
        <w:tc>
          <w:tcPr>
            <w:tcW w:w="50" w:type="pct"/>
            <w:shd w:val="clear" w:color="auto" w:fill="CFF0FC"/>
            <w:noWrap/>
            <w:tcMar>
              <w:top w:w="15" w:type="dxa"/>
              <w:left w:w="0" w:type="dxa"/>
              <w:bottom w:w="0" w:type="dxa"/>
              <w:right w:w="15" w:type="dxa"/>
            </w:tcMar>
            <w:vAlign w:val="bottom"/>
            <w:hideMark/>
          </w:tcPr>
          <w:p w14:paraId="2A06FBA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68F1963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1D176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52166B5B" w14:textId="77777777" w:rsidR="00000000" w:rsidRDefault="00B8284C">
            <w:pPr>
              <w:pStyle w:val="a3"/>
              <w:spacing w:before="0" w:beforeAutospacing="0" w:after="0" w:afterAutospacing="0"/>
              <w:jc w:val="right"/>
              <w:rPr>
                <w:color w:val="000000"/>
                <w:sz w:val="20"/>
                <w:szCs w:val="20"/>
              </w:rPr>
            </w:pPr>
            <w:r>
              <w:rPr>
                <w:color w:val="000000"/>
                <w:sz w:val="20"/>
                <w:szCs w:val="20"/>
              </w:rPr>
              <w:t>298</w:t>
            </w:r>
          </w:p>
        </w:tc>
        <w:tc>
          <w:tcPr>
            <w:tcW w:w="50" w:type="pct"/>
            <w:shd w:val="clear" w:color="auto" w:fill="CFF0FC"/>
            <w:noWrap/>
            <w:tcMar>
              <w:top w:w="15" w:type="dxa"/>
              <w:left w:w="0" w:type="dxa"/>
              <w:bottom w:w="0" w:type="dxa"/>
              <w:right w:w="15" w:type="dxa"/>
            </w:tcMar>
            <w:vAlign w:val="bottom"/>
            <w:hideMark/>
          </w:tcPr>
          <w:p w14:paraId="412165B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CAE2A27" w14:textId="77777777">
        <w:trPr>
          <w:divId w:val="1936790278"/>
        </w:trPr>
        <w:tc>
          <w:tcPr>
            <w:tcW w:w="3349" w:type="pct"/>
            <w:shd w:val="clear" w:color="auto" w:fill="FFFFFF"/>
            <w:tcMar>
              <w:top w:w="15" w:type="dxa"/>
              <w:left w:w="0" w:type="dxa"/>
              <w:bottom w:w="0" w:type="dxa"/>
              <w:right w:w="15" w:type="dxa"/>
            </w:tcMar>
            <w:hideMark/>
          </w:tcPr>
          <w:p w14:paraId="1680B224" w14:textId="77777777" w:rsidR="00000000" w:rsidRDefault="00B8284C">
            <w:pPr>
              <w:pStyle w:val="a3"/>
              <w:spacing w:before="0" w:beforeAutospacing="0" w:after="0" w:afterAutospacing="0"/>
              <w:rPr>
                <w:color w:val="000000"/>
                <w:sz w:val="20"/>
                <w:szCs w:val="20"/>
              </w:rPr>
            </w:pPr>
            <w:r>
              <w:rPr>
                <w:color w:val="000000"/>
                <w:sz w:val="20"/>
                <w:szCs w:val="20"/>
              </w:rPr>
              <w:t>2020</w:t>
            </w:r>
          </w:p>
        </w:tc>
        <w:tc>
          <w:tcPr>
            <w:tcW w:w="81" w:type="pct"/>
            <w:shd w:val="clear" w:color="auto" w:fill="FFFFFF"/>
            <w:tcMar>
              <w:top w:w="15" w:type="dxa"/>
              <w:left w:w="0" w:type="dxa"/>
              <w:bottom w:w="0" w:type="dxa"/>
              <w:right w:w="15" w:type="dxa"/>
            </w:tcMar>
            <w:vAlign w:val="center"/>
            <w:hideMark/>
          </w:tcPr>
          <w:p w14:paraId="623EC1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9814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1632DAE" w14:textId="77777777" w:rsidR="00000000" w:rsidRDefault="00B8284C">
            <w:pPr>
              <w:pStyle w:val="a3"/>
              <w:spacing w:before="0" w:beforeAutospacing="0" w:after="0" w:afterAutospacing="0"/>
              <w:jc w:val="right"/>
              <w:rPr>
                <w:color w:val="000000"/>
                <w:sz w:val="20"/>
                <w:szCs w:val="20"/>
              </w:rPr>
            </w:pPr>
            <w:r>
              <w:rPr>
                <w:color w:val="000000"/>
                <w:sz w:val="20"/>
                <w:szCs w:val="20"/>
              </w:rPr>
              <w:t>33,769</w:t>
            </w:r>
          </w:p>
        </w:tc>
        <w:tc>
          <w:tcPr>
            <w:tcW w:w="50" w:type="pct"/>
            <w:shd w:val="clear" w:color="auto" w:fill="FFFFFF"/>
            <w:noWrap/>
            <w:tcMar>
              <w:top w:w="15" w:type="dxa"/>
              <w:left w:w="0" w:type="dxa"/>
              <w:bottom w:w="0" w:type="dxa"/>
              <w:right w:w="15" w:type="dxa"/>
            </w:tcMar>
            <w:vAlign w:val="bottom"/>
            <w:hideMark/>
          </w:tcPr>
          <w:p w14:paraId="24DC35F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14:paraId="2F0E2E3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0F379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8D46643" w14:textId="77777777" w:rsidR="00000000" w:rsidRDefault="00B8284C">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4763D9F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1974781" w14:textId="77777777">
        <w:trPr>
          <w:divId w:val="1936790278"/>
        </w:trPr>
        <w:tc>
          <w:tcPr>
            <w:tcW w:w="3349" w:type="pct"/>
            <w:shd w:val="clear" w:color="auto" w:fill="CFF0FC"/>
            <w:tcMar>
              <w:top w:w="15" w:type="dxa"/>
              <w:left w:w="0" w:type="dxa"/>
              <w:bottom w:w="0" w:type="dxa"/>
              <w:right w:w="15" w:type="dxa"/>
            </w:tcMar>
            <w:hideMark/>
          </w:tcPr>
          <w:p w14:paraId="20940E4F" w14:textId="77777777" w:rsidR="00000000" w:rsidRDefault="00B8284C">
            <w:pPr>
              <w:pStyle w:val="a3"/>
              <w:spacing w:before="0" w:beforeAutospacing="0" w:after="0" w:afterAutospacing="0"/>
              <w:rPr>
                <w:color w:val="000000"/>
                <w:sz w:val="20"/>
                <w:szCs w:val="20"/>
              </w:rPr>
            </w:pPr>
            <w:r>
              <w:rPr>
                <w:color w:val="000000"/>
                <w:sz w:val="20"/>
                <w:szCs w:val="20"/>
              </w:rPr>
              <w:t>2021</w:t>
            </w:r>
          </w:p>
        </w:tc>
        <w:tc>
          <w:tcPr>
            <w:tcW w:w="81" w:type="pct"/>
            <w:shd w:val="clear" w:color="auto" w:fill="CFF0FC"/>
            <w:tcMar>
              <w:top w:w="15" w:type="dxa"/>
              <w:left w:w="0" w:type="dxa"/>
              <w:bottom w:w="0" w:type="dxa"/>
              <w:right w:w="15" w:type="dxa"/>
            </w:tcMar>
            <w:vAlign w:val="center"/>
            <w:hideMark/>
          </w:tcPr>
          <w:p w14:paraId="6AF5B50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2DCC1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AFA86CF" w14:textId="77777777" w:rsidR="00000000" w:rsidRDefault="00B8284C">
            <w:pPr>
              <w:pStyle w:val="a3"/>
              <w:spacing w:before="0" w:beforeAutospacing="0" w:after="0" w:afterAutospacing="0"/>
              <w:jc w:val="right"/>
              <w:rPr>
                <w:color w:val="000000"/>
                <w:sz w:val="20"/>
                <w:szCs w:val="20"/>
              </w:rPr>
            </w:pPr>
            <w:r>
              <w:rPr>
                <w:color w:val="000000"/>
                <w:sz w:val="20"/>
                <w:szCs w:val="20"/>
              </w:rPr>
              <w:t>35,414</w:t>
            </w:r>
          </w:p>
        </w:tc>
        <w:tc>
          <w:tcPr>
            <w:tcW w:w="50" w:type="pct"/>
            <w:shd w:val="clear" w:color="auto" w:fill="CFF0FC"/>
            <w:noWrap/>
            <w:tcMar>
              <w:top w:w="15" w:type="dxa"/>
              <w:left w:w="0" w:type="dxa"/>
              <w:bottom w:w="0" w:type="dxa"/>
              <w:right w:w="15" w:type="dxa"/>
            </w:tcMar>
            <w:vAlign w:val="bottom"/>
            <w:hideMark/>
          </w:tcPr>
          <w:p w14:paraId="08129CE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4D1AEEE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4B5C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F2A37C8"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1AAD41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DCC4F93" w14:textId="77777777">
        <w:trPr>
          <w:divId w:val="1936790278"/>
        </w:trPr>
        <w:tc>
          <w:tcPr>
            <w:tcW w:w="3349" w:type="pct"/>
            <w:shd w:val="clear" w:color="auto" w:fill="FFFFFF"/>
            <w:tcMar>
              <w:top w:w="15" w:type="dxa"/>
              <w:left w:w="0" w:type="dxa"/>
              <w:bottom w:w="0" w:type="dxa"/>
              <w:right w:w="15" w:type="dxa"/>
            </w:tcMar>
            <w:hideMark/>
          </w:tcPr>
          <w:p w14:paraId="339EEED7" w14:textId="77777777" w:rsidR="00000000" w:rsidRDefault="00B8284C">
            <w:pPr>
              <w:pStyle w:val="a3"/>
              <w:spacing w:before="0" w:beforeAutospacing="0" w:after="0" w:afterAutospacing="0"/>
              <w:rPr>
                <w:color w:val="000000"/>
                <w:sz w:val="20"/>
                <w:szCs w:val="20"/>
              </w:rPr>
            </w:pPr>
            <w:r>
              <w:rPr>
                <w:color w:val="000000"/>
                <w:sz w:val="20"/>
                <w:szCs w:val="20"/>
              </w:rPr>
              <w:t>2022</w:t>
            </w:r>
          </w:p>
        </w:tc>
        <w:tc>
          <w:tcPr>
            <w:tcW w:w="81" w:type="pct"/>
            <w:shd w:val="clear" w:color="auto" w:fill="FFFFFF"/>
            <w:tcMar>
              <w:top w:w="15" w:type="dxa"/>
              <w:left w:w="0" w:type="dxa"/>
              <w:bottom w:w="0" w:type="dxa"/>
              <w:right w:w="15" w:type="dxa"/>
            </w:tcMar>
            <w:vAlign w:val="center"/>
            <w:hideMark/>
          </w:tcPr>
          <w:p w14:paraId="733D72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6A85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C7F4EB6" w14:textId="77777777" w:rsidR="00000000" w:rsidRDefault="00B8284C">
            <w:pPr>
              <w:pStyle w:val="a3"/>
              <w:spacing w:before="0" w:beforeAutospacing="0" w:after="0" w:afterAutospacing="0"/>
              <w:jc w:val="right"/>
              <w:rPr>
                <w:color w:val="000000"/>
                <w:sz w:val="20"/>
                <w:szCs w:val="20"/>
              </w:rPr>
            </w:pPr>
            <w:r>
              <w:rPr>
                <w:color w:val="000000"/>
                <w:sz w:val="20"/>
                <w:szCs w:val="20"/>
              </w:rPr>
              <w:t>35,314</w:t>
            </w:r>
          </w:p>
        </w:tc>
        <w:tc>
          <w:tcPr>
            <w:tcW w:w="50" w:type="pct"/>
            <w:shd w:val="clear" w:color="auto" w:fill="FFFFFF"/>
            <w:noWrap/>
            <w:tcMar>
              <w:top w:w="15" w:type="dxa"/>
              <w:left w:w="0" w:type="dxa"/>
              <w:bottom w:w="0" w:type="dxa"/>
              <w:right w:w="15" w:type="dxa"/>
            </w:tcMar>
            <w:vAlign w:val="bottom"/>
            <w:hideMark/>
          </w:tcPr>
          <w:p w14:paraId="6AFB9A2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14:paraId="51556B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0494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BB7F6FA"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B8A903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49CCB32" w14:textId="77777777">
        <w:trPr>
          <w:divId w:val="1936790278"/>
        </w:trPr>
        <w:tc>
          <w:tcPr>
            <w:tcW w:w="3349" w:type="pct"/>
            <w:shd w:val="clear" w:color="auto" w:fill="CFF0FC"/>
            <w:tcMar>
              <w:top w:w="15" w:type="dxa"/>
              <w:left w:w="0" w:type="dxa"/>
              <w:bottom w:w="0" w:type="dxa"/>
              <w:right w:w="15" w:type="dxa"/>
            </w:tcMar>
            <w:hideMark/>
          </w:tcPr>
          <w:p w14:paraId="421584F5" w14:textId="77777777" w:rsidR="00000000" w:rsidRDefault="00B8284C">
            <w:pPr>
              <w:pStyle w:val="a3"/>
              <w:spacing w:before="0" w:beforeAutospacing="0" w:after="0" w:afterAutospacing="0"/>
              <w:rPr>
                <w:color w:val="000000"/>
                <w:sz w:val="20"/>
                <w:szCs w:val="20"/>
              </w:rPr>
            </w:pPr>
            <w:r>
              <w:rPr>
                <w:color w:val="000000"/>
                <w:sz w:val="20"/>
                <w:szCs w:val="20"/>
              </w:rPr>
              <w:t>2023</w:t>
            </w:r>
          </w:p>
        </w:tc>
        <w:tc>
          <w:tcPr>
            <w:tcW w:w="81" w:type="pct"/>
            <w:shd w:val="clear" w:color="auto" w:fill="CFF0FC"/>
            <w:tcMar>
              <w:top w:w="15" w:type="dxa"/>
              <w:left w:w="0" w:type="dxa"/>
              <w:bottom w:w="0" w:type="dxa"/>
              <w:right w:w="15" w:type="dxa"/>
            </w:tcMar>
            <w:vAlign w:val="center"/>
            <w:hideMark/>
          </w:tcPr>
          <w:p w14:paraId="4E9A7A9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5D55D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2B3A772" w14:textId="77777777" w:rsidR="00000000" w:rsidRDefault="00B8284C">
            <w:pPr>
              <w:pStyle w:val="a3"/>
              <w:spacing w:before="0" w:beforeAutospacing="0" w:after="0" w:afterAutospacing="0"/>
              <w:jc w:val="right"/>
              <w:rPr>
                <w:color w:val="000000"/>
                <w:sz w:val="20"/>
                <w:szCs w:val="20"/>
              </w:rPr>
            </w:pPr>
            <w:r>
              <w:rPr>
                <w:color w:val="000000"/>
                <w:sz w:val="20"/>
                <w:szCs w:val="20"/>
              </w:rPr>
              <w:t>35,686</w:t>
            </w:r>
          </w:p>
        </w:tc>
        <w:tc>
          <w:tcPr>
            <w:tcW w:w="50" w:type="pct"/>
            <w:shd w:val="clear" w:color="auto" w:fill="CFF0FC"/>
            <w:noWrap/>
            <w:tcMar>
              <w:top w:w="15" w:type="dxa"/>
              <w:left w:w="0" w:type="dxa"/>
              <w:bottom w:w="0" w:type="dxa"/>
              <w:right w:w="15" w:type="dxa"/>
            </w:tcMar>
            <w:vAlign w:val="bottom"/>
            <w:hideMark/>
          </w:tcPr>
          <w:p w14:paraId="712BA8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32DA69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10A2B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93FF5F1"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5CAEAC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E13C050" w14:textId="77777777">
        <w:trPr>
          <w:divId w:val="1936790278"/>
        </w:trPr>
        <w:tc>
          <w:tcPr>
            <w:tcW w:w="3349" w:type="pct"/>
            <w:shd w:val="clear" w:color="auto" w:fill="FFFFFF"/>
            <w:tcMar>
              <w:top w:w="15" w:type="dxa"/>
              <w:left w:w="0" w:type="dxa"/>
              <w:bottom w:w="0" w:type="dxa"/>
              <w:right w:w="15" w:type="dxa"/>
            </w:tcMar>
            <w:hideMark/>
          </w:tcPr>
          <w:p w14:paraId="5E2BFFB3" w14:textId="77777777" w:rsidR="00000000" w:rsidRDefault="00B8284C">
            <w:pPr>
              <w:pStyle w:val="a3"/>
              <w:spacing w:before="0" w:beforeAutospacing="0" w:after="0" w:afterAutospacing="0"/>
              <w:rPr>
                <w:color w:val="000000"/>
                <w:sz w:val="20"/>
                <w:szCs w:val="20"/>
              </w:rPr>
            </w:pPr>
            <w:r>
              <w:rPr>
                <w:color w:val="000000"/>
                <w:sz w:val="20"/>
                <w:szCs w:val="20"/>
              </w:rPr>
              <w:t>Thereafter</w:t>
            </w:r>
          </w:p>
        </w:tc>
        <w:tc>
          <w:tcPr>
            <w:tcW w:w="81" w:type="pct"/>
            <w:shd w:val="clear" w:color="auto" w:fill="FFFFFF"/>
            <w:tcMar>
              <w:top w:w="15" w:type="dxa"/>
              <w:left w:w="0" w:type="dxa"/>
              <w:bottom w:w="0" w:type="dxa"/>
              <w:right w:w="15" w:type="dxa"/>
            </w:tcMar>
            <w:vAlign w:val="center"/>
            <w:hideMark/>
          </w:tcPr>
          <w:p w14:paraId="58FD5B4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AA2B5A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1F200790" w14:textId="77777777" w:rsidR="00000000" w:rsidRDefault="00B8284C">
            <w:pPr>
              <w:pStyle w:val="a3"/>
              <w:spacing w:before="0" w:beforeAutospacing="0" w:after="0" w:afterAutospacing="0"/>
              <w:jc w:val="right"/>
              <w:rPr>
                <w:color w:val="000000"/>
                <w:sz w:val="20"/>
                <w:szCs w:val="20"/>
              </w:rPr>
            </w:pPr>
            <w:r>
              <w:rPr>
                <w:color w:val="000000"/>
                <w:sz w:val="20"/>
                <w:szCs w:val="20"/>
              </w:rPr>
              <w:t>184,341</w:t>
            </w:r>
          </w:p>
        </w:tc>
        <w:tc>
          <w:tcPr>
            <w:tcW w:w="50" w:type="pct"/>
            <w:shd w:val="clear" w:color="auto" w:fill="FFFFFF"/>
            <w:noWrap/>
            <w:tcMar>
              <w:top w:w="15" w:type="dxa"/>
              <w:left w:w="0" w:type="dxa"/>
              <w:bottom w:w="0" w:type="dxa"/>
              <w:right w:w="15" w:type="dxa"/>
            </w:tcMar>
            <w:vAlign w:val="bottom"/>
            <w:hideMark/>
          </w:tcPr>
          <w:p w14:paraId="2ACED9C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14:paraId="5C84B5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21A74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281C4C68"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0ABE8E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EB5CF58" w14:textId="77777777">
        <w:trPr>
          <w:divId w:val="1936790278"/>
        </w:trPr>
        <w:tc>
          <w:tcPr>
            <w:tcW w:w="3349" w:type="pct"/>
            <w:shd w:val="clear" w:color="auto" w:fill="CFF0FC"/>
            <w:tcMar>
              <w:top w:w="15" w:type="dxa"/>
              <w:left w:w="0" w:type="dxa"/>
              <w:bottom w:w="0" w:type="dxa"/>
              <w:right w:w="15" w:type="dxa"/>
            </w:tcMar>
            <w:hideMark/>
          </w:tcPr>
          <w:p w14:paraId="16C58C57" w14:textId="77777777" w:rsidR="00000000" w:rsidRDefault="00B8284C">
            <w:pPr>
              <w:pStyle w:val="a3"/>
              <w:spacing w:before="0" w:beforeAutospacing="0" w:after="0" w:afterAutospacing="0"/>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vAlign w:val="center"/>
            <w:hideMark/>
          </w:tcPr>
          <w:p w14:paraId="33A59FD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F140A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4A7987" w14:textId="77777777" w:rsidR="00000000" w:rsidRDefault="00B8284C">
            <w:pPr>
              <w:pStyle w:val="a3"/>
              <w:spacing w:before="0" w:beforeAutospacing="0" w:after="0" w:afterAutospacing="0"/>
              <w:jc w:val="right"/>
              <w:rPr>
                <w:color w:val="000000"/>
                <w:sz w:val="20"/>
                <w:szCs w:val="20"/>
              </w:rPr>
            </w:pPr>
            <w:r>
              <w:rPr>
                <w:color w:val="000000"/>
                <w:sz w:val="20"/>
                <w:szCs w:val="20"/>
              </w:rPr>
              <w:t>352,279</w:t>
            </w:r>
          </w:p>
        </w:tc>
        <w:tc>
          <w:tcPr>
            <w:tcW w:w="50" w:type="pct"/>
            <w:shd w:val="clear" w:color="auto" w:fill="CFF0FC"/>
            <w:noWrap/>
            <w:tcMar>
              <w:top w:w="15" w:type="dxa"/>
              <w:left w:w="0" w:type="dxa"/>
              <w:bottom w:w="0" w:type="dxa"/>
              <w:right w:w="15" w:type="dxa"/>
            </w:tcMar>
            <w:vAlign w:val="bottom"/>
            <w:hideMark/>
          </w:tcPr>
          <w:p w14:paraId="0924D35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64CC52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9608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FE0E966" w14:textId="77777777" w:rsidR="00000000" w:rsidRDefault="00B8284C">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CFF0FC"/>
            <w:noWrap/>
            <w:tcMar>
              <w:top w:w="15" w:type="dxa"/>
              <w:left w:w="0" w:type="dxa"/>
              <w:bottom w:w="0" w:type="dxa"/>
              <w:right w:w="15" w:type="dxa"/>
            </w:tcMar>
            <w:vAlign w:val="bottom"/>
            <w:hideMark/>
          </w:tcPr>
          <w:p w14:paraId="0266D99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3F73429" w14:textId="77777777">
        <w:trPr>
          <w:divId w:val="1936790278"/>
        </w:trPr>
        <w:tc>
          <w:tcPr>
            <w:tcW w:w="3349" w:type="pct"/>
            <w:shd w:val="clear" w:color="auto" w:fill="FFFFFF"/>
            <w:tcMar>
              <w:top w:w="15" w:type="dxa"/>
              <w:left w:w="0" w:type="dxa"/>
              <w:bottom w:w="0" w:type="dxa"/>
              <w:right w:w="15" w:type="dxa"/>
            </w:tcMar>
            <w:vAlign w:val="bottom"/>
            <w:hideMark/>
          </w:tcPr>
          <w:p w14:paraId="5FE02EDF" w14:textId="77777777" w:rsidR="00000000" w:rsidRDefault="00B8284C">
            <w:pPr>
              <w:pStyle w:val="a3"/>
              <w:spacing w:before="0" w:beforeAutospacing="0" w:after="0" w:afterAutospacing="0"/>
              <w:rPr>
                <w:color w:val="000000"/>
                <w:sz w:val="20"/>
                <w:szCs w:val="20"/>
              </w:rPr>
            </w:pPr>
            <w:r>
              <w:rPr>
                <w:color w:val="000000"/>
                <w:sz w:val="20"/>
                <w:szCs w:val="20"/>
              </w:rPr>
              <w:t>Less: Portion representing interest</w:t>
            </w:r>
          </w:p>
        </w:tc>
        <w:tc>
          <w:tcPr>
            <w:tcW w:w="81" w:type="pct"/>
            <w:shd w:val="clear" w:color="auto" w:fill="FFFFFF"/>
            <w:tcMar>
              <w:top w:w="15" w:type="dxa"/>
              <w:left w:w="0" w:type="dxa"/>
              <w:bottom w:w="0" w:type="dxa"/>
              <w:right w:w="15" w:type="dxa"/>
            </w:tcMar>
            <w:vAlign w:val="bottom"/>
            <w:hideMark/>
          </w:tcPr>
          <w:p w14:paraId="367311E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83A70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0ABDA5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E4F06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08E6CE3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8131E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C642750" w14:textId="77777777" w:rsidR="00000000" w:rsidRDefault="00B8284C">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7944EAF8"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31401BBB" w14:textId="77777777">
        <w:trPr>
          <w:divId w:val="1936790278"/>
        </w:trPr>
        <w:tc>
          <w:tcPr>
            <w:tcW w:w="3349" w:type="pct"/>
            <w:shd w:val="clear" w:color="auto" w:fill="CFF0FC"/>
            <w:tcMar>
              <w:top w:w="15" w:type="dxa"/>
              <w:left w:w="0" w:type="dxa"/>
              <w:bottom w:w="0" w:type="dxa"/>
              <w:right w:w="15" w:type="dxa"/>
            </w:tcMar>
            <w:vAlign w:val="center"/>
            <w:hideMark/>
          </w:tcPr>
          <w:p w14:paraId="1D9903B4" w14:textId="77777777" w:rsidR="00000000" w:rsidRDefault="00B8284C">
            <w:pPr>
              <w:pStyle w:val="a3"/>
              <w:spacing w:before="0" w:beforeAutospacing="0" w:after="0" w:afterAutospacing="0"/>
              <w:ind w:left="274"/>
              <w:rPr>
                <w:color w:val="000000"/>
                <w:sz w:val="20"/>
                <w:szCs w:val="20"/>
              </w:rPr>
            </w:pPr>
            <w:r>
              <w:rPr>
                <w:color w:val="000000"/>
                <w:sz w:val="20"/>
                <w:szCs w:val="20"/>
              </w:rPr>
              <w:t>Capital lease obligation</w:t>
            </w:r>
          </w:p>
        </w:tc>
        <w:tc>
          <w:tcPr>
            <w:tcW w:w="81" w:type="pct"/>
            <w:shd w:val="clear" w:color="auto" w:fill="CFF0FC"/>
            <w:tcMar>
              <w:top w:w="15" w:type="dxa"/>
              <w:left w:w="0" w:type="dxa"/>
              <w:bottom w:w="0" w:type="dxa"/>
              <w:right w:w="15" w:type="dxa"/>
            </w:tcMar>
            <w:vAlign w:val="center"/>
            <w:hideMark/>
          </w:tcPr>
          <w:p w14:paraId="122FDF1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518D5E6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14:paraId="376A627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0751388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51F2EBE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50309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6400FE" w14:textId="77777777" w:rsidR="00000000" w:rsidRDefault="00B8284C">
            <w:pPr>
              <w:pStyle w:val="a3"/>
              <w:spacing w:before="0" w:beforeAutospacing="0" w:after="0" w:afterAutospacing="0"/>
              <w:jc w:val="right"/>
              <w:rPr>
                <w:color w:val="000000"/>
                <w:sz w:val="20"/>
                <w:szCs w:val="20"/>
              </w:rPr>
            </w:pPr>
            <w:r>
              <w:rPr>
                <w:color w:val="000000"/>
                <w:sz w:val="20"/>
                <w:szCs w:val="20"/>
              </w:rPr>
              <w:t>311</w:t>
            </w:r>
          </w:p>
        </w:tc>
        <w:tc>
          <w:tcPr>
            <w:tcW w:w="50" w:type="pct"/>
            <w:shd w:val="clear" w:color="auto" w:fill="CFF0FC"/>
            <w:noWrap/>
            <w:tcMar>
              <w:top w:w="15" w:type="dxa"/>
              <w:left w:w="0" w:type="dxa"/>
              <w:bottom w:w="0" w:type="dxa"/>
              <w:right w:w="15" w:type="dxa"/>
            </w:tcMar>
            <w:vAlign w:val="bottom"/>
            <w:hideMark/>
          </w:tcPr>
          <w:p w14:paraId="0186F3B5"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03749886" w14:textId="77777777" w:rsidR="00000000" w:rsidRDefault="00B8284C">
      <w:pPr>
        <w:pStyle w:val="a3"/>
        <w:spacing w:before="0" w:beforeAutospacing="0" w:after="0" w:afterAutospacing="0"/>
        <w:rPr>
          <w:sz w:val="20"/>
          <w:szCs w:val="20"/>
        </w:rPr>
      </w:pPr>
      <w:r>
        <w:rPr>
          <w:sz w:val="20"/>
          <w:szCs w:val="20"/>
        </w:rPr>
        <w:t> </w:t>
      </w:r>
    </w:p>
    <w:p w14:paraId="2B0C0584" w14:textId="77777777" w:rsidR="00000000" w:rsidRDefault="00B8284C">
      <w:pPr>
        <w:pStyle w:val="a3"/>
        <w:spacing w:before="40" w:beforeAutospacing="0" w:after="0" w:afterAutospacing="0"/>
        <w:ind w:firstLine="556"/>
        <w:rPr>
          <w:color w:val="000000"/>
          <w:sz w:val="20"/>
          <w:szCs w:val="20"/>
        </w:rPr>
      </w:pPr>
      <w:r>
        <w:rPr>
          <w:color w:val="000000"/>
          <w:sz w:val="20"/>
          <w:szCs w:val="20"/>
        </w:rPr>
        <w:t>There were no material changes in our vendor commitments under non-cancelable arrangements, as disclosed in the Company’s audited consolidated financial statements for the year ended December 31, 2018 and related notes thereto contained in the Company’s An</w:t>
      </w:r>
      <w:r>
        <w:rPr>
          <w:color w:val="000000"/>
          <w:sz w:val="20"/>
          <w:szCs w:val="20"/>
        </w:rPr>
        <w:t>nual Report on Form 10-K, except as disclosed below:</w:t>
      </w:r>
    </w:p>
    <w:p w14:paraId="073C56F6" w14:textId="77777777" w:rsidR="00000000" w:rsidRDefault="00B8284C">
      <w:pPr>
        <w:pStyle w:val="a3"/>
        <w:spacing w:before="0" w:beforeAutospacing="0" w:after="0" w:afterAutospacing="0"/>
        <w:ind w:firstLine="556"/>
        <w:rPr>
          <w:sz w:val="20"/>
          <w:szCs w:val="20"/>
        </w:rPr>
      </w:pPr>
      <w:r>
        <w:rPr>
          <w:sz w:val="20"/>
          <w:szCs w:val="20"/>
        </w:rPr>
        <w:t> </w:t>
      </w:r>
    </w:p>
    <w:p w14:paraId="30E0C777" w14:textId="77777777" w:rsidR="00000000" w:rsidRDefault="00B8284C">
      <w:pPr>
        <w:pStyle w:val="a3"/>
        <w:spacing w:before="40" w:beforeAutospacing="0" w:after="0" w:afterAutospacing="0"/>
        <w:ind w:firstLine="556"/>
        <w:rPr>
          <w:sz w:val="20"/>
          <w:szCs w:val="20"/>
        </w:rPr>
      </w:pPr>
      <w:r>
        <w:rPr>
          <w:sz w:val="20"/>
          <w:szCs w:val="20"/>
        </w:rPr>
        <w:t xml:space="preserve">In March 2019, the Company exercised an option to extend an agreement with a technology vendor for an additional two years through June 2023. The Company’s additional contractual obligation under this </w:t>
      </w:r>
      <w:r>
        <w:rPr>
          <w:sz w:val="20"/>
          <w:szCs w:val="20"/>
        </w:rPr>
        <w:t xml:space="preserve">agreement are approximately $57 million over the additional two years. </w:t>
      </w:r>
    </w:p>
    <w:p w14:paraId="3A50E2E1" w14:textId="77777777" w:rsidR="00000000" w:rsidRDefault="00B8284C">
      <w:pPr>
        <w:pStyle w:val="a3"/>
        <w:spacing w:before="40" w:beforeAutospacing="0" w:after="0" w:afterAutospacing="0"/>
        <w:rPr>
          <w:sz w:val="20"/>
          <w:szCs w:val="20"/>
        </w:rPr>
      </w:pPr>
      <w:r>
        <w:rPr>
          <w:sz w:val="20"/>
          <w:szCs w:val="20"/>
        </w:rPr>
        <w:t> </w:t>
      </w:r>
    </w:p>
    <w:p w14:paraId="4C1CAE3D" w14:textId="77777777" w:rsidR="00000000" w:rsidRDefault="00B8284C">
      <w:pPr>
        <w:pStyle w:val="a3"/>
        <w:spacing w:before="40" w:beforeAutospacing="0" w:after="0" w:afterAutospacing="0"/>
        <w:rPr>
          <w:sz w:val="20"/>
          <w:szCs w:val="20"/>
        </w:rPr>
      </w:pPr>
      <w:r>
        <w:rPr>
          <w:sz w:val="20"/>
          <w:szCs w:val="20"/>
        </w:rPr>
        <w:t> </w:t>
      </w:r>
    </w:p>
    <w:p w14:paraId="035529E3" w14:textId="77777777" w:rsidR="00000000" w:rsidRDefault="00B8284C">
      <w:pPr>
        <w:pStyle w:val="a3"/>
        <w:spacing w:before="40" w:beforeAutospacing="0" w:after="0" w:afterAutospacing="0"/>
        <w:rPr>
          <w:sz w:val="20"/>
          <w:szCs w:val="20"/>
        </w:rPr>
      </w:pPr>
      <w:r>
        <w:rPr>
          <w:sz w:val="20"/>
          <w:szCs w:val="20"/>
        </w:rPr>
        <w:t> </w:t>
      </w:r>
    </w:p>
    <w:p w14:paraId="7534A721" w14:textId="77777777" w:rsidR="00000000" w:rsidRDefault="00B8284C">
      <w:pPr>
        <w:pStyle w:val="a3"/>
        <w:spacing w:before="240" w:beforeAutospacing="0" w:after="0" w:afterAutospacing="0"/>
        <w:jc w:val="center"/>
        <w:rPr>
          <w:sz w:val="20"/>
          <w:szCs w:val="20"/>
        </w:rPr>
      </w:pPr>
      <w:r>
        <w:rPr>
          <w:sz w:val="20"/>
          <w:szCs w:val="20"/>
        </w:rPr>
        <w:t>17</w:t>
      </w:r>
    </w:p>
    <w:p w14:paraId="7FFC89A2" w14:textId="77777777" w:rsidR="00000000" w:rsidRDefault="00B8284C">
      <w:pPr>
        <w:rPr>
          <w:rFonts w:eastAsia="Times New Roman"/>
        </w:rPr>
      </w:pPr>
      <w:r>
        <w:rPr>
          <w:rFonts w:eastAsia="Times New Roman"/>
        </w:rPr>
        <w:pict w14:anchorId="171D2698">
          <v:rect id="_x0000_i1041" style="width:0;height:1.5pt" o:hralign="center" o:hrstd="t" o:hr="t" fillcolor="#a0a0a0" stroked="f"/>
        </w:pict>
      </w:r>
    </w:p>
    <w:p w14:paraId="16390B4F" w14:textId="77777777" w:rsidR="00000000" w:rsidRDefault="00B8284C">
      <w:pPr>
        <w:pStyle w:val="a3"/>
        <w:spacing w:before="0" w:beforeAutospacing="0" w:after="0" w:afterAutospacing="0"/>
        <w:rPr>
          <w:sz w:val="20"/>
          <w:szCs w:val="20"/>
        </w:rPr>
      </w:pPr>
      <w:r>
        <w:rPr>
          <w:sz w:val="20"/>
          <w:szCs w:val="20"/>
        </w:rPr>
        <w:t> </w:t>
      </w:r>
    </w:p>
    <w:p w14:paraId="25738821" w14:textId="77777777" w:rsidR="00000000" w:rsidRDefault="00B8284C">
      <w:pPr>
        <w:pStyle w:val="a3"/>
        <w:spacing w:before="40" w:beforeAutospacing="0" w:after="0" w:afterAutospacing="0"/>
        <w:rPr>
          <w:i/>
          <w:iCs/>
          <w:sz w:val="20"/>
          <w:szCs w:val="20"/>
        </w:rPr>
      </w:pPr>
      <w:r>
        <w:rPr>
          <w:i/>
          <w:iCs/>
          <w:sz w:val="20"/>
          <w:szCs w:val="20"/>
        </w:rPr>
        <w:t>Legal Contingencies</w:t>
      </w:r>
    </w:p>
    <w:p w14:paraId="5C3A16D4" w14:textId="77777777" w:rsidR="00000000" w:rsidRDefault="00B8284C">
      <w:pPr>
        <w:pStyle w:val="a3"/>
        <w:spacing w:before="120" w:beforeAutospacing="0" w:after="0" w:afterAutospacing="0"/>
        <w:ind w:firstLine="556"/>
        <w:rPr>
          <w:sz w:val="20"/>
          <w:szCs w:val="20"/>
        </w:rPr>
      </w:pPr>
      <w:r>
        <w:rPr>
          <w:sz w:val="20"/>
          <w:szCs w:val="20"/>
        </w:rPr>
        <w:t>From time to time, the Company may become a party to litigation and subject to claims incident to the ordinary course of business, including intellectual property claims, labor and employment claims, and threatened claims, breach of contract claims, tax, a</w:t>
      </w:r>
      <w:r>
        <w:rPr>
          <w:sz w:val="20"/>
          <w:szCs w:val="20"/>
        </w:rPr>
        <w:t>nd other matters. The Company currently has no material pending litigation.</w:t>
      </w:r>
    </w:p>
    <w:p w14:paraId="3B8AAFBD" w14:textId="77777777" w:rsidR="00000000" w:rsidRDefault="00B8284C">
      <w:pPr>
        <w:pStyle w:val="a3"/>
        <w:spacing w:before="0" w:beforeAutospacing="0" w:after="0" w:afterAutospacing="0"/>
        <w:rPr>
          <w:sz w:val="20"/>
          <w:szCs w:val="20"/>
        </w:rPr>
      </w:pPr>
      <w:r>
        <w:rPr>
          <w:sz w:val="20"/>
          <w:szCs w:val="20"/>
        </w:rPr>
        <w:t> </w:t>
      </w:r>
    </w:p>
    <w:p w14:paraId="5284AEA4" w14:textId="77777777" w:rsidR="00000000" w:rsidRDefault="00B8284C">
      <w:pPr>
        <w:pStyle w:val="a3"/>
        <w:spacing w:before="160" w:beforeAutospacing="0" w:after="0" w:afterAutospacing="0"/>
        <w:rPr>
          <w:b/>
          <w:bCs/>
          <w:sz w:val="20"/>
          <w:szCs w:val="20"/>
        </w:rPr>
      </w:pPr>
      <w:r>
        <w:rPr>
          <w:b/>
          <w:bCs/>
          <w:sz w:val="20"/>
          <w:szCs w:val="20"/>
        </w:rPr>
        <w:t xml:space="preserve">11. Changes in Stockholders’ Equity </w:t>
      </w:r>
    </w:p>
    <w:p w14:paraId="472CA045" w14:textId="77777777" w:rsidR="00000000" w:rsidRDefault="00B8284C">
      <w:pPr>
        <w:pStyle w:val="a3"/>
        <w:spacing w:before="120" w:beforeAutospacing="0" w:after="0" w:afterAutospacing="0"/>
        <w:ind w:firstLine="556"/>
        <w:rPr>
          <w:sz w:val="20"/>
          <w:szCs w:val="20"/>
        </w:rPr>
      </w:pPr>
      <w:r>
        <w:rPr>
          <w:sz w:val="20"/>
          <w:szCs w:val="20"/>
        </w:rPr>
        <w:t xml:space="preserve">The following tables summarize the changes in stockholders’ equity for the nine months ended September 30, 2019 and 2018. </w:t>
      </w:r>
    </w:p>
    <w:p w14:paraId="160D56FA"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67"/>
        <w:gridCol w:w="60"/>
        <w:gridCol w:w="510"/>
        <w:gridCol w:w="60"/>
        <w:gridCol w:w="60"/>
        <w:gridCol w:w="106"/>
        <w:gridCol w:w="509"/>
        <w:gridCol w:w="60"/>
        <w:gridCol w:w="60"/>
        <w:gridCol w:w="105"/>
        <w:gridCol w:w="735"/>
        <w:gridCol w:w="60"/>
        <w:gridCol w:w="60"/>
        <w:gridCol w:w="125"/>
        <w:gridCol w:w="957"/>
        <w:gridCol w:w="75"/>
        <w:gridCol w:w="60"/>
        <w:gridCol w:w="106"/>
        <w:gridCol w:w="816"/>
        <w:gridCol w:w="75"/>
        <w:gridCol w:w="60"/>
        <w:gridCol w:w="105"/>
        <w:gridCol w:w="600"/>
        <w:gridCol w:w="75"/>
      </w:tblGrid>
      <w:tr w:rsidR="00000000" w14:paraId="4A98376A" w14:textId="77777777">
        <w:trPr>
          <w:divId w:val="1068267235"/>
        </w:trPr>
        <w:tc>
          <w:tcPr>
            <w:tcW w:w="1825" w:type="pct"/>
            <w:shd w:val="clear" w:color="auto" w:fill="FFFFFF"/>
            <w:tcMar>
              <w:top w:w="15" w:type="dxa"/>
              <w:left w:w="0" w:type="dxa"/>
              <w:bottom w:w="0" w:type="dxa"/>
              <w:right w:w="15" w:type="dxa"/>
            </w:tcMar>
            <w:vAlign w:val="bottom"/>
            <w:hideMark/>
          </w:tcPr>
          <w:p w14:paraId="18CE7B7B" w14:textId="77777777" w:rsidR="00000000" w:rsidRDefault="00B8284C">
            <w:pPr>
              <w:pStyle w:val="a3"/>
              <w:spacing w:before="0" w:beforeAutospacing="0" w:after="0" w:afterAutospacing="0"/>
              <w:jc w:val="right"/>
              <w:rPr>
                <w:sz w:val="20"/>
                <w:szCs w:val="20"/>
              </w:rPr>
            </w:pPr>
            <w:r>
              <w:rPr>
                <w:sz w:val="20"/>
                <w:szCs w:val="20"/>
              </w:rPr>
              <w:t> </w:t>
            </w:r>
          </w:p>
        </w:tc>
        <w:tc>
          <w:tcPr>
            <w:tcW w:w="972" w:type="pct"/>
            <w:gridSpan w:val="6"/>
            <w:tcBorders>
              <w:bottom w:val="single" w:sz="6" w:space="0" w:color="000000"/>
            </w:tcBorders>
            <w:shd w:val="clear" w:color="auto" w:fill="FFFFFF"/>
            <w:tcMar>
              <w:top w:w="15" w:type="dxa"/>
              <w:left w:w="0" w:type="dxa"/>
              <w:bottom w:w="0" w:type="dxa"/>
              <w:right w:w="15" w:type="dxa"/>
            </w:tcMar>
            <w:vAlign w:val="bottom"/>
            <w:hideMark/>
          </w:tcPr>
          <w:p w14:paraId="4463DC2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Common</w:t>
            </w:r>
          </w:p>
          <w:p w14:paraId="4602708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xml:space="preserve">Stock, </w:t>
            </w:r>
            <w:r>
              <w:rPr>
                <w:b/>
                <w:bCs/>
                <w:color w:val="000000"/>
                <w:sz w:val="16"/>
                <w:szCs w:val="16"/>
              </w:rPr>
              <w:t>$0.001</w:t>
            </w:r>
          </w:p>
          <w:p w14:paraId="66A4D8F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14:paraId="5D25673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7EF53B6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20F51F3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Additional</w:t>
            </w:r>
          </w:p>
          <w:p w14:paraId="76BB1C0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14:paraId="032F285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432B456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center"/>
            <w:hideMark/>
          </w:tcPr>
          <w:p w14:paraId="6E1187C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Accumulated</w:t>
            </w:r>
          </w:p>
          <w:p w14:paraId="319309E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Other</w:t>
            </w:r>
          </w:p>
          <w:p w14:paraId="70F0B61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center"/>
            <w:hideMark/>
          </w:tcPr>
          <w:p w14:paraId="5D8781C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32898F7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6251DDE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14:paraId="79BC16E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3FC695A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4067C7F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85" w:type="pct"/>
            <w:shd w:val="clear" w:color="auto" w:fill="FFFFFF"/>
            <w:noWrap/>
            <w:tcMar>
              <w:top w:w="15" w:type="dxa"/>
              <w:left w:w="0" w:type="dxa"/>
              <w:bottom w:w="0" w:type="dxa"/>
              <w:right w:w="15" w:type="dxa"/>
            </w:tcMar>
            <w:vAlign w:val="center"/>
            <w:hideMark/>
          </w:tcPr>
          <w:p w14:paraId="686F0D3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075B09E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F1C0243" w14:textId="77777777">
        <w:trPr>
          <w:divId w:val="1068267235"/>
        </w:trPr>
        <w:tc>
          <w:tcPr>
            <w:tcW w:w="1825" w:type="pct"/>
            <w:shd w:val="clear" w:color="auto" w:fill="FFFFFF"/>
            <w:tcMar>
              <w:top w:w="15" w:type="dxa"/>
              <w:left w:w="0" w:type="dxa"/>
              <w:bottom w:w="0" w:type="dxa"/>
              <w:right w:w="15" w:type="dxa"/>
            </w:tcMar>
            <w:vAlign w:val="bottom"/>
            <w:hideMark/>
          </w:tcPr>
          <w:p w14:paraId="4C92BC7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4541A3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197E575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14:paraId="1EE8A62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3A027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727CD40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39DF4A7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46379D8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center"/>
            <w:hideMark/>
          </w:tcPr>
          <w:p w14:paraId="5EA4158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57DA6D5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71A1EDF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center"/>
            <w:hideMark/>
          </w:tcPr>
          <w:p w14:paraId="6C32CF2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744214C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26253CF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center"/>
            <w:hideMark/>
          </w:tcPr>
          <w:p w14:paraId="7DA09BA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157F6FC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bottom"/>
            <w:hideMark/>
          </w:tcPr>
          <w:p w14:paraId="54EF8AD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04AE55B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3CF279EC" w14:textId="77777777">
        <w:trPr>
          <w:divId w:val="1068267235"/>
        </w:trPr>
        <w:tc>
          <w:tcPr>
            <w:tcW w:w="1825" w:type="pct"/>
            <w:shd w:val="clear" w:color="auto" w:fill="CFF0FC"/>
            <w:tcMar>
              <w:top w:w="15" w:type="dxa"/>
              <w:left w:w="0" w:type="dxa"/>
              <w:bottom w:w="0" w:type="dxa"/>
              <w:right w:w="15" w:type="dxa"/>
            </w:tcMar>
            <w:vAlign w:val="bottom"/>
            <w:hideMark/>
          </w:tcPr>
          <w:p w14:paraId="608F8C92" w14:textId="77777777" w:rsidR="00000000" w:rsidRDefault="00B8284C">
            <w:pPr>
              <w:pStyle w:val="a3"/>
              <w:spacing w:before="0" w:beforeAutospacing="0" w:after="0" w:afterAutospacing="0"/>
              <w:rPr>
                <w:color w:val="000000"/>
                <w:sz w:val="18"/>
                <w:szCs w:val="18"/>
              </w:rPr>
            </w:pPr>
            <w:r>
              <w:rPr>
                <w:color w:val="000000"/>
                <w:sz w:val="18"/>
                <w:szCs w:val="18"/>
              </w:rPr>
              <w:t>Balances at December 31, 2018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109AC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5E0E80AF" w14:textId="77777777" w:rsidR="00000000" w:rsidRDefault="00B8284C">
            <w:pPr>
              <w:pStyle w:val="a3"/>
              <w:spacing w:before="0" w:beforeAutospacing="0" w:after="0" w:afterAutospacing="0"/>
              <w:jc w:val="right"/>
              <w:rPr>
                <w:color w:val="000000"/>
                <w:sz w:val="18"/>
                <w:szCs w:val="18"/>
              </w:rPr>
            </w:pPr>
            <w:r>
              <w:rPr>
                <w:color w:val="000000"/>
                <w:sz w:val="18"/>
                <w:szCs w:val="18"/>
              </w:rPr>
              <w:t>39,300</w:t>
            </w:r>
          </w:p>
        </w:tc>
        <w:tc>
          <w:tcPr>
            <w:tcW w:w="50" w:type="pct"/>
            <w:shd w:val="clear" w:color="auto" w:fill="CFF0FC"/>
            <w:noWrap/>
            <w:tcMar>
              <w:top w:w="15" w:type="dxa"/>
              <w:left w:w="0" w:type="dxa"/>
              <w:bottom w:w="0" w:type="dxa"/>
              <w:right w:w="15" w:type="dxa"/>
            </w:tcMar>
            <w:vAlign w:val="bottom"/>
            <w:hideMark/>
          </w:tcPr>
          <w:p w14:paraId="6D6BA2F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559004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6C9682"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2AD6D697" w14:textId="77777777" w:rsidR="00000000" w:rsidRDefault="00B8284C">
            <w:pPr>
              <w:pStyle w:val="a3"/>
              <w:spacing w:before="0" w:beforeAutospacing="0" w:after="0" w:afterAutospacing="0"/>
              <w:jc w:val="right"/>
              <w:rPr>
                <w:color w:val="000000"/>
                <w:sz w:val="18"/>
                <w:szCs w:val="18"/>
              </w:rPr>
            </w:pPr>
            <w:r>
              <w:rPr>
                <w:color w:val="000000"/>
                <w:sz w:val="18"/>
                <w:szCs w:val="18"/>
              </w:rPr>
              <w:t>40</w:t>
            </w:r>
          </w:p>
        </w:tc>
        <w:tc>
          <w:tcPr>
            <w:tcW w:w="50" w:type="pct"/>
            <w:shd w:val="clear" w:color="auto" w:fill="CFF0FC"/>
            <w:noWrap/>
            <w:tcMar>
              <w:top w:w="15" w:type="dxa"/>
              <w:left w:w="0" w:type="dxa"/>
              <w:bottom w:w="0" w:type="dxa"/>
              <w:right w:w="15" w:type="dxa"/>
            </w:tcMar>
            <w:vAlign w:val="bottom"/>
            <w:hideMark/>
          </w:tcPr>
          <w:p w14:paraId="0EF31EC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FF0431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4A5C76"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42CA00EB" w14:textId="77777777" w:rsidR="00000000" w:rsidRDefault="00B8284C">
            <w:pPr>
              <w:pStyle w:val="a3"/>
              <w:spacing w:before="0" w:beforeAutospacing="0" w:after="0" w:afterAutospacing="0"/>
              <w:jc w:val="right"/>
              <w:rPr>
                <w:color w:val="000000"/>
                <w:sz w:val="18"/>
                <w:szCs w:val="18"/>
              </w:rPr>
            </w:pPr>
            <w:r>
              <w:rPr>
                <w:color w:val="000000"/>
                <w:sz w:val="18"/>
                <w:szCs w:val="18"/>
              </w:rPr>
              <w:t>589,708</w:t>
            </w:r>
          </w:p>
        </w:tc>
        <w:tc>
          <w:tcPr>
            <w:tcW w:w="50" w:type="pct"/>
            <w:shd w:val="clear" w:color="auto" w:fill="CFF0FC"/>
            <w:noWrap/>
            <w:tcMar>
              <w:top w:w="15" w:type="dxa"/>
              <w:left w:w="0" w:type="dxa"/>
              <w:bottom w:w="0" w:type="dxa"/>
              <w:right w:w="15" w:type="dxa"/>
            </w:tcMar>
            <w:vAlign w:val="bottom"/>
            <w:hideMark/>
          </w:tcPr>
          <w:p w14:paraId="5A92205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2EFBC2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2127C30"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0A330A9E" w14:textId="77777777" w:rsidR="00000000" w:rsidRDefault="00B8284C">
            <w:pPr>
              <w:pStyle w:val="a3"/>
              <w:spacing w:before="0" w:beforeAutospacing="0" w:after="0" w:afterAutospacing="0"/>
              <w:jc w:val="right"/>
              <w:rPr>
                <w:color w:val="000000"/>
                <w:sz w:val="18"/>
                <w:szCs w:val="18"/>
              </w:rPr>
            </w:pPr>
            <w:r>
              <w:rPr>
                <w:color w:val="000000"/>
                <w:sz w:val="18"/>
                <w:szCs w:val="18"/>
              </w:rPr>
              <w:t>(</w:t>
            </w:r>
            <w:r>
              <w:rPr>
                <w:color w:val="000000"/>
                <w:sz w:val="18"/>
                <w:szCs w:val="18"/>
              </w:rPr>
              <w:t>723</w:t>
            </w:r>
          </w:p>
        </w:tc>
        <w:tc>
          <w:tcPr>
            <w:tcW w:w="50" w:type="pct"/>
            <w:shd w:val="clear" w:color="auto" w:fill="CFF0FC"/>
            <w:noWrap/>
            <w:tcMar>
              <w:top w:w="15" w:type="dxa"/>
              <w:left w:w="0" w:type="dxa"/>
              <w:bottom w:w="0" w:type="dxa"/>
              <w:right w:w="15" w:type="dxa"/>
            </w:tcMar>
            <w:vAlign w:val="bottom"/>
            <w:hideMark/>
          </w:tcPr>
          <w:p w14:paraId="632B0652"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049E571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8035B8"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5699B34D" w14:textId="77777777" w:rsidR="00000000" w:rsidRDefault="00B8284C">
            <w:pPr>
              <w:pStyle w:val="a3"/>
              <w:spacing w:before="0" w:beforeAutospacing="0" w:after="0" w:afterAutospacing="0"/>
              <w:jc w:val="right"/>
              <w:rPr>
                <w:color w:val="000000"/>
                <w:sz w:val="18"/>
                <w:szCs w:val="18"/>
              </w:rPr>
            </w:pPr>
            <w:r>
              <w:rPr>
                <w:color w:val="000000"/>
                <w:sz w:val="18"/>
                <w:szCs w:val="18"/>
              </w:rPr>
              <w:t>(344,384</w:t>
            </w:r>
          </w:p>
        </w:tc>
        <w:tc>
          <w:tcPr>
            <w:tcW w:w="50" w:type="pct"/>
            <w:shd w:val="clear" w:color="auto" w:fill="CFF0FC"/>
            <w:noWrap/>
            <w:tcMar>
              <w:top w:w="15" w:type="dxa"/>
              <w:left w:w="0" w:type="dxa"/>
              <w:bottom w:w="0" w:type="dxa"/>
              <w:right w:w="15" w:type="dxa"/>
            </w:tcMar>
            <w:vAlign w:val="bottom"/>
            <w:hideMark/>
          </w:tcPr>
          <w:p w14:paraId="61807A8B"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18EA241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76D739"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0F2B9C3F" w14:textId="77777777" w:rsidR="00000000" w:rsidRDefault="00B8284C">
            <w:pPr>
              <w:pStyle w:val="a3"/>
              <w:spacing w:before="0" w:beforeAutospacing="0" w:after="0" w:afterAutospacing="0"/>
              <w:jc w:val="right"/>
              <w:rPr>
                <w:color w:val="000000"/>
                <w:sz w:val="18"/>
                <w:szCs w:val="18"/>
              </w:rPr>
            </w:pPr>
            <w:r>
              <w:rPr>
                <w:color w:val="000000"/>
                <w:sz w:val="18"/>
                <w:szCs w:val="18"/>
              </w:rPr>
              <w:t>244,641</w:t>
            </w:r>
          </w:p>
        </w:tc>
        <w:tc>
          <w:tcPr>
            <w:tcW w:w="50" w:type="pct"/>
            <w:shd w:val="clear" w:color="auto" w:fill="CFF0FC"/>
            <w:noWrap/>
            <w:tcMar>
              <w:top w:w="15" w:type="dxa"/>
              <w:left w:w="0" w:type="dxa"/>
              <w:bottom w:w="0" w:type="dxa"/>
              <w:right w:w="15" w:type="dxa"/>
            </w:tcMar>
            <w:vAlign w:val="bottom"/>
            <w:hideMark/>
          </w:tcPr>
          <w:p w14:paraId="1715DE01"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20777317" w14:textId="77777777">
        <w:trPr>
          <w:divId w:val="1068267235"/>
        </w:trPr>
        <w:tc>
          <w:tcPr>
            <w:tcW w:w="1825" w:type="pct"/>
            <w:shd w:val="clear" w:color="auto" w:fill="FFFFFF"/>
            <w:tcMar>
              <w:top w:w="15" w:type="dxa"/>
              <w:left w:w="0" w:type="dxa"/>
              <w:bottom w:w="0" w:type="dxa"/>
              <w:right w:w="15" w:type="dxa"/>
            </w:tcMar>
            <w:vAlign w:val="bottom"/>
            <w:hideMark/>
          </w:tcPr>
          <w:p w14:paraId="3D3C16FF" w14:textId="77777777" w:rsidR="00000000" w:rsidRDefault="00B8284C">
            <w:pPr>
              <w:pStyle w:val="a3"/>
              <w:spacing w:before="0" w:beforeAutospacing="0" w:after="0" w:afterAutospacing="0"/>
              <w:rPr>
                <w:color w:val="000000"/>
                <w:sz w:val="18"/>
                <w:szCs w:val="18"/>
              </w:rPr>
            </w:pPr>
            <w:r>
              <w:rPr>
                <w:color w:val="000000"/>
                <w:sz w:val="18"/>
                <w:szCs w:val="18"/>
              </w:rPr>
              <w:t>Issuance of common stock under stock</w:t>
            </w:r>
          </w:p>
          <w:p w14:paraId="454AFA52" w14:textId="77777777" w:rsidR="00000000" w:rsidRDefault="00B8284C">
            <w:pPr>
              <w:pStyle w:val="a3"/>
              <w:spacing w:before="0" w:beforeAutospacing="0" w:after="0" w:afterAutospacing="0"/>
              <w:rPr>
                <w:color w:val="000000"/>
                <w:sz w:val="18"/>
                <w:szCs w:val="18"/>
              </w:rPr>
            </w:pPr>
            <w:r>
              <w:rPr>
                <w:color w:val="000000"/>
                <w:sz w:val="18"/>
                <w:szCs w:val="18"/>
              </w:rPr>
              <w:t>   plans, net of shares withheld for</w:t>
            </w:r>
          </w:p>
          <w:p w14:paraId="6871F2C7" w14:textId="77777777" w:rsidR="00000000" w:rsidRDefault="00B8284C">
            <w:pPr>
              <w:pStyle w:val="a3"/>
              <w:spacing w:before="0" w:beforeAutospacing="0" w:after="0" w:afterAutospacing="0"/>
              <w:rPr>
                <w:color w:val="000000"/>
                <w:sz w:val="18"/>
                <w:szCs w:val="18"/>
              </w:rPr>
            </w:pPr>
            <w:r>
              <w:rPr>
                <w:color w:val="000000"/>
                <w:sz w:val="18"/>
                <w:szCs w:val="18"/>
              </w:rPr>
              <w:t>   employee taxes</w:t>
            </w:r>
          </w:p>
        </w:tc>
        <w:tc>
          <w:tcPr>
            <w:tcW w:w="50" w:type="pct"/>
            <w:shd w:val="clear" w:color="auto" w:fill="FFFFFF"/>
            <w:noWrap/>
            <w:tcMar>
              <w:top w:w="15" w:type="dxa"/>
              <w:left w:w="0" w:type="dxa"/>
              <w:bottom w:w="0" w:type="dxa"/>
              <w:right w:w="15" w:type="dxa"/>
            </w:tcMar>
            <w:vAlign w:val="bottom"/>
            <w:hideMark/>
          </w:tcPr>
          <w:p w14:paraId="767BB81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3518D71" w14:textId="77777777" w:rsidR="00000000" w:rsidRDefault="00B8284C">
            <w:pPr>
              <w:pStyle w:val="a3"/>
              <w:spacing w:before="0" w:beforeAutospacing="0" w:after="0" w:afterAutospacing="0"/>
              <w:jc w:val="right"/>
              <w:rPr>
                <w:color w:val="000000"/>
                <w:sz w:val="18"/>
                <w:szCs w:val="18"/>
              </w:rPr>
            </w:pPr>
            <w:r>
              <w:rPr>
                <w:color w:val="000000"/>
                <w:sz w:val="18"/>
                <w:szCs w:val="18"/>
              </w:rPr>
              <w:t>825</w:t>
            </w:r>
          </w:p>
        </w:tc>
        <w:tc>
          <w:tcPr>
            <w:tcW w:w="50" w:type="pct"/>
            <w:shd w:val="clear" w:color="auto" w:fill="FFFFFF"/>
            <w:noWrap/>
            <w:tcMar>
              <w:top w:w="15" w:type="dxa"/>
              <w:left w:w="0" w:type="dxa"/>
              <w:bottom w:w="0" w:type="dxa"/>
              <w:right w:w="15" w:type="dxa"/>
            </w:tcMar>
            <w:vAlign w:val="bottom"/>
            <w:hideMark/>
          </w:tcPr>
          <w:p w14:paraId="6AABE81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FF485F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2C5298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0D6179A" w14:textId="77777777" w:rsidR="00000000" w:rsidRDefault="00B8284C">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50542B5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80F6B8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29C88A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A338FD7" w14:textId="77777777" w:rsidR="00000000" w:rsidRDefault="00B8284C">
            <w:pPr>
              <w:pStyle w:val="a3"/>
              <w:spacing w:before="0" w:beforeAutospacing="0" w:after="0" w:afterAutospacing="0"/>
              <w:jc w:val="right"/>
              <w:rPr>
                <w:color w:val="000000"/>
                <w:sz w:val="18"/>
                <w:szCs w:val="18"/>
              </w:rPr>
            </w:pPr>
            <w:r>
              <w:rPr>
                <w:color w:val="000000"/>
                <w:sz w:val="18"/>
                <w:szCs w:val="18"/>
              </w:rPr>
              <w:t>7,756</w:t>
            </w:r>
          </w:p>
        </w:tc>
        <w:tc>
          <w:tcPr>
            <w:tcW w:w="50" w:type="pct"/>
            <w:shd w:val="clear" w:color="auto" w:fill="FFFFFF"/>
            <w:noWrap/>
            <w:tcMar>
              <w:top w:w="15" w:type="dxa"/>
              <w:left w:w="0" w:type="dxa"/>
              <w:bottom w:w="0" w:type="dxa"/>
              <w:right w:w="15" w:type="dxa"/>
            </w:tcMar>
            <w:vAlign w:val="bottom"/>
            <w:hideMark/>
          </w:tcPr>
          <w:p w14:paraId="4721F9C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D783CD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C3772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DBFB61D"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EBA5C4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E734FF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D04CD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A219DB7"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6AC50B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BA26C0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163A2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CC2CC0D" w14:textId="77777777" w:rsidR="00000000" w:rsidRDefault="00B8284C">
            <w:pPr>
              <w:pStyle w:val="a3"/>
              <w:spacing w:before="0" w:beforeAutospacing="0" w:after="0" w:afterAutospacing="0"/>
              <w:jc w:val="right"/>
              <w:rPr>
                <w:color w:val="000000"/>
                <w:sz w:val="18"/>
                <w:szCs w:val="18"/>
              </w:rPr>
            </w:pPr>
            <w:r>
              <w:rPr>
                <w:color w:val="000000"/>
                <w:sz w:val="18"/>
                <w:szCs w:val="18"/>
              </w:rPr>
              <w:t>7,757</w:t>
            </w:r>
          </w:p>
        </w:tc>
        <w:tc>
          <w:tcPr>
            <w:tcW w:w="50" w:type="pct"/>
            <w:shd w:val="clear" w:color="auto" w:fill="FFFFFF"/>
            <w:noWrap/>
            <w:tcMar>
              <w:top w:w="15" w:type="dxa"/>
              <w:left w:w="0" w:type="dxa"/>
              <w:bottom w:w="0" w:type="dxa"/>
              <w:right w:w="15" w:type="dxa"/>
            </w:tcMar>
            <w:vAlign w:val="bottom"/>
            <w:hideMark/>
          </w:tcPr>
          <w:p w14:paraId="581B0ABA"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7687DE8E" w14:textId="77777777">
        <w:trPr>
          <w:divId w:val="1068267235"/>
        </w:trPr>
        <w:tc>
          <w:tcPr>
            <w:tcW w:w="1825" w:type="pct"/>
            <w:shd w:val="clear" w:color="auto" w:fill="CFF0FC"/>
            <w:tcMar>
              <w:top w:w="15" w:type="dxa"/>
              <w:left w:w="0" w:type="dxa"/>
              <w:bottom w:w="0" w:type="dxa"/>
              <w:right w:w="15" w:type="dxa"/>
            </w:tcMar>
            <w:vAlign w:val="bottom"/>
            <w:hideMark/>
          </w:tcPr>
          <w:p w14:paraId="2186F3F4" w14:textId="77777777" w:rsidR="00000000" w:rsidRDefault="00B8284C">
            <w:pPr>
              <w:pStyle w:val="a3"/>
              <w:spacing w:before="0" w:beforeAutospacing="0" w:after="0" w:afterAutospacing="0"/>
              <w:rPr>
                <w:color w:val="000000"/>
                <w:sz w:val="18"/>
                <w:szCs w:val="18"/>
              </w:rPr>
            </w:pPr>
            <w:r>
              <w:rPr>
                <w:color w:val="000000"/>
                <w:sz w:val="18"/>
                <w:szCs w:val="18"/>
              </w:rPr>
              <w:t>Issuance of common stock in relation to</w:t>
            </w:r>
          </w:p>
          <w:p w14:paraId="51498CC4" w14:textId="77777777" w:rsidR="00000000" w:rsidRDefault="00B8284C">
            <w:pPr>
              <w:pStyle w:val="a3"/>
              <w:spacing w:before="0" w:beforeAutospacing="0" w:after="0" w:afterAutospacing="0"/>
              <w:rPr>
                <w:color w:val="000000"/>
                <w:sz w:val="18"/>
                <w:szCs w:val="18"/>
              </w:rPr>
            </w:pPr>
            <w:r>
              <w:rPr>
                <w:color w:val="000000"/>
                <w:sz w:val="18"/>
                <w:szCs w:val="18"/>
              </w:rPr>
              <w:t>   common stock offering, net of offering costs</w:t>
            </w:r>
          </w:p>
          <w:p w14:paraId="0DAA0CBA" w14:textId="77777777" w:rsidR="00000000" w:rsidRDefault="00B8284C">
            <w:pPr>
              <w:pStyle w:val="a3"/>
              <w:spacing w:before="0" w:beforeAutospacing="0" w:after="0" w:afterAutospacing="0"/>
              <w:rPr>
                <w:color w:val="000000"/>
                <w:sz w:val="18"/>
                <w:szCs w:val="18"/>
              </w:rPr>
            </w:pPr>
            <w:r>
              <w:rPr>
                <w:color w:val="000000"/>
                <w:sz w:val="18"/>
                <w:szCs w:val="18"/>
              </w:rPr>
              <w:t>   incurred $365</w:t>
            </w:r>
          </w:p>
        </w:tc>
        <w:tc>
          <w:tcPr>
            <w:tcW w:w="50" w:type="pct"/>
            <w:shd w:val="clear" w:color="auto" w:fill="CFF0FC"/>
            <w:noWrap/>
            <w:tcMar>
              <w:top w:w="15" w:type="dxa"/>
              <w:left w:w="0" w:type="dxa"/>
              <w:bottom w:w="0" w:type="dxa"/>
              <w:right w:w="15" w:type="dxa"/>
            </w:tcMar>
            <w:vAlign w:val="bottom"/>
            <w:hideMark/>
          </w:tcPr>
          <w:p w14:paraId="4FB7070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3B9547A6" w14:textId="77777777" w:rsidR="00000000" w:rsidRDefault="00B8284C">
            <w:pPr>
              <w:pStyle w:val="a3"/>
              <w:spacing w:before="0" w:beforeAutospacing="0" w:after="0" w:afterAutospacing="0"/>
              <w:jc w:val="right"/>
              <w:rPr>
                <w:color w:val="000000"/>
                <w:sz w:val="18"/>
                <w:szCs w:val="18"/>
              </w:rPr>
            </w:pPr>
            <w:r>
              <w:rPr>
                <w:color w:val="000000"/>
                <w:sz w:val="18"/>
                <w:szCs w:val="18"/>
              </w:rPr>
              <w:t>2,151</w:t>
            </w:r>
          </w:p>
        </w:tc>
        <w:tc>
          <w:tcPr>
            <w:tcW w:w="50" w:type="pct"/>
            <w:shd w:val="clear" w:color="auto" w:fill="CFF0FC"/>
            <w:noWrap/>
            <w:tcMar>
              <w:top w:w="15" w:type="dxa"/>
              <w:left w:w="0" w:type="dxa"/>
              <w:bottom w:w="0" w:type="dxa"/>
              <w:right w:w="15" w:type="dxa"/>
            </w:tcMar>
            <w:vAlign w:val="bottom"/>
            <w:hideMark/>
          </w:tcPr>
          <w:p w14:paraId="68EA764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5C987B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F68819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73FB52E" w14:textId="77777777" w:rsidR="00000000" w:rsidRDefault="00B8284C">
            <w:pPr>
              <w:pStyle w:val="a3"/>
              <w:spacing w:before="0" w:beforeAutospacing="0" w:after="0" w:afterAutospacing="0"/>
              <w:jc w:val="right"/>
              <w:rPr>
                <w:color w:val="000000"/>
                <w:sz w:val="18"/>
                <w:szCs w:val="18"/>
              </w:rPr>
            </w:pPr>
            <w:r>
              <w:rPr>
                <w:color w:val="000000"/>
                <w:sz w:val="18"/>
                <w:szCs w:val="18"/>
              </w:rPr>
              <w:t>2</w:t>
            </w:r>
          </w:p>
        </w:tc>
        <w:tc>
          <w:tcPr>
            <w:tcW w:w="50" w:type="pct"/>
            <w:shd w:val="clear" w:color="auto" w:fill="CFF0FC"/>
            <w:noWrap/>
            <w:tcMar>
              <w:top w:w="15" w:type="dxa"/>
              <w:left w:w="0" w:type="dxa"/>
              <w:bottom w:w="0" w:type="dxa"/>
              <w:right w:w="15" w:type="dxa"/>
            </w:tcMar>
            <w:vAlign w:val="bottom"/>
            <w:hideMark/>
          </w:tcPr>
          <w:p w14:paraId="321651D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D4EA4C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147A4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45A3C5AB" w14:textId="77777777" w:rsidR="00000000" w:rsidRDefault="00B8284C">
            <w:pPr>
              <w:pStyle w:val="a3"/>
              <w:spacing w:before="0" w:beforeAutospacing="0" w:after="0" w:afterAutospacing="0"/>
              <w:jc w:val="right"/>
              <w:rPr>
                <w:color w:val="000000"/>
                <w:sz w:val="18"/>
                <w:szCs w:val="18"/>
              </w:rPr>
            </w:pPr>
            <w:r>
              <w:rPr>
                <w:color w:val="000000"/>
                <w:sz w:val="18"/>
                <w:szCs w:val="18"/>
              </w:rPr>
              <w:t>342,628</w:t>
            </w:r>
          </w:p>
        </w:tc>
        <w:tc>
          <w:tcPr>
            <w:tcW w:w="50" w:type="pct"/>
            <w:shd w:val="clear" w:color="auto" w:fill="CFF0FC"/>
            <w:noWrap/>
            <w:tcMar>
              <w:top w:w="15" w:type="dxa"/>
              <w:left w:w="0" w:type="dxa"/>
              <w:bottom w:w="0" w:type="dxa"/>
              <w:right w:w="15" w:type="dxa"/>
            </w:tcMar>
            <w:vAlign w:val="bottom"/>
            <w:hideMark/>
          </w:tcPr>
          <w:p w14:paraId="36E2FCE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D0BE95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D04029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6DE3BC48"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4BB122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7B4A06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77ABD1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AB569EF"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CADC75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1C56CC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DEB317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2D65391" w14:textId="77777777" w:rsidR="00000000" w:rsidRDefault="00B8284C">
            <w:pPr>
              <w:pStyle w:val="a3"/>
              <w:spacing w:before="0" w:beforeAutospacing="0" w:after="0" w:afterAutospacing="0"/>
              <w:jc w:val="right"/>
              <w:rPr>
                <w:color w:val="000000"/>
                <w:sz w:val="18"/>
                <w:szCs w:val="18"/>
              </w:rPr>
            </w:pPr>
            <w:r>
              <w:rPr>
                <w:color w:val="000000"/>
                <w:sz w:val="18"/>
                <w:szCs w:val="18"/>
              </w:rPr>
              <w:t>342,630</w:t>
            </w:r>
          </w:p>
        </w:tc>
        <w:tc>
          <w:tcPr>
            <w:tcW w:w="50" w:type="pct"/>
            <w:shd w:val="clear" w:color="auto" w:fill="CFF0FC"/>
            <w:noWrap/>
            <w:tcMar>
              <w:top w:w="15" w:type="dxa"/>
              <w:left w:w="0" w:type="dxa"/>
              <w:bottom w:w="0" w:type="dxa"/>
              <w:right w:w="15" w:type="dxa"/>
            </w:tcMar>
            <w:vAlign w:val="bottom"/>
            <w:hideMark/>
          </w:tcPr>
          <w:p w14:paraId="73509C44"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2A8FDA3A" w14:textId="77777777">
        <w:trPr>
          <w:divId w:val="1068267235"/>
        </w:trPr>
        <w:tc>
          <w:tcPr>
            <w:tcW w:w="1825" w:type="pct"/>
            <w:shd w:val="clear" w:color="auto" w:fill="FFFFFF"/>
            <w:tcMar>
              <w:top w:w="15" w:type="dxa"/>
              <w:left w:w="0" w:type="dxa"/>
              <w:bottom w:w="0" w:type="dxa"/>
              <w:right w:w="15" w:type="dxa"/>
            </w:tcMar>
            <w:vAlign w:val="bottom"/>
            <w:hideMark/>
          </w:tcPr>
          <w:p w14:paraId="5571D61C" w14:textId="77777777" w:rsidR="00000000" w:rsidRDefault="00B8284C">
            <w:pPr>
              <w:pStyle w:val="a3"/>
              <w:spacing w:before="0" w:beforeAutospacing="0" w:after="0" w:afterAutospacing="0"/>
              <w:rPr>
                <w:color w:val="000000"/>
                <w:sz w:val="18"/>
                <w:szCs w:val="18"/>
              </w:rPr>
            </w:pPr>
            <w:r>
              <w:rPr>
                <w:color w:val="000000"/>
                <w:sz w:val="18"/>
                <w:szCs w:val="18"/>
              </w:rPr>
              <w:t>Stock-based compensation</w:t>
            </w:r>
          </w:p>
        </w:tc>
        <w:tc>
          <w:tcPr>
            <w:tcW w:w="50" w:type="pct"/>
            <w:shd w:val="clear" w:color="auto" w:fill="FFFFFF"/>
            <w:noWrap/>
            <w:tcMar>
              <w:top w:w="15" w:type="dxa"/>
              <w:left w:w="0" w:type="dxa"/>
              <w:bottom w:w="0" w:type="dxa"/>
              <w:right w:w="15" w:type="dxa"/>
            </w:tcMar>
            <w:vAlign w:val="bottom"/>
            <w:hideMark/>
          </w:tcPr>
          <w:p w14:paraId="0B2FD90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5A48CE6"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4BE1A5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C062E3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27B1F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1E27311"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765516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4F1C55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A2CBFB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1C4E91D" w14:textId="77777777" w:rsidR="00000000" w:rsidRDefault="00B8284C">
            <w:pPr>
              <w:pStyle w:val="a3"/>
              <w:spacing w:before="0" w:beforeAutospacing="0" w:after="0" w:afterAutospacing="0"/>
              <w:jc w:val="right"/>
              <w:rPr>
                <w:color w:val="000000"/>
                <w:sz w:val="18"/>
                <w:szCs w:val="18"/>
              </w:rPr>
            </w:pPr>
            <w:r>
              <w:rPr>
                <w:color w:val="000000"/>
                <w:sz w:val="18"/>
                <w:szCs w:val="18"/>
              </w:rPr>
              <w:t>50,609</w:t>
            </w:r>
          </w:p>
        </w:tc>
        <w:tc>
          <w:tcPr>
            <w:tcW w:w="50" w:type="pct"/>
            <w:shd w:val="clear" w:color="auto" w:fill="FFFFFF"/>
            <w:noWrap/>
            <w:tcMar>
              <w:top w:w="15" w:type="dxa"/>
              <w:left w:w="0" w:type="dxa"/>
              <w:bottom w:w="0" w:type="dxa"/>
              <w:right w:w="15" w:type="dxa"/>
            </w:tcMar>
            <w:vAlign w:val="bottom"/>
            <w:hideMark/>
          </w:tcPr>
          <w:p w14:paraId="0A2FD88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8916D9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26BB9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EF82385" w14:textId="77777777" w:rsidR="00000000" w:rsidRDefault="00B8284C">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77629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F0EC47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49452F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93E9A20"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1ABAEC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25C79A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0B4F84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9A697FB" w14:textId="77777777" w:rsidR="00000000" w:rsidRDefault="00B8284C">
            <w:pPr>
              <w:pStyle w:val="a3"/>
              <w:spacing w:before="0" w:beforeAutospacing="0" w:after="0" w:afterAutospacing="0"/>
              <w:jc w:val="right"/>
              <w:rPr>
                <w:color w:val="000000"/>
                <w:sz w:val="18"/>
                <w:szCs w:val="18"/>
              </w:rPr>
            </w:pPr>
            <w:r>
              <w:rPr>
                <w:color w:val="000000"/>
                <w:sz w:val="18"/>
                <w:szCs w:val="18"/>
              </w:rPr>
              <w:t>50,609</w:t>
            </w:r>
          </w:p>
        </w:tc>
        <w:tc>
          <w:tcPr>
            <w:tcW w:w="50" w:type="pct"/>
            <w:shd w:val="clear" w:color="auto" w:fill="FFFFFF"/>
            <w:noWrap/>
            <w:tcMar>
              <w:top w:w="15" w:type="dxa"/>
              <w:left w:w="0" w:type="dxa"/>
              <w:bottom w:w="0" w:type="dxa"/>
              <w:right w:w="15" w:type="dxa"/>
            </w:tcMar>
            <w:vAlign w:val="bottom"/>
            <w:hideMark/>
          </w:tcPr>
          <w:p w14:paraId="07217B9D"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3E99DEE5" w14:textId="77777777">
        <w:trPr>
          <w:divId w:val="1068267235"/>
        </w:trPr>
        <w:tc>
          <w:tcPr>
            <w:tcW w:w="1825" w:type="pct"/>
            <w:shd w:val="clear" w:color="auto" w:fill="CFF0FC"/>
            <w:tcMar>
              <w:top w:w="15" w:type="dxa"/>
              <w:left w:w="0" w:type="dxa"/>
              <w:bottom w:w="0" w:type="dxa"/>
              <w:right w:w="15" w:type="dxa"/>
            </w:tcMar>
            <w:vAlign w:val="bottom"/>
            <w:hideMark/>
          </w:tcPr>
          <w:p w14:paraId="6BB3B2A4" w14:textId="77777777" w:rsidR="00000000" w:rsidRDefault="00B8284C">
            <w:pPr>
              <w:pStyle w:val="a3"/>
              <w:spacing w:before="0" w:beforeAutospacing="0" w:after="0" w:afterAutospacing="0"/>
              <w:rPr>
                <w:color w:val="000000"/>
                <w:sz w:val="18"/>
                <w:szCs w:val="18"/>
              </w:rPr>
            </w:pPr>
            <w:r>
              <w:rPr>
                <w:color w:val="000000"/>
                <w:sz w:val="18"/>
                <w:szCs w:val="18"/>
              </w:rPr>
              <w:t>Cumulative translation adjustment</w:t>
            </w:r>
          </w:p>
        </w:tc>
        <w:tc>
          <w:tcPr>
            <w:tcW w:w="50" w:type="pct"/>
            <w:shd w:val="clear" w:color="auto" w:fill="CFF0FC"/>
            <w:noWrap/>
            <w:tcMar>
              <w:top w:w="15" w:type="dxa"/>
              <w:left w:w="0" w:type="dxa"/>
              <w:bottom w:w="0" w:type="dxa"/>
              <w:right w:w="15" w:type="dxa"/>
            </w:tcMar>
            <w:vAlign w:val="bottom"/>
            <w:hideMark/>
          </w:tcPr>
          <w:p w14:paraId="67D93A0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39439DF"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87CE83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AE6704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56D76B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3370CD35"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97D4BF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6D7F0D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53E2A3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CE7355B"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CF6E40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697106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C5CFEC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6A8184C" w14:textId="77777777" w:rsidR="00000000" w:rsidRDefault="00B8284C">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CFF0FC"/>
            <w:noWrap/>
            <w:tcMar>
              <w:top w:w="15" w:type="dxa"/>
              <w:left w:w="0" w:type="dxa"/>
              <w:bottom w:w="0" w:type="dxa"/>
              <w:right w:w="15" w:type="dxa"/>
            </w:tcMar>
            <w:vAlign w:val="bottom"/>
            <w:hideMark/>
          </w:tcPr>
          <w:p w14:paraId="29B9184B"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3CE5B25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2F6825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5F28D22"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51D292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AC12BF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FC0784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5D3E615" w14:textId="77777777" w:rsidR="00000000" w:rsidRDefault="00B8284C">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CFF0FC"/>
            <w:noWrap/>
            <w:tcMar>
              <w:top w:w="15" w:type="dxa"/>
              <w:left w:w="0" w:type="dxa"/>
              <w:bottom w:w="0" w:type="dxa"/>
              <w:right w:w="15" w:type="dxa"/>
            </w:tcMar>
            <w:vAlign w:val="bottom"/>
            <w:hideMark/>
          </w:tcPr>
          <w:p w14:paraId="3D2E91BD"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13B3617F" w14:textId="77777777">
        <w:trPr>
          <w:divId w:val="1068267235"/>
        </w:trPr>
        <w:tc>
          <w:tcPr>
            <w:tcW w:w="1825" w:type="pct"/>
            <w:shd w:val="clear" w:color="auto" w:fill="FFFFFF"/>
            <w:tcMar>
              <w:top w:w="15" w:type="dxa"/>
              <w:left w:w="0" w:type="dxa"/>
              <w:bottom w:w="0" w:type="dxa"/>
              <w:right w:w="15" w:type="dxa"/>
            </w:tcMar>
            <w:vAlign w:val="bottom"/>
            <w:hideMark/>
          </w:tcPr>
          <w:p w14:paraId="3008CBDD" w14:textId="77777777" w:rsidR="00000000" w:rsidRDefault="00B8284C">
            <w:pPr>
              <w:pStyle w:val="a3"/>
              <w:spacing w:before="0" w:beforeAutospacing="0" w:after="0" w:afterAutospacing="0"/>
              <w:rPr>
                <w:color w:val="000000"/>
                <w:sz w:val="18"/>
                <w:szCs w:val="18"/>
              </w:rPr>
            </w:pPr>
            <w:r>
              <w:rPr>
                <w:color w:val="000000"/>
                <w:sz w:val="18"/>
                <w:szCs w:val="18"/>
              </w:rPr>
              <w:t>Unrealized gain on investments, net of income</w:t>
            </w:r>
          </w:p>
          <w:p w14:paraId="5C819A80" w14:textId="77777777" w:rsidR="00000000" w:rsidRDefault="00B8284C">
            <w:pPr>
              <w:pStyle w:val="a3"/>
              <w:spacing w:before="0" w:beforeAutospacing="0" w:after="0" w:afterAutospacing="0"/>
              <w:rPr>
                <w:color w:val="000000"/>
                <w:sz w:val="18"/>
                <w:szCs w:val="18"/>
              </w:rPr>
            </w:pPr>
            <w:r>
              <w:rPr>
                <w:color w:val="000000"/>
                <w:sz w:val="18"/>
                <w:szCs w:val="18"/>
              </w:rPr>
              <w:t>   taxes of $269</w:t>
            </w:r>
          </w:p>
        </w:tc>
        <w:tc>
          <w:tcPr>
            <w:tcW w:w="50" w:type="pct"/>
            <w:shd w:val="clear" w:color="auto" w:fill="FFFFFF"/>
            <w:noWrap/>
            <w:tcMar>
              <w:top w:w="15" w:type="dxa"/>
              <w:left w:w="0" w:type="dxa"/>
              <w:bottom w:w="0" w:type="dxa"/>
              <w:right w:w="15" w:type="dxa"/>
            </w:tcMar>
            <w:vAlign w:val="bottom"/>
            <w:hideMark/>
          </w:tcPr>
          <w:p w14:paraId="731109B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FADF2C3"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F4721D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6EA30C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5F713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586C956"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EE69BD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FF6734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CB07C1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996A69A"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38226C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31783E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82C114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DA0B5D3" w14:textId="77777777" w:rsidR="00000000" w:rsidRDefault="00B8284C">
            <w:pPr>
              <w:pStyle w:val="a3"/>
              <w:spacing w:before="0" w:beforeAutospacing="0" w:after="0" w:afterAutospacing="0"/>
              <w:jc w:val="right"/>
              <w:rPr>
                <w:color w:val="000000"/>
                <w:sz w:val="18"/>
                <w:szCs w:val="18"/>
              </w:rPr>
            </w:pPr>
            <w:r>
              <w:rPr>
                <w:color w:val="000000"/>
                <w:sz w:val="18"/>
                <w:szCs w:val="18"/>
              </w:rPr>
              <w:t>1,014</w:t>
            </w:r>
          </w:p>
        </w:tc>
        <w:tc>
          <w:tcPr>
            <w:tcW w:w="50" w:type="pct"/>
            <w:shd w:val="clear" w:color="auto" w:fill="FFFFFF"/>
            <w:noWrap/>
            <w:tcMar>
              <w:top w:w="15" w:type="dxa"/>
              <w:left w:w="0" w:type="dxa"/>
              <w:bottom w:w="0" w:type="dxa"/>
              <w:right w:w="15" w:type="dxa"/>
            </w:tcMar>
            <w:vAlign w:val="bottom"/>
            <w:hideMark/>
          </w:tcPr>
          <w:p w14:paraId="196C4D5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AE0262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2553D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70DD0F2"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815A11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0D1CCA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A48EE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30A761B" w14:textId="77777777" w:rsidR="00000000" w:rsidRDefault="00B8284C">
            <w:pPr>
              <w:pStyle w:val="a3"/>
              <w:spacing w:before="0" w:beforeAutospacing="0" w:after="0" w:afterAutospacing="0"/>
              <w:jc w:val="right"/>
              <w:rPr>
                <w:color w:val="000000"/>
                <w:sz w:val="18"/>
                <w:szCs w:val="18"/>
              </w:rPr>
            </w:pPr>
            <w:r>
              <w:rPr>
                <w:color w:val="000000"/>
                <w:sz w:val="18"/>
                <w:szCs w:val="18"/>
              </w:rPr>
              <w:t>1,014</w:t>
            </w:r>
          </w:p>
        </w:tc>
        <w:tc>
          <w:tcPr>
            <w:tcW w:w="50" w:type="pct"/>
            <w:shd w:val="clear" w:color="auto" w:fill="FFFFFF"/>
            <w:noWrap/>
            <w:tcMar>
              <w:top w:w="15" w:type="dxa"/>
              <w:left w:w="0" w:type="dxa"/>
              <w:bottom w:w="0" w:type="dxa"/>
              <w:right w:w="15" w:type="dxa"/>
            </w:tcMar>
            <w:vAlign w:val="bottom"/>
            <w:hideMark/>
          </w:tcPr>
          <w:p w14:paraId="4361A2E7"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23F9F36E" w14:textId="77777777">
        <w:trPr>
          <w:divId w:val="1068267235"/>
        </w:trPr>
        <w:tc>
          <w:tcPr>
            <w:tcW w:w="1825" w:type="pct"/>
            <w:shd w:val="clear" w:color="auto" w:fill="CFF0FC"/>
            <w:tcMar>
              <w:top w:w="15" w:type="dxa"/>
              <w:left w:w="0" w:type="dxa"/>
              <w:bottom w:w="0" w:type="dxa"/>
              <w:right w:w="15" w:type="dxa"/>
            </w:tcMar>
            <w:vAlign w:val="bottom"/>
            <w:hideMark/>
          </w:tcPr>
          <w:p w14:paraId="63B00CFE" w14:textId="77777777" w:rsidR="00000000" w:rsidRDefault="00B8284C">
            <w:pPr>
              <w:pStyle w:val="a3"/>
              <w:spacing w:before="0" w:beforeAutospacing="0" w:after="0" w:afterAutospacing="0"/>
              <w:rPr>
                <w:color w:val="000000"/>
                <w:sz w:val="18"/>
                <w:szCs w:val="18"/>
              </w:rPr>
            </w:pPr>
            <w:r>
              <w:rPr>
                <w:color w:val="000000"/>
                <w:sz w:val="18"/>
                <w:szCs w:val="18"/>
              </w:rPr>
              <w:t>Net loss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3EF4D8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3E7E2B67"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953F5E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50D261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47BEAC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0EB59DD"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FE3779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4706D1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81702C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5D133F9"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5C3C87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2EDBA5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511ADD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3246C0B0"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F5AE08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C64648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722FF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21A70028" w14:textId="77777777" w:rsidR="00000000" w:rsidRDefault="00B8284C">
            <w:pPr>
              <w:pStyle w:val="a3"/>
              <w:spacing w:before="0" w:beforeAutospacing="0" w:after="0" w:afterAutospacing="0"/>
              <w:jc w:val="right"/>
              <w:rPr>
                <w:color w:val="000000"/>
                <w:sz w:val="18"/>
                <w:szCs w:val="18"/>
              </w:rPr>
            </w:pPr>
            <w:r>
              <w:rPr>
                <w:color w:val="000000"/>
                <w:sz w:val="18"/>
                <w:szCs w:val="18"/>
              </w:rPr>
              <w:t>(</w:t>
            </w:r>
            <w:r>
              <w:rPr>
                <w:color w:val="000000"/>
                <w:sz w:val="18"/>
                <w:szCs w:val="18"/>
              </w:rPr>
              <w:t>28,457</w:t>
            </w:r>
          </w:p>
        </w:tc>
        <w:tc>
          <w:tcPr>
            <w:tcW w:w="50" w:type="pct"/>
            <w:shd w:val="clear" w:color="auto" w:fill="CFF0FC"/>
            <w:noWrap/>
            <w:tcMar>
              <w:top w:w="15" w:type="dxa"/>
              <w:left w:w="0" w:type="dxa"/>
              <w:bottom w:w="0" w:type="dxa"/>
              <w:right w:w="15" w:type="dxa"/>
            </w:tcMar>
            <w:vAlign w:val="bottom"/>
            <w:hideMark/>
          </w:tcPr>
          <w:p w14:paraId="1EBDC7E3"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71AA22A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6FF928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35A4C0EC" w14:textId="77777777" w:rsidR="00000000" w:rsidRDefault="00B8284C">
            <w:pPr>
              <w:pStyle w:val="a3"/>
              <w:spacing w:before="0" w:beforeAutospacing="0" w:after="0" w:afterAutospacing="0"/>
              <w:jc w:val="right"/>
              <w:rPr>
                <w:color w:val="000000"/>
                <w:sz w:val="18"/>
                <w:szCs w:val="18"/>
              </w:rPr>
            </w:pPr>
            <w:r>
              <w:rPr>
                <w:color w:val="000000"/>
                <w:sz w:val="18"/>
                <w:szCs w:val="18"/>
              </w:rPr>
              <w:t>(28,457</w:t>
            </w:r>
          </w:p>
        </w:tc>
        <w:tc>
          <w:tcPr>
            <w:tcW w:w="50" w:type="pct"/>
            <w:shd w:val="clear" w:color="auto" w:fill="CFF0FC"/>
            <w:noWrap/>
            <w:tcMar>
              <w:top w:w="15" w:type="dxa"/>
              <w:left w:w="0" w:type="dxa"/>
              <w:bottom w:w="0" w:type="dxa"/>
              <w:right w:w="15" w:type="dxa"/>
            </w:tcMar>
            <w:vAlign w:val="bottom"/>
            <w:hideMark/>
          </w:tcPr>
          <w:p w14:paraId="0C89F7F4"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66C01637" w14:textId="77777777">
        <w:trPr>
          <w:divId w:val="1068267235"/>
        </w:trPr>
        <w:tc>
          <w:tcPr>
            <w:tcW w:w="1825" w:type="pct"/>
            <w:shd w:val="clear" w:color="auto" w:fill="FFFFFF"/>
            <w:tcMar>
              <w:top w:w="15" w:type="dxa"/>
              <w:left w:w="0" w:type="dxa"/>
              <w:bottom w:w="0" w:type="dxa"/>
              <w:right w:w="15" w:type="dxa"/>
            </w:tcMar>
            <w:vAlign w:val="bottom"/>
            <w:hideMark/>
          </w:tcPr>
          <w:p w14:paraId="46FC87BF" w14:textId="77777777" w:rsidR="00000000" w:rsidRDefault="00B8284C">
            <w:pPr>
              <w:pStyle w:val="a3"/>
              <w:spacing w:before="0" w:beforeAutospacing="0" w:after="0" w:afterAutospacing="0"/>
              <w:rPr>
                <w:color w:val="000000"/>
                <w:sz w:val="18"/>
                <w:szCs w:val="18"/>
              </w:rPr>
            </w:pPr>
            <w:r>
              <w:rPr>
                <w:color w:val="000000"/>
                <w:sz w:val="18"/>
                <w:szCs w:val="18"/>
              </w:rPr>
              <w:t>Balances at June 30, 2019</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F07A7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97C78F" w14:textId="77777777" w:rsidR="00000000" w:rsidRDefault="00B8284C">
            <w:pPr>
              <w:pStyle w:val="a3"/>
              <w:spacing w:before="0" w:beforeAutospacing="0" w:after="0" w:afterAutospacing="0"/>
              <w:jc w:val="right"/>
              <w:rPr>
                <w:color w:val="000000"/>
                <w:sz w:val="18"/>
                <w:szCs w:val="18"/>
              </w:rPr>
            </w:pPr>
            <w:r>
              <w:rPr>
                <w:color w:val="000000"/>
                <w:sz w:val="18"/>
                <w:szCs w:val="18"/>
              </w:rPr>
              <w:t>42,276</w:t>
            </w:r>
          </w:p>
        </w:tc>
        <w:tc>
          <w:tcPr>
            <w:tcW w:w="50" w:type="pct"/>
            <w:shd w:val="clear" w:color="auto" w:fill="FFFFFF"/>
            <w:noWrap/>
            <w:tcMar>
              <w:top w:w="15" w:type="dxa"/>
              <w:left w:w="0" w:type="dxa"/>
              <w:bottom w:w="0" w:type="dxa"/>
              <w:right w:w="15" w:type="dxa"/>
            </w:tcMar>
            <w:vAlign w:val="bottom"/>
            <w:hideMark/>
          </w:tcPr>
          <w:p w14:paraId="4DCF6AA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93A666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763A15"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9EFCDE" w14:textId="77777777" w:rsidR="00000000" w:rsidRDefault="00B8284C">
            <w:pPr>
              <w:pStyle w:val="a3"/>
              <w:spacing w:before="0" w:beforeAutospacing="0" w:after="0" w:afterAutospacing="0"/>
              <w:jc w:val="right"/>
              <w:rPr>
                <w:color w:val="000000"/>
                <w:sz w:val="18"/>
                <w:szCs w:val="18"/>
              </w:rPr>
            </w:pPr>
            <w:r>
              <w:rPr>
                <w:color w:val="000000"/>
                <w:sz w:val="18"/>
                <w:szCs w:val="18"/>
              </w:rPr>
              <w:t>43</w:t>
            </w:r>
          </w:p>
        </w:tc>
        <w:tc>
          <w:tcPr>
            <w:tcW w:w="50" w:type="pct"/>
            <w:shd w:val="clear" w:color="auto" w:fill="FFFFFF"/>
            <w:noWrap/>
            <w:tcMar>
              <w:top w:w="15" w:type="dxa"/>
              <w:left w:w="0" w:type="dxa"/>
              <w:bottom w:w="0" w:type="dxa"/>
              <w:right w:w="15" w:type="dxa"/>
            </w:tcMar>
            <w:vAlign w:val="bottom"/>
            <w:hideMark/>
          </w:tcPr>
          <w:p w14:paraId="78577DD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F831C2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DC2B55"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773EEF" w14:textId="77777777" w:rsidR="00000000" w:rsidRDefault="00B8284C">
            <w:pPr>
              <w:pStyle w:val="a3"/>
              <w:spacing w:before="0" w:beforeAutospacing="0" w:after="0" w:afterAutospacing="0"/>
              <w:jc w:val="right"/>
              <w:rPr>
                <w:color w:val="000000"/>
                <w:sz w:val="18"/>
                <w:szCs w:val="18"/>
              </w:rPr>
            </w:pPr>
            <w:r>
              <w:rPr>
                <w:color w:val="000000"/>
                <w:sz w:val="18"/>
                <w:szCs w:val="18"/>
              </w:rPr>
              <w:t>990,701</w:t>
            </w:r>
          </w:p>
        </w:tc>
        <w:tc>
          <w:tcPr>
            <w:tcW w:w="50" w:type="pct"/>
            <w:shd w:val="clear" w:color="auto" w:fill="FFFFFF"/>
            <w:noWrap/>
            <w:tcMar>
              <w:top w:w="15" w:type="dxa"/>
              <w:left w:w="0" w:type="dxa"/>
              <w:bottom w:w="0" w:type="dxa"/>
              <w:right w:w="15" w:type="dxa"/>
            </w:tcMar>
            <w:vAlign w:val="bottom"/>
            <w:hideMark/>
          </w:tcPr>
          <w:p w14:paraId="59B635C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E3932A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5864EB"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244CB5" w14:textId="77777777" w:rsidR="00000000" w:rsidRDefault="00B8284C">
            <w:pPr>
              <w:pStyle w:val="a3"/>
              <w:spacing w:before="0" w:beforeAutospacing="0" w:after="0" w:afterAutospacing="0"/>
              <w:jc w:val="right"/>
              <w:rPr>
                <w:color w:val="000000"/>
                <w:sz w:val="18"/>
                <w:szCs w:val="18"/>
              </w:rPr>
            </w:pPr>
            <w:r>
              <w:rPr>
                <w:color w:val="000000"/>
                <w:sz w:val="18"/>
                <w:szCs w:val="18"/>
              </w:rPr>
              <w:t>241</w:t>
            </w:r>
          </w:p>
        </w:tc>
        <w:tc>
          <w:tcPr>
            <w:tcW w:w="50" w:type="pct"/>
            <w:shd w:val="clear" w:color="auto" w:fill="FFFFFF"/>
            <w:noWrap/>
            <w:tcMar>
              <w:top w:w="15" w:type="dxa"/>
              <w:left w:w="0" w:type="dxa"/>
              <w:bottom w:w="0" w:type="dxa"/>
              <w:right w:w="15" w:type="dxa"/>
            </w:tcMar>
            <w:vAlign w:val="bottom"/>
            <w:hideMark/>
          </w:tcPr>
          <w:p w14:paraId="489FA49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F79A00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FCF359"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10901F" w14:textId="77777777" w:rsidR="00000000" w:rsidRDefault="00B8284C">
            <w:pPr>
              <w:pStyle w:val="a3"/>
              <w:spacing w:before="0" w:beforeAutospacing="0" w:after="0" w:afterAutospacing="0"/>
              <w:jc w:val="right"/>
              <w:rPr>
                <w:color w:val="000000"/>
                <w:sz w:val="18"/>
                <w:szCs w:val="18"/>
              </w:rPr>
            </w:pPr>
            <w:r>
              <w:rPr>
                <w:color w:val="000000"/>
                <w:sz w:val="18"/>
                <w:szCs w:val="18"/>
              </w:rPr>
              <w:t>(372,841</w:t>
            </w:r>
          </w:p>
        </w:tc>
        <w:tc>
          <w:tcPr>
            <w:tcW w:w="50" w:type="pct"/>
            <w:shd w:val="clear" w:color="auto" w:fill="FFFFFF"/>
            <w:noWrap/>
            <w:tcMar>
              <w:top w:w="15" w:type="dxa"/>
              <w:left w:w="0" w:type="dxa"/>
              <w:bottom w:w="0" w:type="dxa"/>
              <w:right w:w="15" w:type="dxa"/>
            </w:tcMar>
            <w:vAlign w:val="bottom"/>
            <w:hideMark/>
          </w:tcPr>
          <w:p w14:paraId="0C75D998"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2029581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2522D9"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4B6DD63" w14:textId="77777777" w:rsidR="00000000" w:rsidRDefault="00B8284C">
            <w:pPr>
              <w:pStyle w:val="a3"/>
              <w:spacing w:before="0" w:beforeAutospacing="0" w:after="0" w:afterAutospacing="0"/>
              <w:jc w:val="right"/>
              <w:rPr>
                <w:color w:val="000000"/>
                <w:sz w:val="18"/>
                <w:szCs w:val="18"/>
              </w:rPr>
            </w:pPr>
            <w:r>
              <w:rPr>
                <w:color w:val="000000"/>
                <w:sz w:val="18"/>
                <w:szCs w:val="18"/>
              </w:rPr>
              <w:t>618,144</w:t>
            </w:r>
          </w:p>
        </w:tc>
        <w:tc>
          <w:tcPr>
            <w:tcW w:w="50" w:type="pct"/>
            <w:shd w:val="clear" w:color="auto" w:fill="FFFFFF"/>
            <w:noWrap/>
            <w:tcMar>
              <w:top w:w="15" w:type="dxa"/>
              <w:left w:w="0" w:type="dxa"/>
              <w:bottom w:w="0" w:type="dxa"/>
              <w:right w:w="15" w:type="dxa"/>
            </w:tcMar>
            <w:vAlign w:val="bottom"/>
            <w:hideMark/>
          </w:tcPr>
          <w:p w14:paraId="3657F0DD"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5F8EACD4" w14:textId="77777777">
        <w:trPr>
          <w:divId w:val="1068267235"/>
        </w:trPr>
        <w:tc>
          <w:tcPr>
            <w:tcW w:w="1825" w:type="pct"/>
            <w:shd w:val="clear" w:color="auto" w:fill="CFF0FC"/>
            <w:tcMar>
              <w:top w:w="15" w:type="dxa"/>
              <w:left w:w="0" w:type="dxa"/>
              <w:bottom w:w="0" w:type="dxa"/>
              <w:right w:w="15" w:type="dxa"/>
            </w:tcMar>
            <w:vAlign w:val="bottom"/>
            <w:hideMark/>
          </w:tcPr>
          <w:p w14:paraId="72212434" w14:textId="77777777" w:rsidR="00000000" w:rsidRDefault="00B8284C">
            <w:pPr>
              <w:pStyle w:val="a3"/>
              <w:spacing w:before="0" w:beforeAutospacing="0" w:after="0" w:afterAutospacing="0"/>
              <w:rPr>
                <w:color w:val="000000"/>
                <w:sz w:val="18"/>
                <w:szCs w:val="18"/>
              </w:rPr>
            </w:pPr>
            <w:r>
              <w:rPr>
                <w:color w:val="000000"/>
                <w:sz w:val="18"/>
                <w:szCs w:val="18"/>
              </w:rPr>
              <w:t>Issuance of common stock under stock</w:t>
            </w:r>
          </w:p>
          <w:p w14:paraId="7C76D221" w14:textId="77777777" w:rsidR="00000000" w:rsidRDefault="00B8284C">
            <w:pPr>
              <w:pStyle w:val="a3"/>
              <w:spacing w:before="0" w:beforeAutospacing="0" w:after="0" w:afterAutospacing="0"/>
              <w:rPr>
                <w:color w:val="000000"/>
                <w:sz w:val="18"/>
                <w:szCs w:val="18"/>
              </w:rPr>
            </w:pPr>
            <w:r>
              <w:rPr>
                <w:color w:val="000000"/>
                <w:sz w:val="18"/>
                <w:szCs w:val="18"/>
              </w:rPr>
              <w:t>   plans, net of shares withheld for</w:t>
            </w:r>
          </w:p>
          <w:p w14:paraId="756823E9" w14:textId="77777777" w:rsidR="00000000" w:rsidRDefault="00B8284C">
            <w:pPr>
              <w:pStyle w:val="a3"/>
              <w:spacing w:before="0" w:beforeAutospacing="0" w:after="0" w:afterAutospacing="0"/>
              <w:rPr>
                <w:color w:val="000000"/>
                <w:sz w:val="18"/>
                <w:szCs w:val="18"/>
              </w:rPr>
            </w:pPr>
            <w:r>
              <w:rPr>
                <w:color w:val="000000"/>
                <w:sz w:val="18"/>
                <w:szCs w:val="18"/>
              </w:rPr>
              <w:t>   employee taxes</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7369F7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458FD7B8" w14:textId="77777777" w:rsidR="00000000" w:rsidRDefault="00B8284C">
            <w:pPr>
              <w:pStyle w:val="a3"/>
              <w:spacing w:before="0" w:beforeAutospacing="0" w:after="0" w:afterAutospacing="0"/>
              <w:jc w:val="right"/>
              <w:rPr>
                <w:color w:val="000000"/>
                <w:sz w:val="18"/>
                <w:szCs w:val="18"/>
              </w:rPr>
            </w:pPr>
            <w:r>
              <w:rPr>
                <w:color w:val="000000"/>
                <w:sz w:val="18"/>
                <w:szCs w:val="18"/>
              </w:rPr>
              <w:t>363</w:t>
            </w:r>
          </w:p>
        </w:tc>
        <w:tc>
          <w:tcPr>
            <w:tcW w:w="50" w:type="pct"/>
            <w:shd w:val="clear" w:color="auto" w:fill="CFF0FC"/>
            <w:noWrap/>
            <w:tcMar>
              <w:top w:w="15" w:type="dxa"/>
              <w:left w:w="0" w:type="dxa"/>
              <w:bottom w:w="0" w:type="dxa"/>
              <w:right w:w="15" w:type="dxa"/>
            </w:tcMar>
            <w:vAlign w:val="bottom"/>
            <w:hideMark/>
          </w:tcPr>
          <w:p w14:paraId="3A53789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F47503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DDE2440"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2E21A143"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B34646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3FC8DD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AD9994B"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58DA8A37" w14:textId="77777777" w:rsidR="00000000" w:rsidRDefault="00B8284C">
            <w:pPr>
              <w:pStyle w:val="a3"/>
              <w:spacing w:before="0" w:beforeAutospacing="0" w:after="0" w:afterAutospacing="0"/>
              <w:jc w:val="right"/>
              <w:rPr>
                <w:color w:val="000000"/>
                <w:sz w:val="18"/>
                <w:szCs w:val="18"/>
              </w:rPr>
            </w:pPr>
            <w:r>
              <w:rPr>
                <w:color w:val="000000"/>
                <w:sz w:val="18"/>
                <w:szCs w:val="18"/>
              </w:rPr>
              <w:t>2,184</w:t>
            </w:r>
          </w:p>
        </w:tc>
        <w:tc>
          <w:tcPr>
            <w:tcW w:w="50" w:type="pct"/>
            <w:shd w:val="clear" w:color="auto" w:fill="CFF0FC"/>
            <w:noWrap/>
            <w:tcMar>
              <w:top w:w="15" w:type="dxa"/>
              <w:left w:w="0" w:type="dxa"/>
              <w:bottom w:w="0" w:type="dxa"/>
              <w:right w:w="15" w:type="dxa"/>
            </w:tcMar>
            <w:vAlign w:val="bottom"/>
            <w:hideMark/>
          </w:tcPr>
          <w:p w14:paraId="52F5541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8A8F19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4482C60"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0FDB63E0"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E934BB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3CD507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6942E03"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4DB5E196"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59C0FA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F127E6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387D004"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6C4415CC" w14:textId="77777777" w:rsidR="00000000" w:rsidRDefault="00B8284C">
            <w:pPr>
              <w:pStyle w:val="a3"/>
              <w:spacing w:before="0" w:beforeAutospacing="0" w:after="0" w:afterAutospacing="0"/>
              <w:jc w:val="right"/>
              <w:rPr>
                <w:color w:val="000000"/>
                <w:sz w:val="18"/>
                <w:szCs w:val="18"/>
              </w:rPr>
            </w:pPr>
            <w:r>
              <w:rPr>
                <w:color w:val="000000"/>
                <w:sz w:val="18"/>
                <w:szCs w:val="18"/>
              </w:rPr>
              <w:t>2,184</w:t>
            </w:r>
          </w:p>
        </w:tc>
        <w:tc>
          <w:tcPr>
            <w:tcW w:w="50" w:type="pct"/>
            <w:shd w:val="clear" w:color="auto" w:fill="CFF0FC"/>
            <w:noWrap/>
            <w:tcMar>
              <w:top w:w="15" w:type="dxa"/>
              <w:left w:w="0" w:type="dxa"/>
              <w:bottom w:w="0" w:type="dxa"/>
              <w:right w:w="15" w:type="dxa"/>
            </w:tcMar>
            <w:vAlign w:val="bottom"/>
            <w:hideMark/>
          </w:tcPr>
          <w:p w14:paraId="0B0525FA"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5A28C421" w14:textId="77777777">
        <w:trPr>
          <w:divId w:val="1068267235"/>
        </w:trPr>
        <w:tc>
          <w:tcPr>
            <w:tcW w:w="1825" w:type="pct"/>
            <w:shd w:val="clear" w:color="auto" w:fill="FFFFFF"/>
            <w:tcMar>
              <w:top w:w="15" w:type="dxa"/>
              <w:left w:w="0" w:type="dxa"/>
              <w:bottom w:w="0" w:type="dxa"/>
              <w:right w:w="15" w:type="dxa"/>
            </w:tcMar>
            <w:vAlign w:val="bottom"/>
            <w:hideMark/>
          </w:tcPr>
          <w:p w14:paraId="7F892604" w14:textId="77777777" w:rsidR="00000000" w:rsidRDefault="00B8284C">
            <w:pPr>
              <w:pStyle w:val="a3"/>
              <w:spacing w:before="0" w:beforeAutospacing="0" w:after="0" w:afterAutospacing="0"/>
              <w:rPr>
                <w:color w:val="000000"/>
                <w:sz w:val="18"/>
                <w:szCs w:val="18"/>
              </w:rPr>
            </w:pPr>
            <w:r>
              <w:rPr>
                <w:color w:val="000000"/>
                <w:sz w:val="18"/>
                <w:szCs w:val="18"/>
              </w:rPr>
              <w:t>Stock-based compensation</w:t>
            </w:r>
          </w:p>
        </w:tc>
        <w:tc>
          <w:tcPr>
            <w:tcW w:w="50" w:type="pct"/>
            <w:shd w:val="clear" w:color="auto" w:fill="FFFFFF"/>
            <w:noWrap/>
            <w:tcMar>
              <w:top w:w="15" w:type="dxa"/>
              <w:left w:w="0" w:type="dxa"/>
              <w:bottom w:w="0" w:type="dxa"/>
              <w:right w:w="15" w:type="dxa"/>
            </w:tcMar>
            <w:vAlign w:val="bottom"/>
            <w:hideMark/>
          </w:tcPr>
          <w:p w14:paraId="4B8461F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0AEF39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2C467F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3D51C5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1ADE70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7844604"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87EDED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636F02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4A9295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8A4E360" w14:textId="77777777" w:rsidR="00000000" w:rsidRDefault="00B8284C">
            <w:pPr>
              <w:pStyle w:val="a3"/>
              <w:spacing w:before="0" w:beforeAutospacing="0" w:after="0" w:afterAutospacing="0"/>
              <w:jc w:val="right"/>
              <w:rPr>
                <w:color w:val="000000"/>
                <w:sz w:val="18"/>
                <w:szCs w:val="18"/>
              </w:rPr>
            </w:pPr>
            <w:r>
              <w:rPr>
                <w:color w:val="000000"/>
                <w:sz w:val="18"/>
                <w:szCs w:val="18"/>
              </w:rPr>
              <w:t>24,161</w:t>
            </w:r>
          </w:p>
        </w:tc>
        <w:tc>
          <w:tcPr>
            <w:tcW w:w="50" w:type="pct"/>
            <w:shd w:val="clear" w:color="auto" w:fill="FFFFFF"/>
            <w:noWrap/>
            <w:tcMar>
              <w:top w:w="15" w:type="dxa"/>
              <w:left w:w="0" w:type="dxa"/>
              <w:bottom w:w="0" w:type="dxa"/>
              <w:right w:w="15" w:type="dxa"/>
            </w:tcMar>
            <w:vAlign w:val="bottom"/>
            <w:hideMark/>
          </w:tcPr>
          <w:p w14:paraId="28B3A6C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F10FB8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98E337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F598318"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8071D4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3FA82C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C772A2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2985C80"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A2187E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3673D8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AB015A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03B3E3A" w14:textId="77777777" w:rsidR="00000000" w:rsidRDefault="00B8284C">
            <w:pPr>
              <w:pStyle w:val="a3"/>
              <w:spacing w:before="0" w:beforeAutospacing="0" w:after="0" w:afterAutospacing="0"/>
              <w:jc w:val="right"/>
              <w:rPr>
                <w:color w:val="000000"/>
                <w:sz w:val="18"/>
                <w:szCs w:val="18"/>
              </w:rPr>
            </w:pPr>
            <w:r>
              <w:rPr>
                <w:color w:val="000000"/>
                <w:sz w:val="18"/>
                <w:szCs w:val="18"/>
              </w:rPr>
              <w:t>24,161</w:t>
            </w:r>
          </w:p>
        </w:tc>
        <w:tc>
          <w:tcPr>
            <w:tcW w:w="50" w:type="pct"/>
            <w:shd w:val="clear" w:color="auto" w:fill="FFFFFF"/>
            <w:noWrap/>
            <w:tcMar>
              <w:top w:w="15" w:type="dxa"/>
              <w:left w:w="0" w:type="dxa"/>
              <w:bottom w:w="0" w:type="dxa"/>
              <w:right w:w="15" w:type="dxa"/>
            </w:tcMar>
            <w:vAlign w:val="bottom"/>
            <w:hideMark/>
          </w:tcPr>
          <w:p w14:paraId="4BCEDE08"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2762939F" w14:textId="77777777">
        <w:trPr>
          <w:divId w:val="1068267235"/>
        </w:trPr>
        <w:tc>
          <w:tcPr>
            <w:tcW w:w="1825" w:type="pct"/>
            <w:shd w:val="clear" w:color="auto" w:fill="CFF0FC"/>
            <w:tcMar>
              <w:top w:w="15" w:type="dxa"/>
              <w:left w:w="0" w:type="dxa"/>
              <w:bottom w:w="0" w:type="dxa"/>
              <w:right w:w="15" w:type="dxa"/>
            </w:tcMar>
            <w:vAlign w:val="bottom"/>
            <w:hideMark/>
          </w:tcPr>
          <w:p w14:paraId="68F8FD0E" w14:textId="77777777" w:rsidR="00000000" w:rsidRDefault="00B8284C">
            <w:pPr>
              <w:pStyle w:val="a3"/>
              <w:spacing w:before="0" w:beforeAutospacing="0" w:after="0" w:afterAutospacing="0"/>
              <w:rPr>
                <w:color w:val="000000"/>
                <w:sz w:val="18"/>
                <w:szCs w:val="18"/>
              </w:rPr>
            </w:pPr>
            <w:r>
              <w:rPr>
                <w:color w:val="000000"/>
                <w:sz w:val="18"/>
                <w:szCs w:val="18"/>
              </w:rPr>
              <w:t>Cumulative translation adjustment</w:t>
            </w:r>
          </w:p>
        </w:tc>
        <w:tc>
          <w:tcPr>
            <w:tcW w:w="50" w:type="pct"/>
            <w:shd w:val="clear" w:color="auto" w:fill="CFF0FC"/>
            <w:noWrap/>
            <w:tcMar>
              <w:top w:w="15" w:type="dxa"/>
              <w:left w:w="0" w:type="dxa"/>
              <w:bottom w:w="0" w:type="dxa"/>
              <w:right w:w="15" w:type="dxa"/>
            </w:tcMar>
            <w:vAlign w:val="bottom"/>
            <w:hideMark/>
          </w:tcPr>
          <w:p w14:paraId="3310DE7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933A060"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C9C433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1CC561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710D0B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4B247E3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20B97A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1C5523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F0919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D0E9791"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3D9484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1B5B06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23CD0C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2235EEE" w14:textId="77777777" w:rsidR="00000000" w:rsidRDefault="00B8284C">
            <w:pPr>
              <w:pStyle w:val="a3"/>
              <w:spacing w:before="0" w:beforeAutospacing="0" w:after="0" w:afterAutospacing="0"/>
              <w:jc w:val="right"/>
              <w:rPr>
                <w:color w:val="000000"/>
                <w:sz w:val="18"/>
                <w:szCs w:val="18"/>
              </w:rPr>
            </w:pPr>
            <w:r>
              <w:rPr>
                <w:color w:val="000000"/>
                <w:sz w:val="18"/>
                <w:szCs w:val="18"/>
              </w:rPr>
              <w:t>(947</w:t>
            </w:r>
          </w:p>
        </w:tc>
        <w:tc>
          <w:tcPr>
            <w:tcW w:w="50" w:type="pct"/>
            <w:shd w:val="clear" w:color="auto" w:fill="CFF0FC"/>
            <w:noWrap/>
            <w:tcMar>
              <w:top w:w="15" w:type="dxa"/>
              <w:left w:w="0" w:type="dxa"/>
              <w:bottom w:w="0" w:type="dxa"/>
              <w:right w:w="15" w:type="dxa"/>
            </w:tcMar>
            <w:vAlign w:val="bottom"/>
            <w:hideMark/>
          </w:tcPr>
          <w:p w14:paraId="41FDA01C"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39F42F3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7C4DB3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61A1B88"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29EE86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5459F0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AF224C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6790B2F" w14:textId="77777777" w:rsidR="00000000" w:rsidRDefault="00B8284C">
            <w:pPr>
              <w:pStyle w:val="a3"/>
              <w:spacing w:before="0" w:beforeAutospacing="0" w:after="0" w:afterAutospacing="0"/>
              <w:jc w:val="right"/>
              <w:rPr>
                <w:color w:val="000000"/>
                <w:sz w:val="18"/>
                <w:szCs w:val="18"/>
              </w:rPr>
            </w:pPr>
            <w:r>
              <w:rPr>
                <w:color w:val="000000"/>
                <w:sz w:val="18"/>
                <w:szCs w:val="18"/>
              </w:rPr>
              <w:t>(947</w:t>
            </w:r>
          </w:p>
        </w:tc>
        <w:tc>
          <w:tcPr>
            <w:tcW w:w="50" w:type="pct"/>
            <w:shd w:val="clear" w:color="auto" w:fill="CFF0FC"/>
            <w:noWrap/>
            <w:tcMar>
              <w:top w:w="15" w:type="dxa"/>
              <w:left w:w="0" w:type="dxa"/>
              <w:bottom w:w="0" w:type="dxa"/>
              <w:right w:w="15" w:type="dxa"/>
            </w:tcMar>
            <w:vAlign w:val="bottom"/>
            <w:hideMark/>
          </w:tcPr>
          <w:p w14:paraId="0CAEC259"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3243FC30" w14:textId="77777777">
        <w:trPr>
          <w:divId w:val="1068267235"/>
        </w:trPr>
        <w:tc>
          <w:tcPr>
            <w:tcW w:w="1825" w:type="pct"/>
            <w:shd w:val="clear" w:color="auto" w:fill="FFFFFF"/>
            <w:tcMar>
              <w:top w:w="15" w:type="dxa"/>
              <w:left w:w="0" w:type="dxa"/>
              <w:bottom w:w="0" w:type="dxa"/>
              <w:right w:w="15" w:type="dxa"/>
            </w:tcMar>
            <w:vAlign w:val="bottom"/>
            <w:hideMark/>
          </w:tcPr>
          <w:p w14:paraId="0BC5F296" w14:textId="77777777" w:rsidR="00000000" w:rsidRDefault="00B8284C">
            <w:pPr>
              <w:pStyle w:val="a3"/>
              <w:spacing w:before="0" w:beforeAutospacing="0" w:after="0" w:afterAutospacing="0"/>
              <w:rPr>
                <w:color w:val="000000"/>
                <w:sz w:val="18"/>
                <w:szCs w:val="18"/>
              </w:rPr>
            </w:pPr>
            <w:r>
              <w:rPr>
                <w:color w:val="000000"/>
                <w:sz w:val="18"/>
                <w:szCs w:val="18"/>
              </w:rPr>
              <w:t>Unrealized loss on investments, net of income</w:t>
            </w:r>
          </w:p>
          <w:p w14:paraId="43F82455" w14:textId="77777777" w:rsidR="00000000" w:rsidRDefault="00B8284C">
            <w:pPr>
              <w:pStyle w:val="a3"/>
              <w:spacing w:before="0" w:beforeAutospacing="0" w:after="0" w:afterAutospacing="0"/>
              <w:rPr>
                <w:color w:val="000000"/>
                <w:sz w:val="18"/>
                <w:szCs w:val="18"/>
              </w:rPr>
            </w:pPr>
            <w:r>
              <w:rPr>
                <w:color w:val="000000"/>
                <w:sz w:val="18"/>
                <w:szCs w:val="18"/>
              </w:rPr>
              <w:t>   taxes of $(12)</w:t>
            </w:r>
          </w:p>
        </w:tc>
        <w:tc>
          <w:tcPr>
            <w:tcW w:w="50" w:type="pct"/>
            <w:shd w:val="clear" w:color="auto" w:fill="FFFFFF"/>
            <w:noWrap/>
            <w:tcMar>
              <w:top w:w="15" w:type="dxa"/>
              <w:left w:w="0" w:type="dxa"/>
              <w:bottom w:w="0" w:type="dxa"/>
              <w:right w:w="15" w:type="dxa"/>
            </w:tcMar>
            <w:vAlign w:val="bottom"/>
            <w:hideMark/>
          </w:tcPr>
          <w:p w14:paraId="2196A16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ABBB68E"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E5724E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02F780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81D652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ABEB906"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1CD00E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0A99DE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1C636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A1EBCF1"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84329F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3AD12E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BBA3E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68BA949" w14:textId="77777777" w:rsidR="00000000" w:rsidRDefault="00B8284C">
            <w:pPr>
              <w:pStyle w:val="a3"/>
              <w:spacing w:before="0" w:beforeAutospacing="0" w:after="0" w:afterAutospacing="0"/>
              <w:jc w:val="right"/>
              <w:rPr>
                <w:color w:val="000000"/>
                <w:sz w:val="18"/>
                <w:szCs w:val="18"/>
              </w:rPr>
            </w:pPr>
            <w:r>
              <w:rPr>
                <w:color w:val="000000"/>
                <w:sz w:val="18"/>
                <w:szCs w:val="18"/>
              </w:rPr>
              <w:t>(203</w:t>
            </w:r>
          </w:p>
        </w:tc>
        <w:tc>
          <w:tcPr>
            <w:tcW w:w="50" w:type="pct"/>
            <w:shd w:val="clear" w:color="auto" w:fill="FFFFFF"/>
            <w:noWrap/>
            <w:tcMar>
              <w:top w:w="15" w:type="dxa"/>
              <w:left w:w="0" w:type="dxa"/>
              <w:bottom w:w="0" w:type="dxa"/>
              <w:right w:w="15" w:type="dxa"/>
            </w:tcMar>
            <w:vAlign w:val="bottom"/>
            <w:hideMark/>
          </w:tcPr>
          <w:p w14:paraId="46EA4397"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242FCB2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892569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1109F26"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5B6226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753EDE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9DB1D7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6068147" w14:textId="77777777" w:rsidR="00000000" w:rsidRDefault="00B8284C">
            <w:pPr>
              <w:pStyle w:val="a3"/>
              <w:spacing w:before="0" w:beforeAutospacing="0" w:after="0" w:afterAutospacing="0"/>
              <w:jc w:val="right"/>
              <w:rPr>
                <w:color w:val="000000"/>
                <w:sz w:val="18"/>
                <w:szCs w:val="18"/>
              </w:rPr>
            </w:pPr>
            <w:r>
              <w:rPr>
                <w:color w:val="000000"/>
                <w:sz w:val="18"/>
                <w:szCs w:val="18"/>
              </w:rPr>
              <w:t>(203</w:t>
            </w:r>
          </w:p>
        </w:tc>
        <w:tc>
          <w:tcPr>
            <w:tcW w:w="50" w:type="pct"/>
            <w:shd w:val="clear" w:color="auto" w:fill="FFFFFF"/>
            <w:noWrap/>
            <w:tcMar>
              <w:top w:w="15" w:type="dxa"/>
              <w:left w:w="0" w:type="dxa"/>
              <w:bottom w:w="0" w:type="dxa"/>
              <w:right w:w="15" w:type="dxa"/>
            </w:tcMar>
            <w:vAlign w:val="bottom"/>
            <w:hideMark/>
          </w:tcPr>
          <w:p w14:paraId="429A3DDC"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3260064A" w14:textId="77777777">
        <w:trPr>
          <w:divId w:val="1068267235"/>
        </w:trPr>
        <w:tc>
          <w:tcPr>
            <w:tcW w:w="1825" w:type="pct"/>
            <w:shd w:val="clear" w:color="auto" w:fill="CFF0FC"/>
            <w:tcMar>
              <w:top w:w="15" w:type="dxa"/>
              <w:left w:w="0" w:type="dxa"/>
              <w:bottom w:w="0" w:type="dxa"/>
              <w:right w:w="15" w:type="dxa"/>
            </w:tcMar>
            <w:vAlign w:val="bottom"/>
            <w:hideMark/>
          </w:tcPr>
          <w:p w14:paraId="752E7A0D" w14:textId="77777777" w:rsidR="00000000" w:rsidRDefault="00B8284C">
            <w:pPr>
              <w:pStyle w:val="a3"/>
              <w:spacing w:before="0" w:beforeAutospacing="0" w:after="0" w:afterAutospacing="0"/>
              <w:rPr>
                <w:color w:val="000000"/>
                <w:sz w:val="18"/>
                <w:szCs w:val="18"/>
              </w:rPr>
            </w:pPr>
            <w:r>
              <w:rPr>
                <w:color w:val="000000"/>
                <w:sz w:val="18"/>
                <w:szCs w:val="18"/>
              </w:rPr>
              <w:t>Net loss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0D42E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ECC6D42"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38878E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59346E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13F7F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F1C95B8"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6A8AFA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06669A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F05EB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76FA3DE"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0EE7DB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85A08A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10A144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1AB9CBEE"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4D129E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7413E7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D07046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01407F5F" w14:textId="77777777" w:rsidR="00000000" w:rsidRDefault="00B8284C">
            <w:pPr>
              <w:pStyle w:val="a3"/>
              <w:spacing w:before="0" w:beforeAutospacing="0" w:after="0" w:afterAutospacing="0"/>
              <w:jc w:val="right"/>
              <w:rPr>
                <w:color w:val="000000"/>
                <w:sz w:val="18"/>
                <w:szCs w:val="18"/>
              </w:rPr>
            </w:pPr>
            <w:r>
              <w:rPr>
                <w:color w:val="000000"/>
                <w:sz w:val="18"/>
                <w:szCs w:val="18"/>
              </w:rPr>
              <w:t>(14,987</w:t>
            </w:r>
          </w:p>
        </w:tc>
        <w:tc>
          <w:tcPr>
            <w:tcW w:w="50" w:type="pct"/>
            <w:shd w:val="clear" w:color="auto" w:fill="CFF0FC"/>
            <w:noWrap/>
            <w:tcMar>
              <w:top w:w="15" w:type="dxa"/>
              <w:left w:w="0" w:type="dxa"/>
              <w:bottom w:w="0" w:type="dxa"/>
              <w:right w:w="15" w:type="dxa"/>
            </w:tcMar>
            <w:vAlign w:val="bottom"/>
            <w:hideMark/>
          </w:tcPr>
          <w:p w14:paraId="22630979"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4C6F360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77C1E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4A56B4E7" w14:textId="77777777" w:rsidR="00000000" w:rsidRDefault="00B8284C">
            <w:pPr>
              <w:pStyle w:val="a3"/>
              <w:spacing w:before="0" w:beforeAutospacing="0" w:after="0" w:afterAutospacing="0"/>
              <w:jc w:val="right"/>
              <w:rPr>
                <w:color w:val="000000"/>
                <w:sz w:val="18"/>
                <w:szCs w:val="18"/>
              </w:rPr>
            </w:pPr>
            <w:r>
              <w:rPr>
                <w:color w:val="000000"/>
                <w:sz w:val="18"/>
                <w:szCs w:val="18"/>
              </w:rPr>
              <w:t>(14,987</w:t>
            </w:r>
          </w:p>
        </w:tc>
        <w:tc>
          <w:tcPr>
            <w:tcW w:w="50" w:type="pct"/>
            <w:shd w:val="clear" w:color="auto" w:fill="CFF0FC"/>
            <w:noWrap/>
            <w:tcMar>
              <w:top w:w="15" w:type="dxa"/>
              <w:left w:w="0" w:type="dxa"/>
              <w:bottom w:w="0" w:type="dxa"/>
              <w:right w:w="15" w:type="dxa"/>
            </w:tcMar>
            <w:vAlign w:val="bottom"/>
            <w:hideMark/>
          </w:tcPr>
          <w:p w14:paraId="7B66D0AA"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098CAC23" w14:textId="77777777">
        <w:trPr>
          <w:divId w:val="1068267235"/>
        </w:trPr>
        <w:tc>
          <w:tcPr>
            <w:tcW w:w="1825" w:type="pct"/>
            <w:shd w:val="clear" w:color="auto" w:fill="FFFFFF"/>
            <w:tcMar>
              <w:top w:w="15" w:type="dxa"/>
              <w:left w:w="0" w:type="dxa"/>
              <w:bottom w:w="0" w:type="dxa"/>
              <w:right w:w="15" w:type="dxa"/>
            </w:tcMar>
            <w:vAlign w:val="bottom"/>
            <w:hideMark/>
          </w:tcPr>
          <w:p w14:paraId="28DE1A87" w14:textId="77777777" w:rsidR="00000000" w:rsidRDefault="00B8284C">
            <w:pPr>
              <w:pStyle w:val="a3"/>
              <w:spacing w:before="0" w:beforeAutospacing="0" w:after="0" w:afterAutospacing="0"/>
              <w:rPr>
                <w:color w:val="000000"/>
                <w:sz w:val="18"/>
                <w:szCs w:val="18"/>
              </w:rPr>
            </w:pPr>
            <w:r>
              <w:rPr>
                <w:color w:val="000000"/>
                <w:sz w:val="18"/>
                <w:szCs w:val="18"/>
              </w:rPr>
              <w:t>Balances at September 30, 2019</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AC781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891740" w14:textId="77777777" w:rsidR="00000000" w:rsidRDefault="00B8284C">
            <w:pPr>
              <w:pStyle w:val="a3"/>
              <w:spacing w:before="0" w:beforeAutospacing="0" w:after="0" w:afterAutospacing="0"/>
              <w:jc w:val="right"/>
              <w:rPr>
                <w:color w:val="000000"/>
                <w:sz w:val="18"/>
                <w:szCs w:val="18"/>
              </w:rPr>
            </w:pPr>
            <w:r>
              <w:rPr>
                <w:color w:val="000000"/>
                <w:sz w:val="18"/>
                <w:szCs w:val="18"/>
              </w:rPr>
              <w:t>42,639</w:t>
            </w:r>
          </w:p>
        </w:tc>
        <w:tc>
          <w:tcPr>
            <w:tcW w:w="50" w:type="pct"/>
            <w:shd w:val="clear" w:color="auto" w:fill="FFFFFF"/>
            <w:noWrap/>
            <w:tcMar>
              <w:top w:w="15" w:type="dxa"/>
              <w:left w:w="0" w:type="dxa"/>
              <w:bottom w:w="0" w:type="dxa"/>
              <w:right w:w="15" w:type="dxa"/>
            </w:tcMar>
            <w:vAlign w:val="bottom"/>
            <w:hideMark/>
          </w:tcPr>
          <w:p w14:paraId="704DD1E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47B95F0"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4340967"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599FF1" w14:textId="77777777" w:rsidR="00000000" w:rsidRDefault="00B8284C">
            <w:pPr>
              <w:pStyle w:val="a3"/>
              <w:spacing w:before="0" w:beforeAutospacing="0" w:after="0" w:afterAutospacing="0"/>
              <w:jc w:val="right"/>
              <w:rPr>
                <w:color w:val="000000"/>
                <w:sz w:val="18"/>
                <w:szCs w:val="18"/>
              </w:rPr>
            </w:pPr>
            <w:r>
              <w:rPr>
                <w:color w:val="000000"/>
                <w:sz w:val="18"/>
                <w:szCs w:val="18"/>
              </w:rPr>
              <w:t>43</w:t>
            </w:r>
          </w:p>
        </w:tc>
        <w:tc>
          <w:tcPr>
            <w:tcW w:w="50" w:type="pct"/>
            <w:shd w:val="clear" w:color="auto" w:fill="FFFFFF"/>
            <w:noWrap/>
            <w:tcMar>
              <w:top w:w="15" w:type="dxa"/>
              <w:left w:w="0" w:type="dxa"/>
              <w:bottom w:w="0" w:type="dxa"/>
              <w:right w:w="15" w:type="dxa"/>
            </w:tcMar>
            <w:vAlign w:val="bottom"/>
            <w:hideMark/>
          </w:tcPr>
          <w:p w14:paraId="5859AD2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35396E5"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D082BE"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348BAB" w14:textId="77777777" w:rsidR="00000000" w:rsidRDefault="00B8284C">
            <w:pPr>
              <w:pStyle w:val="a3"/>
              <w:spacing w:before="0" w:beforeAutospacing="0" w:after="0" w:afterAutospacing="0"/>
              <w:jc w:val="right"/>
              <w:rPr>
                <w:color w:val="000000"/>
                <w:sz w:val="18"/>
                <w:szCs w:val="18"/>
              </w:rPr>
            </w:pPr>
            <w:r>
              <w:rPr>
                <w:color w:val="000000"/>
                <w:sz w:val="18"/>
                <w:szCs w:val="18"/>
              </w:rPr>
              <w:t>1,017,046</w:t>
            </w:r>
          </w:p>
        </w:tc>
        <w:tc>
          <w:tcPr>
            <w:tcW w:w="50" w:type="pct"/>
            <w:shd w:val="clear" w:color="auto" w:fill="FFFFFF"/>
            <w:noWrap/>
            <w:tcMar>
              <w:top w:w="15" w:type="dxa"/>
              <w:left w:w="0" w:type="dxa"/>
              <w:bottom w:w="0" w:type="dxa"/>
              <w:right w:w="15" w:type="dxa"/>
            </w:tcMar>
            <w:vAlign w:val="bottom"/>
            <w:hideMark/>
          </w:tcPr>
          <w:p w14:paraId="24DEE50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6052971"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F139D1B"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7EF279" w14:textId="77777777" w:rsidR="00000000" w:rsidRDefault="00B8284C">
            <w:pPr>
              <w:pStyle w:val="a3"/>
              <w:spacing w:before="0" w:beforeAutospacing="0" w:after="0" w:afterAutospacing="0"/>
              <w:jc w:val="right"/>
              <w:rPr>
                <w:color w:val="000000"/>
                <w:sz w:val="18"/>
                <w:szCs w:val="18"/>
              </w:rPr>
            </w:pPr>
            <w:r>
              <w:rPr>
                <w:color w:val="000000"/>
                <w:sz w:val="18"/>
                <w:szCs w:val="18"/>
              </w:rPr>
              <w:t>(909</w:t>
            </w:r>
          </w:p>
        </w:tc>
        <w:tc>
          <w:tcPr>
            <w:tcW w:w="50" w:type="pct"/>
            <w:shd w:val="clear" w:color="auto" w:fill="FFFFFF"/>
            <w:noWrap/>
            <w:tcMar>
              <w:top w:w="15" w:type="dxa"/>
              <w:left w:w="0" w:type="dxa"/>
              <w:bottom w:w="0" w:type="dxa"/>
              <w:right w:w="15" w:type="dxa"/>
            </w:tcMar>
            <w:vAlign w:val="bottom"/>
            <w:hideMark/>
          </w:tcPr>
          <w:p w14:paraId="3728C162"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318F93A3"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1F8F2E"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C4D60B" w14:textId="77777777" w:rsidR="00000000" w:rsidRDefault="00B8284C">
            <w:pPr>
              <w:pStyle w:val="a3"/>
              <w:spacing w:before="0" w:beforeAutospacing="0" w:after="0" w:afterAutospacing="0"/>
              <w:jc w:val="right"/>
              <w:rPr>
                <w:color w:val="000000"/>
                <w:sz w:val="18"/>
                <w:szCs w:val="18"/>
              </w:rPr>
            </w:pPr>
            <w:r>
              <w:rPr>
                <w:color w:val="000000"/>
                <w:sz w:val="18"/>
                <w:szCs w:val="18"/>
              </w:rPr>
              <w:t>(387,828</w:t>
            </w:r>
          </w:p>
        </w:tc>
        <w:tc>
          <w:tcPr>
            <w:tcW w:w="50" w:type="pct"/>
            <w:shd w:val="clear" w:color="auto" w:fill="FFFFFF"/>
            <w:noWrap/>
            <w:tcMar>
              <w:top w:w="15" w:type="dxa"/>
              <w:left w:w="0" w:type="dxa"/>
              <w:bottom w:w="0" w:type="dxa"/>
              <w:right w:w="15" w:type="dxa"/>
            </w:tcMar>
            <w:vAlign w:val="bottom"/>
            <w:hideMark/>
          </w:tcPr>
          <w:p w14:paraId="47542110"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01853E14"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AB41E1"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0B52EC" w14:textId="77777777" w:rsidR="00000000" w:rsidRDefault="00B8284C">
            <w:pPr>
              <w:pStyle w:val="a3"/>
              <w:spacing w:before="0" w:beforeAutospacing="0" w:after="0" w:afterAutospacing="0"/>
              <w:jc w:val="right"/>
              <w:rPr>
                <w:color w:val="000000"/>
                <w:sz w:val="18"/>
                <w:szCs w:val="18"/>
              </w:rPr>
            </w:pPr>
            <w:r>
              <w:rPr>
                <w:color w:val="000000"/>
                <w:sz w:val="18"/>
                <w:szCs w:val="18"/>
              </w:rPr>
              <w:t>628,352</w:t>
            </w:r>
          </w:p>
        </w:tc>
        <w:tc>
          <w:tcPr>
            <w:tcW w:w="50" w:type="pct"/>
            <w:shd w:val="clear" w:color="auto" w:fill="FFFFFF"/>
            <w:noWrap/>
            <w:tcMar>
              <w:top w:w="15" w:type="dxa"/>
              <w:left w:w="0" w:type="dxa"/>
              <w:bottom w:w="0" w:type="dxa"/>
              <w:right w:w="15" w:type="dxa"/>
            </w:tcMar>
            <w:vAlign w:val="bottom"/>
            <w:hideMark/>
          </w:tcPr>
          <w:p w14:paraId="0578E242"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74B469FE"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32"/>
        <w:gridCol w:w="60"/>
        <w:gridCol w:w="520"/>
        <w:gridCol w:w="60"/>
        <w:gridCol w:w="60"/>
        <w:gridCol w:w="106"/>
        <w:gridCol w:w="509"/>
        <w:gridCol w:w="60"/>
        <w:gridCol w:w="60"/>
        <w:gridCol w:w="106"/>
        <w:gridCol w:w="659"/>
        <w:gridCol w:w="60"/>
        <w:gridCol w:w="60"/>
        <w:gridCol w:w="125"/>
        <w:gridCol w:w="957"/>
        <w:gridCol w:w="75"/>
        <w:gridCol w:w="60"/>
        <w:gridCol w:w="106"/>
        <w:gridCol w:w="816"/>
        <w:gridCol w:w="75"/>
        <w:gridCol w:w="60"/>
        <w:gridCol w:w="105"/>
        <w:gridCol w:w="600"/>
        <w:gridCol w:w="75"/>
      </w:tblGrid>
      <w:tr w:rsidR="00000000" w14:paraId="5BC7AB88" w14:textId="77777777">
        <w:trPr>
          <w:divId w:val="1188329502"/>
        </w:trPr>
        <w:tc>
          <w:tcPr>
            <w:tcW w:w="1825" w:type="pct"/>
            <w:shd w:val="clear" w:color="auto" w:fill="FFFFFF"/>
            <w:tcMar>
              <w:top w:w="15" w:type="dxa"/>
              <w:left w:w="0" w:type="dxa"/>
              <w:bottom w:w="0" w:type="dxa"/>
              <w:right w:w="15" w:type="dxa"/>
            </w:tcMar>
            <w:vAlign w:val="bottom"/>
            <w:hideMark/>
          </w:tcPr>
          <w:p w14:paraId="485326B7" w14:textId="77777777" w:rsidR="00000000" w:rsidRDefault="00B8284C">
            <w:pPr>
              <w:pStyle w:val="a3"/>
              <w:spacing w:before="0" w:beforeAutospacing="0" w:after="0" w:afterAutospacing="0"/>
              <w:jc w:val="right"/>
              <w:rPr>
                <w:sz w:val="20"/>
                <w:szCs w:val="20"/>
              </w:rPr>
            </w:pPr>
            <w:r>
              <w:rPr>
                <w:sz w:val="20"/>
                <w:szCs w:val="20"/>
              </w:rPr>
              <w:t> </w:t>
            </w:r>
          </w:p>
        </w:tc>
        <w:tc>
          <w:tcPr>
            <w:tcW w:w="972" w:type="pct"/>
            <w:gridSpan w:val="6"/>
            <w:tcBorders>
              <w:bottom w:val="single" w:sz="6" w:space="0" w:color="000000"/>
            </w:tcBorders>
            <w:shd w:val="clear" w:color="auto" w:fill="FFFFFF"/>
            <w:tcMar>
              <w:top w:w="15" w:type="dxa"/>
              <w:left w:w="0" w:type="dxa"/>
              <w:bottom w:w="0" w:type="dxa"/>
              <w:right w:w="15" w:type="dxa"/>
            </w:tcMar>
            <w:vAlign w:val="bottom"/>
            <w:hideMark/>
          </w:tcPr>
          <w:p w14:paraId="3901149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Common</w:t>
            </w:r>
          </w:p>
          <w:p w14:paraId="7980DEF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Stock, $0.001</w:t>
            </w:r>
          </w:p>
          <w:p w14:paraId="5FF5B2D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14:paraId="6FD9F21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172920F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1FE3727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Additional</w:t>
            </w:r>
          </w:p>
          <w:p w14:paraId="73A9F51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14:paraId="5A2BB13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5939962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center"/>
            <w:hideMark/>
          </w:tcPr>
          <w:p w14:paraId="1142C2A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Accumulated</w:t>
            </w:r>
          </w:p>
          <w:p w14:paraId="4931F14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Other</w:t>
            </w:r>
          </w:p>
          <w:p w14:paraId="1C03347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center"/>
            <w:hideMark/>
          </w:tcPr>
          <w:p w14:paraId="4200D87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357CB37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0BFD56C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14:paraId="10F646B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5303A61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4E07580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85" w:type="pct"/>
            <w:shd w:val="clear" w:color="auto" w:fill="FFFFFF"/>
            <w:noWrap/>
            <w:tcMar>
              <w:top w:w="15" w:type="dxa"/>
              <w:left w:w="0" w:type="dxa"/>
              <w:bottom w:w="0" w:type="dxa"/>
              <w:right w:w="15" w:type="dxa"/>
            </w:tcMar>
            <w:vAlign w:val="center"/>
            <w:hideMark/>
          </w:tcPr>
          <w:p w14:paraId="0AC9140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5F124AA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B36EE7B" w14:textId="77777777">
        <w:trPr>
          <w:divId w:val="1188329502"/>
        </w:trPr>
        <w:tc>
          <w:tcPr>
            <w:tcW w:w="1825" w:type="pct"/>
            <w:shd w:val="clear" w:color="auto" w:fill="FFFFFF"/>
            <w:tcMar>
              <w:top w:w="15" w:type="dxa"/>
              <w:left w:w="0" w:type="dxa"/>
              <w:bottom w:w="0" w:type="dxa"/>
              <w:right w:w="15" w:type="dxa"/>
            </w:tcMar>
            <w:vAlign w:val="bottom"/>
            <w:hideMark/>
          </w:tcPr>
          <w:p w14:paraId="160C74B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E5A6E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6340EEB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14:paraId="4D13CE8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E80E2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6072DB1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314B9F5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3D2C262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center"/>
            <w:hideMark/>
          </w:tcPr>
          <w:p w14:paraId="61C1127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46EF419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63B330B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center"/>
            <w:hideMark/>
          </w:tcPr>
          <w:p w14:paraId="6C5FC80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318A54B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22E0E11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center"/>
            <w:hideMark/>
          </w:tcPr>
          <w:p w14:paraId="2828562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2E7DB00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bottom"/>
            <w:hideMark/>
          </w:tcPr>
          <w:p w14:paraId="26D67CD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0D8039D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20F3DBF" w14:textId="77777777">
        <w:trPr>
          <w:divId w:val="1188329502"/>
        </w:trPr>
        <w:tc>
          <w:tcPr>
            <w:tcW w:w="1825" w:type="pct"/>
            <w:shd w:val="clear" w:color="auto" w:fill="CFF0FC"/>
            <w:tcMar>
              <w:top w:w="15" w:type="dxa"/>
              <w:left w:w="0" w:type="dxa"/>
              <w:bottom w:w="0" w:type="dxa"/>
              <w:right w:w="15" w:type="dxa"/>
            </w:tcMar>
            <w:vAlign w:val="bottom"/>
            <w:hideMark/>
          </w:tcPr>
          <w:p w14:paraId="55679935" w14:textId="77777777" w:rsidR="00000000" w:rsidRDefault="00B8284C">
            <w:pPr>
              <w:pStyle w:val="a3"/>
              <w:spacing w:before="0" w:beforeAutospacing="0" w:after="0" w:afterAutospacing="0"/>
              <w:rPr>
                <w:color w:val="000000"/>
                <w:sz w:val="18"/>
                <w:szCs w:val="18"/>
              </w:rPr>
            </w:pPr>
            <w:r>
              <w:rPr>
                <w:color w:val="000000"/>
                <w:sz w:val="18"/>
                <w:szCs w:val="18"/>
              </w:rPr>
              <w:t>Balances at December 31, 2017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26D6CC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3AF21489" w14:textId="77777777" w:rsidR="00000000" w:rsidRDefault="00B8284C">
            <w:pPr>
              <w:pStyle w:val="a3"/>
              <w:spacing w:before="0" w:beforeAutospacing="0" w:after="0" w:afterAutospacing="0"/>
              <w:jc w:val="right"/>
              <w:rPr>
                <w:color w:val="000000"/>
                <w:sz w:val="18"/>
                <w:szCs w:val="18"/>
              </w:rPr>
            </w:pPr>
            <w:r>
              <w:rPr>
                <w:color w:val="000000"/>
                <w:sz w:val="18"/>
                <w:szCs w:val="18"/>
              </w:rPr>
              <w:t>37,503</w:t>
            </w:r>
          </w:p>
        </w:tc>
        <w:tc>
          <w:tcPr>
            <w:tcW w:w="50" w:type="pct"/>
            <w:shd w:val="clear" w:color="auto" w:fill="CFF0FC"/>
            <w:noWrap/>
            <w:tcMar>
              <w:top w:w="15" w:type="dxa"/>
              <w:left w:w="0" w:type="dxa"/>
              <w:bottom w:w="0" w:type="dxa"/>
              <w:right w:w="15" w:type="dxa"/>
            </w:tcMar>
            <w:vAlign w:val="bottom"/>
            <w:hideMark/>
          </w:tcPr>
          <w:p w14:paraId="740A9F3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68BE55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EA0FF3"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6172B2D8" w14:textId="77777777" w:rsidR="00000000" w:rsidRDefault="00B8284C">
            <w:pPr>
              <w:pStyle w:val="a3"/>
              <w:spacing w:before="0" w:beforeAutospacing="0" w:after="0" w:afterAutospacing="0"/>
              <w:jc w:val="right"/>
              <w:rPr>
                <w:color w:val="000000"/>
                <w:sz w:val="18"/>
                <w:szCs w:val="18"/>
              </w:rPr>
            </w:pPr>
            <w:r>
              <w:rPr>
                <w:color w:val="000000"/>
                <w:sz w:val="18"/>
                <w:szCs w:val="18"/>
              </w:rPr>
              <w:t>38</w:t>
            </w:r>
          </w:p>
        </w:tc>
        <w:tc>
          <w:tcPr>
            <w:tcW w:w="50" w:type="pct"/>
            <w:shd w:val="clear" w:color="auto" w:fill="CFF0FC"/>
            <w:noWrap/>
            <w:tcMar>
              <w:top w:w="15" w:type="dxa"/>
              <w:left w:w="0" w:type="dxa"/>
              <w:bottom w:w="0" w:type="dxa"/>
              <w:right w:w="15" w:type="dxa"/>
            </w:tcMar>
            <w:vAlign w:val="bottom"/>
            <w:hideMark/>
          </w:tcPr>
          <w:p w14:paraId="0843F2F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1CBE5A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3663A0"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1F98EC29" w14:textId="77777777" w:rsidR="00000000" w:rsidRDefault="00B8284C">
            <w:pPr>
              <w:pStyle w:val="a3"/>
              <w:spacing w:before="0" w:beforeAutospacing="0" w:after="0" w:afterAutospacing="0"/>
              <w:jc w:val="right"/>
              <w:rPr>
                <w:color w:val="000000"/>
                <w:sz w:val="18"/>
                <w:szCs w:val="18"/>
              </w:rPr>
            </w:pPr>
            <w:r>
              <w:rPr>
                <w:color w:val="000000"/>
                <w:sz w:val="18"/>
                <w:szCs w:val="18"/>
              </w:rPr>
              <w:t>496,461</w:t>
            </w:r>
          </w:p>
        </w:tc>
        <w:tc>
          <w:tcPr>
            <w:tcW w:w="50" w:type="pct"/>
            <w:shd w:val="clear" w:color="auto" w:fill="CFF0FC"/>
            <w:noWrap/>
            <w:tcMar>
              <w:top w:w="15" w:type="dxa"/>
              <w:left w:w="0" w:type="dxa"/>
              <w:bottom w:w="0" w:type="dxa"/>
              <w:right w:w="15" w:type="dxa"/>
            </w:tcMar>
            <w:vAlign w:val="bottom"/>
            <w:hideMark/>
          </w:tcPr>
          <w:p w14:paraId="48A89E4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7CC411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EAC808"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6708B438" w14:textId="77777777" w:rsidR="00000000" w:rsidRDefault="00B8284C">
            <w:pPr>
              <w:pStyle w:val="a3"/>
              <w:spacing w:before="0" w:beforeAutospacing="0" w:after="0" w:afterAutospacing="0"/>
              <w:jc w:val="right"/>
              <w:rPr>
                <w:color w:val="000000"/>
                <w:sz w:val="18"/>
                <w:szCs w:val="18"/>
              </w:rPr>
            </w:pPr>
            <w:r>
              <w:rPr>
                <w:color w:val="000000"/>
                <w:sz w:val="18"/>
                <w:szCs w:val="18"/>
              </w:rPr>
              <w:t>(57</w:t>
            </w:r>
          </w:p>
        </w:tc>
        <w:tc>
          <w:tcPr>
            <w:tcW w:w="50" w:type="pct"/>
            <w:shd w:val="clear" w:color="auto" w:fill="CFF0FC"/>
            <w:noWrap/>
            <w:tcMar>
              <w:top w:w="15" w:type="dxa"/>
              <w:left w:w="0" w:type="dxa"/>
              <w:bottom w:w="0" w:type="dxa"/>
              <w:right w:w="15" w:type="dxa"/>
            </w:tcMar>
            <w:vAlign w:val="bottom"/>
            <w:hideMark/>
          </w:tcPr>
          <w:p w14:paraId="53F6B5F7"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3AAF949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E4C9E8"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7022D40C" w14:textId="77777777" w:rsidR="00000000" w:rsidRDefault="00B8284C">
            <w:pPr>
              <w:pStyle w:val="a3"/>
              <w:spacing w:before="0" w:beforeAutospacing="0" w:after="0" w:afterAutospacing="0"/>
              <w:jc w:val="right"/>
              <w:rPr>
                <w:color w:val="000000"/>
                <w:sz w:val="18"/>
                <w:szCs w:val="18"/>
              </w:rPr>
            </w:pPr>
            <w:r>
              <w:rPr>
                <w:color w:val="000000"/>
                <w:sz w:val="18"/>
                <w:szCs w:val="18"/>
              </w:rPr>
              <w:t>(286,082</w:t>
            </w:r>
          </w:p>
        </w:tc>
        <w:tc>
          <w:tcPr>
            <w:tcW w:w="50" w:type="pct"/>
            <w:shd w:val="clear" w:color="auto" w:fill="CFF0FC"/>
            <w:noWrap/>
            <w:tcMar>
              <w:top w:w="15" w:type="dxa"/>
              <w:left w:w="0" w:type="dxa"/>
              <w:bottom w:w="0" w:type="dxa"/>
              <w:right w:w="15" w:type="dxa"/>
            </w:tcMar>
            <w:vAlign w:val="bottom"/>
            <w:hideMark/>
          </w:tcPr>
          <w:p w14:paraId="032DB97D"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0C319DE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83177C"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4E28D0D8" w14:textId="77777777" w:rsidR="00000000" w:rsidRDefault="00B8284C">
            <w:pPr>
              <w:pStyle w:val="a3"/>
              <w:spacing w:before="0" w:beforeAutospacing="0" w:after="0" w:afterAutospacing="0"/>
              <w:jc w:val="right"/>
              <w:rPr>
                <w:color w:val="000000"/>
                <w:sz w:val="18"/>
                <w:szCs w:val="18"/>
              </w:rPr>
            </w:pPr>
            <w:r>
              <w:rPr>
                <w:color w:val="000000"/>
                <w:sz w:val="18"/>
                <w:szCs w:val="18"/>
              </w:rPr>
              <w:t>210,360</w:t>
            </w:r>
          </w:p>
        </w:tc>
        <w:tc>
          <w:tcPr>
            <w:tcW w:w="50" w:type="pct"/>
            <w:shd w:val="clear" w:color="auto" w:fill="CFF0FC"/>
            <w:noWrap/>
            <w:tcMar>
              <w:top w:w="15" w:type="dxa"/>
              <w:left w:w="0" w:type="dxa"/>
              <w:bottom w:w="0" w:type="dxa"/>
              <w:right w:w="15" w:type="dxa"/>
            </w:tcMar>
            <w:vAlign w:val="bottom"/>
            <w:hideMark/>
          </w:tcPr>
          <w:p w14:paraId="0EE0D31A"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6BD27E77" w14:textId="77777777">
        <w:trPr>
          <w:divId w:val="1188329502"/>
        </w:trPr>
        <w:tc>
          <w:tcPr>
            <w:tcW w:w="1825" w:type="pct"/>
            <w:shd w:val="clear" w:color="auto" w:fill="FFFFFF"/>
            <w:tcMar>
              <w:top w:w="15" w:type="dxa"/>
              <w:left w:w="0" w:type="dxa"/>
              <w:bottom w:w="0" w:type="dxa"/>
              <w:right w:w="15" w:type="dxa"/>
            </w:tcMar>
            <w:vAlign w:val="bottom"/>
            <w:hideMark/>
          </w:tcPr>
          <w:p w14:paraId="7DC0B627" w14:textId="77777777" w:rsidR="00000000" w:rsidRDefault="00B8284C">
            <w:pPr>
              <w:pStyle w:val="a3"/>
              <w:spacing w:before="0" w:beforeAutospacing="0" w:after="0" w:afterAutospacing="0"/>
              <w:rPr>
                <w:color w:val="000000"/>
                <w:sz w:val="18"/>
                <w:szCs w:val="18"/>
              </w:rPr>
            </w:pPr>
            <w:r>
              <w:rPr>
                <w:color w:val="000000"/>
                <w:sz w:val="18"/>
                <w:szCs w:val="18"/>
              </w:rPr>
              <w:t>Issuance of common stock under stock</w:t>
            </w:r>
          </w:p>
          <w:p w14:paraId="6518FA57" w14:textId="77777777" w:rsidR="00000000" w:rsidRDefault="00B8284C">
            <w:pPr>
              <w:pStyle w:val="a3"/>
              <w:spacing w:before="0" w:beforeAutospacing="0" w:after="0" w:afterAutospacing="0"/>
              <w:rPr>
                <w:color w:val="000000"/>
                <w:sz w:val="18"/>
                <w:szCs w:val="18"/>
              </w:rPr>
            </w:pPr>
            <w:r>
              <w:rPr>
                <w:color w:val="000000"/>
                <w:sz w:val="18"/>
                <w:szCs w:val="18"/>
              </w:rPr>
              <w:t>   plans, net of shares withheld for</w:t>
            </w:r>
          </w:p>
          <w:p w14:paraId="0A48C555" w14:textId="77777777" w:rsidR="00000000" w:rsidRDefault="00B8284C">
            <w:pPr>
              <w:pStyle w:val="a3"/>
              <w:spacing w:before="0" w:beforeAutospacing="0" w:after="0" w:afterAutospacing="0"/>
              <w:rPr>
                <w:color w:val="000000"/>
                <w:sz w:val="18"/>
                <w:szCs w:val="18"/>
              </w:rPr>
            </w:pPr>
            <w:r>
              <w:rPr>
                <w:color w:val="000000"/>
                <w:sz w:val="18"/>
                <w:szCs w:val="18"/>
              </w:rPr>
              <w:t>   employee taxes</w:t>
            </w:r>
          </w:p>
        </w:tc>
        <w:tc>
          <w:tcPr>
            <w:tcW w:w="50" w:type="pct"/>
            <w:shd w:val="clear" w:color="auto" w:fill="FFFFFF"/>
            <w:noWrap/>
            <w:tcMar>
              <w:top w:w="15" w:type="dxa"/>
              <w:left w:w="0" w:type="dxa"/>
              <w:bottom w:w="0" w:type="dxa"/>
              <w:right w:w="15" w:type="dxa"/>
            </w:tcMar>
            <w:vAlign w:val="bottom"/>
            <w:hideMark/>
          </w:tcPr>
          <w:p w14:paraId="24C70CA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33DDE35" w14:textId="77777777" w:rsidR="00000000" w:rsidRDefault="00B8284C">
            <w:pPr>
              <w:pStyle w:val="a3"/>
              <w:spacing w:before="0" w:beforeAutospacing="0" w:after="0" w:afterAutospacing="0"/>
              <w:jc w:val="right"/>
              <w:rPr>
                <w:color w:val="000000"/>
                <w:sz w:val="18"/>
                <w:szCs w:val="18"/>
              </w:rPr>
            </w:pPr>
            <w:r>
              <w:rPr>
                <w:color w:val="000000"/>
                <w:sz w:val="18"/>
                <w:szCs w:val="18"/>
              </w:rPr>
              <w:t>1,030</w:t>
            </w:r>
          </w:p>
        </w:tc>
        <w:tc>
          <w:tcPr>
            <w:tcW w:w="50" w:type="pct"/>
            <w:shd w:val="clear" w:color="auto" w:fill="FFFFFF"/>
            <w:noWrap/>
            <w:tcMar>
              <w:top w:w="15" w:type="dxa"/>
              <w:left w:w="0" w:type="dxa"/>
              <w:bottom w:w="0" w:type="dxa"/>
              <w:right w:w="15" w:type="dxa"/>
            </w:tcMar>
            <w:vAlign w:val="bottom"/>
            <w:hideMark/>
          </w:tcPr>
          <w:p w14:paraId="778241C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B23A8F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21726B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D34F96B" w14:textId="77777777" w:rsidR="00000000" w:rsidRDefault="00B8284C">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04516DE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2F1A38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1AB0B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9F9DA9B" w14:textId="77777777" w:rsidR="00000000" w:rsidRDefault="00B8284C">
            <w:pPr>
              <w:pStyle w:val="a3"/>
              <w:spacing w:before="0" w:beforeAutospacing="0" w:after="0" w:afterAutospacing="0"/>
              <w:jc w:val="right"/>
              <w:rPr>
                <w:color w:val="000000"/>
                <w:sz w:val="18"/>
                <w:szCs w:val="18"/>
              </w:rPr>
            </w:pPr>
            <w:r>
              <w:rPr>
                <w:color w:val="000000"/>
                <w:sz w:val="18"/>
                <w:szCs w:val="18"/>
              </w:rPr>
              <w:t>9,015</w:t>
            </w:r>
          </w:p>
        </w:tc>
        <w:tc>
          <w:tcPr>
            <w:tcW w:w="50" w:type="pct"/>
            <w:shd w:val="clear" w:color="auto" w:fill="FFFFFF"/>
            <w:noWrap/>
            <w:tcMar>
              <w:top w:w="15" w:type="dxa"/>
              <w:left w:w="0" w:type="dxa"/>
              <w:bottom w:w="0" w:type="dxa"/>
              <w:right w:w="15" w:type="dxa"/>
            </w:tcMar>
            <w:vAlign w:val="bottom"/>
            <w:hideMark/>
          </w:tcPr>
          <w:p w14:paraId="614457C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5E7731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36E30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3AFE9FE"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EB0918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6CB191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88D904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9E57565"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2D58FF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600BC5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4625B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F214AE6" w14:textId="77777777" w:rsidR="00000000" w:rsidRDefault="00B8284C">
            <w:pPr>
              <w:pStyle w:val="a3"/>
              <w:spacing w:before="0" w:beforeAutospacing="0" w:after="0" w:afterAutospacing="0"/>
              <w:jc w:val="right"/>
              <w:rPr>
                <w:color w:val="000000"/>
                <w:sz w:val="18"/>
                <w:szCs w:val="18"/>
              </w:rPr>
            </w:pPr>
            <w:r>
              <w:rPr>
                <w:color w:val="000000"/>
                <w:sz w:val="18"/>
                <w:szCs w:val="18"/>
              </w:rPr>
              <w:t>9,016</w:t>
            </w:r>
          </w:p>
        </w:tc>
        <w:tc>
          <w:tcPr>
            <w:tcW w:w="50" w:type="pct"/>
            <w:shd w:val="clear" w:color="auto" w:fill="FFFFFF"/>
            <w:noWrap/>
            <w:tcMar>
              <w:top w:w="15" w:type="dxa"/>
              <w:left w:w="0" w:type="dxa"/>
              <w:bottom w:w="0" w:type="dxa"/>
              <w:right w:w="15" w:type="dxa"/>
            </w:tcMar>
            <w:vAlign w:val="bottom"/>
            <w:hideMark/>
          </w:tcPr>
          <w:p w14:paraId="4B433198"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5699A2B6" w14:textId="77777777">
        <w:trPr>
          <w:divId w:val="1188329502"/>
        </w:trPr>
        <w:tc>
          <w:tcPr>
            <w:tcW w:w="1825" w:type="pct"/>
            <w:shd w:val="clear" w:color="auto" w:fill="CFF0FC"/>
            <w:tcMar>
              <w:top w:w="15" w:type="dxa"/>
              <w:left w:w="0" w:type="dxa"/>
              <w:bottom w:w="0" w:type="dxa"/>
              <w:right w:w="15" w:type="dxa"/>
            </w:tcMar>
            <w:vAlign w:val="bottom"/>
            <w:hideMark/>
          </w:tcPr>
          <w:p w14:paraId="054A8ACD" w14:textId="77777777" w:rsidR="00000000" w:rsidRDefault="00B8284C">
            <w:pPr>
              <w:pStyle w:val="a3"/>
              <w:spacing w:before="0" w:beforeAutospacing="0" w:after="0" w:afterAutospacing="0"/>
              <w:rPr>
                <w:color w:val="000000"/>
                <w:sz w:val="18"/>
                <w:szCs w:val="18"/>
              </w:rPr>
            </w:pPr>
            <w:r>
              <w:rPr>
                <w:color w:val="000000"/>
                <w:sz w:val="18"/>
                <w:szCs w:val="18"/>
              </w:rPr>
              <w:t>Stock-based compensation</w:t>
            </w:r>
          </w:p>
        </w:tc>
        <w:tc>
          <w:tcPr>
            <w:tcW w:w="50" w:type="pct"/>
            <w:shd w:val="clear" w:color="auto" w:fill="CFF0FC"/>
            <w:noWrap/>
            <w:tcMar>
              <w:top w:w="15" w:type="dxa"/>
              <w:left w:w="0" w:type="dxa"/>
              <w:bottom w:w="0" w:type="dxa"/>
              <w:right w:w="15" w:type="dxa"/>
            </w:tcMar>
            <w:vAlign w:val="bottom"/>
            <w:hideMark/>
          </w:tcPr>
          <w:p w14:paraId="17BB9FC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3ED962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CA6D9A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7F8699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FF830E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F7906B5"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102F9B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A33930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79CB62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204057A" w14:textId="77777777" w:rsidR="00000000" w:rsidRDefault="00B8284C">
            <w:pPr>
              <w:pStyle w:val="a3"/>
              <w:spacing w:before="0" w:beforeAutospacing="0" w:after="0" w:afterAutospacing="0"/>
              <w:jc w:val="right"/>
              <w:rPr>
                <w:color w:val="000000"/>
                <w:sz w:val="18"/>
                <w:szCs w:val="18"/>
              </w:rPr>
            </w:pPr>
            <w:r>
              <w:rPr>
                <w:color w:val="000000"/>
                <w:sz w:val="18"/>
                <w:szCs w:val="18"/>
              </w:rPr>
              <w:t>37,067</w:t>
            </w:r>
          </w:p>
        </w:tc>
        <w:tc>
          <w:tcPr>
            <w:tcW w:w="50" w:type="pct"/>
            <w:shd w:val="clear" w:color="auto" w:fill="CFF0FC"/>
            <w:noWrap/>
            <w:tcMar>
              <w:top w:w="15" w:type="dxa"/>
              <w:left w:w="0" w:type="dxa"/>
              <w:bottom w:w="0" w:type="dxa"/>
              <w:right w:w="15" w:type="dxa"/>
            </w:tcMar>
            <w:vAlign w:val="bottom"/>
            <w:hideMark/>
          </w:tcPr>
          <w:p w14:paraId="0F52EBF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B3349F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9AA078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AF0F004"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8346EB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E8760B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A95C28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3E5415C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AD516C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BD7270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8004E5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ECA5EE9" w14:textId="77777777" w:rsidR="00000000" w:rsidRDefault="00B8284C">
            <w:pPr>
              <w:pStyle w:val="a3"/>
              <w:spacing w:before="0" w:beforeAutospacing="0" w:after="0" w:afterAutospacing="0"/>
              <w:jc w:val="right"/>
              <w:rPr>
                <w:color w:val="000000"/>
                <w:sz w:val="18"/>
                <w:szCs w:val="18"/>
              </w:rPr>
            </w:pPr>
            <w:r>
              <w:rPr>
                <w:color w:val="000000"/>
                <w:sz w:val="18"/>
                <w:szCs w:val="18"/>
              </w:rPr>
              <w:t>37,067</w:t>
            </w:r>
          </w:p>
        </w:tc>
        <w:tc>
          <w:tcPr>
            <w:tcW w:w="50" w:type="pct"/>
            <w:shd w:val="clear" w:color="auto" w:fill="CFF0FC"/>
            <w:noWrap/>
            <w:tcMar>
              <w:top w:w="15" w:type="dxa"/>
              <w:left w:w="0" w:type="dxa"/>
              <w:bottom w:w="0" w:type="dxa"/>
              <w:right w:w="15" w:type="dxa"/>
            </w:tcMar>
            <w:vAlign w:val="bottom"/>
            <w:hideMark/>
          </w:tcPr>
          <w:p w14:paraId="24A7DB6D"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43B41DB8" w14:textId="77777777">
        <w:trPr>
          <w:divId w:val="1188329502"/>
        </w:trPr>
        <w:tc>
          <w:tcPr>
            <w:tcW w:w="1825" w:type="pct"/>
            <w:shd w:val="clear" w:color="auto" w:fill="FFFFFF"/>
            <w:tcMar>
              <w:top w:w="15" w:type="dxa"/>
              <w:left w:w="0" w:type="dxa"/>
              <w:bottom w:w="0" w:type="dxa"/>
              <w:right w:w="15" w:type="dxa"/>
            </w:tcMar>
            <w:vAlign w:val="bottom"/>
            <w:hideMark/>
          </w:tcPr>
          <w:p w14:paraId="5F041035" w14:textId="77777777" w:rsidR="00000000" w:rsidRDefault="00B8284C">
            <w:pPr>
              <w:pStyle w:val="a3"/>
              <w:spacing w:before="0" w:beforeAutospacing="0" w:after="0" w:afterAutospacing="0"/>
              <w:rPr>
                <w:color w:val="000000"/>
                <w:sz w:val="18"/>
                <w:szCs w:val="18"/>
              </w:rPr>
            </w:pPr>
            <w:r>
              <w:rPr>
                <w:color w:val="000000"/>
                <w:sz w:val="18"/>
                <w:szCs w:val="18"/>
              </w:rPr>
              <w:t>Cumulative adjustment from adoption of</w:t>
            </w:r>
          </w:p>
          <w:p w14:paraId="39EEB744" w14:textId="77777777" w:rsidR="00000000" w:rsidRDefault="00B8284C">
            <w:pPr>
              <w:pStyle w:val="a3"/>
              <w:spacing w:before="0" w:beforeAutospacing="0" w:after="0" w:afterAutospacing="0"/>
              <w:rPr>
                <w:color w:val="000000"/>
                <w:sz w:val="18"/>
                <w:szCs w:val="18"/>
              </w:rPr>
            </w:pPr>
            <w:r>
              <w:rPr>
                <w:color w:val="000000"/>
                <w:sz w:val="18"/>
                <w:szCs w:val="18"/>
              </w:rPr>
              <w:t>   revenue recognition standard</w:t>
            </w:r>
          </w:p>
        </w:tc>
        <w:tc>
          <w:tcPr>
            <w:tcW w:w="50" w:type="pct"/>
            <w:shd w:val="clear" w:color="auto" w:fill="FFFFFF"/>
            <w:noWrap/>
            <w:tcMar>
              <w:top w:w="15" w:type="dxa"/>
              <w:left w:w="0" w:type="dxa"/>
              <w:bottom w:w="0" w:type="dxa"/>
              <w:right w:w="15" w:type="dxa"/>
            </w:tcMar>
            <w:vAlign w:val="bottom"/>
            <w:hideMark/>
          </w:tcPr>
          <w:p w14:paraId="15F988C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100919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DDECF4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7C3E80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1A96F0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C15E7AB"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F65497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BC0128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292A22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E6369FD"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6E5F51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EF92A1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D04BA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CF358C1"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EA0AD1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51D486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F6FC40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DC113BE" w14:textId="77777777" w:rsidR="00000000" w:rsidRDefault="00B8284C">
            <w:pPr>
              <w:pStyle w:val="a3"/>
              <w:spacing w:before="0" w:beforeAutospacing="0" w:after="0" w:afterAutospacing="0"/>
              <w:jc w:val="right"/>
              <w:rPr>
                <w:color w:val="000000"/>
                <w:sz w:val="18"/>
                <w:szCs w:val="18"/>
              </w:rPr>
            </w:pPr>
            <w:r>
              <w:rPr>
                <w:color w:val="000000"/>
                <w:sz w:val="18"/>
                <w:szCs w:val="18"/>
              </w:rPr>
              <w:t>5,526</w:t>
            </w:r>
          </w:p>
        </w:tc>
        <w:tc>
          <w:tcPr>
            <w:tcW w:w="50" w:type="pct"/>
            <w:shd w:val="clear" w:color="auto" w:fill="FFFFFF"/>
            <w:noWrap/>
            <w:tcMar>
              <w:top w:w="15" w:type="dxa"/>
              <w:left w:w="0" w:type="dxa"/>
              <w:bottom w:w="0" w:type="dxa"/>
              <w:right w:w="15" w:type="dxa"/>
            </w:tcMar>
            <w:vAlign w:val="bottom"/>
            <w:hideMark/>
          </w:tcPr>
          <w:p w14:paraId="531F44E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1A231F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62F25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CF712B9" w14:textId="77777777" w:rsidR="00000000" w:rsidRDefault="00B8284C">
            <w:pPr>
              <w:pStyle w:val="a3"/>
              <w:spacing w:before="0" w:beforeAutospacing="0" w:after="0" w:afterAutospacing="0"/>
              <w:jc w:val="right"/>
              <w:rPr>
                <w:color w:val="000000"/>
                <w:sz w:val="18"/>
                <w:szCs w:val="18"/>
              </w:rPr>
            </w:pPr>
            <w:r>
              <w:rPr>
                <w:color w:val="000000"/>
                <w:sz w:val="18"/>
                <w:szCs w:val="18"/>
              </w:rPr>
              <w:t>5,526</w:t>
            </w:r>
          </w:p>
        </w:tc>
        <w:tc>
          <w:tcPr>
            <w:tcW w:w="50" w:type="pct"/>
            <w:shd w:val="clear" w:color="auto" w:fill="FFFFFF"/>
            <w:noWrap/>
            <w:tcMar>
              <w:top w:w="15" w:type="dxa"/>
              <w:left w:w="0" w:type="dxa"/>
              <w:bottom w:w="0" w:type="dxa"/>
              <w:right w:w="15" w:type="dxa"/>
            </w:tcMar>
            <w:vAlign w:val="bottom"/>
            <w:hideMark/>
          </w:tcPr>
          <w:p w14:paraId="3D962271"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418FEFC4" w14:textId="77777777">
        <w:trPr>
          <w:divId w:val="1188329502"/>
        </w:trPr>
        <w:tc>
          <w:tcPr>
            <w:tcW w:w="1825" w:type="pct"/>
            <w:shd w:val="clear" w:color="auto" w:fill="CFF0FC"/>
            <w:tcMar>
              <w:top w:w="15" w:type="dxa"/>
              <w:left w:w="0" w:type="dxa"/>
              <w:bottom w:w="0" w:type="dxa"/>
              <w:right w:w="15" w:type="dxa"/>
            </w:tcMar>
            <w:vAlign w:val="bottom"/>
            <w:hideMark/>
          </w:tcPr>
          <w:p w14:paraId="6FE4FF6C" w14:textId="77777777" w:rsidR="00000000" w:rsidRDefault="00B8284C">
            <w:pPr>
              <w:pStyle w:val="a3"/>
              <w:spacing w:before="0" w:beforeAutospacing="0" w:after="0" w:afterAutospacing="0"/>
              <w:rPr>
                <w:color w:val="000000"/>
                <w:sz w:val="18"/>
                <w:szCs w:val="18"/>
              </w:rPr>
            </w:pPr>
            <w:r>
              <w:rPr>
                <w:color w:val="000000"/>
                <w:sz w:val="18"/>
                <w:szCs w:val="18"/>
              </w:rPr>
              <w:t>Cumulative translation adjustment</w:t>
            </w:r>
          </w:p>
        </w:tc>
        <w:tc>
          <w:tcPr>
            <w:tcW w:w="50" w:type="pct"/>
            <w:shd w:val="clear" w:color="auto" w:fill="CFF0FC"/>
            <w:noWrap/>
            <w:tcMar>
              <w:top w:w="15" w:type="dxa"/>
              <w:left w:w="0" w:type="dxa"/>
              <w:bottom w:w="0" w:type="dxa"/>
              <w:right w:w="15" w:type="dxa"/>
            </w:tcMar>
            <w:vAlign w:val="bottom"/>
            <w:hideMark/>
          </w:tcPr>
          <w:p w14:paraId="3F27BB6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24E6C0F"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5947A6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C27A9B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8A5A59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5CE9E59"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29D85E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02723B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8922F2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B278E75"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7910D8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2C1953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78550C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078527D" w14:textId="77777777" w:rsidR="00000000" w:rsidRDefault="00B8284C">
            <w:pPr>
              <w:pStyle w:val="a3"/>
              <w:spacing w:before="0" w:beforeAutospacing="0" w:after="0" w:afterAutospacing="0"/>
              <w:jc w:val="right"/>
              <w:rPr>
                <w:color w:val="000000"/>
                <w:sz w:val="18"/>
                <w:szCs w:val="18"/>
              </w:rPr>
            </w:pPr>
            <w:r>
              <w:rPr>
                <w:color w:val="000000"/>
                <w:sz w:val="18"/>
                <w:szCs w:val="18"/>
              </w:rPr>
              <w:t>(422</w:t>
            </w:r>
          </w:p>
        </w:tc>
        <w:tc>
          <w:tcPr>
            <w:tcW w:w="50" w:type="pct"/>
            <w:shd w:val="clear" w:color="auto" w:fill="CFF0FC"/>
            <w:noWrap/>
            <w:tcMar>
              <w:top w:w="15" w:type="dxa"/>
              <w:left w:w="0" w:type="dxa"/>
              <w:bottom w:w="0" w:type="dxa"/>
              <w:right w:w="15" w:type="dxa"/>
            </w:tcMar>
            <w:vAlign w:val="bottom"/>
            <w:hideMark/>
          </w:tcPr>
          <w:p w14:paraId="23012C60"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7F1023B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37C5D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BAE9A5B"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464848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F3DF9D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7A6F7D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B7FA0B1" w14:textId="77777777" w:rsidR="00000000" w:rsidRDefault="00B8284C">
            <w:pPr>
              <w:pStyle w:val="a3"/>
              <w:spacing w:before="0" w:beforeAutospacing="0" w:after="0" w:afterAutospacing="0"/>
              <w:jc w:val="right"/>
              <w:rPr>
                <w:color w:val="000000"/>
                <w:sz w:val="18"/>
                <w:szCs w:val="18"/>
              </w:rPr>
            </w:pPr>
            <w:r>
              <w:rPr>
                <w:color w:val="000000"/>
                <w:sz w:val="18"/>
                <w:szCs w:val="18"/>
              </w:rPr>
              <w:t>(422</w:t>
            </w:r>
          </w:p>
        </w:tc>
        <w:tc>
          <w:tcPr>
            <w:tcW w:w="50" w:type="pct"/>
            <w:shd w:val="clear" w:color="auto" w:fill="CFF0FC"/>
            <w:noWrap/>
            <w:tcMar>
              <w:top w:w="15" w:type="dxa"/>
              <w:left w:w="0" w:type="dxa"/>
              <w:bottom w:w="0" w:type="dxa"/>
              <w:right w:w="15" w:type="dxa"/>
            </w:tcMar>
            <w:vAlign w:val="bottom"/>
            <w:hideMark/>
          </w:tcPr>
          <w:p w14:paraId="4A448430"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20110541" w14:textId="77777777">
        <w:trPr>
          <w:divId w:val="1188329502"/>
        </w:trPr>
        <w:tc>
          <w:tcPr>
            <w:tcW w:w="1825" w:type="pct"/>
            <w:shd w:val="clear" w:color="auto" w:fill="FFFFFF"/>
            <w:tcMar>
              <w:top w:w="15" w:type="dxa"/>
              <w:left w:w="0" w:type="dxa"/>
              <w:bottom w:w="0" w:type="dxa"/>
              <w:right w:w="15" w:type="dxa"/>
            </w:tcMar>
            <w:vAlign w:val="bottom"/>
            <w:hideMark/>
          </w:tcPr>
          <w:p w14:paraId="49EE133C" w14:textId="77777777" w:rsidR="00000000" w:rsidRDefault="00B8284C">
            <w:pPr>
              <w:pStyle w:val="a3"/>
              <w:spacing w:before="0" w:beforeAutospacing="0" w:after="0" w:afterAutospacing="0"/>
              <w:rPr>
                <w:color w:val="000000"/>
                <w:sz w:val="18"/>
                <w:szCs w:val="18"/>
              </w:rPr>
            </w:pPr>
            <w:r>
              <w:rPr>
                <w:color w:val="000000"/>
                <w:sz w:val="18"/>
                <w:szCs w:val="18"/>
              </w:rPr>
              <w:t>Unrealized loss on investments, net of income</w:t>
            </w:r>
          </w:p>
          <w:p w14:paraId="4D64C741" w14:textId="77777777" w:rsidR="00000000" w:rsidRDefault="00B8284C">
            <w:pPr>
              <w:pStyle w:val="a3"/>
              <w:spacing w:before="0" w:beforeAutospacing="0" w:after="0" w:afterAutospacing="0"/>
              <w:rPr>
                <w:color w:val="000000"/>
                <w:sz w:val="18"/>
                <w:szCs w:val="18"/>
              </w:rPr>
            </w:pPr>
            <w:r>
              <w:rPr>
                <w:color w:val="000000"/>
                <w:sz w:val="18"/>
                <w:szCs w:val="18"/>
              </w:rPr>
              <w:t>   taxes of $0</w:t>
            </w:r>
          </w:p>
        </w:tc>
        <w:tc>
          <w:tcPr>
            <w:tcW w:w="50" w:type="pct"/>
            <w:shd w:val="clear" w:color="auto" w:fill="FFFFFF"/>
            <w:noWrap/>
            <w:tcMar>
              <w:top w:w="15" w:type="dxa"/>
              <w:left w:w="0" w:type="dxa"/>
              <w:bottom w:w="0" w:type="dxa"/>
              <w:right w:w="15" w:type="dxa"/>
            </w:tcMar>
            <w:vAlign w:val="bottom"/>
            <w:hideMark/>
          </w:tcPr>
          <w:p w14:paraId="2E3CD60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EEB2347"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DB5541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068464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B5D140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CD5D1D1"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1DF1C3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74A22E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22AB9B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C2440C2"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5D515A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AADD82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A4A3A7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CB2C3F2" w14:textId="77777777" w:rsidR="00000000" w:rsidRDefault="00B8284C">
            <w:pPr>
              <w:pStyle w:val="a3"/>
              <w:spacing w:before="0" w:beforeAutospacing="0" w:after="0" w:afterAutospacing="0"/>
              <w:jc w:val="right"/>
              <w:rPr>
                <w:color w:val="000000"/>
                <w:sz w:val="18"/>
                <w:szCs w:val="18"/>
              </w:rPr>
            </w:pPr>
            <w:r>
              <w:rPr>
                <w:color w:val="000000"/>
                <w:sz w:val="18"/>
                <w:szCs w:val="18"/>
              </w:rPr>
              <w:t>(235</w:t>
            </w:r>
          </w:p>
        </w:tc>
        <w:tc>
          <w:tcPr>
            <w:tcW w:w="50" w:type="pct"/>
            <w:shd w:val="clear" w:color="auto" w:fill="FFFFFF"/>
            <w:noWrap/>
            <w:tcMar>
              <w:top w:w="15" w:type="dxa"/>
              <w:left w:w="0" w:type="dxa"/>
              <w:bottom w:w="0" w:type="dxa"/>
              <w:right w:w="15" w:type="dxa"/>
            </w:tcMar>
            <w:vAlign w:val="bottom"/>
            <w:hideMark/>
          </w:tcPr>
          <w:p w14:paraId="01140265"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77AC8A3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1407D8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21BDBE4"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1CF706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E16F5B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DCEAA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3222670" w14:textId="77777777" w:rsidR="00000000" w:rsidRDefault="00B8284C">
            <w:pPr>
              <w:pStyle w:val="a3"/>
              <w:spacing w:before="0" w:beforeAutospacing="0" w:after="0" w:afterAutospacing="0"/>
              <w:jc w:val="right"/>
              <w:rPr>
                <w:color w:val="000000"/>
                <w:sz w:val="18"/>
                <w:szCs w:val="18"/>
              </w:rPr>
            </w:pPr>
            <w:r>
              <w:rPr>
                <w:color w:val="000000"/>
                <w:sz w:val="18"/>
                <w:szCs w:val="18"/>
              </w:rPr>
              <w:t>(235</w:t>
            </w:r>
          </w:p>
        </w:tc>
        <w:tc>
          <w:tcPr>
            <w:tcW w:w="50" w:type="pct"/>
            <w:shd w:val="clear" w:color="auto" w:fill="FFFFFF"/>
            <w:noWrap/>
            <w:tcMar>
              <w:top w:w="15" w:type="dxa"/>
              <w:left w:w="0" w:type="dxa"/>
              <w:bottom w:w="0" w:type="dxa"/>
              <w:right w:w="15" w:type="dxa"/>
            </w:tcMar>
            <w:vAlign w:val="bottom"/>
            <w:hideMark/>
          </w:tcPr>
          <w:p w14:paraId="10296B96"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7F84002D" w14:textId="77777777">
        <w:trPr>
          <w:divId w:val="1188329502"/>
        </w:trPr>
        <w:tc>
          <w:tcPr>
            <w:tcW w:w="1825" w:type="pct"/>
            <w:shd w:val="clear" w:color="auto" w:fill="CFF0FC"/>
            <w:tcMar>
              <w:top w:w="15" w:type="dxa"/>
              <w:left w:w="0" w:type="dxa"/>
              <w:bottom w:w="0" w:type="dxa"/>
              <w:right w:w="15" w:type="dxa"/>
            </w:tcMar>
            <w:vAlign w:val="bottom"/>
            <w:hideMark/>
          </w:tcPr>
          <w:p w14:paraId="48034516" w14:textId="77777777" w:rsidR="00000000" w:rsidRDefault="00B8284C">
            <w:pPr>
              <w:pStyle w:val="a3"/>
              <w:spacing w:before="0" w:beforeAutospacing="0" w:after="0" w:afterAutospacing="0"/>
              <w:rPr>
                <w:color w:val="000000"/>
                <w:sz w:val="18"/>
                <w:szCs w:val="18"/>
              </w:rPr>
            </w:pPr>
            <w:r>
              <w:rPr>
                <w:color w:val="000000"/>
                <w:sz w:val="18"/>
                <w:szCs w:val="18"/>
              </w:rPr>
              <w:t>Net loss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07E38D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4557F78F"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AC1062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A162B3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F857C8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3F0832A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88CB74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96084A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CE9ED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4FAF73B8"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8F731B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E3BD59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87E931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6ADED0BE"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0FB09F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9BA868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C7A03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5C59511D" w14:textId="77777777" w:rsidR="00000000" w:rsidRDefault="00B8284C">
            <w:pPr>
              <w:pStyle w:val="a3"/>
              <w:spacing w:before="0" w:beforeAutospacing="0" w:after="0" w:afterAutospacing="0"/>
              <w:jc w:val="right"/>
              <w:rPr>
                <w:color w:val="000000"/>
                <w:sz w:val="18"/>
                <w:szCs w:val="18"/>
              </w:rPr>
            </w:pPr>
            <w:r>
              <w:rPr>
                <w:color w:val="000000"/>
                <w:sz w:val="18"/>
                <w:szCs w:val="18"/>
              </w:rPr>
              <w:t>(</w:t>
            </w:r>
            <w:r>
              <w:rPr>
                <w:color w:val="000000"/>
                <w:sz w:val="18"/>
                <w:szCs w:val="18"/>
              </w:rPr>
              <w:t>33,673</w:t>
            </w:r>
          </w:p>
        </w:tc>
        <w:tc>
          <w:tcPr>
            <w:tcW w:w="50" w:type="pct"/>
            <w:shd w:val="clear" w:color="auto" w:fill="CFF0FC"/>
            <w:noWrap/>
            <w:tcMar>
              <w:top w:w="15" w:type="dxa"/>
              <w:left w:w="0" w:type="dxa"/>
              <w:bottom w:w="0" w:type="dxa"/>
              <w:right w:w="15" w:type="dxa"/>
            </w:tcMar>
            <w:vAlign w:val="bottom"/>
            <w:hideMark/>
          </w:tcPr>
          <w:p w14:paraId="6989B327"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62AAD56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C9C26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2D330E02" w14:textId="77777777" w:rsidR="00000000" w:rsidRDefault="00B8284C">
            <w:pPr>
              <w:pStyle w:val="a3"/>
              <w:spacing w:before="0" w:beforeAutospacing="0" w:after="0" w:afterAutospacing="0"/>
              <w:jc w:val="right"/>
              <w:rPr>
                <w:color w:val="000000"/>
                <w:sz w:val="18"/>
                <w:szCs w:val="18"/>
              </w:rPr>
            </w:pPr>
            <w:r>
              <w:rPr>
                <w:color w:val="000000"/>
                <w:sz w:val="18"/>
                <w:szCs w:val="18"/>
              </w:rPr>
              <w:t>(33,673</w:t>
            </w:r>
          </w:p>
        </w:tc>
        <w:tc>
          <w:tcPr>
            <w:tcW w:w="50" w:type="pct"/>
            <w:shd w:val="clear" w:color="auto" w:fill="CFF0FC"/>
            <w:noWrap/>
            <w:tcMar>
              <w:top w:w="15" w:type="dxa"/>
              <w:left w:w="0" w:type="dxa"/>
              <w:bottom w:w="0" w:type="dxa"/>
              <w:right w:w="15" w:type="dxa"/>
            </w:tcMar>
            <w:vAlign w:val="bottom"/>
            <w:hideMark/>
          </w:tcPr>
          <w:p w14:paraId="1AAD257E"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0586A19B" w14:textId="77777777">
        <w:trPr>
          <w:divId w:val="1188329502"/>
        </w:trPr>
        <w:tc>
          <w:tcPr>
            <w:tcW w:w="1825" w:type="pct"/>
            <w:shd w:val="clear" w:color="auto" w:fill="FFFFFF"/>
            <w:tcMar>
              <w:top w:w="15" w:type="dxa"/>
              <w:left w:w="0" w:type="dxa"/>
              <w:bottom w:w="0" w:type="dxa"/>
              <w:right w:w="15" w:type="dxa"/>
            </w:tcMar>
            <w:vAlign w:val="bottom"/>
            <w:hideMark/>
          </w:tcPr>
          <w:p w14:paraId="0607C167" w14:textId="77777777" w:rsidR="00000000" w:rsidRDefault="00B8284C">
            <w:pPr>
              <w:pStyle w:val="a3"/>
              <w:spacing w:before="0" w:beforeAutospacing="0" w:after="0" w:afterAutospacing="0"/>
              <w:rPr>
                <w:color w:val="000000"/>
                <w:sz w:val="18"/>
                <w:szCs w:val="18"/>
              </w:rPr>
            </w:pPr>
            <w:r>
              <w:rPr>
                <w:color w:val="000000"/>
                <w:sz w:val="18"/>
                <w:szCs w:val="18"/>
              </w:rPr>
              <w:t>Balances at June 30, 2018</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93340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40DA4D" w14:textId="77777777" w:rsidR="00000000" w:rsidRDefault="00B8284C">
            <w:pPr>
              <w:pStyle w:val="a3"/>
              <w:spacing w:before="0" w:beforeAutospacing="0" w:after="0" w:afterAutospacing="0"/>
              <w:jc w:val="right"/>
              <w:rPr>
                <w:color w:val="000000"/>
                <w:sz w:val="18"/>
                <w:szCs w:val="18"/>
              </w:rPr>
            </w:pPr>
            <w:r>
              <w:rPr>
                <w:color w:val="000000"/>
                <w:sz w:val="18"/>
                <w:szCs w:val="18"/>
              </w:rPr>
              <w:t>38,533</w:t>
            </w:r>
          </w:p>
        </w:tc>
        <w:tc>
          <w:tcPr>
            <w:tcW w:w="50" w:type="pct"/>
            <w:shd w:val="clear" w:color="auto" w:fill="FFFFFF"/>
            <w:noWrap/>
            <w:tcMar>
              <w:top w:w="15" w:type="dxa"/>
              <w:left w:w="0" w:type="dxa"/>
              <w:bottom w:w="0" w:type="dxa"/>
              <w:right w:w="15" w:type="dxa"/>
            </w:tcMar>
            <w:vAlign w:val="bottom"/>
            <w:hideMark/>
          </w:tcPr>
          <w:p w14:paraId="17036DF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99DE30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1BAF5B"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22FCDD" w14:textId="77777777" w:rsidR="00000000" w:rsidRDefault="00B8284C">
            <w:pPr>
              <w:pStyle w:val="a3"/>
              <w:spacing w:before="0" w:beforeAutospacing="0" w:after="0" w:afterAutospacing="0"/>
              <w:jc w:val="right"/>
              <w:rPr>
                <w:color w:val="000000"/>
                <w:sz w:val="18"/>
                <w:szCs w:val="18"/>
              </w:rPr>
            </w:pPr>
            <w:r>
              <w:rPr>
                <w:color w:val="000000"/>
                <w:sz w:val="18"/>
                <w:szCs w:val="18"/>
              </w:rPr>
              <w:t>39</w:t>
            </w:r>
          </w:p>
        </w:tc>
        <w:tc>
          <w:tcPr>
            <w:tcW w:w="50" w:type="pct"/>
            <w:shd w:val="clear" w:color="auto" w:fill="FFFFFF"/>
            <w:noWrap/>
            <w:tcMar>
              <w:top w:w="15" w:type="dxa"/>
              <w:left w:w="0" w:type="dxa"/>
              <w:bottom w:w="0" w:type="dxa"/>
              <w:right w:w="15" w:type="dxa"/>
            </w:tcMar>
            <w:vAlign w:val="bottom"/>
            <w:hideMark/>
          </w:tcPr>
          <w:p w14:paraId="374B9D1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AD5C63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22A797"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8423E6" w14:textId="77777777" w:rsidR="00000000" w:rsidRDefault="00B8284C">
            <w:pPr>
              <w:pStyle w:val="a3"/>
              <w:spacing w:before="0" w:beforeAutospacing="0" w:after="0" w:afterAutospacing="0"/>
              <w:jc w:val="right"/>
              <w:rPr>
                <w:color w:val="000000"/>
                <w:sz w:val="18"/>
                <w:szCs w:val="18"/>
              </w:rPr>
            </w:pPr>
            <w:r>
              <w:rPr>
                <w:color w:val="000000"/>
                <w:sz w:val="18"/>
                <w:szCs w:val="18"/>
              </w:rPr>
              <w:t>542,543</w:t>
            </w:r>
          </w:p>
        </w:tc>
        <w:tc>
          <w:tcPr>
            <w:tcW w:w="50" w:type="pct"/>
            <w:shd w:val="clear" w:color="auto" w:fill="FFFFFF"/>
            <w:noWrap/>
            <w:tcMar>
              <w:top w:w="15" w:type="dxa"/>
              <w:left w:w="0" w:type="dxa"/>
              <w:bottom w:w="0" w:type="dxa"/>
              <w:right w:w="15" w:type="dxa"/>
            </w:tcMar>
            <w:vAlign w:val="bottom"/>
            <w:hideMark/>
          </w:tcPr>
          <w:p w14:paraId="5A61F270"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A9EA24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C38336"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8D822A" w14:textId="77777777" w:rsidR="00000000" w:rsidRDefault="00B8284C">
            <w:pPr>
              <w:pStyle w:val="a3"/>
              <w:spacing w:before="0" w:beforeAutospacing="0" w:after="0" w:afterAutospacing="0"/>
              <w:jc w:val="right"/>
              <w:rPr>
                <w:color w:val="000000"/>
                <w:sz w:val="18"/>
                <w:szCs w:val="18"/>
              </w:rPr>
            </w:pPr>
            <w:r>
              <w:rPr>
                <w:color w:val="000000"/>
                <w:sz w:val="18"/>
                <w:szCs w:val="18"/>
              </w:rPr>
              <w:t>(714</w:t>
            </w:r>
          </w:p>
        </w:tc>
        <w:tc>
          <w:tcPr>
            <w:tcW w:w="50" w:type="pct"/>
            <w:shd w:val="clear" w:color="auto" w:fill="FFFFFF"/>
            <w:noWrap/>
            <w:tcMar>
              <w:top w:w="15" w:type="dxa"/>
              <w:left w:w="0" w:type="dxa"/>
              <w:bottom w:w="0" w:type="dxa"/>
              <w:right w:w="15" w:type="dxa"/>
            </w:tcMar>
            <w:vAlign w:val="bottom"/>
            <w:hideMark/>
          </w:tcPr>
          <w:p w14:paraId="7CC74D09"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04E352E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FF0FCEE"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23FE17" w14:textId="77777777" w:rsidR="00000000" w:rsidRDefault="00B8284C">
            <w:pPr>
              <w:pStyle w:val="a3"/>
              <w:spacing w:before="0" w:beforeAutospacing="0" w:after="0" w:afterAutospacing="0"/>
              <w:jc w:val="right"/>
              <w:rPr>
                <w:color w:val="000000"/>
                <w:sz w:val="18"/>
                <w:szCs w:val="18"/>
              </w:rPr>
            </w:pPr>
            <w:r>
              <w:rPr>
                <w:color w:val="000000"/>
                <w:sz w:val="18"/>
                <w:szCs w:val="18"/>
              </w:rPr>
              <w:t>(314,229</w:t>
            </w:r>
          </w:p>
        </w:tc>
        <w:tc>
          <w:tcPr>
            <w:tcW w:w="50" w:type="pct"/>
            <w:shd w:val="clear" w:color="auto" w:fill="FFFFFF"/>
            <w:noWrap/>
            <w:tcMar>
              <w:top w:w="15" w:type="dxa"/>
              <w:left w:w="0" w:type="dxa"/>
              <w:bottom w:w="0" w:type="dxa"/>
              <w:right w:w="15" w:type="dxa"/>
            </w:tcMar>
            <w:vAlign w:val="bottom"/>
            <w:hideMark/>
          </w:tcPr>
          <w:p w14:paraId="2ED7AB12"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22CAAEF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4A773B4"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0E93C9" w14:textId="77777777" w:rsidR="00000000" w:rsidRDefault="00B8284C">
            <w:pPr>
              <w:pStyle w:val="a3"/>
              <w:spacing w:before="0" w:beforeAutospacing="0" w:after="0" w:afterAutospacing="0"/>
              <w:jc w:val="right"/>
              <w:rPr>
                <w:color w:val="000000"/>
                <w:sz w:val="18"/>
                <w:szCs w:val="18"/>
              </w:rPr>
            </w:pPr>
            <w:r>
              <w:rPr>
                <w:color w:val="000000"/>
                <w:sz w:val="18"/>
                <w:szCs w:val="18"/>
              </w:rPr>
              <w:t>227,639</w:t>
            </w:r>
          </w:p>
        </w:tc>
        <w:tc>
          <w:tcPr>
            <w:tcW w:w="50" w:type="pct"/>
            <w:shd w:val="clear" w:color="auto" w:fill="FFFFFF"/>
            <w:noWrap/>
            <w:tcMar>
              <w:top w:w="15" w:type="dxa"/>
              <w:left w:w="0" w:type="dxa"/>
              <w:bottom w:w="0" w:type="dxa"/>
              <w:right w:w="15" w:type="dxa"/>
            </w:tcMar>
            <w:vAlign w:val="bottom"/>
            <w:hideMark/>
          </w:tcPr>
          <w:p w14:paraId="4548663A"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2123D75A" w14:textId="77777777">
        <w:trPr>
          <w:divId w:val="1188329502"/>
        </w:trPr>
        <w:tc>
          <w:tcPr>
            <w:tcW w:w="1825" w:type="pct"/>
            <w:shd w:val="clear" w:color="auto" w:fill="CFF0FC"/>
            <w:tcMar>
              <w:top w:w="15" w:type="dxa"/>
              <w:left w:w="0" w:type="dxa"/>
              <w:bottom w:w="0" w:type="dxa"/>
              <w:right w:w="15" w:type="dxa"/>
            </w:tcMar>
            <w:vAlign w:val="bottom"/>
            <w:hideMark/>
          </w:tcPr>
          <w:p w14:paraId="18F26551" w14:textId="77777777" w:rsidR="00000000" w:rsidRDefault="00B8284C">
            <w:pPr>
              <w:pStyle w:val="a3"/>
              <w:spacing w:before="0" w:beforeAutospacing="0" w:after="0" w:afterAutospacing="0"/>
              <w:rPr>
                <w:color w:val="000000"/>
                <w:sz w:val="18"/>
                <w:szCs w:val="18"/>
              </w:rPr>
            </w:pPr>
            <w:r>
              <w:rPr>
                <w:color w:val="000000"/>
                <w:sz w:val="18"/>
                <w:szCs w:val="18"/>
              </w:rPr>
              <w:t>Issuance of common stock under stock</w:t>
            </w:r>
          </w:p>
          <w:p w14:paraId="26259C22" w14:textId="77777777" w:rsidR="00000000" w:rsidRDefault="00B8284C">
            <w:pPr>
              <w:pStyle w:val="a3"/>
              <w:spacing w:before="0" w:beforeAutospacing="0" w:after="0" w:afterAutospacing="0"/>
              <w:rPr>
                <w:color w:val="000000"/>
                <w:sz w:val="18"/>
                <w:szCs w:val="18"/>
              </w:rPr>
            </w:pPr>
            <w:r>
              <w:rPr>
                <w:color w:val="000000"/>
                <w:sz w:val="18"/>
                <w:szCs w:val="18"/>
              </w:rPr>
              <w:t>   plans, net of shares withheld for</w:t>
            </w:r>
          </w:p>
          <w:p w14:paraId="0BE397AD" w14:textId="77777777" w:rsidR="00000000" w:rsidRDefault="00B8284C">
            <w:pPr>
              <w:pStyle w:val="a3"/>
              <w:spacing w:before="0" w:beforeAutospacing="0" w:after="0" w:afterAutospacing="0"/>
              <w:rPr>
                <w:color w:val="000000"/>
                <w:sz w:val="18"/>
                <w:szCs w:val="18"/>
              </w:rPr>
            </w:pPr>
            <w:r>
              <w:rPr>
                <w:color w:val="000000"/>
                <w:sz w:val="18"/>
                <w:szCs w:val="18"/>
              </w:rPr>
              <w:t>   employee taxes</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53E7AB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38F6F1DC" w14:textId="77777777" w:rsidR="00000000" w:rsidRDefault="00B8284C">
            <w:pPr>
              <w:pStyle w:val="a3"/>
              <w:spacing w:before="0" w:beforeAutospacing="0" w:after="0" w:afterAutospacing="0"/>
              <w:jc w:val="right"/>
              <w:rPr>
                <w:color w:val="000000"/>
                <w:sz w:val="18"/>
                <w:szCs w:val="18"/>
              </w:rPr>
            </w:pPr>
            <w:r>
              <w:rPr>
                <w:color w:val="000000"/>
                <w:sz w:val="18"/>
                <w:szCs w:val="18"/>
              </w:rPr>
              <w:t>374</w:t>
            </w:r>
          </w:p>
        </w:tc>
        <w:tc>
          <w:tcPr>
            <w:tcW w:w="50" w:type="pct"/>
            <w:shd w:val="clear" w:color="auto" w:fill="CFF0FC"/>
            <w:noWrap/>
            <w:tcMar>
              <w:top w:w="15" w:type="dxa"/>
              <w:left w:w="0" w:type="dxa"/>
              <w:bottom w:w="0" w:type="dxa"/>
              <w:right w:w="15" w:type="dxa"/>
            </w:tcMar>
            <w:vAlign w:val="bottom"/>
            <w:hideMark/>
          </w:tcPr>
          <w:p w14:paraId="74A958E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FC4FA9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2CEA781"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2CFCFD98" w14:textId="77777777" w:rsidR="00000000" w:rsidRDefault="00B8284C">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0099821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C2180D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C582D3E"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6DCC7BE6" w14:textId="77777777" w:rsidR="00000000" w:rsidRDefault="00B8284C">
            <w:pPr>
              <w:pStyle w:val="a3"/>
              <w:spacing w:before="0" w:beforeAutospacing="0" w:after="0" w:afterAutospacing="0"/>
              <w:jc w:val="right"/>
              <w:rPr>
                <w:color w:val="000000"/>
                <w:sz w:val="18"/>
                <w:szCs w:val="18"/>
              </w:rPr>
            </w:pPr>
            <w:r>
              <w:rPr>
                <w:color w:val="000000"/>
                <w:sz w:val="18"/>
                <w:szCs w:val="18"/>
              </w:rPr>
              <w:t>358</w:t>
            </w:r>
          </w:p>
        </w:tc>
        <w:tc>
          <w:tcPr>
            <w:tcW w:w="50" w:type="pct"/>
            <w:shd w:val="clear" w:color="auto" w:fill="CFF0FC"/>
            <w:noWrap/>
            <w:tcMar>
              <w:top w:w="15" w:type="dxa"/>
              <w:left w:w="0" w:type="dxa"/>
              <w:bottom w:w="0" w:type="dxa"/>
              <w:right w:w="15" w:type="dxa"/>
            </w:tcMar>
            <w:vAlign w:val="bottom"/>
            <w:hideMark/>
          </w:tcPr>
          <w:p w14:paraId="58BA1CF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6F5231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5500585"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59F082FA"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ADD8B7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03CE5A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B42BD70"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2A6A4B01"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ACC2C9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5D89FA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270FBD2"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33796555" w14:textId="77777777" w:rsidR="00000000" w:rsidRDefault="00B8284C">
            <w:pPr>
              <w:pStyle w:val="a3"/>
              <w:spacing w:before="0" w:beforeAutospacing="0" w:after="0" w:afterAutospacing="0"/>
              <w:jc w:val="right"/>
              <w:rPr>
                <w:color w:val="000000"/>
                <w:sz w:val="18"/>
                <w:szCs w:val="18"/>
              </w:rPr>
            </w:pPr>
            <w:r>
              <w:rPr>
                <w:color w:val="000000"/>
                <w:sz w:val="18"/>
                <w:szCs w:val="18"/>
              </w:rPr>
              <w:t>359</w:t>
            </w:r>
          </w:p>
        </w:tc>
        <w:tc>
          <w:tcPr>
            <w:tcW w:w="50" w:type="pct"/>
            <w:shd w:val="clear" w:color="auto" w:fill="CFF0FC"/>
            <w:noWrap/>
            <w:tcMar>
              <w:top w:w="15" w:type="dxa"/>
              <w:left w:w="0" w:type="dxa"/>
              <w:bottom w:w="0" w:type="dxa"/>
              <w:right w:w="15" w:type="dxa"/>
            </w:tcMar>
            <w:vAlign w:val="bottom"/>
            <w:hideMark/>
          </w:tcPr>
          <w:p w14:paraId="533130A4"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603F4379" w14:textId="77777777">
        <w:trPr>
          <w:divId w:val="1188329502"/>
        </w:trPr>
        <w:tc>
          <w:tcPr>
            <w:tcW w:w="1825" w:type="pct"/>
            <w:shd w:val="clear" w:color="auto" w:fill="FFFFFF"/>
            <w:tcMar>
              <w:top w:w="15" w:type="dxa"/>
              <w:left w:w="0" w:type="dxa"/>
              <w:bottom w:w="0" w:type="dxa"/>
              <w:right w:w="15" w:type="dxa"/>
            </w:tcMar>
            <w:vAlign w:val="bottom"/>
            <w:hideMark/>
          </w:tcPr>
          <w:p w14:paraId="77094E04" w14:textId="77777777" w:rsidR="00000000" w:rsidRDefault="00B8284C">
            <w:pPr>
              <w:pStyle w:val="a3"/>
              <w:spacing w:before="0" w:beforeAutospacing="0" w:after="0" w:afterAutospacing="0"/>
              <w:rPr>
                <w:color w:val="000000"/>
                <w:sz w:val="18"/>
                <w:szCs w:val="18"/>
              </w:rPr>
            </w:pPr>
            <w:r>
              <w:rPr>
                <w:color w:val="000000"/>
                <w:sz w:val="18"/>
                <w:szCs w:val="18"/>
              </w:rPr>
              <w:t>Stock-based compensation</w:t>
            </w:r>
          </w:p>
        </w:tc>
        <w:tc>
          <w:tcPr>
            <w:tcW w:w="50" w:type="pct"/>
            <w:shd w:val="clear" w:color="auto" w:fill="FFFFFF"/>
            <w:noWrap/>
            <w:tcMar>
              <w:top w:w="15" w:type="dxa"/>
              <w:left w:w="0" w:type="dxa"/>
              <w:bottom w:w="0" w:type="dxa"/>
              <w:right w:w="15" w:type="dxa"/>
            </w:tcMar>
            <w:vAlign w:val="bottom"/>
            <w:hideMark/>
          </w:tcPr>
          <w:p w14:paraId="3B02E3B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8E7C643"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EADFB2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38959C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468AF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84F5911"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718A16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6F4465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43BE06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81CDD55" w14:textId="77777777" w:rsidR="00000000" w:rsidRDefault="00B8284C">
            <w:pPr>
              <w:pStyle w:val="a3"/>
              <w:spacing w:before="0" w:beforeAutospacing="0" w:after="0" w:afterAutospacing="0"/>
              <w:jc w:val="right"/>
              <w:rPr>
                <w:color w:val="000000"/>
                <w:sz w:val="18"/>
                <w:szCs w:val="18"/>
              </w:rPr>
            </w:pPr>
            <w:r>
              <w:rPr>
                <w:color w:val="000000"/>
                <w:sz w:val="18"/>
                <w:szCs w:val="18"/>
              </w:rPr>
              <w:t>20,133</w:t>
            </w:r>
          </w:p>
        </w:tc>
        <w:tc>
          <w:tcPr>
            <w:tcW w:w="50" w:type="pct"/>
            <w:shd w:val="clear" w:color="auto" w:fill="FFFFFF"/>
            <w:noWrap/>
            <w:tcMar>
              <w:top w:w="15" w:type="dxa"/>
              <w:left w:w="0" w:type="dxa"/>
              <w:bottom w:w="0" w:type="dxa"/>
              <w:right w:w="15" w:type="dxa"/>
            </w:tcMar>
            <w:vAlign w:val="bottom"/>
            <w:hideMark/>
          </w:tcPr>
          <w:p w14:paraId="7663E0C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0B2A5B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08BD6D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FBCBD1B"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6AFA2F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B0B44E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A60339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7A79BCA"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4108B4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9BCA03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45AAA3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5407963" w14:textId="77777777" w:rsidR="00000000" w:rsidRDefault="00B8284C">
            <w:pPr>
              <w:pStyle w:val="a3"/>
              <w:spacing w:before="0" w:beforeAutospacing="0" w:after="0" w:afterAutospacing="0"/>
              <w:jc w:val="right"/>
              <w:rPr>
                <w:color w:val="000000"/>
                <w:sz w:val="18"/>
                <w:szCs w:val="18"/>
              </w:rPr>
            </w:pPr>
            <w:r>
              <w:rPr>
                <w:color w:val="000000"/>
                <w:sz w:val="18"/>
                <w:szCs w:val="18"/>
              </w:rPr>
              <w:t>20,133</w:t>
            </w:r>
          </w:p>
        </w:tc>
        <w:tc>
          <w:tcPr>
            <w:tcW w:w="50" w:type="pct"/>
            <w:shd w:val="clear" w:color="auto" w:fill="FFFFFF"/>
            <w:noWrap/>
            <w:tcMar>
              <w:top w:w="15" w:type="dxa"/>
              <w:left w:w="0" w:type="dxa"/>
              <w:bottom w:w="0" w:type="dxa"/>
              <w:right w:w="15" w:type="dxa"/>
            </w:tcMar>
            <w:vAlign w:val="bottom"/>
            <w:hideMark/>
          </w:tcPr>
          <w:p w14:paraId="257DA568"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555E6A2A" w14:textId="77777777">
        <w:trPr>
          <w:divId w:val="1188329502"/>
        </w:trPr>
        <w:tc>
          <w:tcPr>
            <w:tcW w:w="1825" w:type="pct"/>
            <w:shd w:val="clear" w:color="auto" w:fill="FFFFFF"/>
            <w:tcMar>
              <w:top w:w="15" w:type="dxa"/>
              <w:left w:w="0" w:type="dxa"/>
              <w:bottom w:w="0" w:type="dxa"/>
              <w:right w:w="15" w:type="dxa"/>
            </w:tcMar>
            <w:vAlign w:val="bottom"/>
            <w:hideMark/>
          </w:tcPr>
          <w:p w14:paraId="760C57BD" w14:textId="77777777" w:rsidR="00000000" w:rsidRDefault="00B8284C">
            <w:pPr>
              <w:pStyle w:val="a3"/>
              <w:spacing w:before="0" w:beforeAutospacing="0" w:after="0" w:afterAutospacing="0"/>
              <w:rPr>
                <w:color w:val="000000"/>
                <w:sz w:val="18"/>
                <w:szCs w:val="18"/>
              </w:rPr>
            </w:pPr>
            <w:r>
              <w:rPr>
                <w:color w:val="000000"/>
                <w:sz w:val="18"/>
                <w:szCs w:val="18"/>
              </w:rPr>
              <w:t>Cumulative translation adjustment</w:t>
            </w:r>
          </w:p>
        </w:tc>
        <w:tc>
          <w:tcPr>
            <w:tcW w:w="50" w:type="pct"/>
            <w:shd w:val="clear" w:color="auto" w:fill="FFFFFF"/>
            <w:noWrap/>
            <w:tcMar>
              <w:top w:w="15" w:type="dxa"/>
              <w:left w:w="0" w:type="dxa"/>
              <w:bottom w:w="0" w:type="dxa"/>
              <w:right w:w="15" w:type="dxa"/>
            </w:tcMar>
            <w:vAlign w:val="bottom"/>
            <w:hideMark/>
          </w:tcPr>
          <w:p w14:paraId="528EE53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EFD77D4"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CEAE6F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AAB819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97ABC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5A5483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0D0EAF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9D2859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C5B710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B0C19D2"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A4765ED"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01E30B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4044AF"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997C3BE" w14:textId="77777777" w:rsidR="00000000" w:rsidRDefault="00B8284C">
            <w:pPr>
              <w:pStyle w:val="a3"/>
              <w:spacing w:before="0" w:beforeAutospacing="0" w:after="0" w:afterAutospacing="0"/>
              <w:jc w:val="right"/>
              <w:rPr>
                <w:color w:val="000000"/>
                <w:sz w:val="18"/>
                <w:szCs w:val="18"/>
              </w:rPr>
            </w:pPr>
            <w:r>
              <w:rPr>
                <w:color w:val="000000"/>
                <w:sz w:val="18"/>
                <w:szCs w:val="18"/>
              </w:rPr>
              <w:t>(126</w:t>
            </w:r>
          </w:p>
        </w:tc>
        <w:tc>
          <w:tcPr>
            <w:tcW w:w="50" w:type="pct"/>
            <w:shd w:val="clear" w:color="auto" w:fill="FFFFFF"/>
            <w:noWrap/>
            <w:tcMar>
              <w:top w:w="15" w:type="dxa"/>
              <w:left w:w="0" w:type="dxa"/>
              <w:bottom w:w="0" w:type="dxa"/>
              <w:right w:w="15" w:type="dxa"/>
            </w:tcMar>
            <w:vAlign w:val="bottom"/>
            <w:hideMark/>
          </w:tcPr>
          <w:p w14:paraId="2E3D2585"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7AD51C7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B196B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3F0893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DCD7B9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F0B43E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39761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D73795D" w14:textId="77777777" w:rsidR="00000000" w:rsidRDefault="00B8284C">
            <w:pPr>
              <w:pStyle w:val="a3"/>
              <w:spacing w:before="0" w:beforeAutospacing="0" w:after="0" w:afterAutospacing="0"/>
              <w:jc w:val="right"/>
              <w:rPr>
                <w:color w:val="000000"/>
                <w:sz w:val="18"/>
                <w:szCs w:val="18"/>
              </w:rPr>
            </w:pPr>
            <w:r>
              <w:rPr>
                <w:color w:val="000000"/>
                <w:sz w:val="18"/>
                <w:szCs w:val="18"/>
              </w:rPr>
              <w:t>(126</w:t>
            </w:r>
          </w:p>
        </w:tc>
        <w:tc>
          <w:tcPr>
            <w:tcW w:w="50" w:type="pct"/>
            <w:shd w:val="clear" w:color="auto" w:fill="FFFFFF"/>
            <w:noWrap/>
            <w:tcMar>
              <w:top w:w="15" w:type="dxa"/>
              <w:left w:w="0" w:type="dxa"/>
              <w:bottom w:w="0" w:type="dxa"/>
              <w:right w:w="15" w:type="dxa"/>
            </w:tcMar>
            <w:vAlign w:val="bottom"/>
            <w:hideMark/>
          </w:tcPr>
          <w:p w14:paraId="3203C30C"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6B135ADE" w14:textId="77777777">
        <w:trPr>
          <w:divId w:val="1188329502"/>
        </w:trPr>
        <w:tc>
          <w:tcPr>
            <w:tcW w:w="1825" w:type="pct"/>
            <w:shd w:val="clear" w:color="auto" w:fill="CFF0FC"/>
            <w:tcMar>
              <w:top w:w="15" w:type="dxa"/>
              <w:left w:w="0" w:type="dxa"/>
              <w:bottom w:w="0" w:type="dxa"/>
              <w:right w:w="15" w:type="dxa"/>
            </w:tcMar>
            <w:vAlign w:val="bottom"/>
            <w:hideMark/>
          </w:tcPr>
          <w:p w14:paraId="221BC00D" w14:textId="77777777" w:rsidR="00000000" w:rsidRDefault="00B8284C">
            <w:pPr>
              <w:pStyle w:val="a3"/>
              <w:spacing w:before="0" w:beforeAutospacing="0" w:after="0" w:afterAutospacing="0"/>
              <w:rPr>
                <w:color w:val="000000"/>
                <w:sz w:val="18"/>
                <w:szCs w:val="18"/>
              </w:rPr>
            </w:pPr>
            <w:r>
              <w:rPr>
                <w:color w:val="000000"/>
                <w:sz w:val="18"/>
                <w:szCs w:val="18"/>
              </w:rPr>
              <w:t>Unrealized gain on investments, net of income</w:t>
            </w:r>
          </w:p>
          <w:p w14:paraId="1DA370B1" w14:textId="77777777" w:rsidR="00000000" w:rsidRDefault="00B8284C">
            <w:pPr>
              <w:pStyle w:val="a3"/>
              <w:spacing w:before="0" w:beforeAutospacing="0" w:after="0" w:afterAutospacing="0"/>
              <w:rPr>
                <w:color w:val="000000"/>
                <w:sz w:val="18"/>
                <w:szCs w:val="18"/>
              </w:rPr>
            </w:pPr>
            <w:r>
              <w:rPr>
                <w:color w:val="000000"/>
                <w:sz w:val="18"/>
                <w:szCs w:val="18"/>
              </w:rPr>
              <w:t>   taxes of $0</w:t>
            </w:r>
          </w:p>
        </w:tc>
        <w:tc>
          <w:tcPr>
            <w:tcW w:w="50" w:type="pct"/>
            <w:shd w:val="clear" w:color="auto" w:fill="CFF0FC"/>
            <w:noWrap/>
            <w:tcMar>
              <w:top w:w="15" w:type="dxa"/>
              <w:left w:w="0" w:type="dxa"/>
              <w:bottom w:w="0" w:type="dxa"/>
              <w:right w:w="15" w:type="dxa"/>
            </w:tcMar>
            <w:vAlign w:val="bottom"/>
            <w:hideMark/>
          </w:tcPr>
          <w:p w14:paraId="2226F21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4B225A9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FFAEEF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8AF0AF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E459D3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FAC68B8"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43A47B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ADE0E6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3DB2D8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A6D8E98"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8044A2A"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79E0B4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5241483"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433BE62" w14:textId="77777777" w:rsidR="00000000" w:rsidRDefault="00B8284C">
            <w:pPr>
              <w:pStyle w:val="a3"/>
              <w:spacing w:before="0" w:beforeAutospacing="0" w:after="0" w:afterAutospacing="0"/>
              <w:jc w:val="right"/>
              <w:rPr>
                <w:color w:val="000000"/>
                <w:sz w:val="18"/>
                <w:szCs w:val="18"/>
              </w:rPr>
            </w:pPr>
            <w:r>
              <w:rPr>
                <w:color w:val="000000"/>
                <w:sz w:val="18"/>
                <w:szCs w:val="18"/>
              </w:rPr>
              <w:t>71</w:t>
            </w:r>
          </w:p>
        </w:tc>
        <w:tc>
          <w:tcPr>
            <w:tcW w:w="50" w:type="pct"/>
            <w:shd w:val="clear" w:color="auto" w:fill="CFF0FC"/>
            <w:noWrap/>
            <w:tcMar>
              <w:top w:w="15" w:type="dxa"/>
              <w:left w:w="0" w:type="dxa"/>
              <w:bottom w:w="0" w:type="dxa"/>
              <w:right w:w="15" w:type="dxa"/>
            </w:tcMar>
            <w:vAlign w:val="bottom"/>
            <w:hideMark/>
          </w:tcPr>
          <w:p w14:paraId="201B727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80245C5"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A3B85E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88D1257"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7054D27"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16D97D4"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665E8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644676F" w14:textId="77777777" w:rsidR="00000000" w:rsidRDefault="00B8284C">
            <w:pPr>
              <w:pStyle w:val="a3"/>
              <w:spacing w:before="0" w:beforeAutospacing="0" w:after="0" w:afterAutospacing="0"/>
              <w:jc w:val="right"/>
              <w:rPr>
                <w:color w:val="000000"/>
                <w:sz w:val="18"/>
                <w:szCs w:val="18"/>
              </w:rPr>
            </w:pPr>
            <w:r>
              <w:rPr>
                <w:color w:val="000000"/>
                <w:sz w:val="18"/>
                <w:szCs w:val="18"/>
              </w:rPr>
              <w:t>71</w:t>
            </w:r>
          </w:p>
        </w:tc>
        <w:tc>
          <w:tcPr>
            <w:tcW w:w="50" w:type="pct"/>
            <w:shd w:val="clear" w:color="auto" w:fill="CFF0FC"/>
            <w:noWrap/>
            <w:tcMar>
              <w:top w:w="15" w:type="dxa"/>
              <w:left w:w="0" w:type="dxa"/>
              <w:bottom w:w="0" w:type="dxa"/>
              <w:right w:w="15" w:type="dxa"/>
            </w:tcMar>
            <w:vAlign w:val="bottom"/>
            <w:hideMark/>
          </w:tcPr>
          <w:p w14:paraId="1940EEBC" w14:textId="77777777" w:rsidR="00000000" w:rsidRDefault="00B8284C">
            <w:pPr>
              <w:pStyle w:val="a3"/>
              <w:spacing w:before="0" w:beforeAutospacing="0" w:after="0" w:afterAutospacing="0"/>
              <w:rPr>
                <w:color w:val="000000"/>
                <w:sz w:val="18"/>
                <w:szCs w:val="18"/>
              </w:rPr>
            </w:pPr>
            <w:r>
              <w:rPr>
                <w:color w:val="000000"/>
                <w:sz w:val="18"/>
                <w:szCs w:val="18"/>
              </w:rPr>
              <w:t> </w:t>
            </w:r>
          </w:p>
        </w:tc>
      </w:tr>
      <w:tr w:rsidR="00000000" w14:paraId="7DA0E571" w14:textId="77777777">
        <w:trPr>
          <w:divId w:val="1188329502"/>
        </w:trPr>
        <w:tc>
          <w:tcPr>
            <w:tcW w:w="1825" w:type="pct"/>
            <w:shd w:val="clear" w:color="auto" w:fill="FFFFFF"/>
            <w:tcMar>
              <w:top w:w="15" w:type="dxa"/>
              <w:left w:w="0" w:type="dxa"/>
              <w:bottom w:w="0" w:type="dxa"/>
              <w:right w:w="15" w:type="dxa"/>
            </w:tcMar>
            <w:vAlign w:val="bottom"/>
            <w:hideMark/>
          </w:tcPr>
          <w:p w14:paraId="6091D5CE" w14:textId="77777777" w:rsidR="00000000" w:rsidRDefault="00B8284C">
            <w:pPr>
              <w:pStyle w:val="a3"/>
              <w:spacing w:before="0" w:beforeAutospacing="0" w:after="0" w:afterAutospacing="0"/>
              <w:rPr>
                <w:color w:val="000000"/>
                <w:sz w:val="18"/>
                <w:szCs w:val="18"/>
              </w:rPr>
            </w:pPr>
            <w:r>
              <w:rPr>
                <w:color w:val="000000"/>
                <w:sz w:val="18"/>
                <w:szCs w:val="18"/>
              </w:rPr>
              <w:t>Net loss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C4340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630DA5FF"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DA6083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5962B5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D0A01D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33F4C53C"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03F50A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8063046"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076AED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341E5DE6"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C051AB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ADDE5D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DC77EB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1955E863" w14:textId="77777777" w:rsidR="00000000" w:rsidRDefault="00B8284C">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FC0DBA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4B69C22"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90ACBB"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753F3675" w14:textId="77777777" w:rsidR="00000000" w:rsidRDefault="00B8284C">
            <w:pPr>
              <w:pStyle w:val="a3"/>
              <w:spacing w:before="0" w:beforeAutospacing="0" w:after="0" w:afterAutospacing="0"/>
              <w:jc w:val="right"/>
              <w:rPr>
                <w:color w:val="000000"/>
                <w:sz w:val="18"/>
                <w:szCs w:val="18"/>
              </w:rPr>
            </w:pPr>
            <w:r>
              <w:rPr>
                <w:color w:val="000000"/>
                <w:sz w:val="18"/>
                <w:szCs w:val="18"/>
              </w:rPr>
              <w:t>(18,663</w:t>
            </w:r>
          </w:p>
        </w:tc>
        <w:tc>
          <w:tcPr>
            <w:tcW w:w="50" w:type="pct"/>
            <w:shd w:val="clear" w:color="auto" w:fill="FFFFFF"/>
            <w:noWrap/>
            <w:tcMar>
              <w:top w:w="15" w:type="dxa"/>
              <w:left w:w="0" w:type="dxa"/>
              <w:bottom w:w="0" w:type="dxa"/>
              <w:right w:w="15" w:type="dxa"/>
            </w:tcMar>
            <w:vAlign w:val="bottom"/>
            <w:hideMark/>
          </w:tcPr>
          <w:p w14:paraId="15190D02"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7D14CBC8"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1DAB17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5DD7EFBC" w14:textId="77777777" w:rsidR="00000000" w:rsidRDefault="00B8284C">
            <w:pPr>
              <w:pStyle w:val="a3"/>
              <w:spacing w:before="0" w:beforeAutospacing="0" w:after="0" w:afterAutospacing="0"/>
              <w:jc w:val="right"/>
              <w:rPr>
                <w:color w:val="000000"/>
                <w:sz w:val="18"/>
                <w:szCs w:val="18"/>
              </w:rPr>
            </w:pPr>
            <w:r>
              <w:rPr>
                <w:color w:val="000000"/>
                <w:sz w:val="18"/>
                <w:szCs w:val="18"/>
              </w:rPr>
              <w:t>(18,663</w:t>
            </w:r>
          </w:p>
        </w:tc>
        <w:tc>
          <w:tcPr>
            <w:tcW w:w="50" w:type="pct"/>
            <w:shd w:val="clear" w:color="auto" w:fill="FFFFFF"/>
            <w:noWrap/>
            <w:tcMar>
              <w:top w:w="15" w:type="dxa"/>
              <w:left w:w="0" w:type="dxa"/>
              <w:bottom w:w="0" w:type="dxa"/>
              <w:right w:w="15" w:type="dxa"/>
            </w:tcMar>
            <w:vAlign w:val="bottom"/>
            <w:hideMark/>
          </w:tcPr>
          <w:p w14:paraId="4014EBA5" w14:textId="77777777" w:rsidR="00000000" w:rsidRDefault="00B8284C">
            <w:pPr>
              <w:pStyle w:val="a3"/>
              <w:spacing w:before="0" w:beforeAutospacing="0" w:after="0" w:afterAutospacing="0"/>
              <w:rPr>
                <w:color w:val="000000"/>
                <w:sz w:val="18"/>
                <w:szCs w:val="18"/>
              </w:rPr>
            </w:pPr>
            <w:r>
              <w:rPr>
                <w:color w:val="000000"/>
                <w:sz w:val="18"/>
                <w:szCs w:val="18"/>
              </w:rPr>
              <w:t>)</w:t>
            </w:r>
          </w:p>
        </w:tc>
      </w:tr>
      <w:tr w:rsidR="00000000" w14:paraId="26E71410" w14:textId="77777777">
        <w:trPr>
          <w:divId w:val="1188329502"/>
        </w:trPr>
        <w:tc>
          <w:tcPr>
            <w:tcW w:w="1825" w:type="pct"/>
            <w:shd w:val="clear" w:color="auto" w:fill="CFF0FC"/>
            <w:tcMar>
              <w:top w:w="15" w:type="dxa"/>
              <w:left w:w="0" w:type="dxa"/>
              <w:bottom w:w="0" w:type="dxa"/>
              <w:right w:w="15" w:type="dxa"/>
            </w:tcMar>
            <w:vAlign w:val="bottom"/>
            <w:hideMark/>
          </w:tcPr>
          <w:p w14:paraId="208F0B5A" w14:textId="77777777" w:rsidR="00000000" w:rsidRDefault="00B8284C">
            <w:pPr>
              <w:pStyle w:val="a3"/>
              <w:spacing w:before="0" w:beforeAutospacing="0" w:after="0" w:afterAutospacing="0"/>
              <w:rPr>
                <w:color w:val="000000"/>
                <w:sz w:val="18"/>
                <w:szCs w:val="18"/>
              </w:rPr>
            </w:pPr>
            <w:r>
              <w:rPr>
                <w:color w:val="000000"/>
                <w:sz w:val="18"/>
                <w:szCs w:val="18"/>
              </w:rPr>
              <w:t>Balances at September 30, 2018</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B3335E"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C6756A" w14:textId="77777777" w:rsidR="00000000" w:rsidRDefault="00B8284C">
            <w:pPr>
              <w:pStyle w:val="a3"/>
              <w:spacing w:before="0" w:beforeAutospacing="0" w:after="0" w:afterAutospacing="0"/>
              <w:jc w:val="right"/>
              <w:rPr>
                <w:color w:val="000000"/>
                <w:sz w:val="18"/>
                <w:szCs w:val="18"/>
              </w:rPr>
            </w:pPr>
            <w:r>
              <w:rPr>
                <w:color w:val="000000"/>
                <w:sz w:val="18"/>
                <w:szCs w:val="18"/>
              </w:rPr>
              <w:t>38,907</w:t>
            </w:r>
          </w:p>
        </w:tc>
        <w:tc>
          <w:tcPr>
            <w:tcW w:w="50" w:type="pct"/>
            <w:shd w:val="clear" w:color="auto" w:fill="CFF0FC"/>
            <w:noWrap/>
            <w:tcMar>
              <w:top w:w="15" w:type="dxa"/>
              <w:left w:w="0" w:type="dxa"/>
              <w:bottom w:w="0" w:type="dxa"/>
              <w:right w:w="15" w:type="dxa"/>
            </w:tcMar>
            <w:vAlign w:val="bottom"/>
            <w:hideMark/>
          </w:tcPr>
          <w:p w14:paraId="53933C4C"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27D12D0"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47A249"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299381" w14:textId="77777777" w:rsidR="00000000" w:rsidRDefault="00B8284C">
            <w:pPr>
              <w:pStyle w:val="a3"/>
              <w:spacing w:before="0" w:beforeAutospacing="0" w:after="0" w:afterAutospacing="0"/>
              <w:jc w:val="right"/>
              <w:rPr>
                <w:color w:val="000000"/>
                <w:sz w:val="18"/>
                <w:szCs w:val="18"/>
              </w:rPr>
            </w:pPr>
            <w:r>
              <w:rPr>
                <w:color w:val="000000"/>
                <w:sz w:val="18"/>
                <w:szCs w:val="18"/>
              </w:rPr>
              <w:t>40</w:t>
            </w:r>
          </w:p>
        </w:tc>
        <w:tc>
          <w:tcPr>
            <w:tcW w:w="50" w:type="pct"/>
            <w:shd w:val="clear" w:color="auto" w:fill="CFF0FC"/>
            <w:noWrap/>
            <w:tcMar>
              <w:top w:w="15" w:type="dxa"/>
              <w:left w:w="0" w:type="dxa"/>
              <w:bottom w:w="0" w:type="dxa"/>
              <w:right w:w="15" w:type="dxa"/>
            </w:tcMar>
            <w:vAlign w:val="bottom"/>
            <w:hideMark/>
          </w:tcPr>
          <w:p w14:paraId="6C0C6C31"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39F73B6"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26D3C7"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9737C8" w14:textId="77777777" w:rsidR="00000000" w:rsidRDefault="00B8284C">
            <w:pPr>
              <w:pStyle w:val="a3"/>
              <w:spacing w:before="0" w:beforeAutospacing="0" w:after="0" w:afterAutospacing="0"/>
              <w:jc w:val="right"/>
              <w:rPr>
                <w:color w:val="000000"/>
                <w:sz w:val="18"/>
                <w:szCs w:val="18"/>
              </w:rPr>
            </w:pPr>
            <w:r>
              <w:rPr>
                <w:color w:val="000000"/>
                <w:sz w:val="18"/>
                <w:szCs w:val="18"/>
              </w:rPr>
              <w:t>563,034</w:t>
            </w:r>
          </w:p>
        </w:tc>
        <w:tc>
          <w:tcPr>
            <w:tcW w:w="50" w:type="pct"/>
            <w:shd w:val="clear" w:color="auto" w:fill="CFF0FC"/>
            <w:noWrap/>
            <w:tcMar>
              <w:top w:w="15" w:type="dxa"/>
              <w:left w:w="0" w:type="dxa"/>
              <w:bottom w:w="0" w:type="dxa"/>
              <w:right w:w="15" w:type="dxa"/>
            </w:tcMar>
            <w:vAlign w:val="bottom"/>
            <w:hideMark/>
          </w:tcPr>
          <w:p w14:paraId="7F43E039" w14:textId="77777777" w:rsidR="00000000" w:rsidRDefault="00B8284C">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9FDF28D"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4EF133"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881389" w14:textId="77777777" w:rsidR="00000000" w:rsidRDefault="00B8284C">
            <w:pPr>
              <w:pStyle w:val="a3"/>
              <w:spacing w:before="0" w:beforeAutospacing="0" w:after="0" w:afterAutospacing="0"/>
              <w:jc w:val="right"/>
              <w:rPr>
                <w:color w:val="000000"/>
                <w:sz w:val="18"/>
                <w:szCs w:val="18"/>
              </w:rPr>
            </w:pPr>
            <w:r>
              <w:rPr>
                <w:color w:val="000000"/>
                <w:sz w:val="18"/>
                <w:szCs w:val="18"/>
              </w:rPr>
              <w:t>(769</w:t>
            </w:r>
          </w:p>
        </w:tc>
        <w:tc>
          <w:tcPr>
            <w:tcW w:w="50" w:type="pct"/>
            <w:shd w:val="clear" w:color="auto" w:fill="CFF0FC"/>
            <w:noWrap/>
            <w:tcMar>
              <w:top w:w="15" w:type="dxa"/>
              <w:left w:w="0" w:type="dxa"/>
              <w:bottom w:w="0" w:type="dxa"/>
              <w:right w:w="15" w:type="dxa"/>
            </w:tcMar>
            <w:vAlign w:val="bottom"/>
            <w:hideMark/>
          </w:tcPr>
          <w:p w14:paraId="106238BA"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2326F5C3"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AF0A8A"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341BA9" w14:textId="77777777" w:rsidR="00000000" w:rsidRDefault="00B8284C">
            <w:pPr>
              <w:pStyle w:val="a3"/>
              <w:spacing w:before="0" w:beforeAutospacing="0" w:after="0" w:afterAutospacing="0"/>
              <w:jc w:val="right"/>
              <w:rPr>
                <w:color w:val="000000"/>
                <w:sz w:val="18"/>
                <w:szCs w:val="18"/>
              </w:rPr>
            </w:pPr>
            <w:r>
              <w:rPr>
                <w:color w:val="000000"/>
                <w:sz w:val="18"/>
                <w:szCs w:val="18"/>
              </w:rPr>
              <w:t>(332,892</w:t>
            </w:r>
          </w:p>
        </w:tc>
        <w:tc>
          <w:tcPr>
            <w:tcW w:w="50" w:type="pct"/>
            <w:shd w:val="clear" w:color="auto" w:fill="CFF0FC"/>
            <w:noWrap/>
            <w:tcMar>
              <w:top w:w="15" w:type="dxa"/>
              <w:left w:w="0" w:type="dxa"/>
              <w:bottom w:w="0" w:type="dxa"/>
              <w:right w:w="15" w:type="dxa"/>
            </w:tcMar>
            <w:vAlign w:val="bottom"/>
            <w:hideMark/>
          </w:tcPr>
          <w:p w14:paraId="1015FFD5"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37045543" w14:textId="77777777" w:rsidR="00000000" w:rsidRDefault="00B8284C">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C47BEBC" w14:textId="77777777" w:rsidR="00000000" w:rsidRDefault="00B8284C">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6D1282" w14:textId="77777777" w:rsidR="00000000" w:rsidRDefault="00B8284C">
            <w:pPr>
              <w:pStyle w:val="a3"/>
              <w:spacing w:before="0" w:beforeAutospacing="0" w:after="0" w:afterAutospacing="0"/>
              <w:jc w:val="right"/>
              <w:rPr>
                <w:color w:val="000000"/>
                <w:sz w:val="18"/>
                <w:szCs w:val="18"/>
              </w:rPr>
            </w:pPr>
            <w:r>
              <w:rPr>
                <w:color w:val="000000"/>
                <w:sz w:val="18"/>
                <w:szCs w:val="18"/>
              </w:rPr>
              <w:t>229,413</w:t>
            </w:r>
          </w:p>
        </w:tc>
        <w:tc>
          <w:tcPr>
            <w:tcW w:w="50" w:type="pct"/>
            <w:shd w:val="clear" w:color="auto" w:fill="CFF0FC"/>
            <w:noWrap/>
            <w:tcMar>
              <w:top w:w="15" w:type="dxa"/>
              <w:left w:w="0" w:type="dxa"/>
              <w:bottom w:w="0" w:type="dxa"/>
              <w:right w:w="15" w:type="dxa"/>
            </w:tcMar>
            <w:vAlign w:val="bottom"/>
            <w:hideMark/>
          </w:tcPr>
          <w:p w14:paraId="1E6BC165"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09F97186" w14:textId="77777777" w:rsidR="00000000" w:rsidRDefault="00B8284C">
      <w:pPr>
        <w:pStyle w:val="a3"/>
        <w:spacing w:before="0" w:beforeAutospacing="0" w:after="0" w:afterAutospacing="0"/>
        <w:rPr>
          <w:sz w:val="18"/>
          <w:szCs w:val="18"/>
        </w:rPr>
      </w:pPr>
      <w:r>
        <w:rPr>
          <w:sz w:val="18"/>
          <w:szCs w:val="18"/>
        </w:rPr>
        <w:t> </w:t>
      </w:r>
    </w:p>
    <w:p w14:paraId="4184CEA3" w14:textId="77777777" w:rsidR="00000000" w:rsidRDefault="00B8284C">
      <w:pPr>
        <w:pStyle w:val="a3"/>
        <w:spacing w:before="240" w:beforeAutospacing="0" w:after="0" w:afterAutospacing="0"/>
        <w:jc w:val="center"/>
        <w:rPr>
          <w:sz w:val="20"/>
          <w:szCs w:val="20"/>
        </w:rPr>
      </w:pPr>
      <w:r>
        <w:rPr>
          <w:sz w:val="20"/>
          <w:szCs w:val="20"/>
        </w:rPr>
        <w:t>18</w:t>
      </w:r>
    </w:p>
    <w:p w14:paraId="1EF81C75" w14:textId="77777777" w:rsidR="00000000" w:rsidRDefault="00B8284C">
      <w:pPr>
        <w:rPr>
          <w:rFonts w:eastAsia="Times New Roman"/>
        </w:rPr>
      </w:pPr>
      <w:r>
        <w:rPr>
          <w:rFonts w:eastAsia="Times New Roman"/>
        </w:rPr>
        <w:pict w14:anchorId="545E4D90">
          <v:rect id="_x0000_i1042" style="width:0;height:1.5pt" o:hralign="center" o:hrstd="t" o:hr="t" fillcolor="#a0a0a0" stroked="f"/>
        </w:pict>
      </w:r>
    </w:p>
    <w:p w14:paraId="2F6874CB" w14:textId="77777777" w:rsidR="00000000" w:rsidRDefault="00B8284C">
      <w:pPr>
        <w:pStyle w:val="a3"/>
        <w:spacing w:before="0" w:beforeAutospacing="0" w:after="0" w:afterAutospacing="0"/>
        <w:rPr>
          <w:sz w:val="20"/>
          <w:szCs w:val="20"/>
        </w:rPr>
      </w:pPr>
      <w:r>
        <w:rPr>
          <w:sz w:val="20"/>
          <w:szCs w:val="20"/>
        </w:rPr>
        <w:t> </w:t>
      </w:r>
    </w:p>
    <w:p w14:paraId="555563BD" w14:textId="77777777" w:rsidR="00000000" w:rsidRDefault="00B8284C">
      <w:pPr>
        <w:pStyle w:val="a3"/>
        <w:spacing w:before="0" w:beforeAutospacing="0" w:after="0" w:afterAutospacing="0"/>
        <w:rPr>
          <w:sz w:val="18"/>
          <w:szCs w:val="18"/>
        </w:rPr>
      </w:pPr>
      <w:r>
        <w:rPr>
          <w:sz w:val="18"/>
          <w:szCs w:val="18"/>
        </w:rPr>
        <w:t> </w:t>
      </w:r>
    </w:p>
    <w:p w14:paraId="47E03B40" w14:textId="77777777" w:rsidR="00000000" w:rsidRDefault="00B8284C">
      <w:pPr>
        <w:pStyle w:val="a3"/>
        <w:spacing w:before="0" w:beforeAutospacing="0" w:after="0" w:afterAutospacing="0"/>
        <w:rPr>
          <w:b/>
          <w:bCs/>
          <w:sz w:val="20"/>
          <w:szCs w:val="20"/>
        </w:rPr>
      </w:pPr>
      <w:r>
        <w:rPr>
          <w:b/>
          <w:bCs/>
          <w:sz w:val="20"/>
          <w:szCs w:val="20"/>
        </w:rPr>
        <w:t>12. Changes in Accumulated Other Comprehensive Loss</w:t>
      </w:r>
    </w:p>
    <w:p w14:paraId="004DEE2E" w14:textId="77777777" w:rsidR="00000000" w:rsidRDefault="00B8284C">
      <w:pPr>
        <w:pStyle w:val="a3"/>
        <w:spacing w:before="120" w:beforeAutospacing="0" w:after="0" w:afterAutospacing="0"/>
        <w:ind w:firstLine="556"/>
        <w:rPr>
          <w:sz w:val="20"/>
          <w:szCs w:val="20"/>
        </w:rPr>
      </w:pPr>
      <w:r>
        <w:rPr>
          <w:sz w:val="20"/>
          <w:szCs w:val="20"/>
        </w:rPr>
        <w:t>The following table summarizes the changes in accumulated other comprehensive loss, which is reported as a component of stockholders’ equity, for the nine months en</w:t>
      </w:r>
      <w:r>
        <w:rPr>
          <w:sz w:val="20"/>
          <w:szCs w:val="20"/>
        </w:rPr>
        <w:t>ded September 30, 2019.</w:t>
      </w:r>
    </w:p>
    <w:p w14:paraId="48B70BB7" w14:textId="77777777" w:rsidR="00000000" w:rsidRDefault="00B8284C">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28"/>
        <w:gridCol w:w="65"/>
        <w:gridCol w:w="116"/>
        <w:gridCol w:w="752"/>
        <w:gridCol w:w="82"/>
        <w:gridCol w:w="65"/>
        <w:gridCol w:w="116"/>
        <w:gridCol w:w="778"/>
        <w:gridCol w:w="82"/>
        <w:gridCol w:w="70"/>
        <w:gridCol w:w="115"/>
        <w:gridCol w:w="594"/>
        <w:gridCol w:w="82"/>
      </w:tblGrid>
      <w:tr w:rsidR="00000000" w14:paraId="1E6C0A39" w14:textId="77777777">
        <w:trPr>
          <w:divId w:val="2049992936"/>
        </w:trPr>
        <w:tc>
          <w:tcPr>
            <w:tcW w:w="2835" w:type="pct"/>
            <w:shd w:val="clear" w:color="auto" w:fill="FFFFFF"/>
            <w:tcMar>
              <w:top w:w="15" w:type="dxa"/>
              <w:left w:w="0" w:type="dxa"/>
              <w:bottom w:w="0" w:type="dxa"/>
              <w:right w:w="15" w:type="dxa"/>
            </w:tcMar>
            <w:vAlign w:val="bottom"/>
            <w:hideMark/>
          </w:tcPr>
          <w:p w14:paraId="31493D61" w14:textId="77777777" w:rsidR="00000000" w:rsidRDefault="00B8284C">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61C4888E"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80" w:type="pct"/>
            <w:gridSpan w:val="2"/>
            <w:tcBorders>
              <w:bottom w:val="single" w:sz="6" w:space="0" w:color="000000"/>
            </w:tcBorders>
            <w:shd w:val="clear" w:color="auto" w:fill="FFFFFF"/>
            <w:tcMar>
              <w:top w:w="15" w:type="dxa"/>
              <w:left w:w="0" w:type="dxa"/>
              <w:bottom w:w="0" w:type="dxa"/>
              <w:right w:w="15" w:type="dxa"/>
            </w:tcMar>
            <w:vAlign w:val="bottom"/>
            <w:hideMark/>
          </w:tcPr>
          <w:p w14:paraId="4BB7930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Cumulative</w:t>
            </w:r>
          </w:p>
          <w:p w14:paraId="5C8FDBB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Translation</w:t>
            </w:r>
          </w:p>
          <w:p w14:paraId="15ECDE7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Adjustment</w:t>
            </w:r>
          </w:p>
        </w:tc>
        <w:tc>
          <w:tcPr>
            <w:tcW w:w="50" w:type="pct"/>
            <w:shd w:val="clear" w:color="auto" w:fill="FFFFFF"/>
            <w:noWrap/>
            <w:tcMar>
              <w:top w:w="15" w:type="dxa"/>
              <w:left w:w="0" w:type="dxa"/>
              <w:bottom w:w="0" w:type="dxa"/>
              <w:right w:w="15" w:type="dxa"/>
            </w:tcMar>
            <w:vAlign w:val="bottom"/>
            <w:hideMark/>
          </w:tcPr>
          <w:p w14:paraId="3B1F2CA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36020AE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660" w:type="pct"/>
            <w:gridSpan w:val="2"/>
            <w:tcBorders>
              <w:bottom w:val="single" w:sz="6" w:space="0" w:color="000000"/>
            </w:tcBorders>
            <w:shd w:val="clear" w:color="auto" w:fill="FFFFFF"/>
            <w:tcMar>
              <w:top w:w="15" w:type="dxa"/>
              <w:left w:w="0" w:type="dxa"/>
              <w:bottom w:w="0" w:type="dxa"/>
              <w:right w:w="15" w:type="dxa"/>
            </w:tcMar>
            <w:vAlign w:val="bottom"/>
            <w:hideMark/>
          </w:tcPr>
          <w:p w14:paraId="0769AEF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Unrealized</w:t>
            </w:r>
          </w:p>
          <w:p w14:paraId="7C6917A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Gain on</w:t>
            </w:r>
          </w:p>
          <w:p w14:paraId="66BD8C8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Investments</w:t>
            </w:r>
          </w:p>
        </w:tc>
        <w:tc>
          <w:tcPr>
            <w:tcW w:w="50" w:type="pct"/>
            <w:shd w:val="clear" w:color="auto" w:fill="FFFFFF"/>
            <w:noWrap/>
            <w:tcMar>
              <w:top w:w="15" w:type="dxa"/>
              <w:left w:w="0" w:type="dxa"/>
              <w:bottom w:w="0" w:type="dxa"/>
              <w:right w:w="15" w:type="dxa"/>
            </w:tcMar>
            <w:vAlign w:val="bottom"/>
            <w:hideMark/>
          </w:tcPr>
          <w:p w14:paraId="10C4101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14:paraId="4CAA63C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80" w:type="pct"/>
            <w:gridSpan w:val="2"/>
            <w:tcBorders>
              <w:bottom w:val="single" w:sz="6" w:space="0" w:color="000000"/>
            </w:tcBorders>
            <w:shd w:val="clear" w:color="auto" w:fill="FFFFFF"/>
            <w:tcMar>
              <w:top w:w="15" w:type="dxa"/>
              <w:left w:w="0" w:type="dxa"/>
              <w:bottom w:w="0" w:type="dxa"/>
              <w:right w:w="15" w:type="dxa"/>
            </w:tcMar>
            <w:vAlign w:val="bottom"/>
            <w:hideMark/>
          </w:tcPr>
          <w:p w14:paraId="3FC1A05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02309FB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F441F0B" w14:textId="77777777">
        <w:trPr>
          <w:divId w:val="2049992936"/>
        </w:trPr>
        <w:tc>
          <w:tcPr>
            <w:tcW w:w="2835" w:type="pct"/>
            <w:shd w:val="clear" w:color="auto" w:fill="FFFFFF"/>
            <w:tcMar>
              <w:top w:w="15" w:type="dxa"/>
              <w:left w:w="0" w:type="dxa"/>
              <w:bottom w:w="0" w:type="dxa"/>
              <w:right w:w="15" w:type="dxa"/>
            </w:tcMar>
            <w:vAlign w:val="bottom"/>
            <w:hideMark/>
          </w:tcPr>
          <w:p w14:paraId="31D0DEEA"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350475F3"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2046" w:type="pct"/>
            <w:gridSpan w:val="10"/>
            <w:tcBorders>
              <w:bottom w:val="single" w:sz="6" w:space="0" w:color="000000"/>
            </w:tcBorders>
            <w:shd w:val="clear" w:color="auto" w:fill="FFFFFF"/>
            <w:tcMar>
              <w:top w:w="15" w:type="dxa"/>
              <w:left w:w="0" w:type="dxa"/>
              <w:bottom w:w="0" w:type="dxa"/>
              <w:right w:w="15" w:type="dxa"/>
            </w:tcMar>
            <w:vAlign w:val="bottom"/>
            <w:hideMark/>
          </w:tcPr>
          <w:p w14:paraId="072DB4F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F82FD8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B6FE844" w14:textId="77777777">
        <w:trPr>
          <w:divId w:val="2049992936"/>
        </w:trPr>
        <w:tc>
          <w:tcPr>
            <w:tcW w:w="2835" w:type="pct"/>
            <w:shd w:val="clear" w:color="auto" w:fill="CFF0FC"/>
            <w:tcMar>
              <w:top w:w="15" w:type="dxa"/>
              <w:left w:w="0" w:type="dxa"/>
              <w:bottom w:w="0" w:type="dxa"/>
              <w:right w:w="15" w:type="dxa"/>
            </w:tcMar>
            <w:vAlign w:val="bottom"/>
            <w:hideMark/>
          </w:tcPr>
          <w:p w14:paraId="5367D976" w14:textId="77777777" w:rsidR="00000000" w:rsidRDefault="00B8284C">
            <w:pPr>
              <w:pStyle w:val="a3"/>
              <w:spacing w:before="0" w:beforeAutospacing="0" w:after="0" w:afterAutospacing="0"/>
              <w:rPr>
                <w:color w:val="000000"/>
                <w:sz w:val="20"/>
                <w:szCs w:val="20"/>
              </w:rPr>
            </w:pPr>
            <w:r>
              <w:rPr>
                <w:color w:val="000000"/>
                <w:sz w:val="20"/>
                <w:szCs w:val="20"/>
              </w:rPr>
              <w:t>Beginning balance at January 1, 2019</w:t>
            </w:r>
          </w:p>
        </w:tc>
        <w:tc>
          <w:tcPr>
            <w:tcW w:w="68" w:type="pct"/>
            <w:shd w:val="clear" w:color="auto" w:fill="CFF0FC"/>
            <w:tcMar>
              <w:top w:w="15" w:type="dxa"/>
              <w:left w:w="0" w:type="dxa"/>
              <w:bottom w:w="0" w:type="dxa"/>
              <w:right w:w="15" w:type="dxa"/>
            </w:tcMar>
            <w:vAlign w:val="bottom"/>
            <w:hideMark/>
          </w:tcPr>
          <w:p w14:paraId="520E765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DF6FE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tcBorders>
            <w:shd w:val="clear" w:color="auto" w:fill="CFF0FC"/>
            <w:noWrap/>
            <w:tcMar>
              <w:top w:w="15" w:type="dxa"/>
              <w:left w:w="0" w:type="dxa"/>
              <w:bottom w:w="0" w:type="dxa"/>
              <w:right w:w="15" w:type="dxa"/>
            </w:tcMar>
            <w:vAlign w:val="bottom"/>
            <w:hideMark/>
          </w:tcPr>
          <w:p w14:paraId="09D3D705" w14:textId="77777777" w:rsidR="00000000" w:rsidRDefault="00B8284C">
            <w:pPr>
              <w:pStyle w:val="a3"/>
              <w:spacing w:before="0" w:beforeAutospacing="0" w:after="0" w:afterAutospacing="0"/>
              <w:jc w:val="right"/>
              <w:rPr>
                <w:color w:val="000000"/>
                <w:sz w:val="20"/>
                <w:szCs w:val="20"/>
              </w:rPr>
            </w:pPr>
            <w:r>
              <w:rPr>
                <w:color w:val="000000"/>
                <w:sz w:val="20"/>
                <w:szCs w:val="20"/>
              </w:rPr>
              <w:t>(397</w:t>
            </w:r>
          </w:p>
        </w:tc>
        <w:tc>
          <w:tcPr>
            <w:tcW w:w="50" w:type="pct"/>
            <w:shd w:val="clear" w:color="auto" w:fill="CFF0FC"/>
            <w:noWrap/>
            <w:tcMar>
              <w:top w:w="15" w:type="dxa"/>
              <w:left w:w="0" w:type="dxa"/>
              <w:bottom w:w="0" w:type="dxa"/>
              <w:right w:w="15" w:type="dxa"/>
            </w:tcMar>
            <w:vAlign w:val="bottom"/>
            <w:hideMark/>
          </w:tcPr>
          <w:p w14:paraId="1EEC8AD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 w:type="pct"/>
            <w:tcBorders>
              <w:top w:val="single" w:sz="6" w:space="0" w:color="000000"/>
            </w:tcBorders>
            <w:shd w:val="clear" w:color="auto" w:fill="CFF0FC"/>
            <w:tcMar>
              <w:top w:w="15" w:type="dxa"/>
              <w:left w:w="0" w:type="dxa"/>
              <w:bottom w:w="0" w:type="dxa"/>
              <w:right w:w="15" w:type="dxa"/>
            </w:tcMar>
            <w:vAlign w:val="bottom"/>
            <w:hideMark/>
          </w:tcPr>
          <w:p w14:paraId="73976AD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2EB9DC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0" w:type="pct"/>
            <w:tcBorders>
              <w:top w:val="single" w:sz="6" w:space="0" w:color="000000"/>
            </w:tcBorders>
            <w:shd w:val="clear" w:color="auto" w:fill="CFF0FC"/>
            <w:noWrap/>
            <w:tcMar>
              <w:top w:w="15" w:type="dxa"/>
              <w:left w:w="0" w:type="dxa"/>
              <w:bottom w:w="0" w:type="dxa"/>
              <w:right w:w="15" w:type="dxa"/>
            </w:tcMar>
            <w:vAlign w:val="bottom"/>
            <w:hideMark/>
          </w:tcPr>
          <w:p w14:paraId="741131CF" w14:textId="77777777" w:rsidR="00000000" w:rsidRDefault="00B8284C">
            <w:pPr>
              <w:pStyle w:val="a3"/>
              <w:spacing w:before="0" w:beforeAutospacing="0" w:after="0" w:afterAutospacing="0"/>
              <w:jc w:val="right"/>
              <w:rPr>
                <w:color w:val="000000"/>
                <w:sz w:val="20"/>
                <w:szCs w:val="20"/>
              </w:rPr>
            </w:pPr>
            <w:r>
              <w:rPr>
                <w:color w:val="000000"/>
                <w:sz w:val="20"/>
                <w:szCs w:val="20"/>
              </w:rPr>
              <w:t>(326</w:t>
            </w:r>
          </w:p>
        </w:tc>
        <w:tc>
          <w:tcPr>
            <w:tcW w:w="50" w:type="pct"/>
            <w:shd w:val="clear" w:color="auto" w:fill="CFF0FC"/>
            <w:noWrap/>
            <w:tcMar>
              <w:top w:w="15" w:type="dxa"/>
              <w:left w:w="0" w:type="dxa"/>
              <w:bottom w:w="0" w:type="dxa"/>
              <w:right w:w="15" w:type="dxa"/>
            </w:tcMar>
            <w:vAlign w:val="bottom"/>
            <w:hideMark/>
          </w:tcPr>
          <w:p w14:paraId="52B0D3D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7" w:type="pct"/>
            <w:tcBorders>
              <w:top w:val="single" w:sz="6" w:space="0" w:color="000000"/>
            </w:tcBorders>
            <w:shd w:val="clear" w:color="auto" w:fill="CFF0FC"/>
            <w:tcMar>
              <w:top w:w="15" w:type="dxa"/>
              <w:left w:w="0" w:type="dxa"/>
              <w:bottom w:w="0" w:type="dxa"/>
              <w:right w:w="15" w:type="dxa"/>
            </w:tcMar>
            <w:vAlign w:val="bottom"/>
            <w:hideMark/>
          </w:tcPr>
          <w:p w14:paraId="64BB28C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B18666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tcBorders>
            <w:shd w:val="clear" w:color="auto" w:fill="CFF0FC"/>
            <w:noWrap/>
            <w:tcMar>
              <w:top w:w="15" w:type="dxa"/>
              <w:left w:w="0" w:type="dxa"/>
              <w:bottom w:w="0" w:type="dxa"/>
              <w:right w:w="15" w:type="dxa"/>
            </w:tcMar>
            <w:vAlign w:val="bottom"/>
            <w:hideMark/>
          </w:tcPr>
          <w:p w14:paraId="721D973E" w14:textId="77777777" w:rsidR="00000000" w:rsidRDefault="00B8284C">
            <w:pPr>
              <w:pStyle w:val="a3"/>
              <w:spacing w:before="0" w:beforeAutospacing="0" w:after="0" w:afterAutospacing="0"/>
              <w:jc w:val="right"/>
              <w:rPr>
                <w:color w:val="000000"/>
                <w:sz w:val="20"/>
                <w:szCs w:val="20"/>
              </w:rPr>
            </w:pPr>
            <w:r>
              <w:rPr>
                <w:color w:val="000000"/>
                <w:sz w:val="20"/>
                <w:szCs w:val="20"/>
              </w:rPr>
              <w:t>(723</w:t>
            </w:r>
          </w:p>
        </w:tc>
        <w:tc>
          <w:tcPr>
            <w:tcW w:w="50" w:type="pct"/>
            <w:shd w:val="clear" w:color="auto" w:fill="CFF0FC"/>
            <w:noWrap/>
            <w:tcMar>
              <w:top w:w="15" w:type="dxa"/>
              <w:left w:w="0" w:type="dxa"/>
              <w:bottom w:w="0" w:type="dxa"/>
              <w:right w:w="15" w:type="dxa"/>
            </w:tcMar>
            <w:vAlign w:val="bottom"/>
            <w:hideMark/>
          </w:tcPr>
          <w:p w14:paraId="74402247"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1184D091" w14:textId="77777777">
        <w:trPr>
          <w:divId w:val="2049992936"/>
        </w:trPr>
        <w:tc>
          <w:tcPr>
            <w:tcW w:w="2835" w:type="pct"/>
            <w:shd w:val="clear" w:color="auto" w:fill="FFFFFF"/>
            <w:tcMar>
              <w:top w:w="15" w:type="dxa"/>
              <w:left w:w="0" w:type="dxa"/>
              <w:bottom w:w="0" w:type="dxa"/>
              <w:right w:w="15" w:type="dxa"/>
            </w:tcMar>
            <w:vAlign w:val="bottom"/>
            <w:hideMark/>
          </w:tcPr>
          <w:p w14:paraId="6F2E56E3" w14:textId="77777777" w:rsidR="00000000" w:rsidRDefault="00B8284C">
            <w:pPr>
              <w:pStyle w:val="a3"/>
              <w:spacing w:before="0" w:beforeAutospacing="0" w:after="0" w:afterAutospacing="0"/>
              <w:ind w:left="274"/>
              <w:rPr>
                <w:color w:val="000000"/>
                <w:sz w:val="20"/>
                <w:szCs w:val="20"/>
              </w:rPr>
            </w:pPr>
            <w:r>
              <w:rPr>
                <w:color w:val="000000"/>
                <w:sz w:val="20"/>
                <w:szCs w:val="20"/>
              </w:rPr>
              <w:t>Other comprehensive loss before reclassifications</w:t>
            </w:r>
          </w:p>
        </w:tc>
        <w:tc>
          <w:tcPr>
            <w:tcW w:w="68" w:type="pct"/>
            <w:shd w:val="clear" w:color="auto" w:fill="FFFFFF"/>
            <w:tcMar>
              <w:top w:w="15" w:type="dxa"/>
              <w:left w:w="0" w:type="dxa"/>
              <w:bottom w:w="0" w:type="dxa"/>
              <w:right w:w="15" w:type="dxa"/>
            </w:tcMar>
            <w:vAlign w:val="bottom"/>
            <w:hideMark/>
          </w:tcPr>
          <w:p w14:paraId="5FC828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CCF8A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30" w:type="pct"/>
            <w:shd w:val="clear" w:color="auto" w:fill="FFFFFF"/>
            <w:noWrap/>
            <w:tcMar>
              <w:top w:w="15" w:type="dxa"/>
              <w:left w:w="0" w:type="dxa"/>
              <w:bottom w:w="0" w:type="dxa"/>
              <w:right w:w="15" w:type="dxa"/>
            </w:tcMar>
            <w:vAlign w:val="bottom"/>
            <w:hideMark/>
          </w:tcPr>
          <w:p w14:paraId="7E6C9C12" w14:textId="77777777" w:rsidR="00000000" w:rsidRDefault="00B8284C">
            <w:pPr>
              <w:pStyle w:val="a3"/>
              <w:spacing w:before="0" w:beforeAutospacing="0" w:after="0" w:afterAutospacing="0"/>
              <w:jc w:val="right"/>
              <w:rPr>
                <w:color w:val="000000"/>
                <w:sz w:val="20"/>
                <w:szCs w:val="20"/>
              </w:rPr>
            </w:pPr>
            <w:r>
              <w:rPr>
                <w:color w:val="000000"/>
                <w:sz w:val="20"/>
                <w:szCs w:val="20"/>
              </w:rPr>
              <w:t>(997</w:t>
            </w:r>
          </w:p>
        </w:tc>
        <w:tc>
          <w:tcPr>
            <w:tcW w:w="50" w:type="pct"/>
            <w:shd w:val="clear" w:color="auto" w:fill="FFFFFF"/>
            <w:noWrap/>
            <w:tcMar>
              <w:top w:w="15" w:type="dxa"/>
              <w:left w:w="0" w:type="dxa"/>
              <w:bottom w:w="0" w:type="dxa"/>
              <w:right w:w="15" w:type="dxa"/>
            </w:tcMar>
            <w:vAlign w:val="bottom"/>
            <w:hideMark/>
          </w:tcPr>
          <w:p w14:paraId="27AC6A9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1C819C5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5770A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0" w:type="pct"/>
            <w:shd w:val="clear" w:color="auto" w:fill="FFFFFF"/>
            <w:noWrap/>
            <w:tcMar>
              <w:top w:w="15" w:type="dxa"/>
              <w:left w:w="0" w:type="dxa"/>
              <w:bottom w:w="0" w:type="dxa"/>
              <w:right w:w="15" w:type="dxa"/>
            </w:tcMar>
            <w:vAlign w:val="bottom"/>
            <w:hideMark/>
          </w:tcPr>
          <w:p w14:paraId="3C896F3D" w14:textId="77777777" w:rsidR="00000000" w:rsidRDefault="00B8284C">
            <w:pPr>
              <w:pStyle w:val="a3"/>
              <w:spacing w:before="0" w:beforeAutospacing="0" w:after="0" w:afterAutospacing="0"/>
              <w:jc w:val="right"/>
              <w:rPr>
                <w:color w:val="000000"/>
                <w:sz w:val="20"/>
                <w:szCs w:val="20"/>
              </w:rPr>
            </w:pPr>
            <w:r>
              <w:rPr>
                <w:color w:val="000000"/>
                <w:sz w:val="20"/>
                <w:szCs w:val="20"/>
              </w:rPr>
              <w:t>811</w:t>
            </w:r>
          </w:p>
        </w:tc>
        <w:tc>
          <w:tcPr>
            <w:tcW w:w="50" w:type="pct"/>
            <w:shd w:val="clear" w:color="auto" w:fill="FFFFFF"/>
            <w:noWrap/>
            <w:tcMar>
              <w:top w:w="15" w:type="dxa"/>
              <w:left w:w="0" w:type="dxa"/>
              <w:bottom w:w="0" w:type="dxa"/>
              <w:right w:w="15" w:type="dxa"/>
            </w:tcMar>
            <w:vAlign w:val="bottom"/>
            <w:hideMark/>
          </w:tcPr>
          <w:p w14:paraId="7F7D565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0665557E"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788D842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30" w:type="pct"/>
            <w:shd w:val="clear" w:color="auto" w:fill="FFFFFF"/>
            <w:noWrap/>
            <w:tcMar>
              <w:top w:w="15" w:type="dxa"/>
              <w:left w:w="0" w:type="dxa"/>
              <w:bottom w:w="0" w:type="dxa"/>
              <w:right w:w="15" w:type="dxa"/>
            </w:tcMar>
            <w:vAlign w:val="bottom"/>
            <w:hideMark/>
          </w:tcPr>
          <w:p w14:paraId="6814EEDD" w14:textId="77777777" w:rsidR="00000000" w:rsidRDefault="00B8284C">
            <w:pPr>
              <w:pStyle w:val="a3"/>
              <w:spacing w:before="0" w:beforeAutospacing="0" w:after="0" w:afterAutospacing="0"/>
              <w:jc w:val="right"/>
              <w:rPr>
                <w:color w:val="000000"/>
                <w:sz w:val="20"/>
                <w:szCs w:val="20"/>
              </w:rPr>
            </w:pPr>
            <w:r>
              <w:rPr>
                <w:color w:val="000000"/>
                <w:sz w:val="20"/>
                <w:szCs w:val="20"/>
              </w:rPr>
              <w:t>(186</w:t>
            </w:r>
          </w:p>
        </w:tc>
        <w:tc>
          <w:tcPr>
            <w:tcW w:w="50" w:type="pct"/>
            <w:shd w:val="clear" w:color="auto" w:fill="FFFFFF"/>
            <w:noWrap/>
            <w:tcMar>
              <w:top w:w="15" w:type="dxa"/>
              <w:left w:w="0" w:type="dxa"/>
              <w:bottom w:w="0" w:type="dxa"/>
              <w:right w:w="15" w:type="dxa"/>
            </w:tcMar>
            <w:vAlign w:val="bottom"/>
            <w:hideMark/>
          </w:tcPr>
          <w:p w14:paraId="061C94CB"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3ED4EF00" w14:textId="77777777">
        <w:trPr>
          <w:divId w:val="2049992936"/>
        </w:trPr>
        <w:tc>
          <w:tcPr>
            <w:tcW w:w="2835" w:type="pct"/>
            <w:shd w:val="clear" w:color="auto" w:fill="CFF0FC"/>
            <w:tcMar>
              <w:top w:w="15" w:type="dxa"/>
              <w:left w:w="0" w:type="dxa"/>
              <w:bottom w:w="0" w:type="dxa"/>
              <w:right w:w="15" w:type="dxa"/>
            </w:tcMar>
            <w:vAlign w:val="bottom"/>
            <w:hideMark/>
          </w:tcPr>
          <w:p w14:paraId="2F421395" w14:textId="77777777" w:rsidR="00000000" w:rsidRDefault="00B8284C">
            <w:pPr>
              <w:pStyle w:val="a3"/>
              <w:spacing w:before="0" w:beforeAutospacing="0" w:after="0" w:afterAutospacing="0"/>
              <w:ind w:left="274"/>
              <w:rPr>
                <w:color w:val="000000"/>
                <w:sz w:val="20"/>
                <w:szCs w:val="20"/>
              </w:rPr>
            </w:pPr>
            <w:r>
              <w:rPr>
                <w:color w:val="000000"/>
                <w:sz w:val="20"/>
                <w:szCs w:val="20"/>
              </w:rPr>
              <w:t>Amounts reclassified from accumulated other</w:t>
            </w:r>
          </w:p>
          <w:p w14:paraId="14F60ADB" w14:textId="77777777" w:rsidR="00000000" w:rsidRDefault="00B8284C">
            <w:pPr>
              <w:pStyle w:val="a3"/>
              <w:spacing w:before="0" w:beforeAutospacing="0" w:after="0" w:afterAutospacing="0"/>
              <w:ind w:left="274"/>
              <w:rPr>
                <w:color w:val="000000"/>
                <w:sz w:val="20"/>
                <w:szCs w:val="20"/>
              </w:rPr>
            </w:pPr>
            <w:r>
              <w:rPr>
                <w:color w:val="000000"/>
                <w:sz w:val="20"/>
                <w:szCs w:val="20"/>
              </w:rPr>
              <w:t>   comprehensive income</w:t>
            </w:r>
          </w:p>
        </w:tc>
        <w:tc>
          <w:tcPr>
            <w:tcW w:w="68" w:type="pct"/>
            <w:shd w:val="clear" w:color="auto" w:fill="CFF0FC"/>
            <w:tcMar>
              <w:top w:w="15" w:type="dxa"/>
              <w:left w:w="0" w:type="dxa"/>
              <w:bottom w:w="0" w:type="dxa"/>
              <w:right w:w="15" w:type="dxa"/>
            </w:tcMar>
            <w:vAlign w:val="bottom"/>
            <w:hideMark/>
          </w:tcPr>
          <w:p w14:paraId="3E0B313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6C44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30" w:type="pct"/>
            <w:tcBorders>
              <w:bottom w:val="single" w:sz="6" w:space="0" w:color="000000"/>
            </w:tcBorders>
            <w:shd w:val="clear" w:color="auto" w:fill="CFF0FC"/>
            <w:noWrap/>
            <w:tcMar>
              <w:top w:w="15" w:type="dxa"/>
              <w:left w:w="0" w:type="dxa"/>
              <w:bottom w:w="0" w:type="dxa"/>
              <w:right w:w="15" w:type="dxa"/>
            </w:tcMar>
            <w:vAlign w:val="bottom"/>
            <w:hideMark/>
          </w:tcPr>
          <w:p w14:paraId="2A871912"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BD9A25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0736363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CB3F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0" w:type="pct"/>
            <w:tcBorders>
              <w:bottom w:val="single" w:sz="6" w:space="0" w:color="000000"/>
            </w:tcBorders>
            <w:shd w:val="clear" w:color="auto" w:fill="CFF0FC"/>
            <w:noWrap/>
            <w:tcMar>
              <w:top w:w="15" w:type="dxa"/>
              <w:left w:w="0" w:type="dxa"/>
              <w:bottom w:w="0" w:type="dxa"/>
              <w:right w:w="15" w:type="dxa"/>
            </w:tcMar>
            <w:vAlign w:val="bottom"/>
            <w:hideMark/>
          </w:tcPr>
          <w:p w14:paraId="21543D22"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7BA05B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14:paraId="7678FD96"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AA55C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30" w:type="pct"/>
            <w:tcBorders>
              <w:bottom w:val="single" w:sz="6" w:space="0" w:color="000000"/>
            </w:tcBorders>
            <w:shd w:val="clear" w:color="auto" w:fill="CFF0FC"/>
            <w:noWrap/>
            <w:tcMar>
              <w:top w:w="15" w:type="dxa"/>
              <w:left w:w="0" w:type="dxa"/>
              <w:bottom w:w="0" w:type="dxa"/>
              <w:right w:w="15" w:type="dxa"/>
            </w:tcMar>
            <w:vAlign w:val="bottom"/>
            <w:hideMark/>
          </w:tcPr>
          <w:p w14:paraId="54E32183"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889858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389BCCB" w14:textId="77777777">
        <w:trPr>
          <w:divId w:val="2049992936"/>
        </w:trPr>
        <w:tc>
          <w:tcPr>
            <w:tcW w:w="2835" w:type="pct"/>
            <w:shd w:val="clear" w:color="auto" w:fill="FFFFFF"/>
            <w:tcMar>
              <w:top w:w="15" w:type="dxa"/>
              <w:left w:w="0" w:type="dxa"/>
              <w:bottom w:w="0" w:type="dxa"/>
              <w:right w:w="15" w:type="dxa"/>
            </w:tcMar>
            <w:vAlign w:val="bottom"/>
            <w:hideMark/>
          </w:tcPr>
          <w:p w14:paraId="09E1B41C" w14:textId="77777777" w:rsidR="00000000" w:rsidRDefault="00B8284C">
            <w:pPr>
              <w:pStyle w:val="a3"/>
              <w:spacing w:before="0" w:beforeAutospacing="0" w:after="0" w:afterAutospacing="0"/>
              <w:rPr>
                <w:color w:val="000000"/>
                <w:sz w:val="20"/>
                <w:szCs w:val="20"/>
              </w:rPr>
            </w:pPr>
            <w:r>
              <w:rPr>
                <w:color w:val="000000"/>
                <w:sz w:val="20"/>
                <w:szCs w:val="20"/>
              </w:rPr>
              <w:t>Ending balance at September 30, 2019</w:t>
            </w:r>
          </w:p>
        </w:tc>
        <w:tc>
          <w:tcPr>
            <w:tcW w:w="68" w:type="pct"/>
            <w:shd w:val="clear" w:color="auto" w:fill="FFFFFF"/>
            <w:tcMar>
              <w:top w:w="15" w:type="dxa"/>
              <w:left w:w="0" w:type="dxa"/>
              <w:bottom w:w="0" w:type="dxa"/>
              <w:right w:w="15" w:type="dxa"/>
            </w:tcMar>
            <w:vAlign w:val="bottom"/>
            <w:hideMark/>
          </w:tcPr>
          <w:p w14:paraId="32C7593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B71C1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FBCF778" w14:textId="77777777" w:rsidR="00000000" w:rsidRDefault="00B8284C">
            <w:pPr>
              <w:pStyle w:val="a3"/>
              <w:spacing w:before="0" w:beforeAutospacing="0" w:after="0" w:afterAutospacing="0"/>
              <w:jc w:val="right"/>
              <w:rPr>
                <w:color w:val="000000"/>
                <w:sz w:val="20"/>
                <w:szCs w:val="20"/>
              </w:rPr>
            </w:pPr>
            <w:r>
              <w:rPr>
                <w:color w:val="000000"/>
                <w:sz w:val="20"/>
                <w:szCs w:val="20"/>
              </w:rPr>
              <w:t>(1,394</w:t>
            </w:r>
          </w:p>
        </w:tc>
        <w:tc>
          <w:tcPr>
            <w:tcW w:w="50" w:type="pct"/>
            <w:shd w:val="clear" w:color="auto" w:fill="FFFFFF"/>
            <w:noWrap/>
            <w:tcMar>
              <w:top w:w="15" w:type="dxa"/>
              <w:left w:w="0" w:type="dxa"/>
              <w:bottom w:w="0" w:type="dxa"/>
              <w:right w:w="15" w:type="dxa"/>
            </w:tcMar>
            <w:vAlign w:val="bottom"/>
            <w:hideMark/>
          </w:tcPr>
          <w:p w14:paraId="2F6E860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3E1835F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DB683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3A3996" w14:textId="77777777" w:rsidR="00000000" w:rsidRDefault="00B8284C">
            <w:pPr>
              <w:pStyle w:val="a3"/>
              <w:spacing w:before="0" w:beforeAutospacing="0" w:after="0" w:afterAutospacing="0"/>
              <w:jc w:val="right"/>
              <w:rPr>
                <w:color w:val="000000"/>
                <w:sz w:val="20"/>
                <w:szCs w:val="20"/>
              </w:rPr>
            </w:pPr>
            <w:r>
              <w:rPr>
                <w:color w:val="000000"/>
                <w:sz w:val="20"/>
                <w:szCs w:val="20"/>
              </w:rPr>
              <w:t>485</w:t>
            </w:r>
          </w:p>
        </w:tc>
        <w:tc>
          <w:tcPr>
            <w:tcW w:w="50" w:type="pct"/>
            <w:shd w:val="clear" w:color="auto" w:fill="FFFFFF"/>
            <w:noWrap/>
            <w:tcMar>
              <w:top w:w="15" w:type="dxa"/>
              <w:left w:w="0" w:type="dxa"/>
              <w:bottom w:w="0" w:type="dxa"/>
              <w:right w:w="15" w:type="dxa"/>
            </w:tcMar>
            <w:vAlign w:val="bottom"/>
            <w:hideMark/>
          </w:tcPr>
          <w:p w14:paraId="69BFF2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03B4DBC6"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5FFD9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916334" w14:textId="77777777" w:rsidR="00000000" w:rsidRDefault="00B8284C">
            <w:pPr>
              <w:pStyle w:val="a3"/>
              <w:spacing w:before="0" w:beforeAutospacing="0" w:after="0" w:afterAutospacing="0"/>
              <w:jc w:val="right"/>
              <w:rPr>
                <w:color w:val="000000"/>
                <w:sz w:val="20"/>
                <w:szCs w:val="20"/>
              </w:rPr>
            </w:pPr>
            <w:r>
              <w:rPr>
                <w:color w:val="000000"/>
                <w:sz w:val="20"/>
                <w:szCs w:val="20"/>
              </w:rPr>
              <w:t>(909</w:t>
            </w:r>
          </w:p>
        </w:tc>
        <w:tc>
          <w:tcPr>
            <w:tcW w:w="50" w:type="pct"/>
            <w:shd w:val="clear" w:color="auto" w:fill="FFFFFF"/>
            <w:noWrap/>
            <w:tcMar>
              <w:top w:w="15" w:type="dxa"/>
              <w:left w:w="0" w:type="dxa"/>
              <w:bottom w:w="0" w:type="dxa"/>
              <w:right w:w="15" w:type="dxa"/>
            </w:tcMar>
            <w:vAlign w:val="bottom"/>
            <w:hideMark/>
          </w:tcPr>
          <w:p w14:paraId="79977C55" w14:textId="77777777" w:rsidR="00000000" w:rsidRDefault="00B8284C">
            <w:pPr>
              <w:pStyle w:val="a3"/>
              <w:spacing w:before="0" w:beforeAutospacing="0" w:after="0" w:afterAutospacing="0"/>
              <w:rPr>
                <w:color w:val="000000"/>
                <w:sz w:val="20"/>
                <w:szCs w:val="20"/>
              </w:rPr>
            </w:pPr>
            <w:r>
              <w:rPr>
                <w:color w:val="000000"/>
                <w:sz w:val="20"/>
                <w:szCs w:val="20"/>
              </w:rPr>
              <w:t>)</w:t>
            </w:r>
          </w:p>
        </w:tc>
      </w:tr>
    </w:tbl>
    <w:p w14:paraId="161C9197" w14:textId="77777777" w:rsidR="00000000" w:rsidRDefault="00B8284C">
      <w:pPr>
        <w:pStyle w:val="a3"/>
        <w:spacing w:before="0" w:beforeAutospacing="0" w:after="0" w:afterAutospacing="0"/>
        <w:rPr>
          <w:sz w:val="12"/>
          <w:szCs w:val="12"/>
        </w:rPr>
      </w:pPr>
      <w:r>
        <w:rPr>
          <w:sz w:val="12"/>
          <w:szCs w:val="12"/>
        </w:rPr>
        <w:t> </w:t>
      </w:r>
    </w:p>
    <w:p w14:paraId="6109F92A" w14:textId="77777777" w:rsidR="00000000" w:rsidRDefault="00B8284C">
      <w:pPr>
        <w:pStyle w:val="a3"/>
        <w:spacing w:before="0" w:beforeAutospacing="0" w:after="0" w:afterAutospacing="0"/>
        <w:rPr>
          <w:sz w:val="12"/>
          <w:szCs w:val="12"/>
        </w:rPr>
      </w:pPr>
      <w:r>
        <w:rPr>
          <w:sz w:val="12"/>
          <w:szCs w:val="12"/>
        </w:rPr>
        <w:t> </w:t>
      </w:r>
    </w:p>
    <w:p w14:paraId="56A899A5" w14:textId="77777777" w:rsidR="00000000" w:rsidRDefault="00B8284C">
      <w:pPr>
        <w:pStyle w:val="a3"/>
        <w:spacing w:before="0" w:beforeAutospacing="0" w:after="0" w:afterAutospacing="0"/>
        <w:rPr>
          <w:sz w:val="12"/>
          <w:szCs w:val="12"/>
        </w:rPr>
      </w:pPr>
      <w:r>
        <w:rPr>
          <w:sz w:val="12"/>
          <w:szCs w:val="12"/>
        </w:rPr>
        <w:t> </w:t>
      </w:r>
    </w:p>
    <w:p w14:paraId="1D1B4388" w14:textId="77777777" w:rsidR="00000000" w:rsidRDefault="00B8284C">
      <w:pPr>
        <w:pStyle w:val="a3"/>
        <w:spacing w:before="0" w:beforeAutospacing="0" w:after="0" w:afterAutospacing="0"/>
        <w:rPr>
          <w:b/>
          <w:bCs/>
          <w:sz w:val="20"/>
          <w:szCs w:val="20"/>
        </w:rPr>
      </w:pPr>
      <w:r>
        <w:rPr>
          <w:b/>
          <w:bCs/>
          <w:sz w:val="20"/>
          <w:szCs w:val="20"/>
        </w:rPr>
        <w:t>13. Stock-Based Compensation Expense</w:t>
      </w:r>
    </w:p>
    <w:p w14:paraId="39FA8429" w14:textId="77777777" w:rsidR="00000000" w:rsidRDefault="00B8284C">
      <w:pPr>
        <w:pStyle w:val="a3"/>
        <w:spacing w:before="120" w:beforeAutospacing="0" w:after="0" w:afterAutospacing="0"/>
        <w:ind w:firstLine="556"/>
        <w:rPr>
          <w:sz w:val="20"/>
          <w:szCs w:val="20"/>
        </w:rPr>
      </w:pPr>
      <w:r>
        <w:rPr>
          <w:sz w:val="20"/>
          <w:szCs w:val="20"/>
        </w:rPr>
        <w:t>The following two tables show stock-based compensation expense by award type and where the stock-based compensation expense is recorded in the Company’s consolidated statements of operations:</w:t>
      </w:r>
    </w:p>
    <w:p w14:paraId="5AACE4DF"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9"/>
        <w:gridCol w:w="76"/>
        <w:gridCol w:w="115"/>
        <w:gridCol w:w="672"/>
        <w:gridCol w:w="65"/>
        <w:gridCol w:w="74"/>
        <w:gridCol w:w="115"/>
        <w:gridCol w:w="675"/>
        <w:gridCol w:w="65"/>
        <w:gridCol w:w="84"/>
        <w:gridCol w:w="115"/>
        <w:gridCol w:w="673"/>
        <w:gridCol w:w="65"/>
        <w:gridCol w:w="76"/>
        <w:gridCol w:w="115"/>
        <w:gridCol w:w="676"/>
        <w:gridCol w:w="65"/>
      </w:tblGrid>
      <w:tr w:rsidR="00000000" w14:paraId="11EDB686" w14:textId="77777777">
        <w:trPr>
          <w:divId w:val="1235972027"/>
          <w:trHeight w:val="65"/>
        </w:trPr>
        <w:tc>
          <w:tcPr>
            <w:tcW w:w="2515" w:type="pct"/>
            <w:shd w:val="clear" w:color="auto" w:fill="FFFFFF"/>
            <w:tcMar>
              <w:top w:w="15" w:type="dxa"/>
              <w:left w:w="0" w:type="dxa"/>
              <w:bottom w:w="0" w:type="dxa"/>
              <w:right w:w="15" w:type="dxa"/>
            </w:tcMar>
            <w:vAlign w:val="bottom"/>
            <w:hideMark/>
          </w:tcPr>
          <w:p w14:paraId="35D51FE5" w14:textId="77777777" w:rsidR="00000000" w:rsidRDefault="00B8284C">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4C3568B6"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14:paraId="37FEE3C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xml:space="preserve">Three Months End </w:t>
            </w:r>
          </w:p>
          <w:p w14:paraId="48747AE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w:t>
            </w:r>
            <w:r>
              <w:rPr>
                <w:b/>
                <w:bCs/>
                <w:color w:val="000000"/>
                <w:sz w:val="16"/>
                <w:szCs w:val="16"/>
              </w:rPr>
              <w:t>ptember 30,</w:t>
            </w:r>
          </w:p>
        </w:tc>
        <w:tc>
          <w:tcPr>
            <w:tcW w:w="50" w:type="pct"/>
            <w:shd w:val="clear" w:color="auto" w:fill="FFFFFF"/>
            <w:noWrap/>
            <w:tcMar>
              <w:top w:w="15" w:type="dxa"/>
              <w:left w:w="0" w:type="dxa"/>
              <w:bottom w:w="0" w:type="dxa"/>
              <w:right w:w="15" w:type="dxa"/>
            </w:tcMar>
            <w:vAlign w:val="bottom"/>
            <w:hideMark/>
          </w:tcPr>
          <w:p w14:paraId="379C635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14:paraId="059CA00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14:paraId="64B4240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14:paraId="6DD7FC0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4A16C24" w14:textId="77777777">
        <w:trPr>
          <w:divId w:val="1235972027"/>
        </w:trPr>
        <w:tc>
          <w:tcPr>
            <w:tcW w:w="2515" w:type="pct"/>
            <w:shd w:val="clear" w:color="auto" w:fill="FFFFFF"/>
            <w:tcMar>
              <w:top w:w="15" w:type="dxa"/>
              <w:left w:w="0" w:type="dxa"/>
              <w:bottom w:w="0" w:type="dxa"/>
              <w:right w:w="15" w:type="dxa"/>
            </w:tcMar>
            <w:vAlign w:val="bottom"/>
            <w:hideMark/>
          </w:tcPr>
          <w:p w14:paraId="677FFBE2"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14:paraId="33EEF8B3"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C7BE9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6E6D53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308D468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6D6F2A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F2782B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14:paraId="59CEEAC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8" w:type="pct"/>
            <w:gridSpan w:val="2"/>
            <w:tcBorders>
              <w:top w:val="single" w:sz="6" w:space="0" w:color="000000"/>
              <w:bottom w:val="single" w:sz="6" w:space="0" w:color="000000"/>
            </w:tcBorders>
            <w:tcMar>
              <w:top w:w="15" w:type="dxa"/>
              <w:left w:w="0" w:type="dxa"/>
              <w:bottom w:w="0" w:type="dxa"/>
              <w:right w:w="15" w:type="dxa"/>
            </w:tcMar>
            <w:vAlign w:val="bottom"/>
            <w:hideMark/>
          </w:tcPr>
          <w:p w14:paraId="721243B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noWrap/>
            <w:tcMar>
              <w:top w:w="15" w:type="dxa"/>
              <w:left w:w="0" w:type="dxa"/>
              <w:bottom w:w="0" w:type="dxa"/>
              <w:right w:w="15" w:type="dxa"/>
            </w:tcMar>
            <w:vAlign w:val="bottom"/>
            <w:hideMark/>
          </w:tcPr>
          <w:p w14:paraId="41BB9DE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tcMar>
              <w:top w:w="15" w:type="dxa"/>
              <w:left w:w="0" w:type="dxa"/>
              <w:bottom w:w="0" w:type="dxa"/>
              <w:right w:w="15" w:type="dxa"/>
            </w:tcMar>
            <w:vAlign w:val="bottom"/>
            <w:hideMark/>
          </w:tcPr>
          <w:p w14:paraId="55A4FD7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8" w:type="pct"/>
            <w:gridSpan w:val="2"/>
            <w:tcBorders>
              <w:top w:val="single" w:sz="6" w:space="0" w:color="000000"/>
              <w:bottom w:val="single" w:sz="6" w:space="0" w:color="000000"/>
            </w:tcBorders>
            <w:tcMar>
              <w:top w:w="15" w:type="dxa"/>
              <w:left w:w="0" w:type="dxa"/>
              <w:bottom w:w="0" w:type="dxa"/>
              <w:right w:w="15" w:type="dxa"/>
            </w:tcMar>
            <w:vAlign w:val="bottom"/>
            <w:hideMark/>
          </w:tcPr>
          <w:p w14:paraId="359D46B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noWrap/>
            <w:tcMar>
              <w:top w:w="15" w:type="dxa"/>
              <w:left w:w="0" w:type="dxa"/>
              <w:bottom w:w="0" w:type="dxa"/>
              <w:right w:w="15" w:type="dxa"/>
            </w:tcMar>
            <w:vAlign w:val="bottom"/>
            <w:hideMark/>
          </w:tcPr>
          <w:p w14:paraId="6DAF2EC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18E0BF7" w14:textId="77777777">
        <w:trPr>
          <w:divId w:val="1235972027"/>
        </w:trPr>
        <w:tc>
          <w:tcPr>
            <w:tcW w:w="2515" w:type="pct"/>
            <w:shd w:val="clear" w:color="auto" w:fill="FFFFFF"/>
            <w:tcMar>
              <w:top w:w="15" w:type="dxa"/>
              <w:left w:w="0" w:type="dxa"/>
              <w:bottom w:w="0" w:type="dxa"/>
              <w:right w:w="15" w:type="dxa"/>
            </w:tcMar>
            <w:vAlign w:val="bottom"/>
            <w:hideMark/>
          </w:tcPr>
          <w:p w14:paraId="6FBE8C99"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14:paraId="7C24BC98"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128" w:type="pct"/>
            <w:gridSpan w:val="6"/>
            <w:shd w:val="clear" w:color="auto" w:fill="FFFFFF"/>
            <w:tcMar>
              <w:top w:w="15" w:type="dxa"/>
              <w:left w:w="0" w:type="dxa"/>
              <w:bottom w:w="0" w:type="dxa"/>
              <w:right w:w="15" w:type="dxa"/>
            </w:tcMar>
            <w:vAlign w:val="bottom"/>
            <w:hideMark/>
          </w:tcPr>
          <w:p w14:paraId="28640C8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14173E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14:paraId="67075A9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bottom"/>
            <w:hideMark/>
          </w:tcPr>
          <w:p w14:paraId="202B93F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2D7882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2ADECB6" w14:textId="77777777">
        <w:trPr>
          <w:divId w:val="1235972027"/>
        </w:trPr>
        <w:tc>
          <w:tcPr>
            <w:tcW w:w="2515" w:type="pct"/>
            <w:shd w:val="clear" w:color="auto" w:fill="CFF0FC"/>
            <w:tcMar>
              <w:top w:w="15" w:type="dxa"/>
              <w:left w:w="0" w:type="dxa"/>
              <w:bottom w:w="0" w:type="dxa"/>
              <w:right w:w="15" w:type="dxa"/>
            </w:tcMar>
            <w:vAlign w:val="bottom"/>
            <w:hideMark/>
          </w:tcPr>
          <w:p w14:paraId="216DE27E" w14:textId="77777777" w:rsidR="00000000" w:rsidRDefault="00B8284C">
            <w:pPr>
              <w:pStyle w:val="a3"/>
              <w:spacing w:before="0" w:beforeAutospacing="0" w:after="0" w:afterAutospacing="0"/>
              <w:rPr>
                <w:color w:val="000000"/>
                <w:sz w:val="20"/>
                <w:szCs w:val="20"/>
              </w:rPr>
            </w:pPr>
            <w:r>
              <w:rPr>
                <w:color w:val="000000"/>
                <w:sz w:val="20"/>
                <w:szCs w:val="20"/>
              </w:rPr>
              <w:t>Options</w:t>
            </w:r>
          </w:p>
        </w:tc>
        <w:tc>
          <w:tcPr>
            <w:tcW w:w="60" w:type="pct"/>
            <w:shd w:val="clear" w:color="auto" w:fill="CFF0FC"/>
            <w:tcMar>
              <w:top w:w="15" w:type="dxa"/>
              <w:left w:w="0" w:type="dxa"/>
              <w:bottom w:w="0" w:type="dxa"/>
              <w:right w:w="15" w:type="dxa"/>
            </w:tcMar>
            <w:vAlign w:val="bottom"/>
            <w:hideMark/>
          </w:tcPr>
          <w:p w14:paraId="0F96B4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9732D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8" w:type="pct"/>
            <w:shd w:val="clear" w:color="auto" w:fill="CFF0FC"/>
            <w:noWrap/>
            <w:tcMar>
              <w:top w:w="15" w:type="dxa"/>
              <w:left w:w="0" w:type="dxa"/>
              <w:bottom w:w="0" w:type="dxa"/>
              <w:right w:w="15" w:type="dxa"/>
            </w:tcMar>
            <w:vAlign w:val="bottom"/>
            <w:hideMark/>
          </w:tcPr>
          <w:p w14:paraId="7A875A78" w14:textId="77777777" w:rsidR="00000000" w:rsidRDefault="00B8284C">
            <w:pPr>
              <w:pStyle w:val="a3"/>
              <w:spacing w:before="0" w:beforeAutospacing="0" w:after="0" w:afterAutospacing="0"/>
              <w:jc w:val="right"/>
              <w:rPr>
                <w:color w:val="000000"/>
                <w:sz w:val="20"/>
                <w:szCs w:val="20"/>
              </w:rPr>
            </w:pPr>
            <w:r>
              <w:rPr>
                <w:color w:val="000000"/>
                <w:sz w:val="20"/>
                <w:szCs w:val="20"/>
              </w:rPr>
              <w:t>1,199</w:t>
            </w:r>
          </w:p>
        </w:tc>
        <w:tc>
          <w:tcPr>
            <w:tcW w:w="50" w:type="pct"/>
            <w:shd w:val="clear" w:color="auto" w:fill="CFF0FC"/>
            <w:noWrap/>
            <w:tcMar>
              <w:top w:w="15" w:type="dxa"/>
              <w:left w:w="0" w:type="dxa"/>
              <w:bottom w:w="0" w:type="dxa"/>
              <w:right w:w="15" w:type="dxa"/>
            </w:tcMar>
            <w:vAlign w:val="bottom"/>
            <w:hideMark/>
          </w:tcPr>
          <w:p w14:paraId="35A696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14:paraId="52D705E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0B3E7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8" w:type="pct"/>
            <w:shd w:val="clear" w:color="auto" w:fill="CFF0FC"/>
            <w:noWrap/>
            <w:tcMar>
              <w:top w:w="15" w:type="dxa"/>
              <w:left w:w="0" w:type="dxa"/>
              <w:bottom w:w="0" w:type="dxa"/>
              <w:right w:w="15" w:type="dxa"/>
            </w:tcMar>
            <w:vAlign w:val="bottom"/>
            <w:hideMark/>
          </w:tcPr>
          <w:p w14:paraId="30678417" w14:textId="77777777" w:rsidR="00000000" w:rsidRDefault="00B8284C">
            <w:pPr>
              <w:pStyle w:val="a3"/>
              <w:spacing w:before="0" w:beforeAutospacing="0" w:after="0" w:afterAutospacing="0"/>
              <w:jc w:val="right"/>
              <w:rPr>
                <w:color w:val="000000"/>
                <w:sz w:val="20"/>
                <w:szCs w:val="20"/>
              </w:rPr>
            </w:pPr>
            <w:r>
              <w:rPr>
                <w:color w:val="000000"/>
                <w:sz w:val="20"/>
                <w:szCs w:val="20"/>
              </w:rPr>
              <w:t>1,257</w:t>
            </w:r>
          </w:p>
        </w:tc>
        <w:tc>
          <w:tcPr>
            <w:tcW w:w="50" w:type="pct"/>
            <w:shd w:val="clear" w:color="auto" w:fill="CFF0FC"/>
            <w:noWrap/>
            <w:tcMar>
              <w:top w:w="15" w:type="dxa"/>
              <w:left w:w="0" w:type="dxa"/>
              <w:bottom w:w="0" w:type="dxa"/>
              <w:right w:w="15" w:type="dxa"/>
            </w:tcMar>
            <w:vAlign w:val="bottom"/>
            <w:hideMark/>
          </w:tcPr>
          <w:p w14:paraId="0E4336A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4395804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66560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8" w:type="pct"/>
            <w:shd w:val="clear" w:color="auto" w:fill="CFF0FC"/>
            <w:noWrap/>
            <w:tcMar>
              <w:top w:w="15" w:type="dxa"/>
              <w:left w:w="0" w:type="dxa"/>
              <w:bottom w:w="0" w:type="dxa"/>
              <w:right w:w="15" w:type="dxa"/>
            </w:tcMar>
            <w:vAlign w:val="bottom"/>
            <w:hideMark/>
          </w:tcPr>
          <w:p w14:paraId="45FEC2D3" w14:textId="77777777" w:rsidR="00000000" w:rsidRDefault="00B8284C">
            <w:pPr>
              <w:pStyle w:val="a3"/>
              <w:spacing w:before="0" w:beforeAutospacing="0" w:after="0" w:afterAutospacing="0"/>
              <w:jc w:val="right"/>
              <w:rPr>
                <w:color w:val="000000"/>
                <w:sz w:val="20"/>
                <w:szCs w:val="20"/>
              </w:rPr>
            </w:pPr>
            <w:r>
              <w:rPr>
                <w:color w:val="000000"/>
                <w:sz w:val="20"/>
                <w:szCs w:val="20"/>
              </w:rPr>
              <w:t>3,871</w:t>
            </w:r>
          </w:p>
        </w:tc>
        <w:tc>
          <w:tcPr>
            <w:tcW w:w="50" w:type="pct"/>
            <w:shd w:val="clear" w:color="auto" w:fill="CFF0FC"/>
            <w:noWrap/>
            <w:tcMar>
              <w:top w:w="15" w:type="dxa"/>
              <w:left w:w="0" w:type="dxa"/>
              <w:bottom w:w="0" w:type="dxa"/>
              <w:right w:w="15" w:type="dxa"/>
            </w:tcMar>
            <w:vAlign w:val="bottom"/>
            <w:hideMark/>
          </w:tcPr>
          <w:p w14:paraId="5984FDA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14:paraId="5E03EA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3B998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8" w:type="pct"/>
            <w:shd w:val="clear" w:color="auto" w:fill="CFF0FC"/>
            <w:noWrap/>
            <w:tcMar>
              <w:top w:w="15" w:type="dxa"/>
              <w:left w:w="0" w:type="dxa"/>
              <w:bottom w:w="0" w:type="dxa"/>
              <w:right w:w="15" w:type="dxa"/>
            </w:tcMar>
            <w:vAlign w:val="bottom"/>
            <w:hideMark/>
          </w:tcPr>
          <w:p w14:paraId="247D1646" w14:textId="77777777" w:rsidR="00000000" w:rsidRDefault="00B8284C">
            <w:pPr>
              <w:pStyle w:val="a3"/>
              <w:spacing w:before="0" w:beforeAutospacing="0" w:after="0" w:afterAutospacing="0"/>
              <w:jc w:val="right"/>
              <w:rPr>
                <w:color w:val="000000"/>
                <w:sz w:val="20"/>
                <w:szCs w:val="20"/>
              </w:rPr>
            </w:pPr>
            <w:r>
              <w:rPr>
                <w:color w:val="000000"/>
                <w:sz w:val="20"/>
                <w:szCs w:val="20"/>
              </w:rPr>
              <w:t>3,850</w:t>
            </w:r>
          </w:p>
        </w:tc>
        <w:tc>
          <w:tcPr>
            <w:tcW w:w="50" w:type="pct"/>
            <w:shd w:val="clear" w:color="auto" w:fill="CFF0FC"/>
            <w:noWrap/>
            <w:tcMar>
              <w:top w:w="15" w:type="dxa"/>
              <w:left w:w="0" w:type="dxa"/>
              <w:bottom w:w="0" w:type="dxa"/>
              <w:right w:w="15" w:type="dxa"/>
            </w:tcMar>
            <w:vAlign w:val="bottom"/>
            <w:hideMark/>
          </w:tcPr>
          <w:p w14:paraId="6DCC538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D1370F1" w14:textId="77777777">
        <w:trPr>
          <w:divId w:val="1235972027"/>
        </w:trPr>
        <w:tc>
          <w:tcPr>
            <w:tcW w:w="2515" w:type="pct"/>
            <w:shd w:val="clear" w:color="auto" w:fill="FFFFFF"/>
            <w:tcMar>
              <w:top w:w="15" w:type="dxa"/>
              <w:left w:w="0" w:type="dxa"/>
              <w:bottom w:w="0" w:type="dxa"/>
              <w:right w:w="15" w:type="dxa"/>
            </w:tcMar>
            <w:vAlign w:val="bottom"/>
            <w:hideMark/>
          </w:tcPr>
          <w:p w14:paraId="755EEDA3" w14:textId="77777777" w:rsidR="00000000" w:rsidRDefault="00B8284C">
            <w:pPr>
              <w:pStyle w:val="a3"/>
              <w:spacing w:before="0" w:beforeAutospacing="0" w:after="0" w:afterAutospacing="0"/>
              <w:rPr>
                <w:color w:val="000000"/>
                <w:sz w:val="20"/>
                <w:szCs w:val="20"/>
              </w:rPr>
            </w:pPr>
            <w:r>
              <w:rPr>
                <w:color w:val="000000"/>
                <w:sz w:val="20"/>
                <w:szCs w:val="20"/>
              </w:rPr>
              <w:t>RSUs</w:t>
            </w:r>
          </w:p>
        </w:tc>
        <w:tc>
          <w:tcPr>
            <w:tcW w:w="60" w:type="pct"/>
            <w:shd w:val="clear" w:color="auto" w:fill="FFFFFF"/>
            <w:tcMar>
              <w:top w:w="15" w:type="dxa"/>
              <w:left w:w="0" w:type="dxa"/>
              <w:bottom w:w="0" w:type="dxa"/>
              <w:right w:w="15" w:type="dxa"/>
            </w:tcMar>
            <w:vAlign w:val="bottom"/>
            <w:hideMark/>
          </w:tcPr>
          <w:p w14:paraId="55CF792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67BF9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8" w:type="pct"/>
            <w:shd w:val="clear" w:color="auto" w:fill="FFFFFF"/>
            <w:noWrap/>
            <w:tcMar>
              <w:top w:w="15" w:type="dxa"/>
              <w:left w:w="0" w:type="dxa"/>
              <w:bottom w:w="0" w:type="dxa"/>
              <w:right w:w="15" w:type="dxa"/>
            </w:tcMar>
            <w:vAlign w:val="bottom"/>
            <w:hideMark/>
          </w:tcPr>
          <w:p w14:paraId="0E2D9EFC" w14:textId="77777777" w:rsidR="00000000" w:rsidRDefault="00B8284C">
            <w:pPr>
              <w:pStyle w:val="a3"/>
              <w:spacing w:before="0" w:beforeAutospacing="0" w:after="0" w:afterAutospacing="0"/>
              <w:jc w:val="right"/>
              <w:rPr>
                <w:color w:val="000000"/>
                <w:sz w:val="20"/>
                <w:szCs w:val="20"/>
              </w:rPr>
            </w:pPr>
            <w:r>
              <w:rPr>
                <w:color w:val="000000"/>
                <w:sz w:val="20"/>
                <w:szCs w:val="20"/>
              </w:rPr>
              <w:t>21,406</w:t>
            </w:r>
          </w:p>
        </w:tc>
        <w:tc>
          <w:tcPr>
            <w:tcW w:w="50" w:type="pct"/>
            <w:shd w:val="clear" w:color="auto" w:fill="FFFFFF"/>
            <w:noWrap/>
            <w:tcMar>
              <w:top w:w="15" w:type="dxa"/>
              <w:left w:w="0" w:type="dxa"/>
              <w:bottom w:w="0" w:type="dxa"/>
              <w:right w:w="15" w:type="dxa"/>
            </w:tcMar>
            <w:vAlign w:val="bottom"/>
            <w:hideMark/>
          </w:tcPr>
          <w:p w14:paraId="0738D39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14:paraId="2A19D12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79665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8" w:type="pct"/>
            <w:shd w:val="clear" w:color="auto" w:fill="FFFFFF"/>
            <w:noWrap/>
            <w:tcMar>
              <w:top w:w="15" w:type="dxa"/>
              <w:left w:w="0" w:type="dxa"/>
              <w:bottom w:w="0" w:type="dxa"/>
              <w:right w:w="15" w:type="dxa"/>
            </w:tcMar>
            <w:vAlign w:val="bottom"/>
            <w:hideMark/>
          </w:tcPr>
          <w:p w14:paraId="3B58C32B" w14:textId="77777777" w:rsidR="00000000" w:rsidRDefault="00B8284C">
            <w:pPr>
              <w:pStyle w:val="a3"/>
              <w:spacing w:before="0" w:beforeAutospacing="0" w:after="0" w:afterAutospacing="0"/>
              <w:jc w:val="right"/>
              <w:rPr>
                <w:color w:val="000000"/>
                <w:sz w:val="20"/>
                <w:szCs w:val="20"/>
              </w:rPr>
            </w:pPr>
            <w:r>
              <w:rPr>
                <w:color w:val="000000"/>
                <w:sz w:val="20"/>
                <w:szCs w:val="20"/>
              </w:rPr>
              <w:t>17,583</w:t>
            </w:r>
          </w:p>
        </w:tc>
        <w:tc>
          <w:tcPr>
            <w:tcW w:w="50" w:type="pct"/>
            <w:shd w:val="clear" w:color="auto" w:fill="FFFFFF"/>
            <w:noWrap/>
            <w:tcMar>
              <w:top w:w="15" w:type="dxa"/>
              <w:left w:w="0" w:type="dxa"/>
              <w:bottom w:w="0" w:type="dxa"/>
              <w:right w:w="15" w:type="dxa"/>
            </w:tcMar>
            <w:vAlign w:val="bottom"/>
            <w:hideMark/>
          </w:tcPr>
          <w:p w14:paraId="57442A1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6D100D5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DCEA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8" w:type="pct"/>
            <w:shd w:val="clear" w:color="auto" w:fill="FFFFFF"/>
            <w:noWrap/>
            <w:tcMar>
              <w:top w:w="15" w:type="dxa"/>
              <w:left w:w="0" w:type="dxa"/>
              <w:bottom w:w="0" w:type="dxa"/>
              <w:right w:w="15" w:type="dxa"/>
            </w:tcMar>
            <w:vAlign w:val="bottom"/>
            <w:hideMark/>
          </w:tcPr>
          <w:p w14:paraId="05180CAA" w14:textId="77777777" w:rsidR="00000000" w:rsidRDefault="00B8284C">
            <w:pPr>
              <w:pStyle w:val="a3"/>
              <w:spacing w:before="0" w:beforeAutospacing="0" w:after="0" w:afterAutospacing="0"/>
              <w:jc w:val="right"/>
              <w:rPr>
                <w:color w:val="000000"/>
                <w:sz w:val="20"/>
                <w:szCs w:val="20"/>
              </w:rPr>
            </w:pPr>
            <w:r>
              <w:rPr>
                <w:color w:val="000000"/>
                <w:sz w:val="20"/>
                <w:szCs w:val="20"/>
              </w:rPr>
              <w:t>66,227</w:t>
            </w:r>
          </w:p>
        </w:tc>
        <w:tc>
          <w:tcPr>
            <w:tcW w:w="50" w:type="pct"/>
            <w:shd w:val="clear" w:color="auto" w:fill="FFFFFF"/>
            <w:noWrap/>
            <w:tcMar>
              <w:top w:w="15" w:type="dxa"/>
              <w:left w:w="0" w:type="dxa"/>
              <w:bottom w:w="0" w:type="dxa"/>
              <w:right w:w="15" w:type="dxa"/>
            </w:tcMar>
            <w:vAlign w:val="bottom"/>
            <w:hideMark/>
          </w:tcPr>
          <w:p w14:paraId="06AA9A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14:paraId="59F7969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5925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8" w:type="pct"/>
            <w:shd w:val="clear" w:color="auto" w:fill="FFFFFF"/>
            <w:noWrap/>
            <w:tcMar>
              <w:top w:w="15" w:type="dxa"/>
              <w:left w:w="0" w:type="dxa"/>
              <w:bottom w:w="0" w:type="dxa"/>
              <w:right w:w="15" w:type="dxa"/>
            </w:tcMar>
            <w:vAlign w:val="bottom"/>
            <w:hideMark/>
          </w:tcPr>
          <w:p w14:paraId="1909289D" w14:textId="77777777" w:rsidR="00000000" w:rsidRDefault="00B8284C">
            <w:pPr>
              <w:pStyle w:val="a3"/>
              <w:spacing w:before="0" w:beforeAutospacing="0" w:after="0" w:afterAutospacing="0"/>
              <w:jc w:val="right"/>
              <w:rPr>
                <w:color w:val="000000"/>
                <w:sz w:val="20"/>
                <w:szCs w:val="20"/>
              </w:rPr>
            </w:pPr>
            <w:r>
              <w:rPr>
                <w:color w:val="000000"/>
                <w:sz w:val="20"/>
                <w:szCs w:val="20"/>
              </w:rPr>
              <w:t>49,624</w:t>
            </w:r>
          </w:p>
        </w:tc>
        <w:tc>
          <w:tcPr>
            <w:tcW w:w="50" w:type="pct"/>
            <w:shd w:val="clear" w:color="auto" w:fill="FFFFFF"/>
            <w:noWrap/>
            <w:tcMar>
              <w:top w:w="15" w:type="dxa"/>
              <w:left w:w="0" w:type="dxa"/>
              <w:bottom w:w="0" w:type="dxa"/>
              <w:right w:w="15" w:type="dxa"/>
            </w:tcMar>
            <w:vAlign w:val="bottom"/>
            <w:hideMark/>
          </w:tcPr>
          <w:p w14:paraId="0F67D2E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BD8A914" w14:textId="77777777">
        <w:trPr>
          <w:divId w:val="1235972027"/>
        </w:trPr>
        <w:tc>
          <w:tcPr>
            <w:tcW w:w="2515" w:type="pct"/>
            <w:shd w:val="clear" w:color="auto" w:fill="CFF0FC"/>
            <w:tcMar>
              <w:top w:w="15" w:type="dxa"/>
              <w:left w:w="0" w:type="dxa"/>
              <w:bottom w:w="0" w:type="dxa"/>
              <w:right w:w="15" w:type="dxa"/>
            </w:tcMar>
            <w:vAlign w:val="bottom"/>
            <w:hideMark/>
          </w:tcPr>
          <w:p w14:paraId="0DE092CA" w14:textId="77777777" w:rsidR="00000000" w:rsidRDefault="00B8284C">
            <w:pPr>
              <w:pStyle w:val="a3"/>
              <w:spacing w:before="0" w:beforeAutospacing="0" w:after="0" w:afterAutospacing="0"/>
              <w:rPr>
                <w:color w:val="000000"/>
                <w:sz w:val="20"/>
                <w:szCs w:val="20"/>
              </w:rPr>
            </w:pPr>
            <w:r>
              <w:rPr>
                <w:color w:val="000000"/>
                <w:sz w:val="20"/>
                <w:szCs w:val="20"/>
              </w:rPr>
              <w:t>Employee stock purchase plan</w:t>
            </w:r>
          </w:p>
        </w:tc>
        <w:tc>
          <w:tcPr>
            <w:tcW w:w="60" w:type="pct"/>
            <w:shd w:val="clear" w:color="auto" w:fill="CFF0FC"/>
            <w:tcMar>
              <w:top w:w="15" w:type="dxa"/>
              <w:left w:w="0" w:type="dxa"/>
              <w:bottom w:w="0" w:type="dxa"/>
              <w:right w:w="15" w:type="dxa"/>
            </w:tcMar>
            <w:vAlign w:val="bottom"/>
            <w:hideMark/>
          </w:tcPr>
          <w:p w14:paraId="7B6BFC9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8C50E7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8" w:type="pct"/>
            <w:tcBorders>
              <w:bottom w:val="single" w:sz="6" w:space="0" w:color="000000"/>
            </w:tcBorders>
            <w:shd w:val="clear" w:color="auto" w:fill="CFF0FC"/>
            <w:noWrap/>
            <w:tcMar>
              <w:top w:w="15" w:type="dxa"/>
              <w:left w:w="0" w:type="dxa"/>
              <w:bottom w:w="0" w:type="dxa"/>
              <w:right w:w="15" w:type="dxa"/>
            </w:tcMar>
            <w:vAlign w:val="bottom"/>
            <w:hideMark/>
          </w:tcPr>
          <w:p w14:paraId="3AC878F1" w14:textId="77777777" w:rsidR="00000000" w:rsidRDefault="00B8284C">
            <w:pPr>
              <w:pStyle w:val="a3"/>
              <w:spacing w:before="0" w:beforeAutospacing="0" w:after="0" w:afterAutospacing="0"/>
              <w:jc w:val="right"/>
              <w:rPr>
                <w:color w:val="000000"/>
                <w:sz w:val="20"/>
                <w:szCs w:val="20"/>
              </w:rPr>
            </w:pPr>
            <w:r>
              <w:rPr>
                <w:color w:val="000000"/>
                <w:sz w:val="20"/>
                <w:szCs w:val="20"/>
              </w:rPr>
              <w:t>1,186</w:t>
            </w:r>
          </w:p>
        </w:tc>
        <w:tc>
          <w:tcPr>
            <w:tcW w:w="50" w:type="pct"/>
            <w:shd w:val="clear" w:color="auto" w:fill="CFF0FC"/>
            <w:noWrap/>
            <w:tcMar>
              <w:top w:w="15" w:type="dxa"/>
              <w:left w:w="0" w:type="dxa"/>
              <w:bottom w:w="0" w:type="dxa"/>
              <w:right w:w="15" w:type="dxa"/>
            </w:tcMar>
            <w:vAlign w:val="bottom"/>
            <w:hideMark/>
          </w:tcPr>
          <w:p w14:paraId="37D498A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14:paraId="71F230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34D40D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8" w:type="pct"/>
            <w:tcBorders>
              <w:bottom w:val="single" w:sz="6" w:space="0" w:color="000000"/>
            </w:tcBorders>
            <w:shd w:val="clear" w:color="auto" w:fill="CFF0FC"/>
            <w:noWrap/>
            <w:tcMar>
              <w:top w:w="15" w:type="dxa"/>
              <w:left w:w="0" w:type="dxa"/>
              <w:bottom w:w="0" w:type="dxa"/>
              <w:right w:w="15" w:type="dxa"/>
            </w:tcMar>
            <w:vAlign w:val="bottom"/>
            <w:hideMark/>
          </w:tcPr>
          <w:p w14:paraId="75BD01C5" w14:textId="77777777" w:rsidR="00000000" w:rsidRDefault="00B8284C">
            <w:pPr>
              <w:pStyle w:val="a3"/>
              <w:spacing w:before="0" w:beforeAutospacing="0" w:after="0" w:afterAutospacing="0"/>
              <w:jc w:val="right"/>
              <w:rPr>
                <w:color w:val="000000"/>
                <w:sz w:val="20"/>
                <w:szCs w:val="20"/>
              </w:rPr>
            </w:pPr>
            <w:r>
              <w:rPr>
                <w:color w:val="000000"/>
                <w:sz w:val="20"/>
                <w:szCs w:val="20"/>
              </w:rPr>
              <w:t>772</w:t>
            </w:r>
          </w:p>
        </w:tc>
        <w:tc>
          <w:tcPr>
            <w:tcW w:w="50" w:type="pct"/>
            <w:shd w:val="clear" w:color="auto" w:fill="CFF0FC"/>
            <w:noWrap/>
            <w:tcMar>
              <w:top w:w="15" w:type="dxa"/>
              <w:left w:w="0" w:type="dxa"/>
              <w:bottom w:w="0" w:type="dxa"/>
              <w:right w:w="15" w:type="dxa"/>
            </w:tcMar>
            <w:vAlign w:val="bottom"/>
            <w:hideMark/>
          </w:tcPr>
          <w:p w14:paraId="6EF9CD0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003BD6D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2ACF63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8" w:type="pct"/>
            <w:tcBorders>
              <w:bottom w:val="single" w:sz="6" w:space="0" w:color="000000"/>
            </w:tcBorders>
            <w:shd w:val="clear" w:color="auto" w:fill="CFF0FC"/>
            <w:noWrap/>
            <w:tcMar>
              <w:top w:w="15" w:type="dxa"/>
              <w:left w:w="0" w:type="dxa"/>
              <w:bottom w:w="0" w:type="dxa"/>
              <w:right w:w="15" w:type="dxa"/>
            </w:tcMar>
            <w:vAlign w:val="bottom"/>
            <w:hideMark/>
          </w:tcPr>
          <w:p w14:paraId="106E0069" w14:textId="77777777" w:rsidR="00000000" w:rsidRDefault="00B8284C">
            <w:pPr>
              <w:pStyle w:val="a3"/>
              <w:spacing w:before="0" w:beforeAutospacing="0" w:after="0" w:afterAutospacing="0"/>
              <w:jc w:val="right"/>
              <w:rPr>
                <w:color w:val="000000"/>
                <w:sz w:val="20"/>
                <w:szCs w:val="20"/>
              </w:rPr>
            </w:pPr>
            <w:r>
              <w:rPr>
                <w:color w:val="000000"/>
                <w:sz w:val="20"/>
                <w:szCs w:val="20"/>
              </w:rPr>
              <w:t>3,561</w:t>
            </w:r>
          </w:p>
        </w:tc>
        <w:tc>
          <w:tcPr>
            <w:tcW w:w="50" w:type="pct"/>
            <w:shd w:val="clear" w:color="auto" w:fill="CFF0FC"/>
            <w:noWrap/>
            <w:tcMar>
              <w:top w:w="15" w:type="dxa"/>
              <w:left w:w="0" w:type="dxa"/>
              <w:bottom w:w="0" w:type="dxa"/>
              <w:right w:w="15" w:type="dxa"/>
            </w:tcMar>
            <w:vAlign w:val="bottom"/>
            <w:hideMark/>
          </w:tcPr>
          <w:p w14:paraId="671283F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14:paraId="4C5E1D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1967B8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8" w:type="pct"/>
            <w:tcBorders>
              <w:bottom w:val="single" w:sz="6" w:space="0" w:color="000000"/>
            </w:tcBorders>
            <w:shd w:val="clear" w:color="auto" w:fill="CFF0FC"/>
            <w:noWrap/>
            <w:tcMar>
              <w:top w:w="15" w:type="dxa"/>
              <w:left w:w="0" w:type="dxa"/>
              <w:bottom w:w="0" w:type="dxa"/>
              <w:right w:w="15" w:type="dxa"/>
            </w:tcMar>
            <w:vAlign w:val="bottom"/>
            <w:hideMark/>
          </w:tcPr>
          <w:p w14:paraId="150D7CC7" w14:textId="77777777" w:rsidR="00000000" w:rsidRDefault="00B8284C">
            <w:pPr>
              <w:pStyle w:val="a3"/>
              <w:spacing w:before="0" w:beforeAutospacing="0" w:after="0" w:afterAutospacing="0"/>
              <w:jc w:val="right"/>
              <w:rPr>
                <w:color w:val="000000"/>
                <w:sz w:val="20"/>
                <w:szCs w:val="20"/>
              </w:rPr>
            </w:pPr>
            <w:r>
              <w:rPr>
                <w:color w:val="000000"/>
                <w:sz w:val="20"/>
                <w:szCs w:val="20"/>
              </w:rPr>
              <w:t>1,860</w:t>
            </w:r>
          </w:p>
        </w:tc>
        <w:tc>
          <w:tcPr>
            <w:tcW w:w="50" w:type="pct"/>
            <w:shd w:val="clear" w:color="auto" w:fill="CFF0FC"/>
            <w:noWrap/>
            <w:tcMar>
              <w:top w:w="15" w:type="dxa"/>
              <w:left w:w="0" w:type="dxa"/>
              <w:bottom w:w="0" w:type="dxa"/>
              <w:right w:w="15" w:type="dxa"/>
            </w:tcMar>
            <w:vAlign w:val="bottom"/>
            <w:hideMark/>
          </w:tcPr>
          <w:p w14:paraId="4178A18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39EC74A" w14:textId="77777777">
        <w:trPr>
          <w:divId w:val="1235972027"/>
        </w:trPr>
        <w:tc>
          <w:tcPr>
            <w:tcW w:w="2515" w:type="pct"/>
            <w:shd w:val="clear" w:color="auto" w:fill="FFFFFF"/>
            <w:tcMar>
              <w:top w:w="15" w:type="dxa"/>
              <w:left w:w="0" w:type="dxa"/>
              <w:bottom w:w="0" w:type="dxa"/>
              <w:right w:w="15" w:type="dxa"/>
            </w:tcMar>
            <w:vAlign w:val="bottom"/>
            <w:hideMark/>
          </w:tcPr>
          <w:p w14:paraId="51DB4E97" w14:textId="77777777" w:rsidR="00000000" w:rsidRDefault="00B8284C">
            <w:pPr>
              <w:pStyle w:val="a3"/>
              <w:spacing w:before="0" w:beforeAutospacing="0" w:after="0" w:afterAutospacing="0"/>
              <w:ind w:left="274"/>
              <w:rPr>
                <w:color w:val="000000"/>
                <w:sz w:val="20"/>
                <w:szCs w:val="20"/>
              </w:rPr>
            </w:pPr>
            <w:r>
              <w:rPr>
                <w:color w:val="000000"/>
                <w:sz w:val="20"/>
                <w:szCs w:val="20"/>
              </w:rPr>
              <w:t>Total stock-based compensation expense</w:t>
            </w:r>
          </w:p>
        </w:tc>
        <w:tc>
          <w:tcPr>
            <w:tcW w:w="60" w:type="pct"/>
            <w:shd w:val="clear" w:color="auto" w:fill="FFFFFF"/>
            <w:tcMar>
              <w:top w:w="15" w:type="dxa"/>
              <w:left w:w="0" w:type="dxa"/>
              <w:bottom w:w="0" w:type="dxa"/>
              <w:right w:w="15" w:type="dxa"/>
            </w:tcMar>
            <w:vAlign w:val="bottom"/>
            <w:hideMark/>
          </w:tcPr>
          <w:p w14:paraId="6562C7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7A3F0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1D076BD" w14:textId="77777777" w:rsidR="00000000" w:rsidRDefault="00B8284C">
            <w:pPr>
              <w:pStyle w:val="a3"/>
              <w:spacing w:before="0" w:beforeAutospacing="0" w:after="0" w:afterAutospacing="0"/>
              <w:jc w:val="right"/>
              <w:rPr>
                <w:color w:val="000000"/>
                <w:sz w:val="20"/>
                <w:szCs w:val="20"/>
              </w:rPr>
            </w:pPr>
            <w:r>
              <w:rPr>
                <w:color w:val="000000"/>
                <w:sz w:val="20"/>
                <w:szCs w:val="20"/>
              </w:rPr>
              <w:t>23,791</w:t>
            </w:r>
          </w:p>
        </w:tc>
        <w:tc>
          <w:tcPr>
            <w:tcW w:w="50" w:type="pct"/>
            <w:shd w:val="clear" w:color="auto" w:fill="FFFFFF"/>
            <w:noWrap/>
            <w:tcMar>
              <w:top w:w="15" w:type="dxa"/>
              <w:left w:w="0" w:type="dxa"/>
              <w:bottom w:w="0" w:type="dxa"/>
              <w:right w:w="15" w:type="dxa"/>
            </w:tcMar>
            <w:vAlign w:val="bottom"/>
            <w:hideMark/>
          </w:tcPr>
          <w:p w14:paraId="3567F4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14:paraId="702BC76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8E41D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81AE01" w14:textId="77777777" w:rsidR="00000000" w:rsidRDefault="00B8284C">
            <w:pPr>
              <w:pStyle w:val="a3"/>
              <w:spacing w:before="0" w:beforeAutospacing="0" w:after="0" w:afterAutospacing="0"/>
              <w:jc w:val="right"/>
              <w:rPr>
                <w:color w:val="000000"/>
                <w:sz w:val="20"/>
                <w:szCs w:val="20"/>
              </w:rPr>
            </w:pPr>
            <w:r>
              <w:rPr>
                <w:color w:val="000000"/>
                <w:sz w:val="20"/>
                <w:szCs w:val="20"/>
              </w:rPr>
              <w:t>19,612</w:t>
            </w:r>
          </w:p>
        </w:tc>
        <w:tc>
          <w:tcPr>
            <w:tcW w:w="50" w:type="pct"/>
            <w:shd w:val="clear" w:color="auto" w:fill="FFFFFF"/>
            <w:noWrap/>
            <w:tcMar>
              <w:top w:w="15" w:type="dxa"/>
              <w:left w:w="0" w:type="dxa"/>
              <w:bottom w:w="0" w:type="dxa"/>
              <w:right w:w="15" w:type="dxa"/>
            </w:tcMar>
            <w:vAlign w:val="bottom"/>
            <w:hideMark/>
          </w:tcPr>
          <w:p w14:paraId="6FFD13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5ADC96B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8E289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B91C32" w14:textId="77777777" w:rsidR="00000000" w:rsidRDefault="00B8284C">
            <w:pPr>
              <w:pStyle w:val="a3"/>
              <w:spacing w:before="0" w:beforeAutospacing="0" w:after="0" w:afterAutospacing="0"/>
              <w:jc w:val="right"/>
              <w:rPr>
                <w:color w:val="000000"/>
                <w:sz w:val="20"/>
                <w:szCs w:val="20"/>
              </w:rPr>
            </w:pPr>
            <w:r>
              <w:rPr>
                <w:color w:val="000000"/>
                <w:sz w:val="20"/>
                <w:szCs w:val="20"/>
              </w:rPr>
              <w:t>73,659</w:t>
            </w:r>
          </w:p>
        </w:tc>
        <w:tc>
          <w:tcPr>
            <w:tcW w:w="50" w:type="pct"/>
            <w:shd w:val="clear" w:color="auto" w:fill="FFFFFF"/>
            <w:noWrap/>
            <w:tcMar>
              <w:top w:w="15" w:type="dxa"/>
              <w:left w:w="0" w:type="dxa"/>
              <w:bottom w:w="0" w:type="dxa"/>
              <w:right w:w="15" w:type="dxa"/>
            </w:tcMar>
            <w:vAlign w:val="bottom"/>
            <w:hideMark/>
          </w:tcPr>
          <w:p w14:paraId="137BB27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14:paraId="0B7A1BE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8E42B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A33F39" w14:textId="77777777" w:rsidR="00000000" w:rsidRDefault="00B8284C">
            <w:pPr>
              <w:pStyle w:val="a3"/>
              <w:spacing w:before="0" w:beforeAutospacing="0" w:after="0" w:afterAutospacing="0"/>
              <w:jc w:val="right"/>
              <w:rPr>
                <w:color w:val="000000"/>
                <w:sz w:val="20"/>
                <w:szCs w:val="20"/>
              </w:rPr>
            </w:pPr>
            <w:r>
              <w:rPr>
                <w:color w:val="000000"/>
                <w:sz w:val="20"/>
                <w:szCs w:val="20"/>
              </w:rPr>
              <w:t>55,334</w:t>
            </w:r>
          </w:p>
        </w:tc>
        <w:tc>
          <w:tcPr>
            <w:tcW w:w="50" w:type="pct"/>
            <w:shd w:val="clear" w:color="auto" w:fill="FFFFFF"/>
            <w:noWrap/>
            <w:tcMar>
              <w:top w:w="15" w:type="dxa"/>
              <w:left w:w="0" w:type="dxa"/>
              <w:bottom w:w="0" w:type="dxa"/>
              <w:right w:w="15" w:type="dxa"/>
            </w:tcMar>
            <w:vAlign w:val="bottom"/>
            <w:hideMark/>
          </w:tcPr>
          <w:p w14:paraId="63BD637E"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2D505F04" w14:textId="77777777" w:rsidR="00000000" w:rsidRDefault="00B8284C">
      <w:pPr>
        <w:pStyle w:val="a3"/>
        <w:spacing w:before="0" w:beforeAutospacing="0" w:after="0" w:afterAutospacing="0"/>
        <w:rPr>
          <w:sz w:val="20"/>
          <w:szCs w:val="20"/>
        </w:rPr>
      </w:pPr>
      <w:r>
        <w:rPr>
          <w:sz w:val="20"/>
          <w:szCs w:val="20"/>
        </w:rPr>
        <w:t> </w:t>
      </w:r>
    </w:p>
    <w:p w14:paraId="7F59DD1D" w14:textId="77777777" w:rsidR="00000000" w:rsidRDefault="00B8284C">
      <w:pPr>
        <w:pStyle w:val="a3"/>
        <w:spacing w:before="40" w:beforeAutospacing="0" w:after="0" w:afterAutospacing="0"/>
        <w:ind w:firstLine="556"/>
        <w:rPr>
          <w:sz w:val="20"/>
          <w:szCs w:val="20"/>
        </w:rPr>
      </w:pPr>
      <w:r>
        <w:rPr>
          <w:sz w:val="20"/>
          <w:szCs w:val="20"/>
        </w:rPr>
        <w:t>Effect of stock-based compensation expense on income by line item:</w:t>
      </w:r>
    </w:p>
    <w:p w14:paraId="3584985F"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14:paraId="70BC4DE9" w14:textId="77777777">
        <w:trPr>
          <w:divId w:val="699546309"/>
        </w:trPr>
        <w:tc>
          <w:tcPr>
            <w:tcW w:w="2517" w:type="pct"/>
            <w:shd w:val="clear" w:color="auto" w:fill="FFFFFF"/>
            <w:tcMar>
              <w:top w:w="15" w:type="dxa"/>
              <w:left w:w="0" w:type="dxa"/>
              <w:bottom w:w="0" w:type="dxa"/>
              <w:right w:w="15" w:type="dxa"/>
            </w:tcMar>
            <w:vAlign w:val="bottom"/>
            <w:hideMark/>
          </w:tcPr>
          <w:p w14:paraId="3AD651A6" w14:textId="77777777" w:rsidR="00000000" w:rsidRDefault="00B8284C">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4B071EAD"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6B30B6B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xml:space="preserve">Three Months End </w:t>
            </w:r>
          </w:p>
          <w:p w14:paraId="46DEDC4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14:paraId="6EB5806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40C163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1EBCD5F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14:paraId="4D69D92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3C35C5D5" w14:textId="77777777">
        <w:trPr>
          <w:divId w:val="699546309"/>
        </w:trPr>
        <w:tc>
          <w:tcPr>
            <w:tcW w:w="2517" w:type="pct"/>
            <w:shd w:val="clear" w:color="auto" w:fill="FFFFFF"/>
            <w:tcMar>
              <w:top w:w="15" w:type="dxa"/>
              <w:left w:w="0" w:type="dxa"/>
              <w:bottom w:w="0" w:type="dxa"/>
              <w:right w:w="15" w:type="dxa"/>
            </w:tcMar>
            <w:vAlign w:val="bottom"/>
            <w:hideMark/>
          </w:tcPr>
          <w:p w14:paraId="0305CBF3"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106DD6C3"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D4B42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B0F5D2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7775BB7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A4DE2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1EC559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29B60D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DEBE5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5381BB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48B463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tcMar>
              <w:top w:w="15" w:type="dxa"/>
              <w:left w:w="0" w:type="dxa"/>
              <w:bottom w:w="0" w:type="dxa"/>
              <w:right w:w="15" w:type="dxa"/>
            </w:tcMar>
            <w:vAlign w:val="bottom"/>
            <w:hideMark/>
          </w:tcPr>
          <w:p w14:paraId="7E11A1E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noWrap/>
            <w:tcMar>
              <w:top w:w="15" w:type="dxa"/>
              <w:left w:w="0" w:type="dxa"/>
              <w:bottom w:w="0" w:type="dxa"/>
              <w:right w:w="15" w:type="dxa"/>
            </w:tcMar>
            <w:vAlign w:val="bottom"/>
            <w:hideMark/>
          </w:tcPr>
          <w:p w14:paraId="057D8A7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3840DFB" w14:textId="77777777">
        <w:trPr>
          <w:divId w:val="699546309"/>
        </w:trPr>
        <w:tc>
          <w:tcPr>
            <w:tcW w:w="2517" w:type="pct"/>
            <w:shd w:val="clear" w:color="auto" w:fill="FFFFFF"/>
            <w:tcMar>
              <w:top w:w="15" w:type="dxa"/>
              <w:left w:w="0" w:type="dxa"/>
              <w:bottom w:w="0" w:type="dxa"/>
              <w:right w:w="15" w:type="dxa"/>
            </w:tcMar>
            <w:vAlign w:val="bottom"/>
            <w:hideMark/>
          </w:tcPr>
          <w:p w14:paraId="75F3449B"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109BF269"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49AF629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6866EAE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F4EF09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2270CC0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C5066C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AD74ABC" w14:textId="77777777">
        <w:trPr>
          <w:divId w:val="699546309"/>
        </w:trPr>
        <w:tc>
          <w:tcPr>
            <w:tcW w:w="2517" w:type="pct"/>
            <w:shd w:val="clear" w:color="auto" w:fill="CFF0FC"/>
            <w:tcMar>
              <w:top w:w="15" w:type="dxa"/>
              <w:left w:w="0" w:type="dxa"/>
              <w:bottom w:w="0" w:type="dxa"/>
              <w:right w:w="15" w:type="dxa"/>
            </w:tcMar>
            <w:vAlign w:val="bottom"/>
            <w:hideMark/>
          </w:tcPr>
          <w:p w14:paraId="4C190B4F" w14:textId="77777777" w:rsidR="00000000" w:rsidRDefault="00B8284C">
            <w:pPr>
              <w:pStyle w:val="a3"/>
              <w:spacing w:before="0" w:beforeAutospacing="0" w:after="0" w:afterAutospacing="0"/>
              <w:rPr>
                <w:color w:val="000000"/>
                <w:sz w:val="20"/>
                <w:szCs w:val="20"/>
              </w:rPr>
            </w:pPr>
            <w:r>
              <w:rPr>
                <w:color w:val="000000"/>
                <w:sz w:val="20"/>
                <w:szCs w:val="20"/>
              </w:rPr>
              <w:t>Cost of revenue, subscription</w:t>
            </w:r>
          </w:p>
        </w:tc>
        <w:tc>
          <w:tcPr>
            <w:tcW w:w="61" w:type="pct"/>
            <w:shd w:val="clear" w:color="auto" w:fill="CFF0FC"/>
            <w:tcMar>
              <w:top w:w="15" w:type="dxa"/>
              <w:left w:w="0" w:type="dxa"/>
              <w:bottom w:w="0" w:type="dxa"/>
              <w:right w:w="15" w:type="dxa"/>
            </w:tcMar>
            <w:vAlign w:val="bottom"/>
            <w:hideMark/>
          </w:tcPr>
          <w:p w14:paraId="77D3A73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C3012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0D105871" w14:textId="77777777" w:rsidR="00000000" w:rsidRDefault="00B8284C">
            <w:pPr>
              <w:pStyle w:val="a3"/>
              <w:spacing w:before="0" w:beforeAutospacing="0" w:after="0" w:afterAutospacing="0"/>
              <w:jc w:val="right"/>
              <w:rPr>
                <w:color w:val="000000"/>
                <w:sz w:val="20"/>
                <w:szCs w:val="20"/>
              </w:rPr>
            </w:pPr>
            <w:r>
              <w:rPr>
                <w:color w:val="000000"/>
                <w:sz w:val="20"/>
                <w:szCs w:val="20"/>
              </w:rPr>
              <w:t>854</w:t>
            </w:r>
          </w:p>
        </w:tc>
        <w:tc>
          <w:tcPr>
            <w:tcW w:w="50" w:type="pct"/>
            <w:shd w:val="clear" w:color="auto" w:fill="CFF0FC"/>
            <w:noWrap/>
            <w:tcMar>
              <w:top w:w="15" w:type="dxa"/>
              <w:left w:w="0" w:type="dxa"/>
              <w:bottom w:w="0" w:type="dxa"/>
              <w:right w:w="15" w:type="dxa"/>
            </w:tcMar>
            <w:vAlign w:val="bottom"/>
            <w:hideMark/>
          </w:tcPr>
          <w:p w14:paraId="471D92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4902C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001D5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3172D2F3" w14:textId="77777777" w:rsidR="00000000" w:rsidRDefault="00B8284C">
            <w:pPr>
              <w:pStyle w:val="a3"/>
              <w:spacing w:before="0" w:beforeAutospacing="0" w:after="0" w:afterAutospacing="0"/>
              <w:jc w:val="right"/>
              <w:rPr>
                <w:color w:val="000000"/>
                <w:sz w:val="20"/>
                <w:szCs w:val="20"/>
              </w:rPr>
            </w:pPr>
            <w:r>
              <w:rPr>
                <w:color w:val="000000"/>
                <w:sz w:val="20"/>
                <w:szCs w:val="20"/>
              </w:rPr>
              <w:t>391</w:t>
            </w:r>
          </w:p>
        </w:tc>
        <w:tc>
          <w:tcPr>
            <w:tcW w:w="50" w:type="pct"/>
            <w:shd w:val="clear" w:color="auto" w:fill="CFF0FC"/>
            <w:noWrap/>
            <w:tcMar>
              <w:top w:w="15" w:type="dxa"/>
              <w:left w:w="0" w:type="dxa"/>
              <w:bottom w:w="0" w:type="dxa"/>
              <w:right w:w="15" w:type="dxa"/>
            </w:tcMar>
            <w:vAlign w:val="bottom"/>
            <w:hideMark/>
          </w:tcPr>
          <w:p w14:paraId="1D13722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E0FB6D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E4FF3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6B1F968D" w14:textId="77777777" w:rsidR="00000000" w:rsidRDefault="00B8284C">
            <w:pPr>
              <w:pStyle w:val="a3"/>
              <w:spacing w:before="0" w:beforeAutospacing="0" w:after="0" w:afterAutospacing="0"/>
              <w:jc w:val="right"/>
              <w:rPr>
                <w:color w:val="000000"/>
                <w:sz w:val="20"/>
                <w:szCs w:val="20"/>
              </w:rPr>
            </w:pPr>
            <w:r>
              <w:rPr>
                <w:color w:val="000000"/>
                <w:sz w:val="20"/>
                <w:szCs w:val="20"/>
              </w:rPr>
              <w:t>2,291</w:t>
            </w:r>
          </w:p>
        </w:tc>
        <w:tc>
          <w:tcPr>
            <w:tcW w:w="50" w:type="pct"/>
            <w:shd w:val="clear" w:color="auto" w:fill="CFF0FC"/>
            <w:noWrap/>
            <w:tcMar>
              <w:top w:w="15" w:type="dxa"/>
              <w:left w:w="0" w:type="dxa"/>
              <w:bottom w:w="0" w:type="dxa"/>
              <w:right w:w="15" w:type="dxa"/>
            </w:tcMar>
            <w:vAlign w:val="bottom"/>
            <w:hideMark/>
          </w:tcPr>
          <w:p w14:paraId="35DF9A8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E3912D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940F4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211BF755" w14:textId="77777777" w:rsidR="00000000" w:rsidRDefault="00B8284C">
            <w:pPr>
              <w:pStyle w:val="a3"/>
              <w:spacing w:before="0" w:beforeAutospacing="0" w:after="0" w:afterAutospacing="0"/>
              <w:jc w:val="right"/>
              <w:rPr>
                <w:color w:val="000000"/>
                <w:sz w:val="20"/>
                <w:szCs w:val="20"/>
              </w:rPr>
            </w:pPr>
            <w:r>
              <w:rPr>
                <w:color w:val="000000"/>
                <w:sz w:val="20"/>
                <w:szCs w:val="20"/>
              </w:rPr>
              <w:t>985</w:t>
            </w:r>
          </w:p>
        </w:tc>
        <w:tc>
          <w:tcPr>
            <w:tcW w:w="50" w:type="pct"/>
            <w:shd w:val="clear" w:color="auto" w:fill="CFF0FC"/>
            <w:noWrap/>
            <w:tcMar>
              <w:top w:w="15" w:type="dxa"/>
              <w:left w:w="0" w:type="dxa"/>
              <w:bottom w:w="0" w:type="dxa"/>
              <w:right w:w="15" w:type="dxa"/>
            </w:tcMar>
            <w:vAlign w:val="bottom"/>
            <w:hideMark/>
          </w:tcPr>
          <w:p w14:paraId="48EC431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E7D5AE0" w14:textId="77777777">
        <w:trPr>
          <w:divId w:val="699546309"/>
        </w:trPr>
        <w:tc>
          <w:tcPr>
            <w:tcW w:w="2517" w:type="pct"/>
            <w:shd w:val="clear" w:color="auto" w:fill="FFFFFF"/>
            <w:tcMar>
              <w:top w:w="15" w:type="dxa"/>
              <w:left w:w="0" w:type="dxa"/>
              <w:bottom w:w="0" w:type="dxa"/>
              <w:right w:w="15" w:type="dxa"/>
            </w:tcMar>
            <w:vAlign w:val="bottom"/>
            <w:hideMark/>
          </w:tcPr>
          <w:p w14:paraId="205AE5AA" w14:textId="77777777" w:rsidR="00000000" w:rsidRDefault="00B8284C">
            <w:pPr>
              <w:pStyle w:val="a3"/>
              <w:spacing w:before="0" w:beforeAutospacing="0" w:after="0" w:afterAutospacing="0"/>
              <w:rPr>
                <w:color w:val="000000"/>
                <w:sz w:val="20"/>
                <w:szCs w:val="20"/>
              </w:rPr>
            </w:pPr>
            <w:r>
              <w:rPr>
                <w:color w:val="000000"/>
                <w:sz w:val="20"/>
                <w:szCs w:val="20"/>
              </w:rPr>
              <w:t>Cost of revenue, professional services and other</w:t>
            </w:r>
          </w:p>
        </w:tc>
        <w:tc>
          <w:tcPr>
            <w:tcW w:w="61" w:type="pct"/>
            <w:shd w:val="clear" w:color="auto" w:fill="FFFFFF"/>
            <w:tcMar>
              <w:top w:w="15" w:type="dxa"/>
              <w:left w:w="0" w:type="dxa"/>
              <w:bottom w:w="0" w:type="dxa"/>
              <w:right w:w="15" w:type="dxa"/>
            </w:tcMar>
            <w:vAlign w:val="bottom"/>
            <w:hideMark/>
          </w:tcPr>
          <w:p w14:paraId="5A297C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A000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951C599" w14:textId="77777777" w:rsidR="00000000" w:rsidRDefault="00B8284C">
            <w:pPr>
              <w:pStyle w:val="a3"/>
              <w:spacing w:before="0" w:beforeAutospacing="0" w:after="0" w:afterAutospacing="0"/>
              <w:jc w:val="right"/>
              <w:rPr>
                <w:color w:val="000000"/>
                <w:sz w:val="20"/>
                <w:szCs w:val="20"/>
              </w:rPr>
            </w:pPr>
            <w:r>
              <w:rPr>
                <w:color w:val="000000"/>
                <w:sz w:val="20"/>
                <w:szCs w:val="20"/>
              </w:rPr>
              <w:t>614</w:t>
            </w:r>
          </w:p>
        </w:tc>
        <w:tc>
          <w:tcPr>
            <w:tcW w:w="50" w:type="pct"/>
            <w:shd w:val="clear" w:color="auto" w:fill="FFFFFF"/>
            <w:noWrap/>
            <w:tcMar>
              <w:top w:w="15" w:type="dxa"/>
              <w:left w:w="0" w:type="dxa"/>
              <w:bottom w:w="0" w:type="dxa"/>
              <w:right w:w="15" w:type="dxa"/>
            </w:tcMar>
            <w:vAlign w:val="bottom"/>
            <w:hideMark/>
          </w:tcPr>
          <w:p w14:paraId="2116251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999F17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D25E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E82BAD1" w14:textId="77777777" w:rsidR="00000000" w:rsidRDefault="00B8284C">
            <w:pPr>
              <w:pStyle w:val="a3"/>
              <w:spacing w:before="0" w:beforeAutospacing="0" w:after="0" w:afterAutospacing="0"/>
              <w:jc w:val="right"/>
              <w:rPr>
                <w:color w:val="000000"/>
                <w:sz w:val="20"/>
                <w:szCs w:val="20"/>
              </w:rPr>
            </w:pPr>
            <w:r>
              <w:rPr>
                <w:color w:val="000000"/>
                <w:sz w:val="20"/>
                <w:szCs w:val="20"/>
              </w:rPr>
              <w:t>803</w:t>
            </w:r>
          </w:p>
        </w:tc>
        <w:tc>
          <w:tcPr>
            <w:tcW w:w="50" w:type="pct"/>
            <w:shd w:val="clear" w:color="auto" w:fill="FFFFFF"/>
            <w:noWrap/>
            <w:tcMar>
              <w:top w:w="15" w:type="dxa"/>
              <w:left w:w="0" w:type="dxa"/>
              <w:bottom w:w="0" w:type="dxa"/>
              <w:right w:w="15" w:type="dxa"/>
            </w:tcMar>
            <w:vAlign w:val="bottom"/>
            <w:hideMark/>
          </w:tcPr>
          <w:p w14:paraId="4845AB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3C21A1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6F40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F1D0DF1" w14:textId="77777777" w:rsidR="00000000" w:rsidRDefault="00B8284C">
            <w:pPr>
              <w:pStyle w:val="a3"/>
              <w:spacing w:before="0" w:beforeAutospacing="0" w:after="0" w:afterAutospacing="0"/>
              <w:jc w:val="right"/>
              <w:rPr>
                <w:color w:val="000000"/>
                <w:sz w:val="20"/>
                <w:szCs w:val="20"/>
              </w:rPr>
            </w:pPr>
            <w:r>
              <w:rPr>
                <w:color w:val="000000"/>
                <w:sz w:val="20"/>
                <w:szCs w:val="20"/>
              </w:rPr>
              <w:t>2,298</w:t>
            </w:r>
          </w:p>
        </w:tc>
        <w:tc>
          <w:tcPr>
            <w:tcW w:w="50" w:type="pct"/>
            <w:shd w:val="clear" w:color="auto" w:fill="FFFFFF"/>
            <w:noWrap/>
            <w:tcMar>
              <w:top w:w="15" w:type="dxa"/>
              <w:left w:w="0" w:type="dxa"/>
              <w:bottom w:w="0" w:type="dxa"/>
              <w:right w:w="15" w:type="dxa"/>
            </w:tcMar>
            <w:vAlign w:val="bottom"/>
            <w:hideMark/>
          </w:tcPr>
          <w:p w14:paraId="38AC9CD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1097F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76E9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0F908A2" w14:textId="77777777" w:rsidR="00000000" w:rsidRDefault="00B8284C">
            <w:pPr>
              <w:pStyle w:val="a3"/>
              <w:spacing w:before="0" w:beforeAutospacing="0" w:after="0" w:afterAutospacing="0"/>
              <w:jc w:val="right"/>
              <w:rPr>
                <w:color w:val="000000"/>
                <w:sz w:val="20"/>
                <w:szCs w:val="20"/>
              </w:rPr>
            </w:pPr>
            <w:r>
              <w:rPr>
                <w:color w:val="000000"/>
                <w:sz w:val="20"/>
                <w:szCs w:val="20"/>
              </w:rPr>
              <w:t>2,339</w:t>
            </w:r>
          </w:p>
        </w:tc>
        <w:tc>
          <w:tcPr>
            <w:tcW w:w="50" w:type="pct"/>
            <w:shd w:val="clear" w:color="auto" w:fill="FFFFFF"/>
            <w:noWrap/>
            <w:tcMar>
              <w:top w:w="15" w:type="dxa"/>
              <w:left w:w="0" w:type="dxa"/>
              <w:bottom w:w="0" w:type="dxa"/>
              <w:right w:w="15" w:type="dxa"/>
            </w:tcMar>
            <w:vAlign w:val="bottom"/>
            <w:hideMark/>
          </w:tcPr>
          <w:p w14:paraId="3CCCF91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CBC5A60" w14:textId="77777777">
        <w:trPr>
          <w:divId w:val="699546309"/>
        </w:trPr>
        <w:tc>
          <w:tcPr>
            <w:tcW w:w="2517" w:type="pct"/>
            <w:shd w:val="clear" w:color="auto" w:fill="CFF0FC"/>
            <w:tcMar>
              <w:top w:w="15" w:type="dxa"/>
              <w:left w:w="0" w:type="dxa"/>
              <w:bottom w:w="0" w:type="dxa"/>
              <w:right w:w="15" w:type="dxa"/>
            </w:tcMar>
            <w:vAlign w:val="bottom"/>
            <w:hideMark/>
          </w:tcPr>
          <w:p w14:paraId="4A140397" w14:textId="77777777" w:rsidR="00000000" w:rsidRDefault="00B8284C">
            <w:pPr>
              <w:pStyle w:val="a3"/>
              <w:spacing w:before="0" w:beforeAutospacing="0" w:after="0" w:afterAutospacing="0"/>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7CDA84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28A17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FC6A067" w14:textId="77777777" w:rsidR="00000000" w:rsidRDefault="00B8284C">
            <w:pPr>
              <w:pStyle w:val="a3"/>
              <w:spacing w:before="0" w:beforeAutospacing="0" w:after="0" w:afterAutospacing="0"/>
              <w:jc w:val="right"/>
              <w:rPr>
                <w:color w:val="000000"/>
                <w:sz w:val="20"/>
                <w:szCs w:val="20"/>
              </w:rPr>
            </w:pPr>
            <w:r>
              <w:rPr>
                <w:color w:val="000000"/>
                <w:sz w:val="20"/>
                <w:szCs w:val="20"/>
              </w:rPr>
              <w:t>8,019</w:t>
            </w:r>
          </w:p>
        </w:tc>
        <w:tc>
          <w:tcPr>
            <w:tcW w:w="50" w:type="pct"/>
            <w:shd w:val="clear" w:color="auto" w:fill="CFF0FC"/>
            <w:noWrap/>
            <w:tcMar>
              <w:top w:w="15" w:type="dxa"/>
              <w:left w:w="0" w:type="dxa"/>
              <w:bottom w:w="0" w:type="dxa"/>
              <w:right w:w="15" w:type="dxa"/>
            </w:tcMar>
            <w:vAlign w:val="bottom"/>
            <w:hideMark/>
          </w:tcPr>
          <w:p w14:paraId="420471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F7A6C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AD2DF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CCA5F96" w14:textId="77777777" w:rsidR="00000000" w:rsidRDefault="00B8284C">
            <w:pPr>
              <w:pStyle w:val="a3"/>
              <w:spacing w:before="0" w:beforeAutospacing="0" w:after="0" w:afterAutospacing="0"/>
              <w:jc w:val="right"/>
              <w:rPr>
                <w:color w:val="000000"/>
                <w:sz w:val="20"/>
                <w:szCs w:val="20"/>
              </w:rPr>
            </w:pPr>
            <w:r>
              <w:rPr>
                <w:color w:val="000000"/>
                <w:sz w:val="20"/>
                <w:szCs w:val="20"/>
              </w:rPr>
              <w:t>5,990</w:t>
            </w:r>
          </w:p>
        </w:tc>
        <w:tc>
          <w:tcPr>
            <w:tcW w:w="50" w:type="pct"/>
            <w:shd w:val="clear" w:color="auto" w:fill="CFF0FC"/>
            <w:noWrap/>
            <w:tcMar>
              <w:top w:w="15" w:type="dxa"/>
              <w:left w:w="0" w:type="dxa"/>
              <w:bottom w:w="0" w:type="dxa"/>
              <w:right w:w="15" w:type="dxa"/>
            </w:tcMar>
            <w:vAlign w:val="bottom"/>
            <w:hideMark/>
          </w:tcPr>
          <w:p w14:paraId="0AC1D0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857D61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BD40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3557498" w14:textId="77777777" w:rsidR="00000000" w:rsidRDefault="00B8284C">
            <w:pPr>
              <w:pStyle w:val="a3"/>
              <w:spacing w:before="0" w:beforeAutospacing="0" w:after="0" w:afterAutospacing="0"/>
              <w:jc w:val="right"/>
              <w:rPr>
                <w:color w:val="000000"/>
                <w:sz w:val="20"/>
                <w:szCs w:val="20"/>
              </w:rPr>
            </w:pPr>
            <w:r>
              <w:rPr>
                <w:color w:val="000000"/>
                <w:sz w:val="20"/>
                <w:szCs w:val="20"/>
              </w:rPr>
              <w:t>25,663</w:t>
            </w:r>
          </w:p>
        </w:tc>
        <w:tc>
          <w:tcPr>
            <w:tcW w:w="50" w:type="pct"/>
            <w:shd w:val="clear" w:color="auto" w:fill="CFF0FC"/>
            <w:noWrap/>
            <w:tcMar>
              <w:top w:w="15" w:type="dxa"/>
              <w:left w:w="0" w:type="dxa"/>
              <w:bottom w:w="0" w:type="dxa"/>
              <w:right w:w="15" w:type="dxa"/>
            </w:tcMar>
            <w:vAlign w:val="bottom"/>
            <w:hideMark/>
          </w:tcPr>
          <w:p w14:paraId="7066B3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EFC40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48BA9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72B9CC8" w14:textId="77777777" w:rsidR="00000000" w:rsidRDefault="00B8284C">
            <w:pPr>
              <w:pStyle w:val="a3"/>
              <w:spacing w:before="0" w:beforeAutospacing="0" w:after="0" w:afterAutospacing="0"/>
              <w:jc w:val="right"/>
              <w:rPr>
                <w:color w:val="000000"/>
                <w:sz w:val="20"/>
                <w:szCs w:val="20"/>
              </w:rPr>
            </w:pPr>
            <w:r>
              <w:rPr>
                <w:color w:val="000000"/>
                <w:sz w:val="20"/>
                <w:szCs w:val="20"/>
              </w:rPr>
              <w:t>16,866</w:t>
            </w:r>
          </w:p>
        </w:tc>
        <w:tc>
          <w:tcPr>
            <w:tcW w:w="50" w:type="pct"/>
            <w:shd w:val="clear" w:color="auto" w:fill="CFF0FC"/>
            <w:noWrap/>
            <w:tcMar>
              <w:top w:w="15" w:type="dxa"/>
              <w:left w:w="0" w:type="dxa"/>
              <w:bottom w:w="0" w:type="dxa"/>
              <w:right w:w="15" w:type="dxa"/>
            </w:tcMar>
            <w:vAlign w:val="bottom"/>
            <w:hideMark/>
          </w:tcPr>
          <w:p w14:paraId="0F2A81A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9ADC170" w14:textId="77777777">
        <w:trPr>
          <w:divId w:val="699546309"/>
        </w:trPr>
        <w:tc>
          <w:tcPr>
            <w:tcW w:w="2517" w:type="pct"/>
            <w:shd w:val="clear" w:color="auto" w:fill="FFFFFF"/>
            <w:tcMar>
              <w:top w:w="15" w:type="dxa"/>
              <w:left w:w="0" w:type="dxa"/>
              <w:bottom w:w="0" w:type="dxa"/>
              <w:right w:w="15" w:type="dxa"/>
            </w:tcMar>
            <w:vAlign w:val="bottom"/>
            <w:hideMark/>
          </w:tcPr>
          <w:p w14:paraId="10E40100" w14:textId="77777777" w:rsidR="00000000" w:rsidRDefault="00B8284C">
            <w:pPr>
              <w:pStyle w:val="a3"/>
              <w:spacing w:before="0" w:beforeAutospacing="0" w:after="0" w:afterAutospacing="0"/>
              <w:rPr>
                <w:color w:val="000000"/>
                <w:sz w:val="20"/>
                <w:szCs w:val="20"/>
              </w:rPr>
            </w:pPr>
            <w:r>
              <w:rPr>
                <w:color w:val="000000"/>
                <w:sz w:val="20"/>
                <w:szCs w:val="20"/>
              </w:rPr>
              <w:t>Sales and marketing</w:t>
            </w:r>
          </w:p>
        </w:tc>
        <w:tc>
          <w:tcPr>
            <w:tcW w:w="61" w:type="pct"/>
            <w:shd w:val="clear" w:color="auto" w:fill="FFFFFF"/>
            <w:tcMar>
              <w:top w:w="15" w:type="dxa"/>
              <w:left w:w="0" w:type="dxa"/>
              <w:bottom w:w="0" w:type="dxa"/>
              <w:right w:w="15" w:type="dxa"/>
            </w:tcMar>
            <w:vAlign w:val="bottom"/>
            <w:hideMark/>
          </w:tcPr>
          <w:p w14:paraId="160714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B0E2C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4F7B88B" w14:textId="77777777" w:rsidR="00000000" w:rsidRDefault="00B8284C">
            <w:pPr>
              <w:pStyle w:val="a3"/>
              <w:spacing w:before="0" w:beforeAutospacing="0" w:after="0" w:afterAutospacing="0"/>
              <w:jc w:val="right"/>
              <w:rPr>
                <w:color w:val="000000"/>
                <w:sz w:val="20"/>
                <w:szCs w:val="20"/>
              </w:rPr>
            </w:pPr>
            <w:r>
              <w:rPr>
                <w:color w:val="000000"/>
                <w:sz w:val="20"/>
                <w:szCs w:val="20"/>
              </w:rPr>
              <w:t>8,947</w:t>
            </w:r>
          </w:p>
        </w:tc>
        <w:tc>
          <w:tcPr>
            <w:tcW w:w="50" w:type="pct"/>
            <w:shd w:val="clear" w:color="auto" w:fill="FFFFFF"/>
            <w:noWrap/>
            <w:tcMar>
              <w:top w:w="15" w:type="dxa"/>
              <w:left w:w="0" w:type="dxa"/>
              <w:bottom w:w="0" w:type="dxa"/>
              <w:right w:w="15" w:type="dxa"/>
            </w:tcMar>
            <w:vAlign w:val="bottom"/>
            <w:hideMark/>
          </w:tcPr>
          <w:p w14:paraId="4E6F695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328F4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4A70B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3D2CCCF" w14:textId="77777777" w:rsidR="00000000" w:rsidRDefault="00B8284C">
            <w:pPr>
              <w:pStyle w:val="a3"/>
              <w:spacing w:before="0" w:beforeAutospacing="0" w:after="0" w:afterAutospacing="0"/>
              <w:jc w:val="right"/>
              <w:rPr>
                <w:color w:val="000000"/>
                <w:sz w:val="20"/>
                <w:szCs w:val="20"/>
              </w:rPr>
            </w:pPr>
            <w:r>
              <w:rPr>
                <w:color w:val="000000"/>
                <w:sz w:val="20"/>
                <w:szCs w:val="20"/>
              </w:rPr>
              <w:t>7,898</w:t>
            </w:r>
          </w:p>
        </w:tc>
        <w:tc>
          <w:tcPr>
            <w:tcW w:w="50" w:type="pct"/>
            <w:shd w:val="clear" w:color="auto" w:fill="FFFFFF"/>
            <w:noWrap/>
            <w:tcMar>
              <w:top w:w="15" w:type="dxa"/>
              <w:left w:w="0" w:type="dxa"/>
              <w:bottom w:w="0" w:type="dxa"/>
              <w:right w:w="15" w:type="dxa"/>
            </w:tcMar>
            <w:vAlign w:val="bottom"/>
            <w:hideMark/>
          </w:tcPr>
          <w:p w14:paraId="0908013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32235B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72F4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F24A36C" w14:textId="77777777" w:rsidR="00000000" w:rsidRDefault="00B8284C">
            <w:pPr>
              <w:pStyle w:val="a3"/>
              <w:spacing w:before="0" w:beforeAutospacing="0" w:after="0" w:afterAutospacing="0"/>
              <w:jc w:val="right"/>
              <w:rPr>
                <w:color w:val="000000"/>
                <w:sz w:val="20"/>
                <w:szCs w:val="20"/>
              </w:rPr>
            </w:pPr>
            <w:r>
              <w:rPr>
                <w:color w:val="000000"/>
                <w:sz w:val="20"/>
                <w:szCs w:val="20"/>
              </w:rPr>
              <w:t>27,275</w:t>
            </w:r>
          </w:p>
        </w:tc>
        <w:tc>
          <w:tcPr>
            <w:tcW w:w="50" w:type="pct"/>
            <w:shd w:val="clear" w:color="auto" w:fill="FFFFFF"/>
            <w:noWrap/>
            <w:tcMar>
              <w:top w:w="15" w:type="dxa"/>
              <w:left w:w="0" w:type="dxa"/>
              <w:bottom w:w="0" w:type="dxa"/>
              <w:right w:w="15" w:type="dxa"/>
            </w:tcMar>
            <w:vAlign w:val="bottom"/>
            <w:hideMark/>
          </w:tcPr>
          <w:p w14:paraId="2B9E441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1A8239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6A38E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8153EFF" w14:textId="77777777" w:rsidR="00000000" w:rsidRDefault="00B8284C">
            <w:pPr>
              <w:pStyle w:val="a3"/>
              <w:spacing w:before="0" w:beforeAutospacing="0" w:after="0" w:afterAutospacing="0"/>
              <w:jc w:val="right"/>
              <w:rPr>
                <w:color w:val="000000"/>
                <w:sz w:val="20"/>
                <w:szCs w:val="20"/>
              </w:rPr>
            </w:pPr>
            <w:r>
              <w:rPr>
                <w:color w:val="000000"/>
                <w:sz w:val="20"/>
                <w:szCs w:val="20"/>
              </w:rPr>
              <w:t>22,327</w:t>
            </w:r>
          </w:p>
        </w:tc>
        <w:tc>
          <w:tcPr>
            <w:tcW w:w="50" w:type="pct"/>
            <w:shd w:val="clear" w:color="auto" w:fill="FFFFFF"/>
            <w:noWrap/>
            <w:tcMar>
              <w:top w:w="15" w:type="dxa"/>
              <w:left w:w="0" w:type="dxa"/>
              <w:bottom w:w="0" w:type="dxa"/>
              <w:right w:w="15" w:type="dxa"/>
            </w:tcMar>
            <w:vAlign w:val="bottom"/>
            <w:hideMark/>
          </w:tcPr>
          <w:p w14:paraId="221E910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169A843" w14:textId="77777777">
        <w:trPr>
          <w:divId w:val="699546309"/>
        </w:trPr>
        <w:tc>
          <w:tcPr>
            <w:tcW w:w="2517" w:type="pct"/>
            <w:shd w:val="clear" w:color="auto" w:fill="CFF0FC"/>
            <w:tcMar>
              <w:top w:w="15" w:type="dxa"/>
              <w:left w:w="0" w:type="dxa"/>
              <w:bottom w:w="0" w:type="dxa"/>
              <w:right w:w="15" w:type="dxa"/>
            </w:tcMar>
            <w:vAlign w:val="bottom"/>
            <w:hideMark/>
          </w:tcPr>
          <w:p w14:paraId="69E292A4" w14:textId="77777777" w:rsidR="00000000" w:rsidRDefault="00B8284C">
            <w:pPr>
              <w:pStyle w:val="a3"/>
              <w:spacing w:before="0" w:beforeAutospacing="0" w:after="0" w:afterAutospacing="0"/>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14:paraId="34209D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3AD4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5F1C7C9" w14:textId="77777777" w:rsidR="00000000" w:rsidRDefault="00B8284C">
            <w:pPr>
              <w:pStyle w:val="a3"/>
              <w:spacing w:before="0" w:beforeAutospacing="0" w:after="0" w:afterAutospacing="0"/>
              <w:jc w:val="right"/>
              <w:rPr>
                <w:color w:val="000000"/>
                <w:sz w:val="20"/>
                <w:szCs w:val="20"/>
              </w:rPr>
            </w:pPr>
            <w:r>
              <w:rPr>
                <w:color w:val="000000"/>
                <w:sz w:val="20"/>
                <w:szCs w:val="20"/>
              </w:rPr>
              <w:t>5,357</w:t>
            </w:r>
          </w:p>
        </w:tc>
        <w:tc>
          <w:tcPr>
            <w:tcW w:w="50" w:type="pct"/>
            <w:shd w:val="clear" w:color="auto" w:fill="CFF0FC"/>
            <w:noWrap/>
            <w:tcMar>
              <w:top w:w="15" w:type="dxa"/>
              <w:left w:w="0" w:type="dxa"/>
              <w:bottom w:w="0" w:type="dxa"/>
              <w:right w:w="15" w:type="dxa"/>
            </w:tcMar>
            <w:vAlign w:val="bottom"/>
            <w:hideMark/>
          </w:tcPr>
          <w:p w14:paraId="278A0EE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669DC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2ACF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376EFB1" w14:textId="77777777" w:rsidR="00000000" w:rsidRDefault="00B8284C">
            <w:pPr>
              <w:pStyle w:val="a3"/>
              <w:spacing w:before="0" w:beforeAutospacing="0" w:after="0" w:afterAutospacing="0"/>
              <w:jc w:val="right"/>
              <w:rPr>
                <w:color w:val="000000"/>
                <w:sz w:val="20"/>
                <w:szCs w:val="20"/>
              </w:rPr>
            </w:pPr>
            <w:r>
              <w:rPr>
                <w:color w:val="000000"/>
                <w:sz w:val="20"/>
                <w:szCs w:val="20"/>
              </w:rPr>
              <w:t>4,530</w:t>
            </w:r>
          </w:p>
        </w:tc>
        <w:tc>
          <w:tcPr>
            <w:tcW w:w="50" w:type="pct"/>
            <w:shd w:val="clear" w:color="auto" w:fill="CFF0FC"/>
            <w:noWrap/>
            <w:tcMar>
              <w:top w:w="15" w:type="dxa"/>
              <w:left w:w="0" w:type="dxa"/>
              <w:bottom w:w="0" w:type="dxa"/>
              <w:right w:w="15" w:type="dxa"/>
            </w:tcMar>
            <w:vAlign w:val="bottom"/>
            <w:hideMark/>
          </w:tcPr>
          <w:p w14:paraId="44D62F2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7DC649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D0C5BF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E2FC08F" w14:textId="77777777" w:rsidR="00000000" w:rsidRDefault="00B8284C">
            <w:pPr>
              <w:pStyle w:val="a3"/>
              <w:spacing w:before="0" w:beforeAutospacing="0" w:after="0" w:afterAutospacing="0"/>
              <w:jc w:val="right"/>
              <w:rPr>
                <w:color w:val="000000"/>
                <w:sz w:val="20"/>
                <w:szCs w:val="20"/>
              </w:rPr>
            </w:pPr>
            <w:r>
              <w:rPr>
                <w:color w:val="000000"/>
                <w:sz w:val="20"/>
                <w:szCs w:val="20"/>
              </w:rPr>
              <w:t>16,132</w:t>
            </w:r>
          </w:p>
        </w:tc>
        <w:tc>
          <w:tcPr>
            <w:tcW w:w="50" w:type="pct"/>
            <w:shd w:val="clear" w:color="auto" w:fill="CFF0FC"/>
            <w:noWrap/>
            <w:tcMar>
              <w:top w:w="15" w:type="dxa"/>
              <w:left w:w="0" w:type="dxa"/>
              <w:bottom w:w="0" w:type="dxa"/>
              <w:right w:w="15" w:type="dxa"/>
            </w:tcMar>
            <w:vAlign w:val="bottom"/>
            <w:hideMark/>
          </w:tcPr>
          <w:p w14:paraId="78FAF48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E83E3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4B37E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50E8E4E" w14:textId="77777777" w:rsidR="00000000" w:rsidRDefault="00B8284C">
            <w:pPr>
              <w:pStyle w:val="a3"/>
              <w:spacing w:before="0" w:beforeAutospacing="0" w:after="0" w:afterAutospacing="0"/>
              <w:jc w:val="right"/>
              <w:rPr>
                <w:color w:val="000000"/>
                <w:sz w:val="20"/>
                <w:szCs w:val="20"/>
              </w:rPr>
            </w:pPr>
            <w:r>
              <w:rPr>
                <w:color w:val="000000"/>
                <w:sz w:val="20"/>
                <w:szCs w:val="20"/>
              </w:rPr>
              <w:t>12,817</w:t>
            </w:r>
          </w:p>
        </w:tc>
        <w:tc>
          <w:tcPr>
            <w:tcW w:w="50" w:type="pct"/>
            <w:shd w:val="clear" w:color="auto" w:fill="CFF0FC"/>
            <w:noWrap/>
            <w:tcMar>
              <w:top w:w="15" w:type="dxa"/>
              <w:left w:w="0" w:type="dxa"/>
              <w:bottom w:w="0" w:type="dxa"/>
              <w:right w:w="15" w:type="dxa"/>
            </w:tcMar>
            <w:vAlign w:val="bottom"/>
            <w:hideMark/>
          </w:tcPr>
          <w:p w14:paraId="7A7624A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CB91888" w14:textId="77777777">
        <w:trPr>
          <w:divId w:val="699546309"/>
        </w:trPr>
        <w:tc>
          <w:tcPr>
            <w:tcW w:w="2517" w:type="pct"/>
            <w:shd w:val="clear" w:color="auto" w:fill="FFFFFF"/>
            <w:tcMar>
              <w:top w:w="15" w:type="dxa"/>
              <w:left w:w="0" w:type="dxa"/>
              <w:bottom w:w="0" w:type="dxa"/>
              <w:right w:w="15" w:type="dxa"/>
            </w:tcMar>
            <w:vAlign w:val="bottom"/>
            <w:hideMark/>
          </w:tcPr>
          <w:p w14:paraId="6D68DACB" w14:textId="77777777" w:rsidR="00000000" w:rsidRDefault="00B8284C">
            <w:pPr>
              <w:pStyle w:val="a3"/>
              <w:spacing w:before="0" w:beforeAutospacing="0" w:after="0" w:afterAutospacing="0"/>
              <w:rPr>
                <w:color w:val="000000"/>
                <w:sz w:val="20"/>
                <w:szCs w:val="20"/>
              </w:rPr>
            </w:pPr>
            <w:r>
              <w:rPr>
                <w:color w:val="000000"/>
                <w:sz w:val="20"/>
                <w:szCs w:val="20"/>
              </w:rPr>
              <w:t>Total stock-based compensation expense</w:t>
            </w:r>
          </w:p>
        </w:tc>
        <w:tc>
          <w:tcPr>
            <w:tcW w:w="61" w:type="pct"/>
            <w:shd w:val="clear" w:color="auto" w:fill="FFFFFF"/>
            <w:tcMar>
              <w:top w:w="15" w:type="dxa"/>
              <w:left w:w="0" w:type="dxa"/>
              <w:bottom w:w="0" w:type="dxa"/>
              <w:right w:w="15" w:type="dxa"/>
            </w:tcMar>
            <w:vAlign w:val="bottom"/>
            <w:hideMark/>
          </w:tcPr>
          <w:p w14:paraId="6A9E906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15FC8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84D933" w14:textId="77777777" w:rsidR="00000000" w:rsidRDefault="00B8284C">
            <w:pPr>
              <w:pStyle w:val="a3"/>
              <w:spacing w:before="0" w:beforeAutospacing="0" w:after="0" w:afterAutospacing="0"/>
              <w:jc w:val="right"/>
              <w:rPr>
                <w:color w:val="000000"/>
                <w:sz w:val="20"/>
                <w:szCs w:val="20"/>
              </w:rPr>
            </w:pPr>
            <w:r>
              <w:rPr>
                <w:color w:val="000000"/>
                <w:sz w:val="20"/>
                <w:szCs w:val="20"/>
              </w:rPr>
              <w:t>23,791</w:t>
            </w:r>
          </w:p>
        </w:tc>
        <w:tc>
          <w:tcPr>
            <w:tcW w:w="50" w:type="pct"/>
            <w:shd w:val="clear" w:color="auto" w:fill="FFFFFF"/>
            <w:noWrap/>
            <w:tcMar>
              <w:top w:w="15" w:type="dxa"/>
              <w:left w:w="0" w:type="dxa"/>
              <w:bottom w:w="0" w:type="dxa"/>
              <w:right w:w="15" w:type="dxa"/>
            </w:tcMar>
            <w:vAlign w:val="bottom"/>
            <w:hideMark/>
          </w:tcPr>
          <w:p w14:paraId="718D486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42061B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5103A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4058ED5" w14:textId="77777777" w:rsidR="00000000" w:rsidRDefault="00B8284C">
            <w:pPr>
              <w:pStyle w:val="a3"/>
              <w:spacing w:before="0" w:beforeAutospacing="0" w:after="0" w:afterAutospacing="0"/>
              <w:jc w:val="right"/>
              <w:rPr>
                <w:color w:val="000000"/>
                <w:sz w:val="20"/>
                <w:szCs w:val="20"/>
              </w:rPr>
            </w:pPr>
            <w:r>
              <w:rPr>
                <w:color w:val="000000"/>
                <w:sz w:val="20"/>
                <w:szCs w:val="20"/>
              </w:rPr>
              <w:t>19,612</w:t>
            </w:r>
          </w:p>
        </w:tc>
        <w:tc>
          <w:tcPr>
            <w:tcW w:w="50" w:type="pct"/>
            <w:shd w:val="clear" w:color="auto" w:fill="FFFFFF"/>
            <w:noWrap/>
            <w:tcMar>
              <w:top w:w="15" w:type="dxa"/>
              <w:left w:w="0" w:type="dxa"/>
              <w:bottom w:w="0" w:type="dxa"/>
              <w:right w:w="15" w:type="dxa"/>
            </w:tcMar>
            <w:vAlign w:val="bottom"/>
            <w:hideMark/>
          </w:tcPr>
          <w:p w14:paraId="54455C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402C26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E9C9A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EA07C0" w14:textId="77777777" w:rsidR="00000000" w:rsidRDefault="00B8284C">
            <w:pPr>
              <w:pStyle w:val="a3"/>
              <w:spacing w:before="0" w:beforeAutospacing="0" w:after="0" w:afterAutospacing="0"/>
              <w:jc w:val="right"/>
              <w:rPr>
                <w:color w:val="000000"/>
                <w:sz w:val="20"/>
                <w:szCs w:val="20"/>
              </w:rPr>
            </w:pPr>
            <w:r>
              <w:rPr>
                <w:color w:val="000000"/>
                <w:sz w:val="20"/>
                <w:szCs w:val="20"/>
              </w:rPr>
              <w:t>73,659</w:t>
            </w:r>
          </w:p>
        </w:tc>
        <w:tc>
          <w:tcPr>
            <w:tcW w:w="50" w:type="pct"/>
            <w:shd w:val="clear" w:color="auto" w:fill="FFFFFF"/>
            <w:noWrap/>
            <w:tcMar>
              <w:top w:w="15" w:type="dxa"/>
              <w:left w:w="0" w:type="dxa"/>
              <w:bottom w:w="0" w:type="dxa"/>
              <w:right w:w="15" w:type="dxa"/>
            </w:tcMar>
            <w:vAlign w:val="bottom"/>
            <w:hideMark/>
          </w:tcPr>
          <w:p w14:paraId="1C3822C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09BC1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6D73C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007377" w14:textId="77777777" w:rsidR="00000000" w:rsidRDefault="00B8284C">
            <w:pPr>
              <w:pStyle w:val="a3"/>
              <w:spacing w:before="0" w:beforeAutospacing="0" w:after="0" w:afterAutospacing="0"/>
              <w:jc w:val="right"/>
              <w:rPr>
                <w:color w:val="000000"/>
                <w:sz w:val="20"/>
                <w:szCs w:val="20"/>
              </w:rPr>
            </w:pPr>
            <w:r>
              <w:rPr>
                <w:color w:val="000000"/>
                <w:sz w:val="20"/>
                <w:szCs w:val="20"/>
              </w:rPr>
              <w:t>55,334</w:t>
            </w:r>
          </w:p>
        </w:tc>
        <w:tc>
          <w:tcPr>
            <w:tcW w:w="50" w:type="pct"/>
            <w:shd w:val="clear" w:color="auto" w:fill="FFFFFF"/>
            <w:noWrap/>
            <w:tcMar>
              <w:top w:w="15" w:type="dxa"/>
              <w:left w:w="0" w:type="dxa"/>
              <w:bottom w:w="0" w:type="dxa"/>
              <w:right w:w="15" w:type="dxa"/>
            </w:tcMar>
            <w:vAlign w:val="bottom"/>
            <w:hideMark/>
          </w:tcPr>
          <w:p w14:paraId="585A5699"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03EED0EF" w14:textId="77777777" w:rsidR="00000000" w:rsidRDefault="00B8284C">
      <w:pPr>
        <w:pStyle w:val="a3"/>
        <w:spacing w:before="0" w:beforeAutospacing="0" w:after="0" w:afterAutospacing="0"/>
        <w:rPr>
          <w:sz w:val="20"/>
          <w:szCs w:val="20"/>
        </w:rPr>
      </w:pPr>
      <w:r>
        <w:rPr>
          <w:sz w:val="20"/>
          <w:szCs w:val="20"/>
        </w:rPr>
        <w:t> </w:t>
      </w:r>
    </w:p>
    <w:p w14:paraId="7BD204C9" w14:textId="77777777" w:rsidR="00000000" w:rsidRDefault="00B8284C">
      <w:pPr>
        <w:pStyle w:val="a3"/>
        <w:spacing w:before="40" w:beforeAutospacing="0" w:after="0" w:afterAutospacing="0"/>
        <w:ind w:firstLine="556"/>
        <w:rPr>
          <w:sz w:val="20"/>
          <w:szCs w:val="20"/>
        </w:rPr>
      </w:pPr>
      <w:r>
        <w:rPr>
          <w:sz w:val="20"/>
          <w:szCs w:val="20"/>
        </w:rPr>
        <w:t>Capitalized software development costs excluded from stock-based compensation expense is $640 thousand for the three months ended September 30, 2019, $1.8 million for the nine months ended September 30, 2019, $563 thousand for the three months ended Septem</w:t>
      </w:r>
      <w:r>
        <w:rPr>
          <w:sz w:val="20"/>
          <w:szCs w:val="20"/>
        </w:rPr>
        <w:t>ber 30, 2018, and $1.9 million for the nine months ended September 30, 2018.</w:t>
      </w:r>
    </w:p>
    <w:p w14:paraId="430E9A6A" w14:textId="77777777" w:rsidR="00000000" w:rsidRDefault="00B8284C">
      <w:pPr>
        <w:pStyle w:val="a3"/>
        <w:spacing w:before="0" w:beforeAutospacing="0" w:after="0" w:afterAutospacing="0"/>
        <w:rPr>
          <w:sz w:val="18"/>
          <w:szCs w:val="18"/>
        </w:rPr>
      </w:pPr>
      <w:r>
        <w:rPr>
          <w:sz w:val="18"/>
          <w:szCs w:val="18"/>
        </w:rPr>
        <w:t> </w:t>
      </w:r>
    </w:p>
    <w:p w14:paraId="2246B70A" w14:textId="77777777" w:rsidR="00000000" w:rsidRDefault="00B8284C">
      <w:pPr>
        <w:pStyle w:val="a3"/>
        <w:spacing w:before="0" w:beforeAutospacing="0" w:after="0" w:afterAutospacing="0"/>
        <w:rPr>
          <w:sz w:val="18"/>
          <w:szCs w:val="18"/>
        </w:rPr>
      </w:pPr>
      <w:r>
        <w:rPr>
          <w:sz w:val="18"/>
          <w:szCs w:val="18"/>
        </w:rPr>
        <w:t> </w:t>
      </w:r>
    </w:p>
    <w:p w14:paraId="0DE8CF01" w14:textId="77777777" w:rsidR="00000000" w:rsidRDefault="00B8284C">
      <w:pPr>
        <w:pStyle w:val="a3"/>
        <w:spacing w:before="240" w:beforeAutospacing="0" w:after="0" w:afterAutospacing="0"/>
        <w:jc w:val="center"/>
        <w:rPr>
          <w:sz w:val="20"/>
          <w:szCs w:val="20"/>
        </w:rPr>
      </w:pPr>
      <w:r>
        <w:rPr>
          <w:sz w:val="20"/>
          <w:szCs w:val="20"/>
        </w:rPr>
        <w:t>19</w:t>
      </w:r>
    </w:p>
    <w:p w14:paraId="375A2112" w14:textId="77777777" w:rsidR="00000000" w:rsidRDefault="00B8284C">
      <w:pPr>
        <w:rPr>
          <w:rFonts w:eastAsia="Times New Roman"/>
        </w:rPr>
      </w:pPr>
      <w:r>
        <w:rPr>
          <w:rFonts w:eastAsia="Times New Roman"/>
        </w:rPr>
        <w:pict w14:anchorId="40D27DEE">
          <v:rect id="_x0000_i1043" style="width:0;height:1.5pt" o:hralign="center" o:hrstd="t" o:hr="t" fillcolor="#a0a0a0" stroked="f"/>
        </w:pict>
      </w:r>
    </w:p>
    <w:p w14:paraId="17B382DD" w14:textId="77777777" w:rsidR="00000000" w:rsidRDefault="00B8284C">
      <w:pPr>
        <w:pStyle w:val="a3"/>
        <w:spacing w:before="0" w:beforeAutospacing="0" w:after="0" w:afterAutospacing="0"/>
        <w:rPr>
          <w:sz w:val="20"/>
          <w:szCs w:val="20"/>
        </w:rPr>
      </w:pPr>
      <w:r>
        <w:rPr>
          <w:sz w:val="20"/>
          <w:szCs w:val="20"/>
        </w:rPr>
        <w:t> </w:t>
      </w:r>
    </w:p>
    <w:p w14:paraId="5CB00B29" w14:textId="77777777" w:rsidR="00000000" w:rsidRDefault="00B8284C">
      <w:pPr>
        <w:pStyle w:val="a3"/>
        <w:spacing w:before="0" w:beforeAutospacing="0" w:after="0" w:afterAutospacing="0"/>
        <w:rPr>
          <w:b/>
          <w:bCs/>
          <w:sz w:val="20"/>
          <w:szCs w:val="20"/>
        </w:rPr>
      </w:pPr>
      <w:r>
        <w:rPr>
          <w:b/>
          <w:bCs/>
          <w:sz w:val="20"/>
          <w:szCs w:val="20"/>
        </w:rPr>
        <w:t>14. Segment Information and Geographic Data</w:t>
      </w:r>
    </w:p>
    <w:p w14:paraId="68A90A8B" w14:textId="77777777" w:rsidR="00000000" w:rsidRDefault="00B8284C">
      <w:pPr>
        <w:pStyle w:val="a3"/>
        <w:spacing w:before="120" w:beforeAutospacing="0" w:after="0" w:afterAutospacing="0"/>
        <w:ind w:firstLine="556"/>
        <w:rPr>
          <w:sz w:val="20"/>
          <w:szCs w:val="20"/>
        </w:rPr>
      </w:pPr>
      <w:r>
        <w:rPr>
          <w:sz w:val="20"/>
          <w:szCs w:val="20"/>
        </w:rPr>
        <w:t>The Company operates as one operating segment. Operating segments are defined as component</w:t>
      </w:r>
      <w:r>
        <w:rPr>
          <w:sz w:val="20"/>
          <w:szCs w:val="20"/>
        </w:rPr>
        <w:t>s of an enterprise for which separate financial information is regularly evaluated by the chief operating decision makers (“CODMs”), which are the Company’s chief executive officer and chief operating officer, in deciding how to allocate resources and asse</w:t>
      </w:r>
      <w:r>
        <w:rPr>
          <w:sz w:val="20"/>
          <w:szCs w:val="20"/>
        </w:rPr>
        <w:t>ss performance. The Company’s CODMs evaluate the Company’s financial information and resources and assess the performance of these resources on a consolidated basis. Since the Company operates in one operating segment, all required financial segment inform</w:t>
      </w:r>
      <w:r>
        <w:rPr>
          <w:sz w:val="20"/>
          <w:szCs w:val="20"/>
        </w:rPr>
        <w:t>ation can be found in the consolidated financial statements. Revenue and long-lived assets by geographic region, based on the physical location of the operations recording the sale or the asset, are as follows:</w:t>
      </w:r>
    </w:p>
    <w:p w14:paraId="380670DB" w14:textId="77777777" w:rsidR="00000000" w:rsidRDefault="00B8284C">
      <w:pPr>
        <w:pStyle w:val="a3"/>
        <w:spacing w:before="240" w:beforeAutospacing="0" w:after="0" w:afterAutospacing="0"/>
        <w:ind w:firstLine="556"/>
        <w:rPr>
          <w:sz w:val="20"/>
          <w:szCs w:val="20"/>
        </w:rPr>
      </w:pPr>
      <w:r>
        <w:rPr>
          <w:sz w:val="20"/>
          <w:szCs w:val="20"/>
        </w:rPr>
        <w:t>Revenues by geographical region:</w:t>
      </w:r>
    </w:p>
    <w:p w14:paraId="6A244CC9"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1706"/>
        <w:gridCol w:w="65"/>
        <w:gridCol w:w="115"/>
        <w:gridCol w:w="665"/>
        <w:gridCol w:w="182"/>
        <w:gridCol w:w="65"/>
        <w:gridCol w:w="115"/>
        <w:gridCol w:w="665"/>
        <w:gridCol w:w="182"/>
        <w:gridCol w:w="65"/>
        <w:gridCol w:w="115"/>
        <w:gridCol w:w="665"/>
        <w:gridCol w:w="182"/>
        <w:gridCol w:w="65"/>
        <w:gridCol w:w="115"/>
        <w:gridCol w:w="665"/>
        <w:gridCol w:w="182"/>
      </w:tblGrid>
      <w:tr w:rsidR="00000000" w14:paraId="6DB944FE" w14:textId="77777777">
        <w:trPr>
          <w:divId w:val="1595750741"/>
        </w:trPr>
        <w:tc>
          <w:tcPr>
            <w:tcW w:w="2397" w:type="pct"/>
            <w:shd w:val="clear" w:color="auto" w:fill="FFFFFF"/>
            <w:tcMar>
              <w:top w:w="15" w:type="dxa"/>
              <w:left w:w="0" w:type="dxa"/>
              <w:bottom w:w="0" w:type="dxa"/>
              <w:right w:w="15" w:type="dxa"/>
            </w:tcMar>
            <w:vAlign w:val="bottom"/>
            <w:hideMark/>
          </w:tcPr>
          <w:p w14:paraId="0DA2A2F3" w14:textId="77777777" w:rsidR="00000000" w:rsidRDefault="00B8284C">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14:paraId="3351F548"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331" w:type="pct"/>
            <w:gridSpan w:val="6"/>
            <w:tcBorders>
              <w:bottom w:val="single" w:sz="6" w:space="0" w:color="000000"/>
            </w:tcBorders>
            <w:shd w:val="clear" w:color="auto" w:fill="FFFFFF"/>
            <w:tcMar>
              <w:top w:w="15" w:type="dxa"/>
              <w:left w:w="0" w:type="dxa"/>
              <w:bottom w:w="0" w:type="dxa"/>
              <w:right w:w="15" w:type="dxa"/>
            </w:tcMar>
            <w:vAlign w:val="bottom"/>
            <w:hideMark/>
          </w:tcPr>
          <w:p w14:paraId="6A3B9D0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 End September 30,</w:t>
            </w:r>
          </w:p>
        </w:tc>
        <w:tc>
          <w:tcPr>
            <w:tcW w:w="50" w:type="pct"/>
            <w:shd w:val="clear" w:color="auto" w:fill="FFFFFF"/>
            <w:noWrap/>
            <w:tcMar>
              <w:top w:w="15" w:type="dxa"/>
              <w:left w:w="0" w:type="dxa"/>
              <w:bottom w:w="0" w:type="dxa"/>
              <w:right w:w="15" w:type="dxa"/>
            </w:tcMar>
            <w:vAlign w:val="bottom"/>
            <w:hideMark/>
          </w:tcPr>
          <w:p w14:paraId="0C04EA0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339283AE"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068" w:type="pct"/>
            <w:gridSpan w:val="6"/>
            <w:tcBorders>
              <w:bottom w:val="single" w:sz="6" w:space="0" w:color="000000"/>
            </w:tcBorders>
            <w:shd w:val="clear" w:color="auto" w:fill="FFFFFF"/>
            <w:tcMar>
              <w:top w:w="15" w:type="dxa"/>
              <w:left w:w="0" w:type="dxa"/>
              <w:bottom w:w="0" w:type="dxa"/>
              <w:right w:w="15" w:type="dxa"/>
            </w:tcMar>
            <w:vAlign w:val="bottom"/>
            <w:hideMark/>
          </w:tcPr>
          <w:p w14:paraId="16D2771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14:paraId="232F6EC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9655D7D" w14:textId="77777777">
        <w:trPr>
          <w:divId w:val="1595750741"/>
        </w:trPr>
        <w:tc>
          <w:tcPr>
            <w:tcW w:w="2397" w:type="pct"/>
            <w:shd w:val="clear" w:color="auto" w:fill="FFFFFF"/>
            <w:tcMar>
              <w:top w:w="15" w:type="dxa"/>
              <w:left w:w="0" w:type="dxa"/>
              <w:bottom w:w="0" w:type="dxa"/>
              <w:right w:w="15" w:type="dxa"/>
            </w:tcMar>
            <w:vAlign w:val="bottom"/>
            <w:hideMark/>
          </w:tcPr>
          <w:p w14:paraId="7798C4C6"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14:paraId="3AC1CD8D"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F76A2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9B0EC8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14:paraId="036FE3D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85A52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001D730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14:paraId="04D3A83F"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EA294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03EF12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14:paraId="29B5729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4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FA623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09619B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AC91291" w14:textId="77777777">
        <w:trPr>
          <w:divId w:val="1595750741"/>
        </w:trPr>
        <w:tc>
          <w:tcPr>
            <w:tcW w:w="2397" w:type="pct"/>
            <w:shd w:val="clear" w:color="auto" w:fill="CFF0FC"/>
            <w:tcMar>
              <w:top w:w="15" w:type="dxa"/>
              <w:left w:w="0" w:type="dxa"/>
              <w:bottom w:w="0" w:type="dxa"/>
              <w:right w:w="15" w:type="dxa"/>
            </w:tcMar>
            <w:vAlign w:val="bottom"/>
            <w:hideMark/>
          </w:tcPr>
          <w:p w14:paraId="70C086B5" w14:textId="77777777" w:rsidR="00000000" w:rsidRDefault="00B8284C">
            <w:pPr>
              <w:pStyle w:val="a3"/>
              <w:spacing w:before="0" w:beforeAutospacing="0" w:after="0" w:afterAutospacing="0"/>
              <w:rPr>
                <w:color w:val="000000"/>
                <w:sz w:val="20"/>
                <w:szCs w:val="20"/>
              </w:rPr>
            </w:pPr>
            <w:r>
              <w:rPr>
                <w:color w:val="000000"/>
                <w:sz w:val="20"/>
                <w:szCs w:val="20"/>
              </w:rPr>
              <w:t>Americas</w:t>
            </w:r>
          </w:p>
        </w:tc>
        <w:tc>
          <w:tcPr>
            <w:tcW w:w="58" w:type="pct"/>
            <w:shd w:val="clear" w:color="auto" w:fill="CFF0FC"/>
            <w:tcMar>
              <w:top w:w="15" w:type="dxa"/>
              <w:left w:w="0" w:type="dxa"/>
              <w:bottom w:w="0" w:type="dxa"/>
              <w:right w:w="15" w:type="dxa"/>
            </w:tcMar>
            <w:vAlign w:val="bottom"/>
            <w:hideMark/>
          </w:tcPr>
          <w:p w14:paraId="24FCC9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BB2A3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63" w:type="pct"/>
            <w:tcBorders>
              <w:top w:val="single" w:sz="6" w:space="0" w:color="000000"/>
            </w:tcBorders>
            <w:shd w:val="clear" w:color="auto" w:fill="CFF0FC"/>
            <w:noWrap/>
            <w:tcMar>
              <w:top w:w="15" w:type="dxa"/>
              <w:left w:w="0" w:type="dxa"/>
              <w:bottom w:w="0" w:type="dxa"/>
              <w:right w:w="15" w:type="dxa"/>
            </w:tcMar>
            <w:vAlign w:val="bottom"/>
            <w:hideMark/>
          </w:tcPr>
          <w:p w14:paraId="77500015" w14:textId="77777777" w:rsidR="00000000" w:rsidRDefault="00B8284C">
            <w:pPr>
              <w:pStyle w:val="a3"/>
              <w:spacing w:before="0" w:beforeAutospacing="0" w:after="0" w:afterAutospacing="0"/>
              <w:jc w:val="right"/>
              <w:rPr>
                <w:color w:val="000000"/>
                <w:sz w:val="20"/>
                <w:szCs w:val="20"/>
              </w:rPr>
            </w:pPr>
            <w:r>
              <w:rPr>
                <w:color w:val="000000"/>
                <w:sz w:val="20"/>
                <w:szCs w:val="20"/>
              </w:rPr>
              <w:t>116,841</w:t>
            </w:r>
          </w:p>
        </w:tc>
        <w:tc>
          <w:tcPr>
            <w:tcW w:w="50" w:type="pct"/>
            <w:shd w:val="clear" w:color="auto" w:fill="CFF0FC"/>
            <w:noWrap/>
            <w:tcMar>
              <w:top w:w="15" w:type="dxa"/>
              <w:left w:w="0" w:type="dxa"/>
              <w:bottom w:w="0" w:type="dxa"/>
              <w:right w:w="15" w:type="dxa"/>
            </w:tcMar>
            <w:vAlign w:val="bottom"/>
            <w:hideMark/>
          </w:tcPr>
          <w:p w14:paraId="53201F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1277F8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F7A1E8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63" w:type="pct"/>
            <w:tcBorders>
              <w:top w:val="single" w:sz="6" w:space="0" w:color="000000"/>
            </w:tcBorders>
            <w:shd w:val="clear" w:color="auto" w:fill="CFF0FC"/>
            <w:noWrap/>
            <w:tcMar>
              <w:top w:w="15" w:type="dxa"/>
              <w:left w:w="0" w:type="dxa"/>
              <w:bottom w:w="0" w:type="dxa"/>
              <w:right w:w="15" w:type="dxa"/>
            </w:tcMar>
            <w:vAlign w:val="bottom"/>
            <w:hideMark/>
          </w:tcPr>
          <w:p w14:paraId="2AF15AD6" w14:textId="77777777" w:rsidR="00000000" w:rsidRDefault="00B8284C">
            <w:pPr>
              <w:pStyle w:val="a3"/>
              <w:spacing w:before="0" w:beforeAutospacing="0" w:after="0" w:afterAutospacing="0"/>
              <w:jc w:val="right"/>
              <w:rPr>
                <w:color w:val="000000"/>
                <w:sz w:val="20"/>
                <w:szCs w:val="20"/>
              </w:rPr>
            </w:pPr>
            <w:r>
              <w:rPr>
                <w:color w:val="000000"/>
                <w:sz w:val="20"/>
                <w:szCs w:val="20"/>
              </w:rPr>
              <w:t>92,388</w:t>
            </w:r>
          </w:p>
        </w:tc>
        <w:tc>
          <w:tcPr>
            <w:tcW w:w="50" w:type="pct"/>
            <w:shd w:val="clear" w:color="auto" w:fill="CFF0FC"/>
            <w:noWrap/>
            <w:tcMar>
              <w:top w:w="15" w:type="dxa"/>
              <w:left w:w="0" w:type="dxa"/>
              <w:bottom w:w="0" w:type="dxa"/>
              <w:right w:w="15" w:type="dxa"/>
            </w:tcMar>
            <w:vAlign w:val="bottom"/>
            <w:hideMark/>
          </w:tcPr>
          <w:p w14:paraId="0836960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3125DBDD"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47080E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32" w:type="pct"/>
            <w:tcBorders>
              <w:top w:val="single" w:sz="6" w:space="0" w:color="000000"/>
            </w:tcBorders>
            <w:shd w:val="clear" w:color="auto" w:fill="CFF0FC"/>
            <w:noWrap/>
            <w:tcMar>
              <w:top w:w="15" w:type="dxa"/>
              <w:left w:w="0" w:type="dxa"/>
              <w:bottom w:w="0" w:type="dxa"/>
              <w:right w:w="15" w:type="dxa"/>
            </w:tcMar>
            <w:vAlign w:val="bottom"/>
            <w:hideMark/>
          </w:tcPr>
          <w:p w14:paraId="3B0E1308" w14:textId="77777777" w:rsidR="00000000" w:rsidRDefault="00B8284C">
            <w:pPr>
              <w:pStyle w:val="a3"/>
              <w:spacing w:before="0" w:beforeAutospacing="0" w:after="0" w:afterAutospacing="0"/>
              <w:jc w:val="right"/>
              <w:rPr>
                <w:color w:val="000000"/>
                <w:sz w:val="20"/>
                <w:szCs w:val="20"/>
              </w:rPr>
            </w:pPr>
            <w:r>
              <w:rPr>
                <w:color w:val="000000"/>
                <w:sz w:val="20"/>
                <w:szCs w:val="20"/>
              </w:rPr>
              <w:t>332,311</w:t>
            </w:r>
          </w:p>
        </w:tc>
        <w:tc>
          <w:tcPr>
            <w:tcW w:w="50" w:type="pct"/>
            <w:shd w:val="clear" w:color="auto" w:fill="CFF0FC"/>
            <w:noWrap/>
            <w:tcMar>
              <w:top w:w="15" w:type="dxa"/>
              <w:left w:w="0" w:type="dxa"/>
              <w:bottom w:w="0" w:type="dxa"/>
              <w:right w:w="15" w:type="dxa"/>
            </w:tcMar>
            <w:vAlign w:val="bottom"/>
            <w:hideMark/>
          </w:tcPr>
          <w:p w14:paraId="25FCF01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14:paraId="7392DE6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6AAC3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32" w:type="pct"/>
            <w:tcBorders>
              <w:top w:val="single" w:sz="6" w:space="0" w:color="000000"/>
            </w:tcBorders>
            <w:shd w:val="clear" w:color="auto" w:fill="CFF0FC"/>
            <w:noWrap/>
            <w:tcMar>
              <w:top w:w="15" w:type="dxa"/>
              <w:left w:w="0" w:type="dxa"/>
              <w:bottom w:w="0" w:type="dxa"/>
              <w:right w:w="15" w:type="dxa"/>
            </w:tcMar>
            <w:vAlign w:val="bottom"/>
            <w:hideMark/>
          </w:tcPr>
          <w:p w14:paraId="6B5CDC65" w14:textId="77777777" w:rsidR="00000000" w:rsidRDefault="00B8284C">
            <w:pPr>
              <w:pStyle w:val="a3"/>
              <w:spacing w:before="0" w:beforeAutospacing="0" w:after="0" w:afterAutospacing="0"/>
              <w:jc w:val="right"/>
              <w:rPr>
                <w:color w:val="000000"/>
                <w:sz w:val="20"/>
                <w:szCs w:val="20"/>
              </w:rPr>
            </w:pPr>
            <w:r>
              <w:rPr>
                <w:color w:val="000000"/>
                <w:sz w:val="20"/>
                <w:szCs w:val="20"/>
              </w:rPr>
              <w:t>261,034</w:t>
            </w:r>
          </w:p>
        </w:tc>
        <w:tc>
          <w:tcPr>
            <w:tcW w:w="50" w:type="pct"/>
            <w:shd w:val="clear" w:color="auto" w:fill="CFF0FC"/>
            <w:noWrap/>
            <w:tcMar>
              <w:top w:w="15" w:type="dxa"/>
              <w:left w:w="0" w:type="dxa"/>
              <w:bottom w:w="0" w:type="dxa"/>
              <w:right w:w="15" w:type="dxa"/>
            </w:tcMar>
            <w:vAlign w:val="bottom"/>
            <w:hideMark/>
          </w:tcPr>
          <w:p w14:paraId="647FED8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628BB62" w14:textId="77777777">
        <w:trPr>
          <w:divId w:val="1595750741"/>
        </w:trPr>
        <w:tc>
          <w:tcPr>
            <w:tcW w:w="2397" w:type="pct"/>
            <w:shd w:val="clear" w:color="auto" w:fill="FFFFFF"/>
            <w:tcMar>
              <w:top w:w="15" w:type="dxa"/>
              <w:left w:w="0" w:type="dxa"/>
              <w:bottom w:w="0" w:type="dxa"/>
              <w:right w:w="15" w:type="dxa"/>
            </w:tcMar>
            <w:vAlign w:val="bottom"/>
            <w:hideMark/>
          </w:tcPr>
          <w:p w14:paraId="2ED9FE12" w14:textId="77777777" w:rsidR="00000000" w:rsidRDefault="00B8284C">
            <w:pPr>
              <w:pStyle w:val="a3"/>
              <w:spacing w:before="0" w:beforeAutospacing="0" w:after="0" w:afterAutospacing="0"/>
              <w:rPr>
                <w:color w:val="000000"/>
                <w:sz w:val="20"/>
                <w:szCs w:val="20"/>
              </w:rPr>
            </w:pPr>
            <w:r>
              <w:rPr>
                <w:color w:val="000000"/>
                <w:sz w:val="20"/>
                <w:szCs w:val="20"/>
              </w:rPr>
              <w:t>Europe</w:t>
            </w:r>
          </w:p>
        </w:tc>
        <w:tc>
          <w:tcPr>
            <w:tcW w:w="58" w:type="pct"/>
            <w:shd w:val="clear" w:color="auto" w:fill="FFFFFF"/>
            <w:tcMar>
              <w:top w:w="15" w:type="dxa"/>
              <w:left w:w="0" w:type="dxa"/>
              <w:bottom w:w="0" w:type="dxa"/>
              <w:right w:w="15" w:type="dxa"/>
            </w:tcMar>
            <w:vAlign w:val="bottom"/>
            <w:hideMark/>
          </w:tcPr>
          <w:p w14:paraId="7BF4D79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00DBD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63" w:type="pct"/>
            <w:shd w:val="clear" w:color="auto" w:fill="FFFFFF"/>
            <w:noWrap/>
            <w:tcMar>
              <w:top w:w="15" w:type="dxa"/>
              <w:left w:w="0" w:type="dxa"/>
              <w:bottom w:w="0" w:type="dxa"/>
              <w:right w:w="15" w:type="dxa"/>
            </w:tcMar>
            <w:vAlign w:val="bottom"/>
            <w:hideMark/>
          </w:tcPr>
          <w:p w14:paraId="6AFF4C61" w14:textId="77777777" w:rsidR="00000000" w:rsidRDefault="00B8284C">
            <w:pPr>
              <w:pStyle w:val="a3"/>
              <w:spacing w:before="0" w:beforeAutospacing="0" w:after="0" w:afterAutospacing="0"/>
              <w:jc w:val="right"/>
              <w:rPr>
                <w:color w:val="000000"/>
                <w:sz w:val="20"/>
                <w:szCs w:val="20"/>
              </w:rPr>
            </w:pPr>
            <w:r>
              <w:rPr>
                <w:color w:val="000000"/>
                <w:sz w:val="20"/>
                <w:szCs w:val="20"/>
              </w:rPr>
              <w:t>43,749</w:t>
            </w:r>
          </w:p>
        </w:tc>
        <w:tc>
          <w:tcPr>
            <w:tcW w:w="50" w:type="pct"/>
            <w:shd w:val="clear" w:color="auto" w:fill="FFFFFF"/>
            <w:noWrap/>
            <w:tcMar>
              <w:top w:w="15" w:type="dxa"/>
              <w:left w:w="0" w:type="dxa"/>
              <w:bottom w:w="0" w:type="dxa"/>
              <w:right w:w="15" w:type="dxa"/>
            </w:tcMar>
            <w:vAlign w:val="bottom"/>
            <w:hideMark/>
          </w:tcPr>
          <w:p w14:paraId="5F220D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3876DA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AF8A0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63" w:type="pct"/>
            <w:shd w:val="clear" w:color="auto" w:fill="FFFFFF"/>
            <w:noWrap/>
            <w:tcMar>
              <w:top w:w="15" w:type="dxa"/>
              <w:left w:w="0" w:type="dxa"/>
              <w:bottom w:w="0" w:type="dxa"/>
              <w:right w:w="15" w:type="dxa"/>
            </w:tcMar>
            <w:vAlign w:val="bottom"/>
            <w:hideMark/>
          </w:tcPr>
          <w:p w14:paraId="634EA89F" w14:textId="77777777" w:rsidR="00000000" w:rsidRDefault="00B8284C">
            <w:pPr>
              <w:pStyle w:val="a3"/>
              <w:spacing w:before="0" w:beforeAutospacing="0" w:after="0" w:afterAutospacing="0"/>
              <w:jc w:val="right"/>
              <w:rPr>
                <w:color w:val="000000"/>
                <w:sz w:val="20"/>
                <w:szCs w:val="20"/>
              </w:rPr>
            </w:pPr>
            <w:r>
              <w:rPr>
                <w:color w:val="000000"/>
                <w:sz w:val="20"/>
                <w:szCs w:val="20"/>
              </w:rPr>
              <w:t>30,382</w:t>
            </w:r>
          </w:p>
        </w:tc>
        <w:tc>
          <w:tcPr>
            <w:tcW w:w="50" w:type="pct"/>
            <w:shd w:val="clear" w:color="auto" w:fill="FFFFFF"/>
            <w:noWrap/>
            <w:tcMar>
              <w:top w:w="15" w:type="dxa"/>
              <w:left w:w="0" w:type="dxa"/>
              <w:bottom w:w="0" w:type="dxa"/>
              <w:right w:w="15" w:type="dxa"/>
            </w:tcMar>
            <w:vAlign w:val="bottom"/>
            <w:hideMark/>
          </w:tcPr>
          <w:p w14:paraId="5BA7CE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4FABDB8D"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0F12926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2" w:type="pct"/>
            <w:shd w:val="clear" w:color="auto" w:fill="FFFFFF"/>
            <w:noWrap/>
            <w:tcMar>
              <w:top w:w="15" w:type="dxa"/>
              <w:left w:w="0" w:type="dxa"/>
              <w:bottom w:w="0" w:type="dxa"/>
              <w:right w:w="15" w:type="dxa"/>
            </w:tcMar>
            <w:vAlign w:val="bottom"/>
            <w:hideMark/>
          </w:tcPr>
          <w:p w14:paraId="56866B21" w14:textId="77777777" w:rsidR="00000000" w:rsidRDefault="00B8284C">
            <w:pPr>
              <w:pStyle w:val="a3"/>
              <w:spacing w:before="0" w:beforeAutospacing="0" w:after="0" w:afterAutospacing="0"/>
              <w:jc w:val="right"/>
              <w:rPr>
                <w:color w:val="000000"/>
                <w:sz w:val="20"/>
                <w:szCs w:val="20"/>
              </w:rPr>
            </w:pPr>
            <w:r>
              <w:rPr>
                <w:color w:val="000000"/>
                <w:sz w:val="20"/>
                <w:szCs w:val="20"/>
              </w:rPr>
              <w:t>120,708</w:t>
            </w:r>
          </w:p>
        </w:tc>
        <w:tc>
          <w:tcPr>
            <w:tcW w:w="50" w:type="pct"/>
            <w:shd w:val="clear" w:color="auto" w:fill="FFFFFF"/>
            <w:noWrap/>
            <w:tcMar>
              <w:top w:w="15" w:type="dxa"/>
              <w:left w:w="0" w:type="dxa"/>
              <w:bottom w:w="0" w:type="dxa"/>
              <w:right w:w="15" w:type="dxa"/>
            </w:tcMar>
            <w:vAlign w:val="bottom"/>
            <w:hideMark/>
          </w:tcPr>
          <w:p w14:paraId="7DC8AD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14:paraId="16AD346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C0D7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2" w:type="pct"/>
            <w:shd w:val="clear" w:color="auto" w:fill="FFFFFF"/>
            <w:noWrap/>
            <w:tcMar>
              <w:top w:w="15" w:type="dxa"/>
              <w:left w:w="0" w:type="dxa"/>
              <w:bottom w:w="0" w:type="dxa"/>
              <w:right w:w="15" w:type="dxa"/>
            </w:tcMar>
            <w:vAlign w:val="bottom"/>
            <w:hideMark/>
          </w:tcPr>
          <w:p w14:paraId="3A23684E" w14:textId="77777777" w:rsidR="00000000" w:rsidRDefault="00B8284C">
            <w:pPr>
              <w:pStyle w:val="a3"/>
              <w:spacing w:before="0" w:beforeAutospacing="0" w:after="0" w:afterAutospacing="0"/>
              <w:jc w:val="right"/>
              <w:rPr>
                <w:color w:val="000000"/>
                <w:sz w:val="20"/>
                <w:szCs w:val="20"/>
              </w:rPr>
            </w:pPr>
            <w:r>
              <w:rPr>
                <w:color w:val="000000"/>
                <w:sz w:val="20"/>
                <w:szCs w:val="20"/>
              </w:rPr>
              <w:t>83,763</w:t>
            </w:r>
          </w:p>
        </w:tc>
        <w:tc>
          <w:tcPr>
            <w:tcW w:w="50" w:type="pct"/>
            <w:shd w:val="clear" w:color="auto" w:fill="FFFFFF"/>
            <w:noWrap/>
            <w:tcMar>
              <w:top w:w="15" w:type="dxa"/>
              <w:left w:w="0" w:type="dxa"/>
              <w:bottom w:w="0" w:type="dxa"/>
              <w:right w:w="15" w:type="dxa"/>
            </w:tcMar>
            <w:vAlign w:val="bottom"/>
            <w:hideMark/>
          </w:tcPr>
          <w:p w14:paraId="7B653ED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46B589B" w14:textId="77777777">
        <w:trPr>
          <w:divId w:val="1595750741"/>
        </w:trPr>
        <w:tc>
          <w:tcPr>
            <w:tcW w:w="2397" w:type="pct"/>
            <w:shd w:val="clear" w:color="auto" w:fill="CFF0FC"/>
            <w:tcMar>
              <w:top w:w="15" w:type="dxa"/>
              <w:left w:w="0" w:type="dxa"/>
              <w:bottom w:w="0" w:type="dxa"/>
              <w:right w:w="15" w:type="dxa"/>
            </w:tcMar>
            <w:vAlign w:val="bottom"/>
            <w:hideMark/>
          </w:tcPr>
          <w:p w14:paraId="13A9936B" w14:textId="77777777" w:rsidR="00000000" w:rsidRDefault="00B8284C">
            <w:pPr>
              <w:pStyle w:val="a3"/>
              <w:spacing w:before="0" w:beforeAutospacing="0" w:after="0" w:afterAutospacing="0"/>
              <w:rPr>
                <w:color w:val="000000"/>
                <w:sz w:val="20"/>
                <w:szCs w:val="20"/>
              </w:rPr>
            </w:pPr>
            <w:r>
              <w:rPr>
                <w:color w:val="000000"/>
                <w:sz w:val="20"/>
                <w:szCs w:val="20"/>
              </w:rPr>
              <w:t>Asia Pacific</w:t>
            </w:r>
          </w:p>
        </w:tc>
        <w:tc>
          <w:tcPr>
            <w:tcW w:w="58" w:type="pct"/>
            <w:shd w:val="clear" w:color="auto" w:fill="CFF0FC"/>
            <w:tcMar>
              <w:top w:w="15" w:type="dxa"/>
              <w:left w:w="0" w:type="dxa"/>
              <w:bottom w:w="0" w:type="dxa"/>
              <w:right w:w="15" w:type="dxa"/>
            </w:tcMar>
            <w:vAlign w:val="bottom"/>
            <w:hideMark/>
          </w:tcPr>
          <w:p w14:paraId="6B892A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82653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63" w:type="pct"/>
            <w:tcBorders>
              <w:bottom w:val="single" w:sz="6" w:space="0" w:color="000000"/>
            </w:tcBorders>
            <w:shd w:val="clear" w:color="auto" w:fill="CFF0FC"/>
            <w:noWrap/>
            <w:tcMar>
              <w:top w:w="15" w:type="dxa"/>
              <w:left w:w="0" w:type="dxa"/>
              <w:bottom w:w="0" w:type="dxa"/>
              <w:right w:w="15" w:type="dxa"/>
            </w:tcMar>
            <w:vAlign w:val="bottom"/>
            <w:hideMark/>
          </w:tcPr>
          <w:p w14:paraId="414F10D8" w14:textId="77777777" w:rsidR="00000000" w:rsidRDefault="00B8284C">
            <w:pPr>
              <w:pStyle w:val="a3"/>
              <w:spacing w:before="0" w:beforeAutospacing="0" w:after="0" w:afterAutospacing="0"/>
              <w:jc w:val="right"/>
              <w:rPr>
                <w:color w:val="000000"/>
                <w:sz w:val="20"/>
                <w:szCs w:val="20"/>
              </w:rPr>
            </w:pPr>
            <w:r>
              <w:rPr>
                <w:color w:val="000000"/>
                <w:sz w:val="20"/>
                <w:szCs w:val="20"/>
              </w:rPr>
              <w:t>13,031</w:t>
            </w:r>
          </w:p>
        </w:tc>
        <w:tc>
          <w:tcPr>
            <w:tcW w:w="50" w:type="pct"/>
            <w:shd w:val="clear" w:color="auto" w:fill="CFF0FC"/>
            <w:noWrap/>
            <w:tcMar>
              <w:top w:w="15" w:type="dxa"/>
              <w:left w:w="0" w:type="dxa"/>
              <w:bottom w:w="0" w:type="dxa"/>
              <w:right w:w="15" w:type="dxa"/>
            </w:tcMar>
            <w:vAlign w:val="bottom"/>
            <w:hideMark/>
          </w:tcPr>
          <w:p w14:paraId="114606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14:paraId="467D33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1DB6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63" w:type="pct"/>
            <w:tcBorders>
              <w:bottom w:val="single" w:sz="6" w:space="0" w:color="000000"/>
            </w:tcBorders>
            <w:shd w:val="clear" w:color="auto" w:fill="CFF0FC"/>
            <w:noWrap/>
            <w:tcMar>
              <w:top w:w="15" w:type="dxa"/>
              <w:left w:w="0" w:type="dxa"/>
              <w:bottom w:w="0" w:type="dxa"/>
              <w:right w:w="15" w:type="dxa"/>
            </w:tcMar>
            <w:vAlign w:val="bottom"/>
            <w:hideMark/>
          </w:tcPr>
          <w:p w14:paraId="2AE388E3" w14:textId="77777777" w:rsidR="00000000" w:rsidRDefault="00B8284C">
            <w:pPr>
              <w:pStyle w:val="a3"/>
              <w:spacing w:before="0" w:beforeAutospacing="0" w:after="0" w:afterAutospacing="0"/>
              <w:jc w:val="right"/>
              <w:rPr>
                <w:color w:val="000000"/>
                <w:sz w:val="20"/>
                <w:szCs w:val="20"/>
              </w:rPr>
            </w:pPr>
            <w:r>
              <w:rPr>
                <w:color w:val="000000"/>
                <w:sz w:val="20"/>
                <w:szCs w:val="20"/>
              </w:rPr>
              <w:t>9,056</w:t>
            </w:r>
          </w:p>
        </w:tc>
        <w:tc>
          <w:tcPr>
            <w:tcW w:w="50" w:type="pct"/>
            <w:shd w:val="clear" w:color="auto" w:fill="CFF0FC"/>
            <w:noWrap/>
            <w:tcMar>
              <w:top w:w="15" w:type="dxa"/>
              <w:left w:w="0" w:type="dxa"/>
              <w:bottom w:w="0" w:type="dxa"/>
              <w:right w:w="15" w:type="dxa"/>
            </w:tcMar>
            <w:vAlign w:val="bottom"/>
            <w:hideMark/>
          </w:tcPr>
          <w:p w14:paraId="7607357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14:paraId="0D9A2D1C"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EC144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2" w:type="pct"/>
            <w:tcBorders>
              <w:bottom w:val="single" w:sz="6" w:space="0" w:color="000000"/>
            </w:tcBorders>
            <w:shd w:val="clear" w:color="auto" w:fill="CFF0FC"/>
            <w:noWrap/>
            <w:tcMar>
              <w:top w:w="15" w:type="dxa"/>
              <w:left w:w="0" w:type="dxa"/>
              <w:bottom w:w="0" w:type="dxa"/>
              <w:right w:w="15" w:type="dxa"/>
            </w:tcMar>
            <w:vAlign w:val="bottom"/>
            <w:hideMark/>
          </w:tcPr>
          <w:p w14:paraId="0778ED60" w14:textId="77777777" w:rsidR="00000000" w:rsidRDefault="00B8284C">
            <w:pPr>
              <w:pStyle w:val="a3"/>
              <w:spacing w:before="0" w:beforeAutospacing="0" w:after="0" w:afterAutospacing="0"/>
              <w:jc w:val="right"/>
              <w:rPr>
                <w:color w:val="000000"/>
                <w:sz w:val="20"/>
                <w:szCs w:val="20"/>
              </w:rPr>
            </w:pPr>
            <w:r>
              <w:rPr>
                <w:color w:val="000000"/>
                <w:sz w:val="20"/>
                <w:szCs w:val="20"/>
              </w:rPr>
              <w:t>35,655</w:t>
            </w:r>
          </w:p>
        </w:tc>
        <w:tc>
          <w:tcPr>
            <w:tcW w:w="50" w:type="pct"/>
            <w:shd w:val="clear" w:color="auto" w:fill="CFF0FC"/>
            <w:noWrap/>
            <w:tcMar>
              <w:top w:w="15" w:type="dxa"/>
              <w:left w:w="0" w:type="dxa"/>
              <w:bottom w:w="0" w:type="dxa"/>
              <w:right w:w="15" w:type="dxa"/>
            </w:tcMar>
            <w:vAlign w:val="bottom"/>
            <w:hideMark/>
          </w:tcPr>
          <w:p w14:paraId="453736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14:paraId="7228D57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3923A7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2" w:type="pct"/>
            <w:tcBorders>
              <w:bottom w:val="single" w:sz="6" w:space="0" w:color="000000"/>
            </w:tcBorders>
            <w:shd w:val="clear" w:color="auto" w:fill="CFF0FC"/>
            <w:noWrap/>
            <w:tcMar>
              <w:top w:w="15" w:type="dxa"/>
              <w:left w:w="0" w:type="dxa"/>
              <w:bottom w:w="0" w:type="dxa"/>
              <w:right w:w="15" w:type="dxa"/>
            </w:tcMar>
            <w:vAlign w:val="bottom"/>
            <w:hideMark/>
          </w:tcPr>
          <w:p w14:paraId="3BDA4B17" w14:textId="77777777" w:rsidR="00000000" w:rsidRDefault="00B8284C">
            <w:pPr>
              <w:pStyle w:val="a3"/>
              <w:spacing w:before="0" w:beforeAutospacing="0" w:after="0" w:afterAutospacing="0"/>
              <w:jc w:val="right"/>
              <w:rPr>
                <w:color w:val="000000"/>
                <w:sz w:val="20"/>
                <w:szCs w:val="20"/>
              </w:rPr>
            </w:pPr>
            <w:r>
              <w:rPr>
                <w:color w:val="000000"/>
                <w:sz w:val="20"/>
                <w:szCs w:val="20"/>
              </w:rPr>
              <w:t>24,161</w:t>
            </w:r>
          </w:p>
        </w:tc>
        <w:tc>
          <w:tcPr>
            <w:tcW w:w="50" w:type="pct"/>
            <w:shd w:val="clear" w:color="auto" w:fill="CFF0FC"/>
            <w:noWrap/>
            <w:tcMar>
              <w:top w:w="15" w:type="dxa"/>
              <w:left w:w="0" w:type="dxa"/>
              <w:bottom w:w="0" w:type="dxa"/>
              <w:right w:w="15" w:type="dxa"/>
            </w:tcMar>
            <w:vAlign w:val="bottom"/>
            <w:hideMark/>
          </w:tcPr>
          <w:p w14:paraId="407F72F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6F6BA79" w14:textId="77777777">
        <w:trPr>
          <w:divId w:val="1595750741"/>
        </w:trPr>
        <w:tc>
          <w:tcPr>
            <w:tcW w:w="2397" w:type="pct"/>
            <w:shd w:val="clear" w:color="auto" w:fill="FFFFFF"/>
            <w:tcMar>
              <w:top w:w="15" w:type="dxa"/>
              <w:left w:w="0" w:type="dxa"/>
              <w:bottom w:w="0" w:type="dxa"/>
              <w:right w:w="15" w:type="dxa"/>
            </w:tcMar>
            <w:vAlign w:val="bottom"/>
            <w:hideMark/>
          </w:tcPr>
          <w:p w14:paraId="55332672" w14:textId="77777777" w:rsidR="00000000" w:rsidRDefault="00B8284C">
            <w:pPr>
              <w:pStyle w:val="a3"/>
              <w:spacing w:before="0" w:beforeAutospacing="0" w:after="0" w:afterAutospacing="0"/>
              <w:ind w:left="274"/>
              <w:rPr>
                <w:color w:val="000000"/>
                <w:sz w:val="20"/>
                <w:szCs w:val="20"/>
              </w:rPr>
            </w:pPr>
            <w:r>
              <w:rPr>
                <w:color w:val="000000"/>
                <w:sz w:val="20"/>
                <w:szCs w:val="20"/>
              </w:rPr>
              <w:t>Total</w:t>
            </w:r>
          </w:p>
        </w:tc>
        <w:tc>
          <w:tcPr>
            <w:tcW w:w="58" w:type="pct"/>
            <w:shd w:val="clear" w:color="auto" w:fill="FFFFFF"/>
            <w:tcMar>
              <w:top w:w="15" w:type="dxa"/>
              <w:left w:w="0" w:type="dxa"/>
              <w:bottom w:w="0" w:type="dxa"/>
              <w:right w:w="15" w:type="dxa"/>
            </w:tcMar>
            <w:vAlign w:val="bottom"/>
            <w:hideMark/>
          </w:tcPr>
          <w:p w14:paraId="2656D23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CC141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2AF34C" w14:textId="77777777" w:rsidR="00000000" w:rsidRDefault="00B8284C">
            <w:pPr>
              <w:pStyle w:val="a3"/>
              <w:spacing w:before="0" w:beforeAutospacing="0" w:after="0" w:afterAutospacing="0"/>
              <w:jc w:val="right"/>
              <w:rPr>
                <w:color w:val="000000"/>
                <w:sz w:val="20"/>
                <w:szCs w:val="20"/>
              </w:rPr>
            </w:pPr>
            <w:r>
              <w:rPr>
                <w:color w:val="000000"/>
                <w:sz w:val="20"/>
                <w:szCs w:val="20"/>
              </w:rPr>
              <w:t>173,621</w:t>
            </w:r>
          </w:p>
        </w:tc>
        <w:tc>
          <w:tcPr>
            <w:tcW w:w="50" w:type="pct"/>
            <w:shd w:val="clear" w:color="auto" w:fill="FFFFFF"/>
            <w:noWrap/>
            <w:tcMar>
              <w:top w:w="15" w:type="dxa"/>
              <w:left w:w="0" w:type="dxa"/>
              <w:bottom w:w="0" w:type="dxa"/>
              <w:right w:w="15" w:type="dxa"/>
            </w:tcMar>
            <w:vAlign w:val="bottom"/>
            <w:hideMark/>
          </w:tcPr>
          <w:p w14:paraId="7DC46E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14:paraId="73D866F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F27DE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D3CF1F" w14:textId="77777777" w:rsidR="00000000" w:rsidRDefault="00B8284C">
            <w:pPr>
              <w:pStyle w:val="a3"/>
              <w:spacing w:before="0" w:beforeAutospacing="0" w:after="0" w:afterAutospacing="0"/>
              <w:jc w:val="right"/>
              <w:rPr>
                <w:color w:val="000000"/>
                <w:sz w:val="20"/>
                <w:szCs w:val="20"/>
              </w:rPr>
            </w:pPr>
            <w:r>
              <w:rPr>
                <w:color w:val="000000"/>
                <w:sz w:val="20"/>
                <w:szCs w:val="20"/>
              </w:rPr>
              <w:t>131,826</w:t>
            </w:r>
          </w:p>
        </w:tc>
        <w:tc>
          <w:tcPr>
            <w:tcW w:w="50" w:type="pct"/>
            <w:shd w:val="clear" w:color="auto" w:fill="FFFFFF"/>
            <w:noWrap/>
            <w:tcMar>
              <w:top w:w="15" w:type="dxa"/>
              <w:left w:w="0" w:type="dxa"/>
              <w:bottom w:w="0" w:type="dxa"/>
              <w:right w:w="15" w:type="dxa"/>
            </w:tcMar>
            <w:vAlign w:val="bottom"/>
            <w:hideMark/>
          </w:tcPr>
          <w:p w14:paraId="6CBD9C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14:paraId="4127A67E"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92B0AF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505B60" w14:textId="77777777" w:rsidR="00000000" w:rsidRDefault="00B8284C">
            <w:pPr>
              <w:pStyle w:val="a3"/>
              <w:spacing w:before="0" w:beforeAutospacing="0" w:after="0" w:afterAutospacing="0"/>
              <w:jc w:val="right"/>
              <w:rPr>
                <w:color w:val="000000"/>
                <w:sz w:val="20"/>
                <w:szCs w:val="20"/>
              </w:rPr>
            </w:pPr>
            <w:r>
              <w:rPr>
                <w:color w:val="000000"/>
                <w:sz w:val="20"/>
                <w:szCs w:val="20"/>
              </w:rPr>
              <w:t>488,674</w:t>
            </w:r>
          </w:p>
        </w:tc>
        <w:tc>
          <w:tcPr>
            <w:tcW w:w="50" w:type="pct"/>
            <w:shd w:val="clear" w:color="auto" w:fill="FFFFFF"/>
            <w:noWrap/>
            <w:tcMar>
              <w:top w:w="15" w:type="dxa"/>
              <w:left w:w="0" w:type="dxa"/>
              <w:bottom w:w="0" w:type="dxa"/>
              <w:right w:w="15" w:type="dxa"/>
            </w:tcMar>
            <w:vAlign w:val="bottom"/>
            <w:hideMark/>
          </w:tcPr>
          <w:p w14:paraId="6CCE742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14:paraId="474BB76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C7577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73256F" w14:textId="77777777" w:rsidR="00000000" w:rsidRDefault="00B8284C">
            <w:pPr>
              <w:pStyle w:val="a3"/>
              <w:spacing w:before="0" w:beforeAutospacing="0" w:after="0" w:afterAutospacing="0"/>
              <w:jc w:val="right"/>
              <w:rPr>
                <w:color w:val="000000"/>
                <w:sz w:val="20"/>
                <w:szCs w:val="20"/>
              </w:rPr>
            </w:pPr>
            <w:r>
              <w:rPr>
                <w:color w:val="000000"/>
                <w:sz w:val="20"/>
                <w:szCs w:val="20"/>
              </w:rPr>
              <w:t>368,958</w:t>
            </w:r>
          </w:p>
        </w:tc>
        <w:tc>
          <w:tcPr>
            <w:tcW w:w="50" w:type="pct"/>
            <w:shd w:val="clear" w:color="auto" w:fill="FFFFFF"/>
            <w:noWrap/>
            <w:tcMar>
              <w:top w:w="15" w:type="dxa"/>
              <w:left w:w="0" w:type="dxa"/>
              <w:bottom w:w="0" w:type="dxa"/>
              <w:right w:w="15" w:type="dxa"/>
            </w:tcMar>
            <w:vAlign w:val="bottom"/>
            <w:hideMark/>
          </w:tcPr>
          <w:p w14:paraId="5C6FC57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8889960" w14:textId="77777777">
        <w:trPr>
          <w:divId w:val="1595750741"/>
        </w:trPr>
        <w:tc>
          <w:tcPr>
            <w:tcW w:w="2397" w:type="pct"/>
            <w:shd w:val="clear" w:color="auto" w:fill="CFF0FC"/>
            <w:tcMar>
              <w:top w:w="15" w:type="dxa"/>
              <w:left w:w="0" w:type="dxa"/>
              <w:bottom w:w="0" w:type="dxa"/>
              <w:right w:w="15" w:type="dxa"/>
            </w:tcMar>
            <w:vAlign w:val="bottom"/>
            <w:hideMark/>
          </w:tcPr>
          <w:p w14:paraId="025C9644" w14:textId="77777777" w:rsidR="00000000" w:rsidRDefault="00B8284C">
            <w:pPr>
              <w:pStyle w:val="a3"/>
              <w:spacing w:before="0" w:beforeAutospacing="0" w:after="0" w:afterAutospacing="0"/>
              <w:rPr>
                <w:color w:val="000000"/>
                <w:sz w:val="20"/>
                <w:szCs w:val="20"/>
              </w:rPr>
            </w:pPr>
            <w:r>
              <w:rPr>
                <w:color w:val="000000"/>
                <w:sz w:val="20"/>
                <w:szCs w:val="20"/>
              </w:rPr>
              <w:t>Percentage of revenues generated outside</w:t>
            </w:r>
          </w:p>
          <w:p w14:paraId="34FD6E2B" w14:textId="77777777" w:rsidR="00000000" w:rsidRDefault="00B8284C">
            <w:pPr>
              <w:pStyle w:val="a3"/>
              <w:spacing w:before="0" w:beforeAutospacing="0" w:after="0" w:afterAutospacing="0"/>
              <w:rPr>
                <w:color w:val="000000"/>
                <w:sz w:val="20"/>
                <w:szCs w:val="20"/>
              </w:rPr>
            </w:pPr>
            <w:r>
              <w:rPr>
                <w:color w:val="000000"/>
                <w:sz w:val="20"/>
                <w:szCs w:val="20"/>
              </w:rPr>
              <w:t>   of the Americas</w:t>
            </w:r>
          </w:p>
        </w:tc>
        <w:tc>
          <w:tcPr>
            <w:tcW w:w="58" w:type="pct"/>
            <w:shd w:val="clear" w:color="auto" w:fill="CFF0FC"/>
            <w:tcMar>
              <w:top w:w="15" w:type="dxa"/>
              <w:left w:w="0" w:type="dxa"/>
              <w:bottom w:w="0" w:type="dxa"/>
              <w:right w:w="15" w:type="dxa"/>
            </w:tcMar>
            <w:vAlign w:val="bottom"/>
            <w:hideMark/>
          </w:tcPr>
          <w:p w14:paraId="79783B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496DE8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6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AE2AF3C" w14:textId="77777777" w:rsidR="00000000" w:rsidRDefault="00B8284C">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14:paraId="65698FB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14:paraId="1DBBA1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21D1D7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6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20090EF" w14:textId="77777777" w:rsidR="00000000" w:rsidRDefault="00B8284C">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14:paraId="1AC502D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14:paraId="130A6F56"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25DF47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9771706" w14:textId="77777777" w:rsidR="00000000" w:rsidRDefault="00B8284C">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14:paraId="28BB0CB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14:paraId="2AE359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EE173A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A1FD3F8" w14:textId="77777777" w:rsidR="00000000" w:rsidRDefault="00B8284C">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1213B161" w14:textId="77777777" w:rsidR="00000000" w:rsidRDefault="00B8284C">
            <w:pPr>
              <w:pStyle w:val="a3"/>
              <w:spacing w:before="0" w:beforeAutospacing="0" w:after="0" w:afterAutospacing="0"/>
              <w:rPr>
                <w:color w:val="000000"/>
                <w:sz w:val="20"/>
                <w:szCs w:val="20"/>
              </w:rPr>
            </w:pPr>
            <w:r>
              <w:rPr>
                <w:color w:val="000000"/>
                <w:sz w:val="20"/>
                <w:szCs w:val="20"/>
              </w:rPr>
              <w:t>%</w:t>
            </w:r>
          </w:p>
        </w:tc>
      </w:tr>
    </w:tbl>
    <w:p w14:paraId="4B70C81F" w14:textId="77777777" w:rsidR="00000000" w:rsidRDefault="00B8284C">
      <w:pPr>
        <w:pStyle w:val="a3"/>
        <w:spacing w:before="0" w:beforeAutospacing="0" w:after="0" w:afterAutospacing="0"/>
        <w:rPr>
          <w:sz w:val="20"/>
          <w:szCs w:val="20"/>
        </w:rPr>
      </w:pPr>
      <w:r>
        <w:rPr>
          <w:sz w:val="20"/>
          <w:szCs w:val="20"/>
        </w:rPr>
        <w:t> </w:t>
      </w:r>
    </w:p>
    <w:p w14:paraId="40BA3BB5" w14:textId="77777777" w:rsidR="00000000" w:rsidRDefault="00B8284C">
      <w:pPr>
        <w:pStyle w:val="a3"/>
        <w:spacing w:before="40" w:beforeAutospacing="0" w:after="0" w:afterAutospacing="0"/>
        <w:ind w:firstLine="556"/>
        <w:rPr>
          <w:sz w:val="20"/>
          <w:szCs w:val="20"/>
        </w:rPr>
      </w:pPr>
      <w:r>
        <w:rPr>
          <w:sz w:val="20"/>
          <w:szCs w:val="20"/>
        </w:rPr>
        <w:t>Revenue derived from customers outside the United States (international) was approximately 40</w:t>
      </w:r>
      <w:r>
        <w:rPr>
          <w:sz w:val="20"/>
          <w:szCs w:val="20"/>
        </w:rPr>
        <w:t xml:space="preserve">% of total revenue in the three and nine months ended September 30, 2019. Revenue derived from customers outside the United States (international) was approximately 38% of total revenue in the three months ended September 30, 2018 and 37% of total revenue </w:t>
      </w:r>
      <w:r>
        <w:rPr>
          <w:sz w:val="20"/>
          <w:szCs w:val="20"/>
        </w:rPr>
        <w:t xml:space="preserve">in the nine months ended September 30, 2018. </w:t>
      </w:r>
    </w:p>
    <w:p w14:paraId="43915E8D" w14:textId="77777777" w:rsidR="00000000" w:rsidRDefault="00B8284C">
      <w:pPr>
        <w:pStyle w:val="a3"/>
        <w:spacing w:before="240" w:beforeAutospacing="0" w:after="0" w:afterAutospacing="0"/>
        <w:ind w:firstLine="556"/>
        <w:rPr>
          <w:sz w:val="20"/>
          <w:szCs w:val="20"/>
        </w:rPr>
      </w:pPr>
      <w:r>
        <w:rPr>
          <w:sz w:val="20"/>
          <w:szCs w:val="20"/>
        </w:rPr>
        <w:t>Total long-lived assets by geographical region:</w:t>
      </w:r>
    </w:p>
    <w:p w14:paraId="3AE53239"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95"/>
        <w:gridCol w:w="65"/>
        <w:gridCol w:w="116"/>
        <w:gridCol w:w="706"/>
        <w:gridCol w:w="182"/>
        <w:gridCol w:w="65"/>
        <w:gridCol w:w="115"/>
        <w:gridCol w:w="888"/>
        <w:gridCol w:w="182"/>
      </w:tblGrid>
      <w:tr w:rsidR="00000000" w14:paraId="2F5BD074" w14:textId="77777777">
        <w:trPr>
          <w:divId w:val="1182082759"/>
        </w:trPr>
        <w:tc>
          <w:tcPr>
            <w:tcW w:w="3152" w:type="pct"/>
            <w:shd w:val="clear" w:color="auto" w:fill="FFFFFF"/>
            <w:tcMar>
              <w:top w:w="15" w:type="dxa"/>
              <w:left w:w="0" w:type="dxa"/>
              <w:bottom w:w="0" w:type="dxa"/>
              <w:right w:w="15" w:type="dxa"/>
            </w:tcMar>
            <w:vAlign w:val="bottom"/>
            <w:hideMark/>
          </w:tcPr>
          <w:p w14:paraId="05C476DF" w14:textId="77777777" w:rsidR="00000000" w:rsidRDefault="00B8284C">
            <w:pPr>
              <w:pStyle w:val="a3"/>
              <w:spacing w:before="0" w:beforeAutospacing="0" w:after="0" w:afterAutospacing="0"/>
              <w:rPr>
                <w:sz w:val="20"/>
                <w:szCs w:val="20"/>
              </w:rPr>
            </w:pPr>
            <w:r>
              <w:rPr>
                <w:sz w:val="20"/>
                <w:szCs w:val="20"/>
              </w:rPr>
              <w:t> </w:t>
            </w:r>
          </w:p>
        </w:tc>
        <w:tc>
          <w:tcPr>
            <w:tcW w:w="76" w:type="pct"/>
            <w:shd w:val="clear" w:color="auto" w:fill="FFFFFF"/>
            <w:tcMar>
              <w:top w:w="15" w:type="dxa"/>
              <w:left w:w="0" w:type="dxa"/>
              <w:bottom w:w="0" w:type="dxa"/>
              <w:right w:w="15" w:type="dxa"/>
            </w:tcMar>
            <w:vAlign w:val="bottom"/>
            <w:hideMark/>
          </w:tcPr>
          <w:p w14:paraId="5D110B66"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09" w:type="pct"/>
            <w:gridSpan w:val="2"/>
            <w:tcBorders>
              <w:bottom w:val="single" w:sz="6" w:space="0" w:color="000000"/>
            </w:tcBorders>
            <w:shd w:val="clear" w:color="auto" w:fill="FFFFFF"/>
            <w:tcMar>
              <w:top w:w="15" w:type="dxa"/>
              <w:left w:w="0" w:type="dxa"/>
              <w:bottom w:w="0" w:type="dxa"/>
              <w:right w:w="15" w:type="dxa"/>
            </w:tcMar>
            <w:vAlign w:val="bottom"/>
            <w:hideMark/>
          </w:tcPr>
          <w:p w14:paraId="71EF1F5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xml:space="preserve">As of </w:t>
            </w:r>
          </w:p>
          <w:p w14:paraId="7D92644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14:paraId="741D2A6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14:paraId="1DF0264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90" w:type="pct"/>
            <w:gridSpan w:val="2"/>
            <w:tcBorders>
              <w:bottom w:val="single" w:sz="6" w:space="0" w:color="000000"/>
            </w:tcBorders>
            <w:shd w:val="clear" w:color="auto" w:fill="FFFFFF"/>
            <w:tcMar>
              <w:top w:w="15" w:type="dxa"/>
              <w:left w:w="0" w:type="dxa"/>
              <w:bottom w:w="0" w:type="dxa"/>
              <w:right w:w="15" w:type="dxa"/>
            </w:tcMar>
            <w:vAlign w:val="bottom"/>
            <w:hideMark/>
          </w:tcPr>
          <w:p w14:paraId="20F8630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As of </w:t>
            </w:r>
          </w:p>
          <w:p w14:paraId="73FCE8F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48819C7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771B897" w14:textId="77777777">
        <w:trPr>
          <w:divId w:val="1182082759"/>
        </w:trPr>
        <w:tc>
          <w:tcPr>
            <w:tcW w:w="3152" w:type="pct"/>
            <w:shd w:val="clear" w:color="auto" w:fill="CFF0FC"/>
            <w:tcMar>
              <w:top w:w="15" w:type="dxa"/>
              <w:left w:w="0" w:type="dxa"/>
              <w:bottom w:w="0" w:type="dxa"/>
              <w:right w:w="15" w:type="dxa"/>
            </w:tcMar>
            <w:vAlign w:val="bottom"/>
            <w:hideMark/>
          </w:tcPr>
          <w:p w14:paraId="7058C276" w14:textId="77777777" w:rsidR="00000000" w:rsidRDefault="00B8284C">
            <w:pPr>
              <w:pStyle w:val="a3"/>
              <w:spacing w:before="0" w:beforeAutospacing="0" w:after="0" w:afterAutospacing="0"/>
              <w:rPr>
                <w:color w:val="000000"/>
                <w:sz w:val="20"/>
                <w:szCs w:val="20"/>
              </w:rPr>
            </w:pPr>
            <w:r>
              <w:rPr>
                <w:color w:val="000000"/>
                <w:sz w:val="20"/>
                <w:szCs w:val="20"/>
              </w:rPr>
              <w:t>Americas</w:t>
            </w:r>
          </w:p>
        </w:tc>
        <w:tc>
          <w:tcPr>
            <w:tcW w:w="76" w:type="pct"/>
            <w:shd w:val="clear" w:color="auto" w:fill="CFF0FC"/>
            <w:tcMar>
              <w:top w:w="15" w:type="dxa"/>
              <w:left w:w="0" w:type="dxa"/>
              <w:bottom w:w="0" w:type="dxa"/>
              <w:right w:w="15" w:type="dxa"/>
            </w:tcMar>
            <w:vAlign w:val="bottom"/>
            <w:hideMark/>
          </w:tcPr>
          <w:p w14:paraId="18291E4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7B7BE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59" w:type="pct"/>
            <w:tcBorders>
              <w:top w:val="single" w:sz="6" w:space="0" w:color="000000"/>
            </w:tcBorders>
            <w:shd w:val="clear" w:color="auto" w:fill="CFF0FC"/>
            <w:noWrap/>
            <w:tcMar>
              <w:top w:w="15" w:type="dxa"/>
              <w:left w:w="0" w:type="dxa"/>
              <w:bottom w:w="0" w:type="dxa"/>
              <w:right w:w="15" w:type="dxa"/>
            </w:tcMar>
            <w:vAlign w:val="bottom"/>
            <w:hideMark/>
          </w:tcPr>
          <w:p w14:paraId="284D65A0" w14:textId="77777777" w:rsidR="00000000" w:rsidRDefault="00B8284C">
            <w:pPr>
              <w:pStyle w:val="a3"/>
              <w:spacing w:before="0" w:beforeAutospacing="0" w:after="0" w:afterAutospacing="0"/>
              <w:jc w:val="right"/>
              <w:rPr>
                <w:color w:val="000000"/>
                <w:sz w:val="20"/>
                <w:szCs w:val="20"/>
              </w:rPr>
            </w:pPr>
            <w:r>
              <w:rPr>
                <w:color w:val="000000"/>
                <w:sz w:val="20"/>
                <w:szCs w:val="20"/>
              </w:rPr>
              <w:t>37,702</w:t>
            </w:r>
          </w:p>
        </w:tc>
        <w:tc>
          <w:tcPr>
            <w:tcW w:w="50" w:type="pct"/>
            <w:shd w:val="clear" w:color="auto" w:fill="CFF0FC"/>
            <w:noWrap/>
            <w:tcMar>
              <w:top w:w="15" w:type="dxa"/>
              <w:left w:w="0" w:type="dxa"/>
              <w:bottom w:w="0" w:type="dxa"/>
              <w:right w:w="15" w:type="dxa"/>
            </w:tcMar>
            <w:vAlign w:val="bottom"/>
            <w:hideMark/>
          </w:tcPr>
          <w:p w14:paraId="3C4065C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14:paraId="0D8DFF3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843B4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40" w:type="pct"/>
            <w:tcBorders>
              <w:top w:val="single" w:sz="6" w:space="0" w:color="000000"/>
            </w:tcBorders>
            <w:shd w:val="clear" w:color="auto" w:fill="CFF0FC"/>
            <w:noWrap/>
            <w:tcMar>
              <w:top w:w="15" w:type="dxa"/>
              <w:left w:w="0" w:type="dxa"/>
              <w:bottom w:w="0" w:type="dxa"/>
              <w:right w:w="15" w:type="dxa"/>
            </w:tcMar>
            <w:vAlign w:val="bottom"/>
            <w:hideMark/>
          </w:tcPr>
          <w:p w14:paraId="3AE37813" w14:textId="77777777" w:rsidR="00000000" w:rsidRDefault="00B8284C">
            <w:pPr>
              <w:pStyle w:val="a3"/>
              <w:spacing w:before="0" w:beforeAutospacing="0" w:after="0" w:afterAutospacing="0"/>
              <w:jc w:val="right"/>
              <w:rPr>
                <w:color w:val="000000"/>
                <w:sz w:val="20"/>
                <w:szCs w:val="20"/>
              </w:rPr>
            </w:pPr>
            <w:r>
              <w:rPr>
                <w:color w:val="000000"/>
                <w:sz w:val="20"/>
                <w:szCs w:val="20"/>
              </w:rPr>
              <w:t>35,186</w:t>
            </w:r>
          </w:p>
        </w:tc>
        <w:tc>
          <w:tcPr>
            <w:tcW w:w="50" w:type="pct"/>
            <w:shd w:val="clear" w:color="auto" w:fill="CFF0FC"/>
            <w:noWrap/>
            <w:tcMar>
              <w:top w:w="15" w:type="dxa"/>
              <w:left w:w="0" w:type="dxa"/>
              <w:bottom w:w="0" w:type="dxa"/>
              <w:right w:w="15" w:type="dxa"/>
            </w:tcMar>
            <w:vAlign w:val="bottom"/>
            <w:hideMark/>
          </w:tcPr>
          <w:p w14:paraId="438243D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E6DD37E" w14:textId="77777777">
        <w:trPr>
          <w:divId w:val="1182082759"/>
        </w:trPr>
        <w:tc>
          <w:tcPr>
            <w:tcW w:w="3152" w:type="pct"/>
            <w:shd w:val="clear" w:color="auto" w:fill="FFFFFF"/>
            <w:tcMar>
              <w:top w:w="15" w:type="dxa"/>
              <w:left w:w="0" w:type="dxa"/>
              <w:bottom w:w="0" w:type="dxa"/>
              <w:right w:w="15" w:type="dxa"/>
            </w:tcMar>
            <w:vAlign w:val="bottom"/>
            <w:hideMark/>
          </w:tcPr>
          <w:p w14:paraId="60C3741C" w14:textId="77777777" w:rsidR="00000000" w:rsidRDefault="00B8284C">
            <w:pPr>
              <w:pStyle w:val="a3"/>
              <w:spacing w:before="0" w:beforeAutospacing="0" w:after="0" w:afterAutospacing="0"/>
              <w:rPr>
                <w:color w:val="000000"/>
                <w:sz w:val="20"/>
                <w:szCs w:val="20"/>
              </w:rPr>
            </w:pPr>
            <w:r>
              <w:rPr>
                <w:color w:val="000000"/>
                <w:sz w:val="20"/>
                <w:szCs w:val="20"/>
              </w:rPr>
              <w:t>Europe</w:t>
            </w:r>
          </w:p>
        </w:tc>
        <w:tc>
          <w:tcPr>
            <w:tcW w:w="76" w:type="pct"/>
            <w:shd w:val="clear" w:color="auto" w:fill="FFFFFF"/>
            <w:tcMar>
              <w:top w:w="15" w:type="dxa"/>
              <w:left w:w="0" w:type="dxa"/>
              <w:bottom w:w="0" w:type="dxa"/>
              <w:right w:w="15" w:type="dxa"/>
            </w:tcMar>
            <w:vAlign w:val="bottom"/>
            <w:hideMark/>
          </w:tcPr>
          <w:p w14:paraId="454A4E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BB3F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9" w:type="pct"/>
            <w:shd w:val="clear" w:color="auto" w:fill="FFFFFF"/>
            <w:noWrap/>
            <w:tcMar>
              <w:top w:w="15" w:type="dxa"/>
              <w:left w:w="0" w:type="dxa"/>
              <w:bottom w:w="0" w:type="dxa"/>
              <w:right w:w="15" w:type="dxa"/>
            </w:tcMar>
            <w:vAlign w:val="bottom"/>
            <w:hideMark/>
          </w:tcPr>
          <w:p w14:paraId="00890D68" w14:textId="77777777" w:rsidR="00000000" w:rsidRDefault="00B8284C">
            <w:pPr>
              <w:pStyle w:val="a3"/>
              <w:spacing w:before="0" w:beforeAutospacing="0" w:after="0" w:afterAutospacing="0"/>
              <w:jc w:val="right"/>
              <w:rPr>
                <w:color w:val="000000"/>
                <w:sz w:val="20"/>
                <w:szCs w:val="20"/>
              </w:rPr>
            </w:pPr>
            <w:r>
              <w:rPr>
                <w:color w:val="000000"/>
                <w:sz w:val="20"/>
                <w:szCs w:val="20"/>
              </w:rPr>
              <w:t>22,603</w:t>
            </w:r>
          </w:p>
        </w:tc>
        <w:tc>
          <w:tcPr>
            <w:tcW w:w="50" w:type="pct"/>
            <w:shd w:val="clear" w:color="auto" w:fill="FFFFFF"/>
            <w:noWrap/>
            <w:tcMar>
              <w:top w:w="15" w:type="dxa"/>
              <w:left w:w="0" w:type="dxa"/>
              <w:bottom w:w="0" w:type="dxa"/>
              <w:right w:w="15" w:type="dxa"/>
            </w:tcMar>
            <w:vAlign w:val="bottom"/>
            <w:hideMark/>
          </w:tcPr>
          <w:p w14:paraId="24D3F6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14:paraId="72AFA36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1DCE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40" w:type="pct"/>
            <w:shd w:val="clear" w:color="auto" w:fill="FFFFFF"/>
            <w:noWrap/>
            <w:tcMar>
              <w:top w:w="15" w:type="dxa"/>
              <w:left w:w="0" w:type="dxa"/>
              <w:bottom w:w="0" w:type="dxa"/>
              <w:right w:w="15" w:type="dxa"/>
            </w:tcMar>
            <w:vAlign w:val="bottom"/>
            <w:hideMark/>
          </w:tcPr>
          <w:p w14:paraId="2D98240E" w14:textId="77777777" w:rsidR="00000000" w:rsidRDefault="00B8284C">
            <w:pPr>
              <w:pStyle w:val="a3"/>
              <w:spacing w:before="0" w:beforeAutospacing="0" w:after="0" w:afterAutospacing="0"/>
              <w:jc w:val="right"/>
              <w:rPr>
                <w:color w:val="000000"/>
                <w:sz w:val="20"/>
                <w:szCs w:val="20"/>
              </w:rPr>
            </w:pPr>
            <w:r>
              <w:rPr>
                <w:color w:val="000000"/>
                <w:sz w:val="20"/>
                <w:szCs w:val="20"/>
              </w:rPr>
              <w:t>13,913</w:t>
            </w:r>
          </w:p>
        </w:tc>
        <w:tc>
          <w:tcPr>
            <w:tcW w:w="50" w:type="pct"/>
            <w:shd w:val="clear" w:color="auto" w:fill="FFFFFF"/>
            <w:noWrap/>
            <w:tcMar>
              <w:top w:w="15" w:type="dxa"/>
              <w:left w:w="0" w:type="dxa"/>
              <w:bottom w:w="0" w:type="dxa"/>
              <w:right w:w="15" w:type="dxa"/>
            </w:tcMar>
            <w:vAlign w:val="bottom"/>
            <w:hideMark/>
          </w:tcPr>
          <w:p w14:paraId="40ABEB4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92E3B58" w14:textId="77777777">
        <w:trPr>
          <w:divId w:val="1182082759"/>
        </w:trPr>
        <w:tc>
          <w:tcPr>
            <w:tcW w:w="3152" w:type="pct"/>
            <w:shd w:val="clear" w:color="auto" w:fill="CFF0FC"/>
            <w:tcMar>
              <w:top w:w="15" w:type="dxa"/>
              <w:left w:w="0" w:type="dxa"/>
              <w:bottom w:w="0" w:type="dxa"/>
              <w:right w:w="15" w:type="dxa"/>
            </w:tcMar>
            <w:vAlign w:val="bottom"/>
            <w:hideMark/>
          </w:tcPr>
          <w:p w14:paraId="7657544C" w14:textId="77777777" w:rsidR="00000000" w:rsidRDefault="00B8284C">
            <w:pPr>
              <w:pStyle w:val="a3"/>
              <w:spacing w:before="0" w:beforeAutospacing="0" w:after="0" w:afterAutospacing="0"/>
              <w:rPr>
                <w:color w:val="000000"/>
                <w:sz w:val="20"/>
                <w:szCs w:val="20"/>
              </w:rPr>
            </w:pPr>
            <w:r>
              <w:rPr>
                <w:color w:val="000000"/>
                <w:sz w:val="20"/>
                <w:szCs w:val="20"/>
              </w:rPr>
              <w:t>Asia Pacific</w:t>
            </w:r>
          </w:p>
        </w:tc>
        <w:tc>
          <w:tcPr>
            <w:tcW w:w="76" w:type="pct"/>
            <w:shd w:val="clear" w:color="auto" w:fill="CFF0FC"/>
            <w:tcMar>
              <w:top w:w="15" w:type="dxa"/>
              <w:left w:w="0" w:type="dxa"/>
              <w:bottom w:w="0" w:type="dxa"/>
              <w:right w:w="15" w:type="dxa"/>
            </w:tcMar>
            <w:vAlign w:val="bottom"/>
            <w:hideMark/>
          </w:tcPr>
          <w:p w14:paraId="0F49EB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1D8E21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9" w:type="pct"/>
            <w:tcBorders>
              <w:bottom w:val="single" w:sz="6" w:space="0" w:color="000000"/>
            </w:tcBorders>
            <w:shd w:val="clear" w:color="auto" w:fill="CFF0FC"/>
            <w:noWrap/>
            <w:tcMar>
              <w:top w:w="15" w:type="dxa"/>
              <w:left w:w="0" w:type="dxa"/>
              <w:bottom w:w="0" w:type="dxa"/>
              <w:right w:w="15" w:type="dxa"/>
            </w:tcMar>
            <w:vAlign w:val="bottom"/>
            <w:hideMark/>
          </w:tcPr>
          <w:p w14:paraId="1866D9D0" w14:textId="77777777" w:rsidR="00000000" w:rsidRDefault="00B8284C">
            <w:pPr>
              <w:pStyle w:val="a3"/>
              <w:spacing w:before="0" w:beforeAutospacing="0" w:after="0" w:afterAutospacing="0"/>
              <w:jc w:val="right"/>
              <w:rPr>
                <w:color w:val="000000"/>
                <w:sz w:val="20"/>
                <w:szCs w:val="20"/>
              </w:rPr>
            </w:pPr>
            <w:r>
              <w:rPr>
                <w:color w:val="000000"/>
                <w:sz w:val="20"/>
                <w:szCs w:val="20"/>
              </w:rPr>
              <w:t>3,654</w:t>
            </w:r>
          </w:p>
        </w:tc>
        <w:tc>
          <w:tcPr>
            <w:tcW w:w="50" w:type="pct"/>
            <w:shd w:val="clear" w:color="auto" w:fill="CFF0FC"/>
            <w:noWrap/>
            <w:tcMar>
              <w:top w:w="15" w:type="dxa"/>
              <w:left w:w="0" w:type="dxa"/>
              <w:bottom w:w="0" w:type="dxa"/>
              <w:right w:w="15" w:type="dxa"/>
            </w:tcMar>
            <w:vAlign w:val="bottom"/>
            <w:hideMark/>
          </w:tcPr>
          <w:p w14:paraId="3CBEB6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14:paraId="7B63F16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31B3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40" w:type="pct"/>
            <w:tcBorders>
              <w:bottom w:val="single" w:sz="6" w:space="0" w:color="000000"/>
            </w:tcBorders>
            <w:shd w:val="clear" w:color="auto" w:fill="CFF0FC"/>
            <w:noWrap/>
            <w:tcMar>
              <w:top w:w="15" w:type="dxa"/>
              <w:left w:w="0" w:type="dxa"/>
              <w:bottom w:w="0" w:type="dxa"/>
              <w:right w:w="15" w:type="dxa"/>
            </w:tcMar>
            <w:vAlign w:val="bottom"/>
            <w:hideMark/>
          </w:tcPr>
          <w:p w14:paraId="41BDF5F4" w14:textId="77777777" w:rsidR="00000000" w:rsidRDefault="00B8284C">
            <w:pPr>
              <w:pStyle w:val="a3"/>
              <w:spacing w:before="0" w:beforeAutospacing="0" w:after="0" w:afterAutospacing="0"/>
              <w:jc w:val="right"/>
              <w:rPr>
                <w:color w:val="000000"/>
                <w:sz w:val="20"/>
                <w:szCs w:val="20"/>
              </w:rPr>
            </w:pPr>
            <w:r>
              <w:rPr>
                <w:color w:val="000000"/>
                <w:sz w:val="20"/>
                <w:szCs w:val="20"/>
              </w:rPr>
              <w:t>3,369</w:t>
            </w:r>
          </w:p>
        </w:tc>
        <w:tc>
          <w:tcPr>
            <w:tcW w:w="50" w:type="pct"/>
            <w:shd w:val="clear" w:color="auto" w:fill="CFF0FC"/>
            <w:noWrap/>
            <w:tcMar>
              <w:top w:w="15" w:type="dxa"/>
              <w:left w:w="0" w:type="dxa"/>
              <w:bottom w:w="0" w:type="dxa"/>
              <w:right w:w="15" w:type="dxa"/>
            </w:tcMar>
            <w:vAlign w:val="bottom"/>
            <w:hideMark/>
          </w:tcPr>
          <w:p w14:paraId="2F916DC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BF898B2" w14:textId="77777777">
        <w:trPr>
          <w:divId w:val="1182082759"/>
        </w:trPr>
        <w:tc>
          <w:tcPr>
            <w:tcW w:w="3152" w:type="pct"/>
            <w:shd w:val="clear" w:color="auto" w:fill="FFFFFF"/>
            <w:tcMar>
              <w:top w:w="15" w:type="dxa"/>
              <w:left w:w="0" w:type="dxa"/>
              <w:bottom w:w="0" w:type="dxa"/>
              <w:right w:w="15" w:type="dxa"/>
            </w:tcMar>
            <w:vAlign w:val="bottom"/>
            <w:hideMark/>
          </w:tcPr>
          <w:p w14:paraId="7DA7920E" w14:textId="77777777" w:rsidR="00000000" w:rsidRDefault="00B8284C">
            <w:pPr>
              <w:pStyle w:val="a3"/>
              <w:spacing w:before="0" w:beforeAutospacing="0" w:after="0" w:afterAutospacing="0"/>
              <w:rPr>
                <w:color w:val="000000"/>
                <w:sz w:val="20"/>
                <w:szCs w:val="20"/>
              </w:rPr>
            </w:pPr>
            <w:r>
              <w:rPr>
                <w:color w:val="000000"/>
                <w:sz w:val="20"/>
                <w:szCs w:val="20"/>
              </w:rPr>
              <w:t>Total long-lived assets</w:t>
            </w:r>
          </w:p>
        </w:tc>
        <w:tc>
          <w:tcPr>
            <w:tcW w:w="76" w:type="pct"/>
            <w:shd w:val="clear" w:color="auto" w:fill="FFFFFF"/>
            <w:tcMar>
              <w:top w:w="15" w:type="dxa"/>
              <w:left w:w="0" w:type="dxa"/>
              <w:bottom w:w="0" w:type="dxa"/>
              <w:right w:w="15" w:type="dxa"/>
            </w:tcMar>
            <w:vAlign w:val="bottom"/>
            <w:hideMark/>
          </w:tcPr>
          <w:p w14:paraId="209B23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A59FA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E9C3D9" w14:textId="77777777" w:rsidR="00000000" w:rsidRDefault="00B8284C">
            <w:pPr>
              <w:pStyle w:val="a3"/>
              <w:spacing w:before="0" w:beforeAutospacing="0" w:after="0" w:afterAutospacing="0"/>
              <w:jc w:val="right"/>
              <w:rPr>
                <w:color w:val="000000"/>
                <w:sz w:val="20"/>
                <w:szCs w:val="20"/>
              </w:rPr>
            </w:pPr>
            <w:r>
              <w:rPr>
                <w:color w:val="000000"/>
                <w:sz w:val="20"/>
                <w:szCs w:val="20"/>
              </w:rPr>
              <w:t>63,959</w:t>
            </w:r>
          </w:p>
        </w:tc>
        <w:tc>
          <w:tcPr>
            <w:tcW w:w="50" w:type="pct"/>
            <w:shd w:val="clear" w:color="auto" w:fill="FFFFFF"/>
            <w:noWrap/>
            <w:tcMar>
              <w:top w:w="15" w:type="dxa"/>
              <w:left w:w="0" w:type="dxa"/>
              <w:bottom w:w="0" w:type="dxa"/>
              <w:right w:w="15" w:type="dxa"/>
            </w:tcMar>
            <w:vAlign w:val="bottom"/>
            <w:hideMark/>
          </w:tcPr>
          <w:p w14:paraId="290B26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14:paraId="2BC0F4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5FA3A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167DCA" w14:textId="77777777" w:rsidR="00000000" w:rsidRDefault="00B8284C">
            <w:pPr>
              <w:pStyle w:val="a3"/>
              <w:spacing w:before="0" w:beforeAutospacing="0" w:after="0" w:afterAutospacing="0"/>
              <w:jc w:val="right"/>
              <w:rPr>
                <w:color w:val="000000"/>
                <w:sz w:val="20"/>
                <w:szCs w:val="20"/>
              </w:rPr>
            </w:pPr>
            <w:r>
              <w:rPr>
                <w:color w:val="000000"/>
                <w:sz w:val="20"/>
                <w:szCs w:val="20"/>
              </w:rPr>
              <w:t>52,468</w:t>
            </w:r>
          </w:p>
        </w:tc>
        <w:tc>
          <w:tcPr>
            <w:tcW w:w="50" w:type="pct"/>
            <w:shd w:val="clear" w:color="auto" w:fill="FFFFFF"/>
            <w:noWrap/>
            <w:tcMar>
              <w:top w:w="15" w:type="dxa"/>
              <w:left w:w="0" w:type="dxa"/>
              <w:bottom w:w="0" w:type="dxa"/>
              <w:right w:w="15" w:type="dxa"/>
            </w:tcMar>
            <w:vAlign w:val="bottom"/>
            <w:hideMark/>
          </w:tcPr>
          <w:p w14:paraId="6DE4575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A974077" w14:textId="77777777">
        <w:trPr>
          <w:divId w:val="1182082759"/>
        </w:trPr>
        <w:tc>
          <w:tcPr>
            <w:tcW w:w="3152" w:type="pct"/>
            <w:shd w:val="clear" w:color="auto" w:fill="CFF0FC"/>
            <w:tcMar>
              <w:top w:w="15" w:type="dxa"/>
              <w:left w:w="0" w:type="dxa"/>
              <w:bottom w:w="0" w:type="dxa"/>
              <w:right w:w="15" w:type="dxa"/>
            </w:tcMar>
            <w:vAlign w:val="bottom"/>
            <w:hideMark/>
          </w:tcPr>
          <w:p w14:paraId="3B06E611" w14:textId="77777777" w:rsidR="00000000" w:rsidRDefault="00B8284C">
            <w:pPr>
              <w:pStyle w:val="a3"/>
              <w:spacing w:before="0" w:beforeAutospacing="0" w:after="0" w:afterAutospacing="0"/>
              <w:rPr>
                <w:color w:val="000000"/>
                <w:sz w:val="20"/>
                <w:szCs w:val="20"/>
              </w:rPr>
            </w:pPr>
            <w:r>
              <w:rPr>
                <w:color w:val="000000"/>
                <w:sz w:val="20"/>
                <w:szCs w:val="20"/>
              </w:rPr>
              <w:t>Percentage of long-lived assets held outside of the</w:t>
            </w:r>
          </w:p>
          <w:p w14:paraId="12B4E854" w14:textId="77777777" w:rsidR="00000000" w:rsidRDefault="00B8284C">
            <w:pPr>
              <w:pStyle w:val="a3"/>
              <w:spacing w:before="0" w:beforeAutospacing="0" w:after="0" w:afterAutospacing="0"/>
              <w:rPr>
                <w:color w:val="000000"/>
                <w:sz w:val="20"/>
                <w:szCs w:val="20"/>
              </w:rPr>
            </w:pPr>
            <w:r>
              <w:rPr>
                <w:color w:val="000000"/>
                <w:sz w:val="20"/>
                <w:szCs w:val="20"/>
              </w:rPr>
              <w:t>   Americas</w:t>
            </w:r>
          </w:p>
        </w:tc>
        <w:tc>
          <w:tcPr>
            <w:tcW w:w="76" w:type="pct"/>
            <w:shd w:val="clear" w:color="auto" w:fill="CFF0FC"/>
            <w:tcMar>
              <w:top w:w="15" w:type="dxa"/>
              <w:left w:w="0" w:type="dxa"/>
              <w:bottom w:w="0" w:type="dxa"/>
              <w:right w:w="15" w:type="dxa"/>
            </w:tcMar>
            <w:vAlign w:val="bottom"/>
            <w:hideMark/>
          </w:tcPr>
          <w:p w14:paraId="4141A34D"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E22911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F24400C" w14:textId="77777777" w:rsidR="00000000" w:rsidRDefault="00B8284C">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CFF0FC"/>
            <w:noWrap/>
            <w:tcMar>
              <w:top w:w="15" w:type="dxa"/>
              <w:left w:w="0" w:type="dxa"/>
              <w:bottom w:w="0" w:type="dxa"/>
              <w:right w:w="15" w:type="dxa"/>
            </w:tcMar>
            <w:vAlign w:val="bottom"/>
            <w:hideMark/>
          </w:tcPr>
          <w:p w14:paraId="0CB9E46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14:paraId="527C07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B31048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4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2880DBB" w14:textId="77777777" w:rsidR="00000000" w:rsidRDefault="00B8284C">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14:paraId="5883927A" w14:textId="77777777" w:rsidR="00000000" w:rsidRDefault="00B8284C">
            <w:pPr>
              <w:pStyle w:val="a3"/>
              <w:spacing w:before="0" w:beforeAutospacing="0" w:after="0" w:afterAutospacing="0"/>
              <w:rPr>
                <w:color w:val="000000"/>
                <w:sz w:val="20"/>
                <w:szCs w:val="20"/>
              </w:rPr>
            </w:pPr>
            <w:r>
              <w:rPr>
                <w:color w:val="000000"/>
                <w:sz w:val="20"/>
                <w:szCs w:val="20"/>
              </w:rPr>
              <w:t>%</w:t>
            </w:r>
          </w:p>
        </w:tc>
      </w:tr>
    </w:tbl>
    <w:p w14:paraId="2790EF85" w14:textId="77777777" w:rsidR="00000000" w:rsidRDefault="00B8284C">
      <w:pPr>
        <w:pStyle w:val="a3"/>
        <w:spacing w:before="0" w:beforeAutospacing="0" w:after="0" w:afterAutospacing="0"/>
        <w:rPr>
          <w:sz w:val="18"/>
          <w:szCs w:val="18"/>
        </w:rPr>
      </w:pPr>
      <w:r>
        <w:rPr>
          <w:sz w:val="18"/>
          <w:szCs w:val="18"/>
        </w:rPr>
        <w:t> </w:t>
      </w:r>
    </w:p>
    <w:p w14:paraId="7E41966E" w14:textId="77777777" w:rsidR="00000000" w:rsidRDefault="00B8284C">
      <w:pPr>
        <w:pStyle w:val="a3"/>
        <w:spacing w:before="0" w:beforeAutospacing="0" w:after="0" w:afterAutospacing="0"/>
        <w:rPr>
          <w:sz w:val="18"/>
          <w:szCs w:val="18"/>
        </w:rPr>
      </w:pPr>
      <w:r>
        <w:rPr>
          <w:sz w:val="18"/>
          <w:szCs w:val="18"/>
        </w:rPr>
        <w:t> </w:t>
      </w:r>
    </w:p>
    <w:p w14:paraId="3535075A" w14:textId="77777777" w:rsidR="00000000" w:rsidRDefault="00B8284C">
      <w:pPr>
        <w:pStyle w:val="a3"/>
        <w:spacing w:before="0" w:beforeAutospacing="0" w:after="0" w:afterAutospacing="0"/>
        <w:rPr>
          <w:b/>
          <w:bCs/>
          <w:sz w:val="20"/>
          <w:szCs w:val="20"/>
        </w:rPr>
      </w:pPr>
      <w:r>
        <w:rPr>
          <w:b/>
          <w:bCs/>
          <w:sz w:val="20"/>
          <w:szCs w:val="20"/>
        </w:rPr>
        <w:t xml:space="preserve">15. Subsequent Event </w:t>
      </w:r>
    </w:p>
    <w:p w14:paraId="4E67D83E" w14:textId="77777777" w:rsidR="00000000" w:rsidRDefault="00B8284C">
      <w:pPr>
        <w:pStyle w:val="a3"/>
        <w:spacing w:before="120" w:beforeAutospacing="0" w:after="0" w:afterAutospacing="0"/>
        <w:ind w:firstLine="556"/>
        <w:rPr>
          <w:sz w:val="20"/>
          <w:szCs w:val="20"/>
        </w:rPr>
      </w:pPr>
      <w:r>
        <w:rPr>
          <w:sz w:val="20"/>
          <w:szCs w:val="20"/>
        </w:rPr>
        <w:t>On October 31, 2019 the Company acquired 100</w:t>
      </w:r>
      <w:r>
        <w:rPr>
          <w:sz w:val="20"/>
          <w:szCs w:val="20"/>
        </w:rPr>
        <w:t>% of the outstanding equity securities of PieSync NV, a limited liability company formed under Belgian law ("PieSync"), for approximately $26.5 million.  PieSync provides a customer data sync platform, enabling bi-directional syncs between business applica</w:t>
      </w:r>
      <w:r>
        <w:rPr>
          <w:sz w:val="20"/>
          <w:szCs w:val="20"/>
        </w:rPr>
        <w:t>tions.</w:t>
      </w:r>
    </w:p>
    <w:p w14:paraId="00DFA67B" w14:textId="77777777" w:rsidR="00000000" w:rsidRDefault="00B8284C">
      <w:pPr>
        <w:pStyle w:val="a3"/>
        <w:spacing w:before="240" w:beforeAutospacing="0" w:after="0" w:afterAutospacing="0"/>
        <w:jc w:val="center"/>
        <w:rPr>
          <w:sz w:val="20"/>
          <w:szCs w:val="20"/>
        </w:rPr>
      </w:pPr>
      <w:r>
        <w:rPr>
          <w:sz w:val="20"/>
          <w:szCs w:val="20"/>
        </w:rPr>
        <w:t>20</w:t>
      </w:r>
    </w:p>
    <w:p w14:paraId="1F027C00" w14:textId="77777777" w:rsidR="00000000" w:rsidRDefault="00B8284C">
      <w:pPr>
        <w:rPr>
          <w:rFonts w:eastAsia="Times New Roman"/>
        </w:rPr>
      </w:pPr>
      <w:r>
        <w:rPr>
          <w:rFonts w:eastAsia="Times New Roman"/>
        </w:rPr>
        <w:pict w14:anchorId="6635ED86">
          <v:rect id="_x0000_i1044" style="width:0;height:1.5pt" o:hralign="center" o:hrstd="t" o:hr="t" fillcolor="#a0a0a0" stroked="f"/>
        </w:pict>
      </w:r>
    </w:p>
    <w:p w14:paraId="3D5BD222"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149139A0" w14:textId="77777777">
        <w:trPr>
          <w:divId w:val="2051680427"/>
        </w:trPr>
        <w:tc>
          <w:tcPr>
            <w:tcW w:w="453" w:type="pct"/>
            <w:noWrap/>
            <w:hideMark/>
          </w:tcPr>
          <w:p w14:paraId="0699484C" w14:textId="77777777" w:rsidR="00000000" w:rsidRDefault="00B8284C">
            <w:pPr>
              <w:pStyle w:val="a3"/>
              <w:spacing w:before="0" w:beforeAutospacing="0" w:after="0" w:afterAutospacing="0"/>
              <w:rPr>
                <w:b/>
                <w:bCs/>
                <w:sz w:val="20"/>
                <w:szCs w:val="20"/>
              </w:rPr>
            </w:pPr>
            <w:r>
              <w:rPr>
                <w:b/>
                <w:bCs/>
                <w:sz w:val="20"/>
                <w:szCs w:val="20"/>
              </w:rPr>
              <w:t>Item 2.</w:t>
            </w:r>
          </w:p>
        </w:tc>
        <w:tc>
          <w:tcPr>
            <w:tcW w:w="0" w:type="auto"/>
            <w:hideMark/>
          </w:tcPr>
          <w:p w14:paraId="417730A0" w14:textId="77777777" w:rsidR="00000000" w:rsidRDefault="00B8284C">
            <w:pPr>
              <w:pStyle w:val="a3"/>
              <w:spacing w:before="0" w:beforeAutospacing="0" w:after="0" w:afterAutospacing="0"/>
              <w:rPr>
                <w:b/>
                <w:bCs/>
                <w:sz w:val="20"/>
                <w:szCs w:val="20"/>
              </w:rPr>
            </w:pPr>
            <w:r>
              <w:rPr>
                <w:b/>
                <w:bCs/>
                <w:sz w:val="20"/>
                <w:szCs w:val="20"/>
              </w:rPr>
              <w:t>Management’s Discussion and Analysis of Financial Condition and Results of Operations</w:t>
            </w:r>
          </w:p>
        </w:tc>
      </w:tr>
    </w:tbl>
    <w:p w14:paraId="225C7E40" w14:textId="77777777" w:rsidR="00000000" w:rsidRDefault="00B8284C">
      <w:pPr>
        <w:pStyle w:val="a3"/>
        <w:spacing w:before="120" w:beforeAutospacing="0" w:after="0" w:afterAutospacing="0"/>
        <w:ind w:firstLine="556"/>
        <w:rPr>
          <w:i/>
          <w:iCs/>
          <w:sz w:val="20"/>
          <w:szCs w:val="20"/>
        </w:rPr>
      </w:pPr>
      <w:r>
        <w:rPr>
          <w:i/>
          <w:iCs/>
          <w:sz w:val="20"/>
          <w:szCs w:val="20"/>
        </w:rPr>
        <w:t>The following discussion and analysis of our financial condition and results of operations should be read in conj</w:t>
      </w:r>
      <w:r>
        <w:rPr>
          <w:i/>
          <w:iCs/>
          <w:sz w:val="20"/>
          <w:szCs w:val="20"/>
        </w:rPr>
        <w:t xml:space="preserve">unction with our consolidated financial statements and related notes appearing elsewhere in this Quarterly Report on Form 10-Q and our Annual Report on Form 10-K for the year ended December 31, 2018 filed with the SEC on February 12, 2019. As discussed in </w:t>
      </w:r>
      <w:r>
        <w:rPr>
          <w:i/>
          <w:iCs/>
          <w:sz w:val="20"/>
          <w:szCs w:val="20"/>
        </w:rPr>
        <w:t>the section titled “Special Note Regarding Forward-Looking Statements,” the following discussion and analysis contains forward-looking statements that involve risks and uncertainties, as well as assumptions that, if they never materialize or prove incorrec</w:t>
      </w:r>
      <w:r>
        <w:rPr>
          <w:i/>
          <w:iCs/>
          <w:sz w:val="20"/>
          <w:szCs w:val="20"/>
        </w:rPr>
        <w:t>t, could cause our results to differ materially from those expressed or implied by such forward-looking statements. Factors that could cause or contribute to such differences include, but are not limited to, those identified below, and those discussed in t</w:t>
      </w:r>
      <w:r>
        <w:rPr>
          <w:i/>
          <w:iCs/>
          <w:sz w:val="20"/>
          <w:szCs w:val="20"/>
        </w:rPr>
        <w:t>he section titled “Risk Factors” included under Part II, Item 1A below.</w:t>
      </w:r>
    </w:p>
    <w:p w14:paraId="51642FE5" w14:textId="77777777" w:rsidR="00000000" w:rsidRDefault="00B8284C">
      <w:pPr>
        <w:pStyle w:val="a3"/>
        <w:spacing w:before="360" w:beforeAutospacing="0" w:after="0" w:afterAutospacing="0"/>
        <w:rPr>
          <w:b/>
          <w:bCs/>
          <w:sz w:val="20"/>
          <w:szCs w:val="20"/>
        </w:rPr>
      </w:pPr>
      <w:r>
        <w:rPr>
          <w:b/>
          <w:bCs/>
          <w:sz w:val="20"/>
          <w:szCs w:val="20"/>
        </w:rPr>
        <w:t>Company Overview</w:t>
      </w:r>
    </w:p>
    <w:p w14:paraId="0B8E4B72" w14:textId="77777777" w:rsidR="00000000" w:rsidRDefault="00B8284C">
      <w:pPr>
        <w:pStyle w:val="a3"/>
        <w:spacing w:before="120" w:beforeAutospacing="0" w:after="0" w:afterAutospacing="0"/>
        <w:ind w:firstLine="556"/>
        <w:rPr>
          <w:sz w:val="20"/>
          <w:szCs w:val="20"/>
        </w:rPr>
      </w:pPr>
      <w:r>
        <w:rPr>
          <w:sz w:val="20"/>
          <w:szCs w:val="20"/>
        </w:rPr>
        <w:t>We provide a cloud-based marketing, sales, and customer service software platform, which we refer to as our Growth Platform, that enables businesses to grow better. At</w:t>
      </w:r>
      <w:r>
        <w:rPr>
          <w:sz w:val="20"/>
          <w:szCs w:val="20"/>
        </w:rPr>
        <w:t xml:space="preserve"> HubSpot, we’re committed to helping our customers grow better, which means helping them grow without compromise, always solving for the customer, and creating a better experience for customers and company alike.  To that end, our Growth Platform, comprise</w:t>
      </w:r>
      <w:r>
        <w:rPr>
          <w:sz w:val="20"/>
          <w:szCs w:val="20"/>
        </w:rPr>
        <w:t>d of Marketing Hub, Sales Hub, Service Hub, and a customer relationship management, or CRM system, features integrated applications and tools that enable businesses to create a cohesive and adaptable customer experience throughout the customer lifecycle.  </w:t>
      </w:r>
    </w:p>
    <w:p w14:paraId="6CF1136D" w14:textId="77777777" w:rsidR="00000000" w:rsidRDefault="00B8284C">
      <w:pPr>
        <w:pStyle w:val="a3"/>
        <w:spacing w:before="240" w:beforeAutospacing="0" w:after="0" w:afterAutospacing="0"/>
        <w:ind w:firstLine="556"/>
        <w:rPr>
          <w:sz w:val="20"/>
          <w:szCs w:val="20"/>
        </w:rPr>
      </w:pPr>
      <w:r>
        <w:rPr>
          <w:sz w:val="20"/>
          <w:szCs w:val="20"/>
        </w:rPr>
        <w:t xml:space="preserve">We focus on selling to mid-market business-to-business, or B2B, companies, which we define as companies that have between two and 2,000 employees.  While our Growth Platform was built to grow with any company, we focus on selling to mid-market businesses </w:t>
      </w:r>
      <w:r>
        <w:rPr>
          <w:sz w:val="20"/>
          <w:szCs w:val="20"/>
        </w:rPr>
        <w:t>because we believe we have significant competitive advantages attracting and serving this market segment. These mid-market businesses seek an integrated, easy-to-implement and easy-to-use solution to reach customers and compete with organizations that have</w:t>
      </w:r>
      <w:r>
        <w:rPr>
          <w:sz w:val="20"/>
          <w:szCs w:val="20"/>
        </w:rPr>
        <w:t xml:space="preserve"> larger marketing and sales budgets. We efficiently reach these businesses at scale through our proven inbound methodology, our Solutions Partners, and our “freemium” model. A Solutions Partner is a service provider that helps businesses with strategy, exe</w:t>
      </w:r>
      <w:r>
        <w:rPr>
          <w:sz w:val="20"/>
          <w:szCs w:val="20"/>
        </w:rPr>
        <w:t>cution, and implementation of go-to-market activities and technology solutions. Our freemium model attracts customers who begin using our Growth Platform through our free products and then upgrade to our paid products. As of September 30, 2019, we had 3,20</w:t>
      </w:r>
      <w:r>
        <w:rPr>
          <w:sz w:val="20"/>
          <w:szCs w:val="20"/>
        </w:rPr>
        <w:t>4 full-time employees and 68,803 Total Customers of varying sizes in more than 100 countries, representing almost every industry.</w:t>
      </w:r>
    </w:p>
    <w:p w14:paraId="77833395" w14:textId="77777777" w:rsidR="00000000" w:rsidRDefault="00B8284C">
      <w:pPr>
        <w:pStyle w:val="a3"/>
        <w:spacing w:before="240" w:beforeAutospacing="0" w:after="0" w:afterAutospacing="0"/>
        <w:ind w:firstLine="556"/>
        <w:rPr>
          <w:sz w:val="20"/>
          <w:szCs w:val="20"/>
        </w:rPr>
      </w:pPr>
      <w:r>
        <w:rPr>
          <w:sz w:val="20"/>
          <w:szCs w:val="20"/>
        </w:rPr>
        <w:t>We derive most of our revenue from subscriptions to our cloud-based Growth Platform and related professional services, which c</w:t>
      </w:r>
      <w:r>
        <w:rPr>
          <w:sz w:val="20"/>
          <w:szCs w:val="20"/>
        </w:rPr>
        <w:t xml:space="preserve">onsist of customer on-boarding and training services. Subscription revenue accounted for 96% of our total revenue for the three and nine months ended September 30, 2019 and 95% of our total revenue for the three and nine months ended September 30,2018. We </w:t>
      </w:r>
      <w:r>
        <w:rPr>
          <w:sz w:val="20"/>
          <w:szCs w:val="20"/>
        </w:rPr>
        <w:t>sell multiple product plans at different base prices on a subscription basis, each of which includes our core Growth Platform and integrated applications to meet the needs of the various customers we serve. Customers pay additional fees if the number of co</w:t>
      </w:r>
      <w:r>
        <w:rPr>
          <w:sz w:val="20"/>
          <w:szCs w:val="20"/>
        </w:rPr>
        <w:t>ntacts stored and tracked in the customer’s database exceeds specified thresholds. We generate additional revenue based on the purchase of additional subscriptions, purchase of additional products, purchases of our add-on products and the number of account</w:t>
      </w:r>
      <w:r>
        <w:rPr>
          <w:sz w:val="20"/>
          <w:szCs w:val="20"/>
        </w:rPr>
        <w:t xml:space="preserve"> users, subdomains and website visits. Most of our customers’ subscriptions are one year or less in duration.</w:t>
      </w:r>
    </w:p>
    <w:p w14:paraId="7F5EC60C" w14:textId="77777777" w:rsidR="00000000" w:rsidRDefault="00B8284C">
      <w:pPr>
        <w:pStyle w:val="a3"/>
        <w:spacing w:before="240" w:beforeAutospacing="0" w:after="0" w:afterAutospacing="0"/>
        <w:ind w:firstLine="556"/>
        <w:rPr>
          <w:sz w:val="20"/>
          <w:szCs w:val="20"/>
        </w:rPr>
      </w:pPr>
      <w:r>
        <w:rPr>
          <w:sz w:val="20"/>
          <w:szCs w:val="20"/>
        </w:rPr>
        <w:t xml:space="preserve">Subscriptions are non-cancelable and are billed in advance on various schedules. Because the mix of billing terms for orders can vary from period </w:t>
      </w:r>
      <w:r>
        <w:rPr>
          <w:sz w:val="20"/>
          <w:szCs w:val="20"/>
        </w:rPr>
        <w:t>to period, the annualized value of the orders we enter into with our customers will not be completely reflected in deferred revenue at any single point in time. Accordingly, we do not believe that change in deferred revenue is an accurate indicator of futu</w:t>
      </w:r>
      <w:r>
        <w:rPr>
          <w:sz w:val="20"/>
          <w:szCs w:val="20"/>
        </w:rPr>
        <w:t>re revenue for a given period of time.</w:t>
      </w:r>
    </w:p>
    <w:p w14:paraId="71E0C25A" w14:textId="77777777" w:rsidR="00000000" w:rsidRDefault="00B8284C">
      <w:pPr>
        <w:pStyle w:val="a3"/>
        <w:spacing w:before="240" w:beforeAutospacing="0" w:after="0" w:afterAutospacing="0"/>
        <w:ind w:firstLine="556"/>
        <w:rPr>
          <w:sz w:val="20"/>
          <w:szCs w:val="20"/>
        </w:rPr>
      </w:pPr>
      <w:r>
        <w:rPr>
          <w:sz w:val="20"/>
          <w:szCs w:val="20"/>
        </w:rPr>
        <w:t>Many of our customers purchase on-boarding and training services which are designed to help customers enhance their ability to attract, engage and delight their customers using our Growth Platform. Professional servic</w:t>
      </w:r>
      <w:r>
        <w:rPr>
          <w:sz w:val="20"/>
          <w:szCs w:val="20"/>
        </w:rPr>
        <w:t xml:space="preserve">es and other revenue accounted for 4% of total revenue for the three and nine months ended September 30, 2019 and 5% of total revenue for the three and nine months ended September 30, 2018. We expect professional services and other margins to range from a </w:t>
      </w:r>
      <w:r>
        <w:rPr>
          <w:sz w:val="20"/>
          <w:szCs w:val="20"/>
        </w:rPr>
        <w:t>moderate loss to breakeven for the foreseeable future.</w:t>
      </w:r>
    </w:p>
    <w:p w14:paraId="568CEA9C" w14:textId="77777777" w:rsidR="00000000" w:rsidRDefault="00B8284C">
      <w:pPr>
        <w:pStyle w:val="a3"/>
        <w:spacing w:before="240" w:beforeAutospacing="0" w:after="0" w:afterAutospacing="0"/>
        <w:ind w:firstLine="556"/>
        <w:rPr>
          <w:sz w:val="20"/>
          <w:szCs w:val="20"/>
        </w:rPr>
      </w:pPr>
      <w:r>
        <w:rPr>
          <w:sz w:val="20"/>
          <w:szCs w:val="20"/>
        </w:rPr>
        <w:t>We have focused on rapidly growing our business and plan to continue to make investments to help us address some of the challenges facing us to support this growth, such as demand for our Growth Platfo</w:t>
      </w:r>
      <w:r>
        <w:rPr>
          <w:sz w:val="20"/>
          <w:szCs w:val="20"/>
        </w:rPr>
        <w:t>rm by existing and new customers, significant competition from other providers of marketing, sales and customer service software and related applications and rapid technological change in our industry. We believe that the growth of our business is dependen</w:t>
      </w:r>
      <w:r>
        <w:rPr>
          <w:sz w:val="20"/>
          <w:szCs w:val="20"/>
        </w:rPr>
        <w:t>t on many factors, including our ability to expand our customer base, increase adoption of our Growth Platform within existing customers, develop new products and applications to extend the functionality of our Growth Platform and provide a high level of c</w:t>
      </w:r>
      <w:r>
        <w:rPr>
          <w:sz w:val="20"/>
          <w:szCs w:val="20"/>
        </w:rPr>
        <w:t>ustomer service. We expect to increase our investment in sales and marketing as we continue to expand our sales teams, increase our marketing activities and grow our international operations. We also expect to increase our investment in research and develo</w:t>
      </w:r>
      <w:r>
        <w:rPr>
          <w:sz w:val="20"/>
          <w:szCs w:val="20"/>
        </w:rPr>
        <w:t>pment as we continue to introduce new products and applications to extend the functionality of our Growth Platform. We also intend to invest in maintaining a high level of customer service and support which we consider critical for our continued success. W</w:t>
      </w:r>
      <w:r>
        <w:rPr>
          <w:sz w:val="20"/>
          <w:szCs w:val="20"/>
        </w:rPr>
        <w:t xml:space="preserve">e plan to continue investing in our data center infrastructure and services capabilities in order to support continued future customer growth. We also expect to continue to incur additional general and </w:t>
      </w:r>
    </w:p>
    <w:p w14:paraId="77113C82" w14:textId="77777777" w:rsidR="00000000" w:rsidRDefault="00B8284C">
      <w:pPr>
        <w:pStyle w:val="a3"/>
        <w:spacing w:before="240" w:beforeAutospacing="0" w:after="0" w:afterAutospacing="0"/>
        <w:jc w:val="center"/>
        <w:rPr>
          <w:sz w:val="20"/>
          <w:szCs w:val="20"/>
        </w:rPr>
      </w:pPr>
      <w:r>
        <w:rPr>
          <w:sz w:val="20"/>
          <w:szCs w:val="20"/>
        </w:rPr>
        <w:t>21</w:t>
      </w:r>
    </w:p>
    <w:p w14:paraId="6B4B3F42" w14:textId="77777777" w:rsidR="00000000" w:rsidRDefault="00B8284C">
      <w:pPr>
        <w:rPr>
          <w:rFonts w:eastAsia="Times New Roman"/>
        </w:rPr>
      </w:pPr>
      <w:r>
        <w:rPr>
          <w:rFonts w:eastAsia="Times New Roman"/>
        </w:rPr>
        <w:pict w14:anchorId="3DE61442">
          <v:rect id="_x0000_i1045" style="width:0;height:1.5pt" o:hralign="center" o:hrstd="t" o:hr="t" fillcolor="#a0a0a0" stroked="f"/>
        </w:pict>
      </w:r>
    </w:p>
    <w:p w14:paraId="40C6C6E1" w14:textId="77777777" w:rsidR="00000000" w:rsidRDefault="00B8284C">
      <w:pPr>
        <w:pStyle w:val="a3"/>
        <w:spacing w:before="0" w:beforeAutospacing="0" w:after="0" w:afterAutospacing="0"/>
        <w:rPr>
          <w:sz w:val="20"/>
          <w:szCs w:val="20"/>
        </w:rPr>
      </w:pPr>
      <w:r>
        <w:rPr>
          <w:sz w:val="20"/>
          <w:szCs w:val="20"/>
        </w:rPr>
        <w:t> </w:t>
      </w:r>
    </w:p>
    <w:p w14:paraId="24C881FA" w14:textId="77777777" w:rsidR="00000000" w:rsidRDefault="00B8284C">
      <w:pPr>
        <w:pStyle w:val="a3"/>
        <w:spacing w:before="240" w:beforeAutospacing="0" w:after="0" w:afterAutospacing="0"/>
        <w:rPr>
          <w:sz w:val="20"/>
          <w:szCs w:val="20"/>
        </w:rPr>
      </w:pPr>
      <w:r>
        <w:rPr>
          <w:sz w:val="20"/>
          <w:szCs w:val="20"/>
        </w:rPr>
        <w:t>administrative expenses as a result of both our growth and the infrastructure required to be a public company. We expect to use our cash flow from operations and the proceeds from our convertible debt and prior stock offerings to fund these growth strategi</w:t>
      </w:r>
      <w:r>
        <w:rPr>
          <w:sz w:val="20"/>
          <w:szCs w:val="20"/>
        </w:rPr>
        <w:t>es and do not expect to be profitable in the near term.</w:t>
      </w:r>
    </w:p>
    <w:p w14:paraId="3B2F1E4D" w14:textId="77777777" w:rsidR="00000000" w:rsidRDefault="00B8284C">
      <w:pPr>
        <w:pStyle w:val="a3"/>
        <w:spacing w:before="240" w:beforeAutospacing="0" w:after="0" w:afterAutospacing="0"/>
        <w:ind w:firstLine="556"/>
        <w:rPr>
          <w:sz w:val="20"/>
          <w:szCs w:val="20"/>
        </w:rPr>
      </w:pPr>
      <w:r>
        <w:rPr>
          <w:sz w:val="20"/>
          <w:szCs w:val="20"/>
        </w:rPr>
        <w:t>We believe that these investments will result in an increase in our subscription revenue base. This will result in revenue increasing faster than the increase in sales and marketing, research and deve</w:t>
      </w:r>
      <w:r>
        <w:rPr>
          <w:sz w:val="20"/>
          <w:szCs w:val="20"/>
        </w:rPr>
        <w:t>lopment and general and administrative expenses, exclusive of stock-based compensation, as we reach economies of scale. With this increased operating leverage, we expect our operating margins to increase in the long term. However, we will incur losses in t</w:t>
      </w:r>
      <w:r>
        <w:rPr>
          <w:sz w:val="20"/>
          <w:szCs w:val="20"/>
        </w:rPr>
        <w:t>he short term. If we are unable to achieve our revenue growth objectives, including a high rate of renewals of our customer agreements, we may not be able to achieve profitability.</w:t>
      </w:r>
    </w:p>
    <w:p w14:paraId="19AA3895" w14:textId="77777777" w:rsidR="00000000" w:rsidRDefault="00B8284C">
      <w:pPr>
        <w:pStyle w:val="a3"/>
        <w:spacing w:before="360" w:beforeAutospacing="0" w:after="0" w:afterAutospacing="0"/>
        <w:rPr>
          <w:b/>
          <w:bCs/>
          <w:sz w:val="20"/>
          <w:szCs w:val="20"/>
        </w:rPr>
      </w:pPr>
      <w:r>
        <w:rPr>
          <w:b/>
          <w:bCs/>
          <w:sz w:val="20"/>
          <w:szCs w:val="20"/>
        </w:rPr>
        <w:t>Results of Operations for the Three and Nine Months Ended September 30, 201</w:t>
      </w:r>
      <w:r>
        <w:rPr>
          <w:b/>
          <w:bCs/>
          <w:sz w:val="20"/>
          <w:szCs w:val="20"/>
        </w:rPr>
        <w:t>9 and 2018</w:t>
      </w:r>
    </w:p>
    <w:p w14:paraId="32495FFB" w14:textId="77777777" w:rsidR="00000000" w:rsidRDefault="00B8284C">
      <w:pPr>
        <w:pStyle w:val="a3"/>
        <w:spacing w:before="120" w:beforeAutospacing="0" w:after="0" w:afterAutospacing="0"/>
        <w:ind w:firstLine="556"/>
        <w:rPr>
          <w:sz w:val="20"/>
          <w:szCs w:val="20"/>
        </w:rPr>
      </w:pPr>
      <w:r>
        <w:rPr>
          <w:sz w:val="20"/>
          <w:szCs w:val="20"/>
        </w:rPr>
        <w:t>The following tables set forth our results of operations for the periods presented and as a percentage of our total revenue for those periods. The data has been derived from the unaudited consolidated financial statements contained in this Quart</w:t>
      </w:r>
      <w:r>
        <w:rPr>
          <w:sz w:val="20"/>
          <w:szCs w:val="20"/>
        </w:rPr>
        <w:t>erly Report on Form 10-Q which include, in our opinion, all adjustments, consisting only of normal recurring adjustments, that we consider necessary for a fair statement of the financial position and results of operations for the interim periods presented.</w:t>
      </w:r>
      <w:r>
        <w:rPr>
          <w:sz w:val="20"/>
          <w:szCs w:val="20"/>
        </w:rPr>
        <w:t xml:space="preserve"> The period-to-period comparison of financial results is not necessarily indicative of financial results to be achieved in future periods.</w:t>
      </w:r>
    </w:p>
    <w:p w14:paraId="43F3EE55"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106"/>
        <w:gridCol w:w="65"/>
        <w:gridCol w:w="115"/>
        <w:gridCol w:w="665"/>
        <w:gridCol w:w="82"/>
        <w:gridCol w:w="65"/>
        <w:gridCol w:w="115"/>
        <w:gridCol w:w="665"/>
        <w:gridCol w:w="82"/>
        <w:gridCol w:w="65"/>
        <w:gridCol w:w="115"/>
        <w:gridCol w:w="665"/>
        <w:gridCol w:w="82"/>
        <w:gridCol w:w="65"/>
        <w:gridCol w:w="115"/>
        <w:gridCol w:w="665"/>
        <w:gridCol w:w="82"/>
      </w:tblGrid>
      <w:tr w:rsidR="00000000" w14:paraId="2D0EE874" w14:textId="77777777">
        <w:trPr>
          <w:divId w:val="1776168437"/>
        </w:trPr>
        <w:tc>
          <w:tcPr>
            <w:tcW w:w="2517" w:type="pct"/>
            <w:shd w:val="clear" w:color="auto" w:fill="FFFFFF"/>
            <w:tcMar>
              <w:top w:w="15" w:type="dxa"/>
              <w:left w:w="0" w:type="dxa"/>
              <w:bottom w:w="0" w:type="dxa"/>
              <w:right w:w="15" w:type="dxa"/>
            </w:tcMar>
            <w:vAlign w:val="bottom"/>
            <w:hideMark/>
          </w:tcPr>
          <w:p w14:paraId="000B1E08" w14:textId="77777777" w:rsidR="00000000" w:rsidRDefault="00B8284C">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458BC2A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1DB6EE1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0DD8A7A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4BA5379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C5382D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4ACF2EC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094326E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7037F06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2496D9F" w14:textId="77777777">
        <w:trPr>
          <w:divId w:val="1776168437"/>
        </w:trPr>
        <w:tc>
          <w:tcPr>
            <w:tcW w:w="2517" w:type="pct"/>
            <w:shd w:val="clear" w:color="auto" w:fill="FFFFFF"/>
            <w:tcMar>
              <w:top w:w="15" w:type="dxa"/>
              <w:left w:w="0" w:type="dxa"/>
              <w:bottom w:w="0" w:type="dxa"/>
              <w:right w:w="15" w:type="dxa"/>
            </w:tcMar>
            <w:vAlign w:val="bottom"/>
            <w:hideMark/>
          </w:tcPr>
          <w:p w14:paraId="2FF86ACE"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6826314F"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3E80B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4DBA36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19175FA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BCA7D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07EA7D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5FA7FD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06F13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3606E8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57BDBB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A91D0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1CB60B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C1F7677" w14:textId="77777777">
        <w:trPr>
          <w:divId w:val="1776168437"/>
        </w:trPr>
        <w:tc>
          <w:tcPr>
            <w:tcW w:w="2517" w:type="pct"/>
            <w:shd w:val="clear" w:color="auto" w:fill="CFF0FC"/>
            <w:tcMar>
              <w:top w:w="15" w:type="dxa"/>
              <w:left w:w="0" w:type="dxa"/>
              <w:bottom w:w="0" w:type="dxa"/>
              <w:right w:w="15" w:type="dxa"/>
            </w:tcMar>
            <w:vAlign w:val="bottom"/>
            <w:hideMark/>
          </w:tcPr>
          <w:p w14:paraId="65FF483F" w14:textId="77777777" w:rsidR="00000000" w:rsidRDefault="00B8284C">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vAlign w:val="bottom"/>
            <w:hideMark/>
          </w:tcPr>
          <w:p w14:paraId="0D8390C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55C76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4CED11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376A8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1FF299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EB70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749C43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FA2B0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F51A7B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9B57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46712B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46E36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78DF0B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B581B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E32758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D4BB3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E46B15E" w14:textId="77777777">
        <w:trPr>
          <w:divId w:val="1776168437"/>
        </w:trPr>
        <w:tc>
          <w:tcPr>
            <w:tcW w:w="2517" w:type="pct"/>
            <w:shd w:val="clear" w:color="auto" w:fill="FFFFFF"/>
            <w:tcMar>
              <w:top w:w="15" w:type="dxa"/>
              <w:left w:w="0" w:type="dxa"/>
              <w:bottom w:w="0" w:type="dxa"/>
              <w:right w:w="15" w:type="dxa"/>
            </w:tcMar>
            <w:vAlign w:val="bottom"/>
            <w:hideMark/>
          </w:tcPr>
          <w:p w14:paraId="2E107744" w14:textId="77777777" w:rsidR="00000000" w:rsidRDefault="00B8284C">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14:paraId="48BC42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5D3BD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08CCE1F3" w14:textId="77777777" w:rsidR="00000000" w:rsidRDefault="00B8284C">
            <w:pPr>
              <w:pStyle w:val="a3"/>
              <w:spacing w:before="0" w:beforeAutospacing="0" w:after="0" w:afterAutospacing="0"/>
              <w:jc w:val="right"/>
              <w:rPr>
                <w:color w:val="000000"/>
                <w:sz w:val="20"/>
                <w:szCs w:val="20"/>
              </w:rPr>
            </w:pPr>
            <w:r>
              <w:rPr>
                <w:color w:val="000000"/>
                <w:sz w:val="20"/>
                <w:szCs w:val="20"/>
              </w:rPr>
              <w:t>167,078</w:t>
            </w:r>
          </w:p>
        </w:tc>
        <w:tc>
          <w:tcPr>
            <w:tcW w:w="50" w:type="pct"/>
            <w:shd w:val="clear" w:color="auto" w:fill="FFFFFF"/>
            <w:noWrap/>
            <w:tcMar>
              <w:top w:w="15" w:type="dxa"/>
              <w:left w:w="0" w:type="dxa"/>
              <w:bottom w:w="0" w:type="dxa"/>
              <w:right w:w="15" w:type="dxa"/>
            </w:tcMar>
            <w:vAlign w:val="bottom"/>
            <w:hideMark/>
          </w:tcPr>
          <w:p w14:paraId="3704E81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24898C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196BF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584F0D76" w14:textId="77777777" w:rsidR="00000000" w:rsidRDefault="00B8284C">
            <w:pPr>
              <w:pStyle w:val="a3"/>
              <w:spacing w:before="0" w:beforeAutospacing="0" w:after="0" w:afterAutospacing="0"/>
              <w:jc w:val="right"/>
              <w:rPr>
                <w:color w:val="000000"/>
                <w:sz w:val="20"/>
                <w:szCs w:val="20"/>
              </w:rPr>
            </w:pPr>
            <w:r>
              <w:rPr>
                <w:color w:val="000000"/>
                <w:sz w:val="20"/>
                <w:szCs w:val="20"/>
              </w:rPr>
              <w:t>125,478</w:t>
            </w:r>
          </w:p>
        </w:tc>
        <w:tc>
          <w:tcPr>
            <w:tcW w:w="50" w:type="pct"/>
            <w:shd w:val="clear" w:color="auto" w:fill="FFFFFF"/>
            <w:noWrap/>
            <w:tcMar>
              <w:top w:w="15" w:type="dxa"/>
              <w:left w:w="0" w:type="dxa"/>
              <w:bottom w:w="0" w:type="dxa"/>
              <w:right w:w="15" w:type="dxa"/>
            </w:tcMar>
            <w:vAlign w:val="bottom"/>
            <w:hideMark/>
          </w:tcPr>
          <w:p w14:paraId="6BC44CF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4C8BB0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BBD09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573DEA8D" w14:textId="77777777" w:rsidR="00000000" w:rsidRDefault="00B8284C">
            <w:pPr>
              <w:pStyle w:val="a3"/>
              <w:spacing w:before="0" w:beforeAutospacing="0" w:after="0" w:afterAutospacing="0"/>
              <w:jc w:val="right"/>
              <w:rPr>
                <w:color w:val="000000"/>
                <w:sz w:val="20"/>
                <w:szCs w:val="20"/>
              </w:rPr>
            </w:pPr>
            <w:r>
              <w:rPr>
                <w:color w:val="000000"/>
                <w:sz w:val="20"/>
                <w:szCs w:val="20"/>
              </w:rPr>
              <w:t>467,180</w:t>
            </w:r>
          </w:p>
        </w:tc>
        <w:tc>
          <w:tcPr>
            <w:tcW w:w="50" w:type="pct"/>
            <w:shd w:val="clear" w:color="auto" w:fill="FFFFFF"/>
            <w:noWrap/>
            <w:tcMar>
              <w:top w:w="15" w:type="dxa"/>
              <w:left w:w="0" w:type="dxa"/>
              <w:bottom w:w="0" w:type="dxa"/>
              <w:right w:w="15" w:type="dxa"/>
            </w:tcMar>
            <w:vAlign w:val="bottom"/>
            <w:hideMark/>
          </w:tcPr>
          <w:p w14:paraId="7D5BF7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C3EE98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921A1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13FFBEB9" w14:textId="77777777" w:rsidR="00000000" w:rsidRDefault="00B8284C">
            <w:pPr>
              <w:pStyle w:val="a3"/>
              <w:spacing w:before="0" w:beforeAutospacing="0" w:after="0" w:afterAutospacing="0"/>
              <w:jc w:val="right"/>
              <w:rPr>
                <w:color w:val="000000"/>
                <w:sz w:val="20"/>
                <w:szCs w:val="20"/>
              </w:rPr>
            </w:pPr>
            <w:r>
              <w:rPr>
                <w:color w:val="000000"/>
                <w:sz w:val="20"/>
                <w:szCs w:val="20"/>
              </w:rPr>
              <w:t>350,646</w:t>
            </w:r>
          </w:p>
        </w:tc>
        <w:tc>
          <w:tcPr>
            <w:tcW w:w="50" w:type="pct"/>
            <w:shd w:val="clear" w:color="auto" w:fill="FFFFFF"/>
            <w:noWrap/>
            <w:tcMar>
              <w:top w:w="15" w:type="dxa"/>
              <w:left w:w="0" w:type="dxa"/>
              <w:bottom w:w="0" w:type="dxa"/>
              <w:right w:w="15" w:type="dxa"/>
            </w:tcMar>
            <w:vAlign w:val="bottom"/>
            <w:hideMark/>
          </w:tcPr>
          <w:p w14:paraId="554474E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7A71D71" w14:textId="77777777">
        <w:trPr>
          <w:divId w:val="1776168437"/>
        </w:trPr>
        <w:tc>
          <w:tcPr>
            <w:tcW w:w="2517" w:type="pct"/>
            <w:shd w:val="clear" w:color="auto" w:fill="CFF0FC"/>
            <w:tcMar>
              <w:top w:w="15" w:type="dxa"/>
              <w:left w:w="0" w:type="dxa"/>
              <w:bottom w:w="0" w:type="dxa"/>
              <w:right w:w="15" w:type="dxa"/>
            </w:tcMar>
            <w:vAlign w:val="bottom"/>
            <w:hideMark/>
          </w:tcPr>
          <w:p w14:paraId="390F33FF" w14:textId="77777777" w:rsidR="00000000" w:rsidRDefault="00B8284C">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14:paraId="174A971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39395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FE07C35" w14:textId="77777777" w:rsidR="00000000" w:rsidRDefault="00B8284C">
            <w:pPr>
              <w:pStyle w:val="a3"/>
              <w:spacing w:before="0" w:beforeAutospacing="0" w:after="0" w:afterAutospacing="0"/>
              <w:jc w:val="right"/>
              <w:rPr>
                <w:color w:val="000000"/>
                <w:sz w:val="20"/>
                <w:szCs w:val="20"/>
              </w:rPr>
            </w:pPr>
            <w:r>
              <w:rPr>
                <w:color w:val="000000"/>
                <w:sz w:val="20"/>
                <w:szCs w:val="20"/>
              </w:rPr>
              <w:t>6,543</w:t>
            </w:r>
          </w:p>
        </w:tc>
        <w:tc>
          <w:tcPr>
            <w:tcW w:w="50" w:type="pct"/>
            <w:shd w:val="clear" w:color="auto" w:fill="CFF0FC"/>
            <w:noWrap/>
            <w:tcMar>
              <w:top w:w="15" w:type="dxa"/>
              <w:left w:w="0" w:type="dxa"/>
              <w:bottom w:w="0" w:type="dxa"/>
              <w:right w:w="15" w:type="dxa"/>
            </w:tcMar>
            <w:vAlign w:val="bottom"/>
            <w:hideMark/>
          </w:tcPr>
          <w:p w14:paraId="1209EF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247DA8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975A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E6F9C46" w14:textId="77777777" w:rsidR="00000000" w:rsidRDefault="00B8284C">
            <w:pPr>
              <w:pStyle w:val="a3"/>
              <w:spacing w:before="0" w:beforeAutospacing="0" w:after="0" w:afterAutospacing="0"/>
              <w:jc w:val="right"/>
              <w:rPr>
                <w:color w:val="000000"/>
                <w:sz w:val="20"/>
                <w:szCs w:val="20"/>
              </w:rPr>
            </w:pPr>
            <w:r>
              <w:rPr>
                <w:color w:val="000000"/>
                <w:sz w:val="20"/>
                <w:szCs w:val="20"/>
              </w:rPr>
              <w:t>6,348</w:t>
            </w:r>
          </w:p>
        </w:tc>
        <w:tc>
          <w:tcPr>
            <w:tcW w:w="50" w:type="pct"/>
            <w:shd w:val="clear" w:color="auto" w:fill="CFF0FC"/>
            <w:noWrap/>
            <w:tcMar>
              <w:top w:w="15" w:type="dxa"/>
              <w:left w:w="0" w:type="dxa"/>
              <w:bottom w:w="0" w:type="dxa"/>
              <w:right w:w="15" w:type="dxa"/>
            </w:tcMar>
            <w:vAlign w:val="bottom"/>
            <w:hideMark/>
          </w:tcPr>
          <w:p w14:paraId="1ACB300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FFD528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453FFC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5883D27" w14:textId="77777777" w:rsidR="00000000" w:rsidRDefault="00B8284C">
            <w:pPr>
              <w:pStyle w:val="a3"/>
              <w:spacing w:before="0" w:beforeAutospacing="0" w:after="0" w:afterAutospacing="0"/>
              <w:jc w:val="right"/>
              <w:rPr>
                <w:color w:val="000000"/>
                <w:sz w:val="20"/>
                <w:szCs w:val="20"/>
              </w:rPr>
            </w:pPr>
            <w:r>
              <w:rPr>
                <w:color w:val="000000"/>
                <w:sz w:val="20"/>
                <w:szCs w:val="20"/>
              </w:rPr>
              <w:t>21,494</w:t>
            </w:r>
          </w:p>
        </w:tc>
        <w:tc>
          <w:tcPr>
            <w:tcW w:w="50" w:type="pct"/>
            <w:shd w:val="clear" w:color="auto" w:fill="CFF0FC"/>
            <w:noWrap/>
            <w:tcMar>
              <w:top w:w="15" w:type="dxa"/>
              <w:left w:w="0" w:type="dxa"/>
              <w:bottom w:w="0" w:type="dxa"/>
              <w:right w:w="15" w:type="dxa"/>
            </w:tcMar>
            <w:vAlign w:val="bottom"/>
            <w:hideMark/>
          </w:tcPr>
          <w:p w14:paraId="269EBC1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2A182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924269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AE9AEE5" w14:textId="77777777" w:rsidR="00000000" w:rsidRDefault="00B8284C">
            <w:pPr>
              <w:pStyle w:val="a3"/>
              <w:spacing w:before="0" w:beforeAutospacing="0" w:after="0" w:afterAutospacing="0"/>
              <w:jc w:val="right"/>
              <w:rPr>
                <w:color w:val="000000"/>
                <w:sz w:val="20"/>
                <w:szCs w:val="20"/>
              </w:rPr>
            </w:pPr>
            <w:r>
              <w:rPr>
                <w:color w:val="000000"/>
                <w:sz w:val="20"/>
                <w:szCs w:val="20"/>
              </w:rPr>
              <w:t>18,312</w:t>
            </w:r>
          </w:p>
        </w:tc>
        <w:tc>
          <w:tcPr>
            <w:tcW w:w="50" w:type="pct"/>
            <w:shd w:val="clear" w:color="auto" w:fill="CFF0FC"/>
            <w:noWrap/>
            <w:tcMar>
              <w:top w:w="15" w:type="dxa"/>
              <w:left w:w="0" w:type="dxa"/>
              <w:bottom w:w="0" w:type="dxa"/>
              <w:right w:w="15" w:type="dxa"/>
            </w:tcMar>
            <w:vAlign w:val="bottom"/>
            <w:hideMark/>
          </w:tcPr>
          <w:p w14:paraId="71E7760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4C23355" w14:textId="77777777">
        <w:trPr>
          <w:divId w:val="1776168437"/>
        </w:trPr>
        <w:tc>
          <w:tcPr>
            <w:tcW w:w="2517" w:type="pct"/>
            <w:shd w:val="clear" w:color="auto" w:fill="FFFFFF"/>
            <w:tcMar>
              <w:top w:w="15" w:type="dxa"/>
              <w:left w:w="0" w:type="dxa"/>
              <w:bottom w:w="0" w:type="dxa"/>
              <w:right w:w="15" w:type="dxa"/>
            </w:tcMar>
            <w:vAlign w:val="bottom"/>
            <w:hideMark/>
          </w:tcPr>
          <w:p w14:paraId="4121557D" w14:textId="77777777" w:rsidR="00000000" w:rsidRDefault="00B8284C">
            <w:pPr>
              <w:pStyle w:val="a3"/>
              <w:spacing w:before="0" w:beforeAutospacing="0" w:after="0" w:afterAutospacing="0"/>
              <w:ind w:left="821"/>
              <w:rPr>
                <w:color w:val="000000"/>
                <w:sz w:val="20"/>
                <w:szCs w:val="20"/>
              </w:rPr>
            </w:pPr>
            <w:r>
              <w:rPr>
                <w:color w:val="000000"/>
                <w:sz w:val="20"/>
                <w:szCs w:val="20"/>
              </w:rPr>
              <w:t>Total revenue</w:t>
            </w:r>
          </w:p>
        </w:tc>
        <w:tc>
          <w:tcPr>
            <w:tcW w:w="61" w:type="pct"/>
            <w:shd w:val="clear" w:color="auto" w:fill="FFFFFF"/>
            <w:tcMar>
              <w:top w:w="15" w:type="dxa"/>
              <w:left w:w="0" w:type="dxa"/>
              <w:bottom w:w="0" w:type="dxa"/>
              <w:right w:w="15" w:type="dxa"/>
            </w:tcMar>
            <w:vAlign w:val="bottom"/>
            <w:hideMark/>
          </w:tcPr>
          <w:p w14:paraId="36D963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C307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108FEC9" w14:textId="77777777" w:rsidR="00000000" w:rsidRDefault="00B8284C">
            <w:pPr>
              <w:pStyle w:val="a3"/>
              <w:spacing w:before="0" w:beforeAutospacing="0" w:after="0" w:afterAutospacing="0"/>
              <w:jc w:val="right"/>
              <w:rPr>
                <w:color w:val="000000"/>
                <w:sz w:val="20"/>
                <w:szCs w:val="20"/>
              </w:rPr>
            </w:pPr>
            <w:r>
              <w:rPr>
                <w:color w:val="000000"/>
                <w:sz w:val="20"/>
                <w:szCs w:val="20"/>
              </w:rPr>
              <w:t>173,621</w:t>
            </w:r>
          </w:p>
        </w:tc>
        <w:tc>
          <w:tcPr>
            <w:tcW w:w="50" w:type="pct"/>
            <w:shd w:val="clear" w:color="auto" w:fill="FFFFFF"/>
            <w:noWrap/>
            <w:tcMar>
              <w:top w:w="15" w:type="dxa"/>
              <w:left w:w="0" w:type="dxa"/>
              <w:bottom w:w="0" w:type="dxa"/>
              <w:right w:w="15" w:type="dxa"/>
            </w:tcMar>
            <w:vAlign w:val="bottom"/>
            <w:hideMark/>
          </w:tcPr>
          <w:p w14:paraId="0123478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17CC0A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F82EC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12822C5" w14:textId="77777777" w:rsidR="00000000" w:rsidRDefault="00B8284C">
            <w:pPr>
              <w:pStyle w:val="a3"/>
              <w:spacing w:before="0" w:beforeAutospacing="0" w:after="0" w:afterAutospacing="0"/>
              <w:jc w:val="right"/>
              <w:rPr>
                <w:color w:val="000000"/>
                <w:sz w:val="20"/>
                <w:szCs w:val="20"/>
              </w:rPr>
            </w:pPr>
            <w:r>
              <w:rPr>
                <w:color w:val="000000"/>
                <w:sz w:val="20"/>
                <w:szCs w:val="20"/>
              </w:rPr>
              <w:t>131,826</w:t>
            </w:r>
          </w:p>
        </w:tc>
        <w:tc>
          <w:tcPr>
            <w:tcW w:w="50" w:type="pct"/>
            <w:shd w:val="clear" w:color="auto" w:fill="FFFFFF"/>
            <w:noWrap/>
            <w:tcMar>
              <w:top w:w="15" w:type="dxa"/>
              <w:left w:w="0" w:type="dxa"/>
              <w:bottom w:w="0" w:type="dxa"/>
              <w:right w:w="15" w:type="dxa"/>
            </w:tcMar>
            <w:vAlign w:val="bottom"/>
            <w:hideMark/>
          </w:tcPr>
          <w:p w14:paraId="2BCAD78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FBB288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0F0F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ED07608" w14:textId="77777777" w:rsidR="00000000" w:rsidRDefault="00B8284C">
            <w:pPr>
              <w:pStyle w:val="a3"/>
              <w:spacing w:before="0" w:beforeAutospacing="0" w:after="0" w:afterAutospacing="0"/>
              <w:jc w:val="right"/>
              <w:rPr>
                <w:color w:val="000000"/>
                <w:sz w:val="20"/>
                <w:szCs w:val="20"/>
              </w:rPr>
            </w:pPr>
            <w:r>
              <w:rPr>
                <w:color w:val="000000"/>
                <w:sz w:val="20"/>
                <w:szCs w:val="20"/>
              </w:rPr>
              <w:t>488,674</w:t>
            </w:r>
          </w:p>
        </w:tc>
        <w:tc>
          <w:tcPr>
            <w:tcW w:w="50" w:type="pct"/>
            <w:shd w:val="clear" w:color="auto" w:fill="FFFFFF"/>
            <w:noWrap/>
            <w:tcMar>
              <w:top w:w="15" w:type="dxa"/>
              <w:left w:w="0" w:type="dxa"/>
              <w:bottom w:w="0" w:type="dxa"/>
              <w:right w:w="15" w:type="dxa"/>
            </w:tcMar>
            <w:vAlign w:val="bottom"/>
            <w:hideMark/>
          </w:tcPr>
          <w:p w14:paraId="7E4D07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C17E2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B47A47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67DA620" w14:textId="77777777" w:rsidR="00000000" w:rsidRDefault="00B8284C">
            <w:pPr>
              <w:pStyle w:val="a3"/>
              <w:spacing w:before="0" w:beforeAutospacing="0" w:after="0" w:afterAutospacing="0"/>
              <w:jc w:val="right"/>
              <w:rPr>
                <w:color w:val="000000"/>
                <w:sz w:val="20"/>
                <w:szCs w:val="20"/>
              </w:rPr>
            </w:pPr>
            <w:r>
              <w:rPr>
                <w:color w:val="000000"/>
                <w:sz w:val="20"/>
                <w:szCs w:val="20"/>
              </w:rPr>
              <w:t>368,958</w:t>
            </w:r>
          </w:p>
        </w:tc>
        <w:tc>
          <w:tcPr>
            <w:tcW w:w="50" w:type="pct"/>
            <w:shd w:val="clear" w:color="auto" w:fill="FFFFFF"/>
            <w:noWrap/>
            <w:tcMar>
              <w:top w:w="15" w:type="dxa"/>
              <w:left w:w="0" w:type="dxa"/>
              <w:bottom w:w="0" w:type="dxa"/>
              <w:right w:w="15" w:type="dxa"/>
            </w:tcMar>
            <w:vAlign w:val="bottom"/>
            <w:hideMark/>
          </w:tcPr>
          <w:p w14:paraId="0D5AF05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AF511D2" w14:textId="77777777">
        <w:trPr>
          <w:divId w:val="1776168437"/>
        </w:trPr>
        <w:tc>
          <w:tcPr>
            <w:tcW w:w="2517" w:type="pct"/>
            <w:shd w:val="clear" w:color="auto" w:fill="CFF0FC"/>
            <w:tcMar>
              <w:top w:w="15" w:type="dxa"/>
              <w:left w:w="0" w:type="dxa"/>
              <w:bottom w:w="0" w:type="dxa"/>
              <w:right w:w="15" w:type="dxa"/>
            </w:tcMar>
            <w:vAlign w:val="bottom"/>
            <w:hideMark/>
          </w:tcPr>
          <w:p w14:paraId="593830E6" w14:textId="77777777" w:rsidR="00000000" w:rsidRDefault="00B8284C">
            <w:pPr>
              <w:pStyle w:val="a3"/>
              <w:spacing w:before="0" w:beforeAutospacing="0" w:after="0" w:afterAutospacing="0"/>
              <w:rPr>
                <w:color w:val="000000"/>
                <w:sz w:val="20"/>
                <w:szCs w:val="20"/>
              </w:rPr>
            </w:pPr>
            <w:r>
              <w:rPr>
                <w:color w:val="000000"/>
                <w:sz w:val="20"/>
                <w:szCs w:val="20"/>
              </w:rPr>
              <w:t>Cost of revenues:</w:t>
            </w:r>
          </w:p>
        </w:tc>
        <w:tc>
          <w:tcPr>
            <w:tcW w:w="61" w:type="pct"/>
            <w:shd w:val="clear" w:color="auto" w:fill="CFF0FC"/>
            <w:tcMar>
              <w:top w:w="15" w:type="dxa"/>
              <w:left w:w="0" w:type="dxa"/>
              <w:bottom w:w="0" w:type="dxa"/>
              <w:right w:w="15" w:type="dxa"/>
            </w:tcMar>
            <w:vAlign w:val="bottom"/>
            <w:hideMark/>
          </w:tcPr>
          <w:p w14:paraId="5BB8CC7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B897E3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4BC2DF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3D489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41657C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31D9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B7828F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C84A9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DE2924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8122D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C767E7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DE1C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BE71E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C975BE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5AD641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E4AE0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FBF6877" w14:textId="77777777">
        <w:trPr>
          <w:divId w:val="1776168437"/>
        </w:trPr>
        <w:tc>
          <w:tcPr>
            <w:tcW w:w="2517" w:type="pct"/>
            <w:shd w:val="clear" w:color="auto" w:fill="FFFFFF"/>
            <w:tcMar>
              <w:top w:w="15" w:type="dxa"/>
              <w:left w:w="0" w:type="dxa"/>
              <w:bottom w:w="0" w:type="dxa"/>
              <w:right w:w="15" w:type="dxa"/>
            </w:tcMar>
            <w:vAlign w:val="bottom"/>
            <w:hideMark/>
          </w:tcPr>
          <w:p w14:paraId="16B95F83" w14:textId="77777777" w:rsidR="00000000" w:rsidRDefault="00B8284C">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14:paraId="6091DD3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E12C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78549AE" w14:textId="77777777" w:rsidR="00000000" w:rsidRDefault="00B8284C">
            <w:pPr>
              <w:pStyle w:val="a3"/>
              <w:spacing w:before="0" w:beforeAutospacing="0" w:after="0" w:afterAutospacing="0"/>
              <w:jc w:val="right"/>
              <w:rPr>
                <w:color w:val="000000"/>
                <w:sz w:val="20"/>
                <w:szCs w:val="20"/>
              </w:rPr>
            </w:pPr>
            <w:r>
              <w:rPr>
                <w:color w:val="000000"/>
                <w:sz w:val="20"/>
                <w:szCs w:val="20"/>
              </w:rPr>
              <w:t>25,671</w:t>
            </w:r>
          </w:p>
        </w:tc>
        <w:tc>
          <w:tcPr>
            <w:tcW w:w="50" w:type="pct"/>
            <w:shd w:val="clear" w:color="auto" w:fill="FFFFFF"/>
            <w:noWrap/>
            <w:tcMar>
              <w:top w:w="15" w:type="dxa"/>
              <w:left w:w="0" w:type="dxa"/>
              <w:bottom w:w="0" w:type="dxa"/>
              <w:right w:w="15" w:type="dxa"/>
            </w:tcMar>
            <w:vAlign w:val="bottom"/>
            <w:hideMark/>
          </w:tcPr>
          <w:p w14:paraId="6F6859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14E98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2B81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30BBC91" w14:textId="77777777" w:rsidR="00000000" w:rsidRDefault="00B8284C">
            <w:pPr>
              <w:pStyle w:val="a3"/>
              <w:spacing w:before="0" w:beforeAutospacing="0" w:after="0" w:afterAutospacing="0"/>
              <w:jc w:val="right"/>
              <w:rPr>
                <w:color w:val="000000"/>
                <w:sz w:val="20"/>
                <w:szCs w:val="20"/>
              </w:rPr>
            </w:pPr>
            <w:r>
              <w:rPr>
                <w:color w:val="000000"/>
                <w:sz w:val="20"/>
                <w:szCs w:val="20"/>
              </w:rPr>
              <w:t>17,777</w:t>
            </w:r>
          </w:p>
        </w:tc>
        <w:tc>
          <w:tcPr>
            <w:tcW w:w="50" w:type="pct"/>
            <w:shd w:val="clear" w:color="auto" w:fill="FFFFFF"/>
            <w:noWrap/>
            <w:tcMar>
              <w:top w:w="15" w:type="dxa"/>
              <w:left w:w="0" w:type="dxa"/>
              <w:bottom w:w="0" w:type="dxa"/>
              <w:right w:w="15" w:type="dxa"/>
            </w:tcMar>
            <w:vAlign w:val="bottom"/>
            <w:hideMark/>
          </w:tcPr>
          <w:p w14:paraId="444DC1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604EF2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5809C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A7C0A4E" w14:textId="77777777" w:rsidR="00000000" w:rsidRDefault="00B8284C">
            <w:pPr>
              <w:pStyle w:val="a3"/>
              <w:spacing w:before="0" w:beforeAutospacing="0" w:after="0" w:afterAutospacing="0"/>
              <w:jc w:val="right"/>
              <w:rPr>
                <w:color w:val="000000"/>
                <w:sz w:val="20"/>
                <w:szCs w:val="20"/>
              </w:rPr>
            </w:pPr>
            <w:r>
              <w:rPr>
                <w:color w:val="000000"/>
                <w:sz w:val="20"/>
                <w:szCs w:val="20"/>
              </w:rPr>
              <w:t>70,550</w:t>
            </w:r>
          </w:p>
        </w:tc>
        <w:tc>
          <w:tcPr>
            <w:tcW w:w="50" w:type="pct"/>
            <w:shd w:val="clear" w:color="auto" w:fill="FFFFFF"/>
            <w:noWrap/>
            <w:tcMar>
              <w:top w:w="15" w:type="dxa"/>
              <w:left w:w="0" w:type="dxa"/>
              <w:bottom w:w="0" w:type="dxa"/>
              <w:right w:w="15" w:type="dxa"/>
            </w:tcMar>
            <w:vAlign w:val="bottom"/>
            <w:hideMark/>
          </w:tcPr>
          <w:p w14:paraId="33A44B9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0F3F5D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2AC56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5E38571" w14:textId="77777777" w:rsidR="00000000" w:rsidRDefault="00B8284C">
            <w:pPr>
              <w:pStyle w:val="a3"/>
              <w:spacing w:before="0" w:beforeAutospacing="0" w:after="0" w:afterAutospacing="0"/>
              <w:jc w:val="right"/>
              <w:rPr>
                <w:color w:val="000000"/>
                <w:sz w:val="20"/>
                <w:szCs w:val="20"/>
              </w:rPr>
            </w:pPr>
            <w:r>
              <w:rPr>
                <w:color w:val="000000"/>
                <w:sz w:val="20"/>
                <w:szCs w:val="20"/>
              </w:rPr>
              <w:t>49,976</w:t>
            </w:r>
          </w:p>
        </w:tc>
        <w:tc>
          <w:tcPr>
            <w:tcW w:w="50" w:type="pct"/>
            <w:shd w:val="clear" w:color="auto" w:fill="FFFFFF"/>
            <w:noWrap/>
            <w:tcMar>
              <w:top w:w="15" w:type="dxa"/>
              <w:left w:w="0" w:type="dxa"/>
              <w:bottom w:w="0" w:type="dxa"/>
              <w:right w:w="15" w:type="dxa"/>
            </w:tcMar>
            <w:vAlign w:val="bottom"/>
            <w:hideMark/>
          </w:tcPr>
          <w:p w14:paraId="0482FA0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6ECE400" w14:textId="77777777">
        <w:trPr>
          <w:divId w:val="1776168437"/>
        </w:trPr>
        <w:tc>
          <w:tcPr>
            <w:tcW w:w="2517" w:type="pct"/>
            <w:shd w:val="clear" w:color="auto" w:fill="CFF0FC"/>
            <w:tcMar>
              <w:top w:w="15" w:type="dxa"/>
              <w:left w:w="0" w:type="dxa"/>
              <w:bottom w:w="0" w:type="dxa"/>
              <w:right w:w="15" w:type="dxa"/>
            </w:tcMar>
            <w:vAlign w:val="bottom"/>
            <w:hideMark/>
          </w:tcPr>
          <w:p w14:paraId="5D17695B" w14:textId="77777777" w:rsidR="00000000" w:rsidRDefault="00B8284C">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14:paraId="6631B6E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C41A20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CF149D9" w14:textId="77777777" w:rsidR="00000000" w:rsidRDefault="00B8284C">
            <w:pPr>
              <w:pStyle w:val="a3"/>
              <w:spacing w:before="0" w:beforeAutospacing="0" w:after="0" w:afterAutospacing="0"/>
              <w:jc w:val="right"/>
              <w:rPr>
                <w:color w:val="000000"/>
                <w:sz w:val="20"/>
                <w:szCs w:val="20"/>
              </w:rPr>
            </w:pPr>
            <w:r>
              <w:rPr>
                <w:color w:val="000000"/>
                <w:sz w:val="20"/>
                <w:szCs w:val="20"/>
              </w:rPr>
              <w:t>7,592</w:t>
            </w:r>
          </w:p>
        </w:tc>
        <w:tc>
          <w:tcPr>
            <w:tcW w:w="50" w:type="pct"/>
            <w:shd w:val="clear" w:color="auto" w:fill="CFF0FC"/>
            <w:noWrap/>
            <w:tcMar>
              <w:top w:w="15" w:type="dxa"/>
              <w:left w:w="0" w:type="dxa"/>
              <w:bottom w:w="0" w:type="dxa"/>
              <w:right w:w="15" w:type="dxa"/>
            </w:tcMar>
            <w:vAlign w:val="bottom"/>
            <w:hideMark/>
          </w:tcPr>
          <w:p w14:paraId="6FAACDD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6A894C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C60ECD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D69C2D2" w14:textId="77777777" w:rsidR="00000000" w:rsidRDefault="00B8284C">
            <w:pPr>
              <w:pStyle w:val="a3"/>
              <w:spacing w:before="0" w:beforeAutospacing="0" w:after="0" w:afterAutospacing="0"/>
              <w:jc w:val="right"/>
              <w:rPr>
                <w:color w:val="000000"/>
                <w:sz w:val="20"/>
                <w:szCs w:val="20"/>
              </w:rPr>
            </w:pPr>
            <w:r>
              <w:rPr>
                <w:color w:val="000000"/>
                <w:sz w:val="20"/>
                <w:szCs w:val="20"/>
              </w:rPr>
              <w:t>7,988</w:t>
            </w:r>
          </w:p>
        </w:tc>
        <w:tc>
          <w:tcPr>
            <w:tcW w:w="50" w:type="pct"/>
            <w:shd w:val="clear" w:color="auto" w:fill="CFF0FC"/>
            <w:noWrap/>
            <w:tcMar>
              <w:top w:w="15" w:type="dxa"/>
              <w:left w:w="0" w:type="dxa"/>
              <w:bottom w:w="0" w:type="dxa"/>
              <w:right w:w="15" w:type="dxa"/>
            </w:tcMar>
            <w:vAlign w:val="bottom"/>
            <w:hideMark/>
          </w:tcPr>
          <w:p w14:paraId="5D63FBA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FB94DB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E84E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5120AB1" w14:textId="77777777" w:rsidR="00000000" w:rsidRDefault="00B8284C">
            <w:pPr>
              <w:pStyle w:val="a3"/>
              <w:spacing w:before="0" w:beforeAutospacing="0" w:after="0" w:afterAutospacing="0"/>
              <w:jc w:val="right"/>
              <w:rPr>
                <w:color w:val="000000"/>
                <w:sz w:val="20"/>
                <w:szCs w:val="20"/>
              </w:rPr>
            </w:pPr>
            <w:r>
              <w:rPr>
                <w:color w:val="000000"/>
                <w:sz w:val="20"/>
                <w:szCs w:val="20"/>
              </w:rPr>
              <w:t>23,433</w:t>
            </w:r>
          </w:p>
        </w:tc>
        <w:tc>
          <w:tcPr>
            <w:tcW w:w="50" w:type="pct"/>
            <w:shd w:val="clear" w:color="auto" w:fill="CFF0FC"/>
            <w:noWrap/>
            <w:tcMar>
              <w:top w:w="15" w:type="dxa"/>
              <w:left w:w="0" w:type="dxa"/>
              <w:bottom w:w="0" w:type="dxa"/>
              <w:right w:w="15" w:type="dxa"/>
            </w:tcMar>
            <w:vAlign w:val="bottom"/>
            <w:hideMark/>
          </w:tcPr>
          <w:p w14:paraId="2030EC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FF8B59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5BEC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8851C85" w14:textId="77777777" w:rsidR="00000000" w:rsidRDefault="00B8284C">
            <w:pPr>
              <w:pStyle w:val="a3"/>
              <w:spacing w:before="0" w:beforeAutospacing="0" w:after="0" w:afterAutospacing="0"/>
              <w:jc w:val="right"/>
              <w:rPr>
                <w:color w:val="000000"/>
                <w:sz w:val="20"/>
                <w:szCs w:val="20"/>
              </w:rPr>
            </w:pPr>
            <w:r>
              <w:rPr>
                <w:color w:val="000000"/>
                <w:sz w:val="20"/>
                <w:szCs w:val="20"/>
              </w:rPr>
              <w:t>23,017</w:t>
            </w:r>
          </w:p>
        </w:tc>
        <w:tc>
          <w:tcPr>
            <w:tcW w:w="50" w:type="pct"/>
            <w:shd w:val="clear" w:color="auto" w:fill="CFF0FC"/>
            <w:noWrap/>
            <w:tcMar>
              <w:top w:w="15" w:type="dxa"/>
              <w:left w:w="0" w:type="dxa"/>
              <w:bottom w:w="0" w:type="dxa"/>
              <w:right w:w="15" w:type="dxa"/>
            </w:tcMar>
            <w:vAlign w:val="bottom"/>
            <w:hideMark/>
          </w:tcPr>
          <w:p w14:paraId="75A3C5E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808ABB5" w14:textId="77777777">
        <w:trPr>
          <w:divId w:val="1776168437"/>
        </w:trPr>
        <w:tc>
          <w:tcPr>
            <w:tcW w:w="2517" w:type="pct"/>
            <w:shd w:val="clear" w:color="auto" w:fill="FFFFFF"/>
            <w:tcMar>
              <w:top w:w="15" w:type="dxa"/>
              <w:left w:w="0" w:type="dxa"/>
              <w:bottom w:w="0" w:type="dxa"/>
              <w:right w:w="15" w:type="dxa"/>
            </w:tcMar>
            <w:vAlign w:val="bottom"/>
            <w:hideMark/>
          </w:tcPr>
          <w:p w14:paraId="68F391D0" w14:textId="77777777" w:rsidR="00000000" w:rsidRDefault="00B8284C">
            <w:pPr>
              <w:pStyle w:val="a3"/>
              <w:spacing w:before="0" w:beforeAutospacing="0" w:after="0" w:afterAutospacing="0"/>
              <w:ind w:left="821"/>
              <w:rPr>
                <w:color w:val="000000"/>
                <w:sz w:val="20"/>
                <w:szCs w:val="20"/>
              </w:rPr>
            </w:pPr>
            <w:r>
              <w:rPr>
                <w:color w:val="000000"/>
                <w:sz w:val="20"/>
                <w:szCs w:val="20"/>
              </w:rPr>
              <w:t>Total cost of revenues</w:t>
            </w:r>
          </w:p>
        </w:tc>
        <w:tc>
          <w:tcPr>
            <w:tcW w:w="61" w:type="pct"/>
            <w:shd w:val="clear" w:color="auto" w:fill="FFFFFF"/>
            <w:tcMar>
              <w:top w:w="15" w:type="dxa"/>
              <w:left w:w="0" w:type="dxa"/>
              <w:bottom w:w="0" w:type="dxa"/>
              <w:right w:w="15" w:type="dxa"/>
            </w:tcMar>
            <w:vAlign w:val="bottom"/>
            <w:hideMark/>
          </w:tcPr>
          <w:p w14:paraId="632DD32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00A129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776CF7" w14:textId="77777777" w:rsidR="00000000" w:rsidRDefault="00B8284C">
            <w:pPr>
              <w:pStyle w:val="a3"/>
              <w:spacing w:before="0" w:beforeAutospacing="0" w:after="0" w:afterAutospacing="0"/>
              <w:jc w:val="right"/>
              <w:rPr>
                <w:color w:val="000000"/>
                <w:sz w:val="20"/>
                <w:szCs w:val="20"/>
              </w:rPr>
            </w:pPr>
            <w:r>
              <w:rPr>
                <w:color w:val="000000"/>
                <w:sz w:val="20"/>
                <w:szCs w:val="20"/>
              </w:rPr>
              <w:t>33,263</w:t>
            </w:r>
          </w:p>
        </w:tc>
        <w:tc>
          <w:tcPr>
            <w:tcW w:w="50" w:type="pct"/>
            <w:shd w:val="clear" w:color="auto" w:fill="FFFFFF"/>
            <w:noWrap/>
            <w:tcMar>
              <w:top w:w="15" w:type="dxa"/>
              <w:left w:w="0" w:type="dxa"/>
              <w:bottom w:w="0" w:type="dxa"/>
              <w:right w:w="15" w:type="dxa"/>
            </w:tcMar>
            <w:vAlign w:val="bottom"/>
            <w:hideMark/>
          </w:tcPr>
          <w:p w14:paraId="799C185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45FC9C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9CCCC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0CA8806" w14:textId="77777777" w:rsidR="00000000" w:rsidRDefault="00B8284C">
            <w:pPr>
              <w:pStyle w:val="a3"/>
              <w:spacing w:before="0" w:beforeAutospacing="0" w:after="0" w:afterAutospacing="0"/>
              <w:jc w:val="right"/>
              <w:rPr>
                <w:color w:val="000000"/>
                <w:sz w:val="20"/>
                <w:szCs w:val="20"/>
              </w:rPr>
            </w:pPr>
            <w:r>
              <w:rPr>
                <w:color w:val="000000"/>
                <w:sz w:val="20"/>
                <w:szCs w:val="20"/>
              </w:rPr>
              <w:t>25,765</w:t>
            </w:r>
          </w:p>
        </w:tc>
        <w:tc>
          <w:tcPr>
            <w:tcW w:w="50" w:type="pct"/>
            <w:shd w:val="clear" w:color="auto" w:fill="FFFFFF"/>
            <w:noWrap/>
            <w:tcMar>
              <w:top w:w="15" w:type="dxa"/>
              <w:left w:w="0" w:type="dxa"/>
              <w:bottom w:w="0" w:type="dxa"/>
              <w:right w:w="15" w:type="dxa"/>
            </w:tcMar>
            <w:vAlign w:val="bottom"/>
            <w:hideMark/>
          </w:tcPr>
          <w:p w14:paraId="54D12A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75DB4F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0F423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14E2CC" w14:textId="77777777" w:rsidR="00000000" w:rsidRDefault="00B8284C">
            <w:pPr>
              <w:pStyle w:val="a3"/>
              <w:spacing w:before="0" w:beforeAutospacing="0" w:after="0" w:afterAutospacing="0"/>
              <w:jc w:val="right"/>
              <w:rPr>
                <w:color w:val="000000"/>
                <w:sz w:val="20"/>
                <w:szCs w:val="20"/>
              </w:rPr>
            </w:pPr>
            <w:r>
              <w:rPr>
                <w:color w:val="000000"/>
                <w:sz w:val="20"/>
                <w:szCs w:val="20"/>
              </w:rPr>
              <w:t>93,983</w:t>
            </w:r>
          </w:p>
        </w:tc>
        <w:tc>
          <w:tcPr>
            <w:tcW w:w="50" w:type="pct"/>
            <w:shd w:val="clear" w:color="auto" w:fill="FFFFFF"/>
            <w:noWrap/>
            <w:tcMar>
              <w:top w:w="15" w:type="dxa"/>
              <w:left w:w="0" w:type="dxa"/>
              <w:bottom w:w="0" w:type="dxa"/>
              <w:right w:w="15" w:type="dxa"/>
            </w:tcMar>
            <w:vAlign w:val="bottom"/>
            <w:hideMark/>
          </w:tcPr>
          <w:p w14:paraId="694D6F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AC2D3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3346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D16A51F" w14:textId="77777777" w:rsidR="00000000" w:rsidRDefault="00B8284C">
            <w:pPr>
              <w:pStyle w:val="a3"/>
              <w:spacing w:before="0" w:beforeAutospacing="0" w:after="0" w:afterAutospacing="0"/>
              <w:jc w:val="right"/>
              <w:rPr>
                <w:color w:val="000000"/>
                <w:sz w:val="20"/>
                <w:szCs w:val="20"/>
              </w:rPr>
            </w:pPr>
            <w:r>
              <w:rPr>
                <w:color w:val="000000"/>
                <w:sz w:val="20"/>
                <w:szCs w:val="20"/>
              </w:rPr>
              <w:t>72,993</w:t>
            </w:r>
          </w:p>
        </w:tc>
        <w:tc>
          <w:tcPr>
            <w:tcW w:w="50" w:type="pct"/>
            <w:shd w:val="clear" w:color="auto" w:fill="FFFFFF"/>
            <w:noWrap/>
            <w:tcMar>
              <w:top w:w="15" w:type="dxa"/>
              <w:left w:w="0" w:type="dxa"/>
              <w:bottom w:w="0" w:type="dxa"/>
              <w:right w:w="15" w:type="dxa"/>
            </w:tcMar>
            <w:vAlign w:val="bottom"/>
            <w:hideMark/>
          </w:tcPr>
          <w:p w14:paraId="18C99292"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EE0CD8C" w14:textId="77777777">
        <w:trPr>
          <w:divId w:val="1776168437"/>
        </w:trPr>
        <w:tc>
          <w:tcPr>
            <w:tcW w:w="2517" w:type="pct"/>
            <w:shd w:val="clear" w:color="auto" w:fill="CFF0FC"/>
            <w:tcMar>
              <w:top w:w="15" w:type="dxa"/>
              <w:left w:w="0" w:type="dxa"/>
              <w:bottom w:w="0" w:type="dxa"/>
              <w:right w:w="15" w:type="dxa"/>
            </w:tcMar>
            <w:vAlign w:val="bottom"/>
            <w:hideMark/>
          </w:tcPr>
          <w:p w14:paraId="4FAFE8DD" w14:textId="77777777" w:rsidR="00000000" w:rsidRDefault="00B8284C">
            <w:pPr>
              <w:pStyle w:val="a3"/>
              <w:spacing w:before="0" w:beforeAutospacing="0" w:after="0" w:afterAutospacing="0"/>
              <w:rPr>
                <w:color w:val="000000"/>
                <w:sz w:val="20"/>
                <w:szCs w:val="20"/>
              </w:rPr>
            </w:pPr>
            <w:r>
              <w:rPr>
                <w:color w:val="000000"/>
                <w:sz w:val="20"/>
                <w:szCs w:val="20"/>
              </w:rPr>
              <w:t>Gross profit</w:t>
            </w:r>
          </w:p>
        </w:tc>
        <w:tc>
          <w:tcPr>
            <w:tcW w:w="61" w:type="pct"/>
            <w:shd w:val="clear" w:color="auto" w:fill="CFF0FC"/>
            <w:tcMar>
              <w:top w:w="15" w:type="dxa"/>
              <w:left w:w="0" w:type="dxa"/>
              <w:bottom w:w="0" w:type="dxa"/>
              <w:right w:w="15" w:type="dxa"/>
            </w:tcMar>
            <w:vAlign w:val="bottom"/>
            <w:hideMark/>
          </w:tcPr>
          <w:p w14:paraId="2A8543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57297D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38E569" w14:textId="77777777" w:rsidR="00000000" w:rsidRDefault="00B8284C">
            <w:pPr>
              <w:pStyle w:val="a3"/>
              <w:spacing w:before="0" w:beforeAutospacing="0" w:after="0" w:afterAutospacing="0"/>
              <w:jc w:val="right"/>
              <w:rPr>
                <w:color w:val="000000"/>
                <w:sz w:val="20"/>
                <w:szCs w:val="20"/>
              </w:rPr>
            </w:pPr>
            <w:r>
              <w:rPr>
                <w:color w:val="000000"/>
                <w:sz w:val="20"/>
                <w:szCs w:val="20"/>
              </w:rPr>
              <w:t>140,358</w:t>
            </w:r>
          </w:p>
        </w:tc>
        <w:tc>
          <w:tcPr>
            <w:tcW w:w="50" w:type="pct"/>
            <w:shd w:val="clear" w:color="auto" w:fill="CFF0FC"/>
            <w:noWrap/>
            <w:tcMar>
              <w:top w:w="15" w:type="dxa"/>
              <w:left w:w="0" w:type="dxa"/>
              <w:bottom w:w="0" w:type="dxa"/>
              <w:right w:w="15" w:type="dxa"/>
            </w:tcMar>
            <w:vAlign w:val="bottom"/>
            <w:hideMark/>
          </w:tcPr>
          <w:p w14:paraId="29C5A4B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E4DDE5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C56CCB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8F7D1DC" w14:textId="77777777" w:rsidR="00000000" w:rsidRDefault="00B8284C">
            <w:pPr>
              <w:pStyle w:val="a3"/>
              <w:spacing w:before="0" w:beforeAutospacing="0" w:after="0" w:afterAutospacing="0"/>
              <w:jc w:val="right"/>
              <w:rPr>
                <w:color w:val="000000"/>
                <w:sz w:val="20"/>
                <w:szCs w:val="20"/>
              </w:rPr>
            </w:pPr>
            <w:r>
              <w:rPr>
                <w:color w:val="000000"/>
                <w:sz w:val="20"/>
                <w:szCs w:val="20"/>
              </w:rPr>
              <w:t>106,061</w:t>
            </w:r>
          </w:p>
        </w:tc>
        <w:tc>
          <w:tcPr>
            <w:tcW w:w="50" w:type="pct"/>
            <w:shd w:val="clear" w:color="auto" w:fill="CFF0FC"/>
            <w:noWrap/>
            <w:tcMar>
              <w:top w:w="15" w:type="dxa"/>
              <w:left w:w="0" w:type="dxa"/>
              <w:bottom w:w="0" w:type="dxa"/>
              <w:right w:w="15" w:type="dxa"/>
            </w:tcMar>
            <w:vAlign w:val="bottom"/>
            <w:hideMark/>
          </w:tcPr>
          <w:p w14:paraId="763AAE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450CC0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AB1305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A987217" w14:textId="77777777" w:rsidR="00000000" w:rsidRDefault="00B8284C">
            <w:pPr>
              <w:pStyle w:val="a3"/>
              <w:spacing w:before="0" w:beforeAutospacing="0" w:after="0" w:afterAutospacing="0"/>
              <w:jc w:val="right"/>
              <w:rPr>
                <w:color w:val="000000"/>
                <w:sz w:val="20"/>
                <w:szCs w:val="20"/>
              </w:rPr>
            </w:pPr>
            <w:r>
              <w:rPr>
                <w:color w:val="000000"/>
                <w:sz w:val="20"/>
                <w:szCs w:val="20"/>
              </w:rPr>
              <w:t>394,691</w:t>
            </w:r>
          </w:p>
        </w:tc>
        <w:tc>
          <w:tcPr>
            <w:tcW w:w="50" w:type="pct"/>
            <w:shd w:val="clear" w:color="auto" w:fill="CFF0FC"/>
            <w:noWrap/>
            <w:tcMar>
              <w:top w:w="15" w:type="dxa"/>
              <w:left w:w="0" w:type="dxa"/>
              <w:bottom w:w="0" w:type="dxa"/>
              <w:right w:w="15" w:type="dxa"/>
            </w:tcMar>
            <w:vAlign w:val="bottom"/>
            <w:hideMark/>
          </w:tcPr>
          <w:p w14:paraId="355DB9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79668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03A0F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7B62B1" w14:textId="77777777" w:rsidR="00000000" w:rsidRDefault="00B8284C">
            <w:pPr>
              <w:pStyle w:val="a3"/>
              <w:spacing w:before="0" w:beforeAutospacing="0" w:after="0" w:afterAutospacing="0"/>
              <w:jc w:val="right"/>
              <w:rPr>
                <w:color w:val="000000"/>
                <w:sz w:val="20"/>
                <w:szCs w:val="20"/>
              </w:rPr>
            </w:pPr>
            <w:r>
              <w:rPr>
                <w:color w:val="000000"/>
                <w:sz w:val="20"/>
                <w:szCs w:val="20"/>
              </w:rPr>
              <w:t>295,965</w:t>
            </w:r>
          </w:p>
        </w:tc>
        <w:tc>
          <w:tcPr>
            <w:tcW w:w="50" w:type="pct"/>
            <w:shd w:val="clear" w:color="auto" w:fill="CFF0FC"/>
            <w:noWrap/>
            <w:tcMar>
              <w:top w:w="15" w:type="dxa"/>
              <w:left w:w="0" w:type="dxa"/>
              <w:bottom w:w="0" w:type="dxa"/>
              <w:right w:w="15" w:type="dxa"/>
            </w:tcMar>
            <w:vAlign w:val="bottom"/>
            <w:hideMark/>
          </w:tcPr>
          <w:p w14:paraId="7E85D24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264ECB4" w14:textId="77777777">
        <w:trPr>
          <w:divId w:val="1776168437"/>
        </w:trPr>
        <w:tc>
          <w:tcPr>
            <w:tcW w:w="2517" w:type="pct"/>
            <w:shd w:val="clear" w:color="auto" w:fill="FFFFFF"/>
            <w:tcMar>
              <w:top w:w="15" w:type="dxa"/>
              <w:left w:w="0" w:type="dxa"/>
              <w:bottom w:w="0" w:type="dxa"/>
              <w:right w:w="15" w:type="dxa"/>
            </w:tcMar>
            <w:vAlign w:val="bottom"/>
            <w:hideMark/>
          </w:tcPr>
          <w:p w14:paraId="413A7975" w14:textId="77777777" w:rsidR="00000000" w:rsidRDefault="00B8284C">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14:paraId="7B5252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02A257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0BEAF88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4E224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085A43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1FA4C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7A4BB41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4816A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99A7FE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7299C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525F336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44F8E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60D65A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B015FD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5EC62FA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1E886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2333973" w14:textId="77777777">
        <w:trPr>
          <w:divId w:val="1776168437"/>
        </w:trPr>
        <w:tc>
          <w:tcPr>
            <w:tcW w:w="2517" w:type="pct"/>
            <w:shd w:val="clear" w:color="auto" w:fill="CFF0FC"/>
            <w:tcMar>
              <w:top w:w="15" w:type="dxa"/>
              <w:left w:w="0" w:type="dxa"/>
              <w:bottom w:w="0" w:type="dxa"/>
              <w:right w:w="15" w:type="dxa"/>
            </w:tcMar>
            <w:vAlign w:val="bottom"/>
            <w:hideMark/>
          </w:tcPr>
          <w:p w14:paraId="04D9A244" w14:textId="77777777" w:rsidR="00000000" w:rsidRDefault="00B8284C">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2C32BB4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46A16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DABB340" w14:textId="77777777" w:rsidR="00000000" w:rsidRDefault="00B8284C">
            <w:pPr>
              <w:pStyle w:val="a3"/>
              <w:spacing w:before="0" w:beforeAutospacing="0" w:after="0" w:afterAutospacing="0"/>
              <w:jc w:val="right"/>
              <w:rPr>
                <w:color w:val="000000"/>
                <w:sz w:val="20"/>
                <w:szCs w:val="20"/>
              </w:rPr>
            </w:pPr>
            <w:r>
              <w:rPr>
                <w:color w:val="000000"/>
                <w:sz w:val="20"/>
                <w:szCs w:val="20"/>
              </w:rPr>
              <w:t>39,847</w:t>
            </w:r>
          </w:p>
        </w:tc>
        <w:tc>
          <w:tcPr>
            <w:tcW w:w="50" w:type="pct"/>
            <w:shd w:val="clear" w:color="auto" w:fill="CFF0FC"/>
            <w:noWrap/>
            <w:tcMar>
              <w:top w:w="15" w:type="dxa"/>
              <w:left w:w="0" w:type="dxa"/>
              <w:bottom w:w="0" w:type="dxa"/>
              <w:right w:w="15" w:type="dxa"/>
            </w:tcMar>
            <w:vAlign w:val="bottom"/>
            <w:hideMark/>
          </w:tcPr>
          <w:p w14:paraId="3F08AA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A8544F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B27C1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B501E9A" w14:textId="77777777" w:rsidR="00000000" w:rsidRDefault="00B8284C">
            <w:pPr>
              <w:pStyle w:val="a3"/>
              <w:spacing w:before="0" w:beforeAutospacing="0" w:after="0" w:afterAutospacing="0"/>
              <w:jc w:val="right"/>
              <w:rPr>
                <w:color w:val="000000"/>
                <w:sz w:val="20"/>
                <w:szCs w:val="20"/>
              </w:rPr>
            </w:pPr>
            <w:r>
              <w:rPr>
                <w:color w:val="000000"/>
                <w:sz w:val="20"/>
                <w:szCs w:val="20"/>
              </w:rPr>
              <w:t>30,761</w:t>
            </w:r>
          </w:p>
        </w:tc>
        <w:tc>
          <w:tcPr>
            <w:tcW w:w="50" w:type="pct"/>
            <w:shd w:val="clear" w:color="auto" w:fill="CFF0FC"/>
            <w:noWrap/>
            <w:tcMar>
              <w:top w:w="15" w:type="dxa"/>
              <w:left w:w="0" w:type="dxa"/>
              <w:bottom w:w="0" w:type="dxa"/>
              <w:right w:w="15" w:type="dxa"/>
            </w:tcMar>
            <w:vAlign w:val="bottom"/>
            <w:hideMark/>
          </w:tcPr>
          <w:p w14:paraId="2BB2F17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AE5E47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7B076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AD776D1" w14:textId="77777777" w:rsidR="00000000" w:rsidRDefault="00B8284C">
            <w:pPr>
              <w:pStyle w:val="a3"/>
              <w:spacing w:before="0" w:beforeAutospacing="0" w:after="0" w:afterAutospacing="0"/>
              <w:jc w:val="right"/>
              <w:rPr>
                <w:color w:val="000000"/>
                <w:sz w:val="20"/>
                <w:szCs w:val="20"/>
              </w:rPr>
            </w:pPr>
            <w:r>
              <w:rPr>
                <w:color w:val="000000"/>
                <w:sz w:val="20"/>
                <w:szCs w:val="20"/>
              </w:rPr>
              <w:t>115,480</w:t>
            </w:r>
          </w:p>
        </w:tc>
        <w:tc>
          <w:tcPr>
            <w:tcW w:w="50" w:type="pct"/>
            <w:shd w:val="clear" w:color="auto" w:fill="CFF0FC"/>
            <w:noWrap/>
            <w:tcMar>
              <w:top w:w="15" w:type="dxa"/>
              <w:left w:w="0" w:type="dxa"/>
              <w:bottom w:w="0" w:type="dxa"/>
              <w:right w:w="15" w:type="dxa"/>
            </w:tcMar>
            <w:vAlign w:val="bottom"/>
            <w:hideMark/>
          </w:tcPr>
          <w:p w14:paraId="36F63A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F3F21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E623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EFC7B56" w14:textId="77777777" w:rsidR="00000000" w:rsidRDefault="00B8284C">
            <w:pPr>
              <w:pStyle w:val="a3"/>
              <w:spacing w:before="0" w:beforeAutospacing="0" w:after="0" w:afterAutospacing="0"/>
              <w:jc w:val="right"/>
              <w:rPr>
                <w:color w:val="000000"/>
                <w:sz w:val="20"/>
                <w:szCs w:val="20"/>
              </w:rPr>
            </w:pPr>
            <w:r>
              <w:rPr>
                <w:color w:val="000000"/>
                <w:sz w:val="20"/>
                <w:szCs w:val="20"/>
              </w:rPr>
              <w:t>85,598</w:t>
            </w:r>
          </w:p>
        </w:tc>
        <w:tc>
          <w:tcPr>
            <w:tcW w:w="50" w:type="pct"/>
            <w:shd w:val="clear" w:color="auto" w:fill="CFF0FC"/>
            <w:noWrap/>
            <w:tcMar>
              <w:top w:w="15" w:type="dxa"/>
              <w:left w:w="0" w:type="dxa"/>
              <w:bottom w:w="0" w:type="dxa"/>
              <w:right w:w="15" w:type="dxa"/>
            </w:tcMar>
            <w:vAlign w:val="bottom"/>
            <w:hideMark/>
          </w:tcPr>
          <w:p w14:paraId="771455F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0585A69" w14:textId="77777777">
        <w:trPr>
          <w:divId w:val="1776168437"/>
        </w:trPr>
        <w:tc>
          <w:tcPr>
            <w:tcW w:w="2517" w:type="pct"/>
            <w:shd w:val="clear" w:color="auto" w:fill="FFFFFF"/>
            <w:tcMar>
              <w:top w:w="15" w:type="dxa"/>
              <w:left w:w="0" w:type="dxa"/>
              <w:bottom w:w="0" w:type="dxa"/>
              <w:right w:w="15" w:type="dxa"/>
            </w:tcMar>
            <w:vAlign w:val="bottom"/>
            <w:hideMark/>
          </w:tcPr>
          <w:p w14:paraId="622FE4B1" w14:textId="77777777" w:rsidR="00000000" w:rsidRDefault="00B8284C">
            <w:pPr>
              <w:pStyle w:val="a3"/>
              <w:spacing w:before="0" w:beforeAutospacing="0" w:after="0" w:afterAutospacing="0"/>
              <w:ind w:left="274"/>
              <w:rPr>
                <w:color w:val="000000"/>
                <w:sz w:val="20"/>
                <w:szCs w:val="20"/>
              </w:rPr>
            </w:pPr>
            <w:r>
              <w:rPr>
                <w:color w:val="000000"/>
                <w:sz w:val="20"/>
                <w:szCs w:val="20"/>
              </w:rPr>
              <w:t>Sales and marketing</w:t>
            </w:r>
          </w:p>
        </w:tc>
        <w:tc>
          <w:tcPr>
            <w:tcW w:w="61" w:type="pct"/>
            <w:shd w:val="clear" w:color="auto" w:fill="FFFFFF"/>
            <w:tcMar>
              <w:top w:w="15" w:type="dxa"/>
              <w:left w:w="0" w:type="dxa"/>
              <w:bottom w:w="0" w:type="dxa"/>
              <w:right w:w="15" w:type="dxa"/>
            </w:tcMar>
            <w:vAlign w:val="bottom"/>
            <w:hideMark/>
          </w:tcPr>
          <w:p w14:paraId="6265341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8B3A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B5EA73F" w14:textId="77777777" w:rsidR="00000000" w:rsidRDefault="00B8284C">
            <w:pPr>
              <w:pStyle w:val="a3"/>
              <w:spacing w:before="0" w:beforeAutospacing="0" w:after="0" w:afterAutospacing="0"/>
              <w:jc w:val="right"/>
              <w:rPr>
                <w:color w:val="000000"/>
                <w:sz w:val="20"/>
                <w:szCs w:val="20"/>
              </w:rPr>
            </w:pPr>
            <w:r>
              <w:rPr>
                <w:color w:val="000000"/>
                <w:sz w:val="20"/>
                <w:szCs w:val="20"/>
              </w:rPr>
              <w:t>91,283</w:t>
            </w:r>
          </w:p>
        </w:tc>
        <w:tc>
          <w:tcPr>
            <w:tcW w:w="50" w:type="pct"/>
            <w:shd w:val="clear" w:color="auto" w:fill="FFFFFF"/>
            <w:noWrap/>
            <w:tcMar>
              <w:top w:w="15" w:type="dxa"/>
              <w:left w:w="0" w:type="dxa"/>
              <w:bottom w:w="0" w:type="dxa"/>
              <w:right w:w="15" w:type="dxa"/>
            </w:tcMar>
            <w:vAlign w:val="bottom"/>
            <w:hideMark/>
          </w:tcPr>
          <w:p w14:paraId="7943101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CCD84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6C476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BFAE95E" w14:textId="77777777" w:rsidR="00000000" w:rsidRDefault="00B8284C">
            <w:pPr>
              <w:pStyle w:val="a3"/>
              <w:spacing w:before="0" w:beforeAutospacing="0" w:after="0" w:afterAutospacing="0"/>
              <w:jc w:val="right"/>
              <w:rPr>
                <w:color w:val="000000"/>
                <w:sz w:val="20"/>
                <w:szCs w:val="20"/>
              </w:rPr>
            </w:pPr>
            <w:r>
              <w:rPr>
                <w:color w:val="000000"/>
                <w:sz w:val="20"/>
                <w:szCs w:val="20"/>
              </w:rPr>
              <w:t>71,293</w:t>
            </w:r>
          </w:p>
        </w:tc>
        <w:tc>
          <w:tcPr>
            <w:tcW w:w="50" w:type="pct"/>
            <w:shd w:val="clear" w:color="auto" w:fill="FFFFFF"/>
            <w:noWrap/>
            <w:tcMar>
              <w:top w:w="15" w:type="dxa"/>
              <w:left w:w="0" w:type="dxa"/>
              <w:bottom w:w="0" w:type="dxa"/>
              <w:right w:w="15" w:type="dxa"/>
            </w:tcMar>
            <w:vAlign w:val="bottom"/>
            <w:hideMark/>
          </w:tcPr>
          <w:p w14:paraId="23D79D8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1C330D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3578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64B83A9" w14:textId="77777777" w:rsidR="00000000" w:rsidRDefault="00B8284C">
            <w:pPr>
              <w:pStyle w:val="a3"/>
              <w:spacing w:before="0" w:beforeAutospacing="0" w:after="0" w:afterAutospacing="0"/>
              <w:jc w:val="right"/>
              <w:rPr>
                <w:color w:val="000000"/>
                <w:sz w:val="20"/>
                <w:szCs w:val="20"/>
              </w:rPr>
            </w:pPr>
            <w:r>
              <w:rPr>
                <w:color w:val="000000"/>
                <w:sz w:val="20"/>
                <w:szCs w:val="20"/>
              </w:rPr>
              <w:t>250,267</w:t>
            </w:r>
          </w:p>
        </w:tc>
        <w:tc>
          <w:tcPr>
            <w:tcW w:w="50" w:type="pct"/>
            <w:shd w:val="clear" w:color="auto" w:fill="FFFFFF"/>
            <w:noWrap/>
            <w:tcMar>
              <w:top w:w="15" w:type="dxa"/>
              <w:left w:w="0" w:type="dxa"/>
              <w:bottom w:w="0" w:type="dxa"/>
              <w:right w:w="15" w:type="dxa"/>
            </w:tcMar>
            <w:vAlign w:val="bottom"/>
            <w:hideMark/>
          </w:tcPr>
          <w:p w14:paraId="6A06A45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BDA7A9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9CB69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2147A65" w14:textId="77777777" w:rsidR="00000000" w:rsidRDefault="00B8284C">
            <w:pPr>
              <w:pStyle w:val="a3"/>
              <w:spacing w:before="0" w:beforeAutospacing="0" w:after="0" w:afterAutospacing="0"/>
              <w:jc w:val="right"/>
              <w:rPr>
                <w:color w:val="000000"/>
                <w:sz w:val="20"/>
                <w:szCs w:val="20"/>
              </w:rPr>
            </w:pPr>
            <w:r>
              <w:rPr>
                <w:color w:val="000000"/>
                <w:sz w:val="20"/>
                <w:szCs w:val="20"/>
              </w:rPr>
              <w:t>196,484</w:t>
            </w:r>
          </w:p>
        </w:tc>
        <w:tc>
          <w:tcPr>
            <w:tcW w:w="50" w:type="pct"/>
            <w:shd w:val="clear" w:color="auto" w:fill="FFFFFF"/>
            <w:noWrap/>
            <w:tcMar>
              <w:top w:w="15" w:type="dxa"/>
              <w:left w:w="0" w:type="dxa"/>
              <w:bottom w:w="0" w:type="dxa"/>
              <w:right w:w="15" w:type="dxa"/>
            </w:tcMar>
            <w:vAlign w:val="bottom"/>
            <w:hideMark/>
          </w:tcPr>
          <w:p w14:paraId="26A8447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1373CC0" w14:textId="77777777">
        <w:trPr>
          <w:divId w:val="1776168437"/>
        </w:trPr>
        <w:tc>
          <w:tcPr>
            <w:tcW w:w="2517" w:type="pct"/>
            <w:shd w:val="clear" w:color="auto" w:fill="CFF0FC"/>
            <w:tcMar>
              <w:top w:w="15" w:type="dxa"/>
              <w:left w:w="0" w:type="dxa"/>
              <w:bottom w:w="0" w:type="dxa"/>
              <w:right w:w="15" w:type="dxa"/>
            </w:tcMar>
            <w:vAlign w:val="bottom"/>
            <w:hideMark/>
          </w:tcPr>
          <w:p w14:paraId="7891304E" w14:textId="77777777" w:rsidR="00000000" w:rsidRDefault="00B8284C">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14:paraId="74F7091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24686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3C74344" w14:textId="77777777" w:rsidR="00000000" w:rsidRDefault="00B8284C">
            <w:pPr>
              <w:pStyle w:val="a3"/>
              <w:spacing w:before="0" w:beforeAutospacing="0" w:after="0" w:afterAutospacing="0"/>
              <w:jc w:val="right"/>
              <w:rPr>
                <w:color w:val="000000"/>
                <w:sz w:val="20"/>
                <w:szCs w:val="20"/>
              </w:rPr>
            </w:pPr>
            <w:r>
              <w:rPr>
                <w:color w:val="000000"/>
                <w:sz w:val="20"/>
                <w:szCs w:val="20"/>
              </w:rPr>
              <w:t>23,300</w:t>
            </w:r>
          </w:p>
        </w:tc>
        <w:tc>
          <w:tcPr>
            <w:tcW w:w="50" w:type="pct"/>
            <w:shd w:val="clear" w:color="auto" w:fill="CFF0FC"/>
            <w:noWrap/>
            <w:tcMar>
              <w:top w:w="15" w:type="dxa"/>
              <w:left w:w="0" w:type="dxa"/>
              <w:bottom w:w="0" w:type="dxa"/>
              <w:right w:w="15" w:type="dxa"/>
            </w:tcMar>
            <w:vAlign w:val="bottom"/>
            <w:hideMark/>
          </w:tcPr>
          <w:p w14:paraId="4E6C527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CA51D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5C9D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D25C28F" w14:textId="77777777" w:rsidR="00000000" w:rsidRDefault="00B8284C">
            <w:pPr>
              <w:pStyle w:val="a3"/>
              <w:spacing w:before="0" w:beforeAutospacing="0" w:after="0" w:afterAutospacing="0"/>
              <w:jc w:val="right"/>
              <w:rPr>
                <w:color w:val="000000"/>
                <w:sz w:val="20"/>
                <w:szCs w:val="20"/>
              </w:rPr>
            </w:pPr>
            <w:r>
              <w:rPr>
                <w:color w:val="000000"/>
                <w:sz w:val="20"/>
                <w:szCs w:val="20"/>
              </w:rPr>
              <w:t>19,057</w:t>
            </w:r>
          </w:p>
        </w:tc>
        <w:tc>
          <w:tcPr>
            <w:tcW w:w="50" w:type="pct"/>
            <w:shd w:val="clear" w:color="auto" w:fill="CFF0FC"/>
            <w:noWrap/>
            <w:tcMar>
              <w:top w:w="15" w:type="dxa"/>
              <w:left w:w="0" w:type="dxa"/>
              <w:bottom w:w="0" w:type="dxa"/>
              <w:right w:w="15" w:type="dxa"/>
            </w:tcMar>
            <w:vAlign w:val="bottom"/>
            <w:hideMark/>
          </w:tcPr>
          <w:p w14:paraId="0CA5C50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E83CE7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959FC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41F4D43" w14:textId="77777777" w:rsidR="00000000" w:rsidRDefault="00B8284C">
            <w:pPr>
              <w:pStyle w:val="a3"/>
              <w:spacing w:before="0" w:beforeAutospacing="0" w:after="0" w:afterAutospacing="0"/>
              <w:jc w:val="right"/>
              <w:rPr>
                <w:color w:val="000000"/>
                <w:sz w:val="20"/>
                <w:szCs w:val="20"/>
              </w:rPr>
            </w:pPr>
            <w:r>
              <w:rPr>
                <w:color w:val="000000"/>
                <w:sz w:val="20"/>
                <w:szCs w:val="20"/>
              </w:rPr>
              <w:t>67,777</w:t>
            </w:r>
          </w:p>
        </w:tc>
        <w:tc>
          <w:tcPr>
            <w:tcW w:w="50" w:type="pct"/>
            <w:shd w:val="clear" w:color="auto" w:fill="CFF0FC"/>
            <w:noWrap/>
            <w:tcMar>
              <w:top w:w="15" w:type="dxa"/>
              <w:left w:w="0" w:type="dxa"/>
              <w:bottom w:w="0" w:type="dxa"/>
              <w:right w:w="15" w:type="dxa"/>
            </w:tcMar>
            <w:vAlign w:val="bottom"/>
            <w:hideMark/>
          </w:tcPr>
          <w:p w14:paraId="4FE3F7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799F1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7E55B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4F874AB" w14:textId="77777777" w:rsidR="00000000" w:rsidRDefault="00B8284C">
            <w:pPr>
              <w:pStyle w:val="a3"/>
              <w:spacing w:before="0" w:beforeAutospacing="0" w:after="0" w:afterAutospacing="0"/>
              <w:jc w:val="right"/>
              <w:rPr>
                <w:color w:val="000000"/>
                <w:sz w:val="20"/>
                <w:szCs w:val="20"/>
              </w:rPr>
            </w:pPr>
            <w:r>
              <w:rPr>
                <w:color w:val="000000"/>
                <w:sz w:val="20"/>
                <w:szCs w:val="20"/>
              </w:rPr>
              <w:t>54,309</w:t>
            </w:r>
          </w:p>
        </w:tc>
        <w:tc>
          <w:tcPr>
            <w:tcW w:w="50" w:type="pct"/>
            <w:shd w:val="clear" w:color="auto" w:fill="CFF0FC"/>
            <w:noWrap/>
            <w:tcMar>
              <w:top w:w="15" w:type="dxa"/>
              <w:left w:w="0" w:type="dxa"/>
              <w:bottom w:w="0" w:type="dxa"/>
              <w:right w:w="15" w:type="dxa"/>
            </w:tcMar>
            <w:vAlign w:val="bottom"/>
            <w:hideMark/>
          </w:tcPr>
          <w:p w14:paraId="2AA0ADC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CB26278" w14:textId="77777777">
        <w:trPr>
          <w:divId w:val="1776168437"/>
        </w:trPr>
        <w:tc>
          <w:tcPr>
            <w:tcW w:w="2517" w:type="pct"/>
            <w:shd w:val="clear" w:color="auto" w:fill="FFFFFF"/>
            <w:tcMar>
              <w:top w:w="15" w:type="dxa"/>
              <w:left w:w="0" w:type="dxa"/>
              <w:bottom w:w="0" w:type="dxa"/>
              <w:right w:w="15" w:type="dxa"/>
            </w:tcMar>
            <w:vAlign w:val="bottom"/>
            <w:hideMark/>
          </w:tcPr>
          <w:p w14:paraId="6F2277F3" w14:textId="77777777" w:rsidR="00000000" w:rsidRDefault="00B8284C">
            <w:pPr>
              <w:pStyle w:val="a3"/>
              <w:spacing w:before="0" w:beforeAutospacing="0" w:after="0" w:afterAutospacing="0"/>
              <w:ind w:left="547"/>
              <w:rPr>
                <w:color w:val="000000"/>
                <w:sz w:val="20"/>
                <w:szCs w:val="20"/>
              </w:rPr>
            </w:pPr>
            <w:r>
              <w:rPr>
                <w:color w:val="000000"/>
                <w:sz w:val="20"/>
                <w:szCs w:val="20"/>
              </w:rPr>
              <w:t>Total operating expenses</w:t>
            </w:r>
          </w:p>
        </w:tc>
        <w:tc>
          <w:tcPr>
            <w:tcW w:w="61" w:type="pct"/>
            <w:shd w:val="clear" w:color="auto" w:fill="FFFFFF"/>
            <w:tcMar>
              <w:top w:w="15" w:type="dxa"/>
              <w:left w:w="0" w:type="dxa"/>
              <w:bottom w:w="0" w:type="dxa"/>
              <w:right w:w="15" w:type="dxa"/>
            </w:tcMar>
            <w:vAlign w:val="bottom"/>
            <w:hideMark/>
          </w:tcPr>
          <w:p w14:paraId="18609C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54C17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78EDEE0" w14:textId="77777777" w:rsidR="00000000" w:rsidRDefault="00B8284C">
            <w:pPr>
              <w:pStyle w:val="a3"/>
              <w:spacing w:before="0" w:beforeAutospacing="0" w:after="0" w:afterAutospacing="0"/>
              <w:jc w:val="right"/>
              <w:rPr>
                <w:color w:val="000000"/>
                <w:sz w:val="20"/>
                <w:szCs w:val="20"/>
              </w:rPr>
            </w:pPr>
            <w:r>
              <w:rPr>
                <w:color w:val="000000"/>
                <w:sz w:val="20"/>
                <w:szCs w:val="20"/>
              </w:rPr>
              <w:t>154,430</w:t>
            </w:r>
          </w:p>
        </w:tc>
        <w:tc>
          <w:tcPr>
            <w:tcW w:w="50" w:type="pct"/>
            <w:shd w:val="clear" w:color="auto" w:fill="FFFFFF"/>
            <w:noWrap/>
            <w:tcMar>
              <w:top w:w="15" w:type="dxa"/>
              <w:left w:w="0" w:type="dxa"/>
              <w:bottom w:w="0" w:type="dxa"/>
              <w:right w:w="15" w:type="dxa"/>
            </w:tcMar>
            <w:vAlign w:val="bottom"/>
            <w:hideMark/>
          </w:tcPr>
          <w:p w14:paraId="4F091FC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C13E3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20DEA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F75103" w14:textId="77777777" w:rsidR="00000000" w:rsidRDefault="00B8284C">
            <w:pPr>
              <w:pStyle w:val="a3"/>
              <w:spacing w:before="0" w:beforeAutospacing="0" w:after="0" w:afterAutospacing="0"/>
              <w:jc w:val="right"/>
              <w:rPr>
                <w:color w:val="000000"/>
                <w:sz w:val="20"/>
                <w:szCs w:val="20"/>
              </w:rPr>
            </w:pPr>
            <w:r>
              <w:rPr>
                <w:color w:val="000000"/>
                <w:sz w:val="20"/>
                <w:szCs w:val="20"/>
              </w:rPr>
              <w:t>121,111</w:t>
            </w:r>
          </w:p>
        </w:tc>
        <w:tc>
          <w:tcPr>
            <w:tcW w:w="50" w:type="pct"/>
            <w:shd w:val="clear" w:color="auto" w:fill="FFFFFF"/>
            <w:noWrap/>
            <w:tcMar>
              <w:top w:w="15" w:type="dxa"/>
              <w:left w:w="0" w:type="dxa"/>
              <w:bottom w:w="0" w:type="dxa"/>
              <w:right w:w="15" w:type="dxa"/>
            </w:tcMar>
            <w:vAlign w:val="bottom"/>
            <w:hideMark/>
          </w:tcPr>
          <w:p w14:paraId="3CEBB33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945FCC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FF04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5F9AFF" w14:textId="77777777" w:rsidR="00000000" w:rsidRDefault="00B8284C">
            <w:pPr>
              <w:pStyle w:val="a3"/>
              <w:spacing w:before="0" w:beforeAutospacing="0" w:after="0" w:afterAutospacing="0"/>
              <w:jc w:val="right"/>
              <w:rPr>
                <w:color w:val="000000"/>
                <w:sz w:val="20"/>
                <w:szCs w:val="20"/>
              </w:rPr>
            </w:pPr>
            <w:r>
              <w:rPr>
                <w:color w:val="000000"/>
                <w:sz w:val="20"/>
                <w:szCs w:val="20"/>
              </w:rPr>
              <w:t>433,524</w:t>
            </w:r>
          </w:p>
        </w:tc>
        <w:tc>
          <w:tcPr>
            <w:tcW w:w="50" w:type="pct"/>
            <w:shd w:val="clear" w:color="auto" w:fill="FFFFFF"/>
            <w:noWrap/>
            <w:tcMar>
              <w:top w:w="15" w:type="dxa"/>
              <w:left w:w="0" w:type="dxa"/>
              <w:bottom w:w="0" w:type="dxa"/>
              <w:right w:w="15" w:type="dxa"/>
            </w:tcMar>
            <w:vAlign w:val="bottom"/>
            <w:hideMark/>
          </w:tcPr>
          <w:p w14:paraId="64CA24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9F258D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146E27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76A7EBE" w14:textId="77777777" w:rsidR="00000000" w:rsidRDefault="00B8284C">
            <w:pPr>
              <w:pStyle w:val="a3"/>
              <w:spacing w:before="0" w:beforeAutospacing="0" w:after="0" w:afterAutospacing="0"/>
              <w:jc w:val="right"/>
              <w:rPr>
                <w:color w:val="000000"/>
                <w:sz w:val="20"/>
                <w:szCs w:val="20"/>
              </w:rPr>
            </w:pPr>
            <w:r>
              <w:rPr>
                <w:color w:val="000000"/>
                <w:sz w:val="20"/>
                <w:szCs w:val="20"/>
              </w:rPr>
              <w:t>336,391</w:t>
            </w:r>
          </w:p>
        </w:tc>
        <w:tc>
          <w:tcPr>
            <w:tcW w:w="50" w:type="pct"/>
            <w:shd w:val="clear" w:color="auto" w:fill="FFFFFF"/>
            <w:noWrap/>
            <w:tcMar>
              <w:top w:w="15" w:type="dxa"/>
              <w:left w:w="0" w:type="dxa"/>
              <w:bottom w:w="0" w:type="dxa"/>
              <w:right w:w="15" w:type="dxa"/>
            </w:tcMar>
            <w:vAlign w:val="bottom"/>
            <w:hideMark/>
          </w:tcPr>
          <w:p w14:paraId="0B8D098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35B1BFB" w14:textId="77777777">
        <w:trPr>
          <w:divId w:val="1776168437"/>
        </w:trPr>
        <w:tc>
          <w:tcPr>
            <w:tcW w:w="2517" w:type="pct"/>
            <w:shd w:val="clear" w:color="auto" w:fill="CFF0FC"/>
            <w:tcMar>
              <w:top w:w="15" w:type="dxa"/>
              <w:left w:w="0" w:type="dxa"/>
              <w:bottom w:w="0" w:type="dxa"/>
              <w:right w:w="15" w:type="dxa"/>
            </w:tcMar>
            <w:vAlign w:val="bottom"/>
            <w:hideMark/>
          </w:tcPr>
          <w:p w14:paraId="22786FCF" w14:textId="77777777" w:rsidR="00000000" w:rsidRDefault="00B8284C">
            <w:pPr>
              <w:pStyle w:val="a3"/>
              <w:spacing w:before="0" w:beforeAutospacing="0" w:after="0" w:afterAutospacing="0"/>
              <w:rPr>
                <w:color w:val="000000"/>
                <w:sz w:val="20"/>
                <w:szCs w:val="20"/>
              </w:rPr>
            </w:pPr>
            <w:r>
              <w:rPr>
                <w:color w:val="000000"/>
                <w:sz w:val="20"/>
                <w:szCs w:val="20"/>
              </w:rPr>
              <w:t>Loss from operations</w:t>
            </w:r>
          </w:p>
        </w:tc>
        <w:tc>
          <w:tcPr>
            <w:tcW w:w="61" w:type="pct"/>
            <w:shd w:val="clear" w:color="auto" w:fill="CFF0FC"/>
            <w:tcMar>
              <w:top w:w="15" w:type="dxa"/>
              <w:left w:w="0" w:type="dxa"/>
              <w:bottom w:w="0" w:type="dxa"/>
              <w:right w:w="15" w:type="dxa"/>
            </w:tcMar>
            <w:vAlign w:val="bottom"/>
            <w:hideMark/>
          </w:tcPr>
          <w:p w14:paraId="0166265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6DA0F7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690B1C9" w14:textId="77777777" w:rsidR="00000000" w:rsidRDefault="00B8284C">
            <w:pPr>
              <w:pStyle w:val="a3"/>
              <w:spacing w:before="0" w:beforeAutospacing="0" w:after="0" w:afterAutospacing="0"/>
              <w:jc w:val="right"/>
              <w:rPr>
                <w:color w:val="000000"/>
                <w:sz w:val="20"/>
                <w:szCs w:val="20"/>
              </w:rPr>
            </w:pPr>
            <w:r>
              <w:rPr>
                <w:color w:val="000000"/>
                <w:sz w:val="20"/>
                <w:szCs w:val="20"/>
              </w:rPr>
              <w:t>(14,072</w:t>
            </w:r>
          </w:p>
        </w:tc>
        <w:tc>
          <w:tcPr>
            <w:tcW w:w="50" w:type="pct"/>
            <w:shd w:val="clear" w:color="auto" w:fill="CFF0FC"/>
            <w:noWrap/>
            <w:tcMar>
              <w:top w:w="15" w:type="dxa"/>
              <w:left w:w="0" w:type="dxa"/>
              <w:bottom w:w="0" w:type="dxa"/>
              <w:right w:w="15" w:type="dxa"/>
            </w:tcMar>
            <w:vAlign w:val="bottom"/>
            <w:hideMark/>
          </w:tcPr>
          <w:p w14:paraId="680131A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0D9BD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C48242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69EE226" w14:textId="77777777" w:rsidR="00000000" w:rsidRDefault="00B8284C">
            <w:pPr>
              <w:pStyle w:val="a3"/>
              <w:spacing w:before="0" w:beforeAutospacing="0" w:after="0" w:afterAutospacing="0"/>
              <w:jc w:val="right"/>
              <w:rPr>
                <w:color w:val="000000"/>
                <w:sz w:val="20"/>
                <w:szCs w:val="20"/>
              </w:rPr>
            </w:pPr>
            <w:r>
              <w:rPr>
                <w:color w:val="000000"/>
                <w:sz w:val="20"/>
                <w:szCs w:val="20"/>
              </w:rPr>
              <w:t>(15,050</w:t>
            </w:r>
          </w:p>
        </w:tc>
        <w:tc>
          <w:tcPr>
            <w:tcW w:w="50" w:type="pct"/>
            <w:shd w:val="clear" w:color="auto" w:fill="CFF0FC"/>
            <w:noWrap/>
            <w:tcMar>
              <w:top w:w="15" w:type="dxa"/>
              <w:left w:w="0" w:type="dxa"/>
              <w:bottom w:w="0" w:type="dxa"/>
              <w:right w:w="15" w:type="dxa"/>
            </w:tcMar>
            <w:vAlign w:val="bottom"/>
            <w:hideMark/>
          </w:tcPr>
          <w:p w14:paraId="5856B5A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184A0F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1EF1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6116B37" w14:textId="77777777" w:rsidR="00000000" w:rsidRDefault="00B8284C">
            <w:pPr>
              <w:pStyle w:val="a3"/>
              <w:spacing w:before="0" w:beforeAutospacing="0" w:after="0" w:afterAutospacing="0"/>
              <w:jc w:val="right"/>
              <w:rPr>
                <w:color w:val="000000"/>
                <w:sz w:val="20"/>
                <w:szCs w:val="20"/>
              </w:rPr>
            </w:pPr>
            <w:r>
              <w:rPr>
                <w:color w:val="000000"/>
                <w:sz w:val="20"/>
                <w:szCs w:val="20"/>
              </w:rPr>
              <w:t>(38,833</w:t>
            </w:r>
          </w:p>
        </w:tc>
        <w:tc>
          <w:tcPr>
            <w:tcW w:w="50" w:type="pct"/>
            <w:shd w:val="clear" w:color="auto" w:fill="CFF0FC"/>
            <w:noWrap/>
            <w:tcMar>
              <w:top w:w="15" w:type="dxa"/>
              <w:left w:w="0" w:type="dxa"/>
              <w:bottom w:w="0" w:type="dxa"/>
              <w:right w:w="15" w:type="dxa"/>
            </w:tcMar>
            <w:vAlign w:val="bottom"/>
            <w:hideMark/>
          </w:tcPr>
          <w:p w14:paraId="254AF65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7DA68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0F0E66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4C43C7C" w14:textId="77777777" w:rsidR="00000000" w:rsidRDefault="00B8284C">
            <w:pPr>
              <w:pStyle w:val="a3"/>
              <w:spacing w:before="0" w:beforeAutospacing="0" w:after="0" w:afterAutospacing="0"/>
              <w:jc w:val="right"/>
              <w:rPr>
                <w:color w:val="000000"/>
                <w:sz w:val="20"/>
                <w:szCs w:val="20"/>
              </w:rPr>
            </w:pPr>
            <w:r>
              <w:rPr>
                <w:color w:val="000000"/>
                <w:sz w:val="20"/>
                <w:szCs w:val="20"/>
              </w:rPr>
              <w:t>(40,426</w:t>
            </w:r>
          </w:p>
        </w:tc>
        <w:tc>
          <w:tcPr>
            <w:tcW w:w="50" w:type="pct"/>
            <w:shd w:val="clear" w:color="auto" w:fill="CFF0FC"/>
            <w:noWrap/>
            <w:tcMar>
              <w:top w:w="15" w:type="dxa"/>
              <w:left w:w="0" w:type="dxa"/>
              <w:bottom w:w="0" w:type="dxa"/>
              <w:right w:w="15" w:type="dxa"/>
            </w:tcMar>
            <w:vAlign w:val="bottom"/>
            <w:hideMark/>
          </w:tcPr>
          <w:p w14:paraId="075141EF"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0FAFD29A" w14:textId="77777777">
        <w:trPr>
          <w:divId w:val="1776168437"/>
        </w:trPr>
        <w:tc>
          <w:tcPr>
            <w:tcW w:w="2517" w:type="pct"/>
            <w:shd w:val="clear" w:color="auto" w:fill="FFFFFF"/>
            <w:tcMar>
              <w:top w:w="15" w:type="dxa"/>
              <w:left w:w="0" w:type="dxa"/>
              <w:bottom w:w="0" w:type="dxa"/>
              <w:right w:w="15" w:type="dxa"/>
            </w:tcMar>
            <w:vAlign w:val="bottom"/>
            <w:hideMark/>
          </w:tcPr>
          <w:p w14:paraId="694D41D3" w14:textId="77777777" w:rsidR="00000000" w:rsidRDefault="00B8284C">
            <w:pPr>
              <w:pStyle w:val="a3"/>
              <w:spacing w:before="0" w:beforeAutospacing="0" w:after="0" w:afterAutospacing="0"/>
              <w:rPr>
                <w:color w:val="000000"/>
                <w:sz w:val="20"/>
                <w:szCs w:val="20"/>
              </w:rPr>
            </w:pPr>
            <w:r>
              <w:rPr>
                <w:color w:val="000000"/>
                <w:sz w:val="20"/>
                <w:szCs w:val="20"/>
              </w:rPr>
              <w:t>Other expense:</w:t>
            </w:r>
          </w:p>
        </w:tc>
        <w:tc>
          <w:tcPr>
            <w:tcW w:w="61" w:type="pct"/>
            <w:shd w:val="clear" w:color="auto" w:fill="FFFFFF"/>
            <w:tcMar>
              <w:top w:w="15" w:type="dxa"/>
              <w:left w:w="0" w:type="dxa"/>
              <w:bottom w:w="0" w:type="dxa"/>
              <w:right w:w="15" w:type="dxa"/>
            </w:tcMar>
            <w:vAlign w:val="bottom"/>
            <w:hideMark/>
          </w:tcPr>
          <w:p w14:paraId="53E32D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D45CBB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09A4BE5E"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27C6F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1078D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9D7B62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6374F23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7C998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F1A5AF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1213CF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632C3A8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CE175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76378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E144EF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5C25B40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78D5D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70AD815" w14:textId="77777777">
        <w:trPr>
          <w:divId w:val="1776168437"/>
        </w:trPr>
        <w:tc>
          <w:tcPr>
            <w:tcW w:w="2517" w:type="pct"/>
            <w:shd w:val="clear" w:color="auto" w:fill="CFF0FC"/>
            <w:tcMar>
              <w:top w:w="15" w:type="dxa"/>
              <w:left w:w="0" w:type="dxa"/>
              <w:bottom w:w="0" w:type="dxa"/>
              <w:right w:w="15" w:type="dxa"/>
            </w:tcMar>
            <w:vAlign w:val="bottom"/>
            <w:hideMark/>
          </w:tcPr>
          <w:p w14:paraId="672F1457" w14:textId="77777777" w:rsidR="00000000" w:rsidRDefault="00B8284C">
            <w:pPr>
              <w:pStyle w:val="a3"/>
              <w:spacing w:before="0" w:beforeAutospacing="0" w:after="0" w:afterAutospacing="0"/>
              <w:ind w:left="274"/>
              <w:rPr>
                <w:color w:val="000000"/>
                <w:sz w:val="20"/>
                <w:szCs w:val="20"/>
              </w:rPr>
            </w:pPr>
            <w:r>
              <w:rPr>
                <w:color w:val="000000"/>
                <w:sz w:val="20"/>
                <w:szCs w:val="20"/>
              </w:rPr>
              <w:t>Interest income</w:t>
            </w:r>
          </w:p>
        </w:tc>
        <w:tc>
          <w:tcPr>
            <w:tcW w:w="61" w:type="pct"/>
            <w:shd w:val="clear" w:color="auto" w:fill="CFF0FC"/>
            <w:tcMar>
              <w:top w:w="15" w:type="dxa"/>
              <w:left w:w="0" w:type="dxa"/>
              <w:bottom w:w="0" w:type="dxa"/>
              <w:right w:w="15" w:type="dxa"/>
            </w:tcMar>
            <w:vAlign w:val="bottom"/>
            <w:hideMark/>
          </w:tcPr>
          <w:p w14:paraId="142C48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F418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C592A9F" w14:textId="77777777" w:rsidR="00000000" w:rsidRDefault="00B8284C">
            <w:pPr>
              <w:pStyle w:val="a3"/>
              <w:spacing w:before="0" w:beforeAutospacing="0" w:after="0" w:afterAutospacing="0"/>
              <w:jc w:val="right"/>
              <w:rPr>
                <w:color w:val="000000"/>
                <w:sz w:val="20"/>
                <w:szCs w:val="20"/>
              </w:rPr>
            </w:pPr>
            <w:r>
              <w:rPr>
                <w:color w:val="000000"/>
                <w:sz w:val="20"/>
                <w:szCs w:val="20"/>
              </w:rPr>
              <w:t>5,185</w:t>
            </w:r>
          </w:p>
        </w:tc>
        <w:tc>
          <w:tcPr>
            <w:tcW w:w="50" w:type="pct"/>
            <w:shd w:val="clear" w:color="auto" w:fill="CFF0FC"/>
            <w:noWrap/>
            <w:tcMar>
              <w:top w:w="15" w:type="dxa"/>
              <w:left w:w="0" w:type="dxa"/>
              <w:bottom w:w="0" w:type="dxa"/>
              <w:right w:w="15" w:type="dxa"/>
            </w:tcMar>
            <w:vAlign w:val="bottom"/>
            <w:hideMark/>
          </w:tcPr>
          <w:p w14:paraId="53C4CB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FB6AE5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E4ADE1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9376282" w14:textId="77777777" w:rsidR="00000000" w:rsidRDefault="00B8284C">
            <w:pPr>
              <w:pStyle w:val="a3"/>
              <w:spacing w:before="0" w:beforeAutospacing="0" w:after="0" w:afterAutospacing="0"/>
              <w:jc w:val="right"/>
              <w:rPr>
                <w:color w:val="000000"/>
                <w:sz w:val="20"/>
                <w:szCs w:val="20"/>
              </w:rPr>
            </w:pPr>
            <w:r>
              <w:rPr>
                <w:color w:val="000000"/>
                <w:sz w:val="20"/>
                <w:szCs w:val="20"/>
              </w:rPr>
              <w:t>2,416</w:t>
            </w:r>
          </w:p>
        </w:tc>
        <w:tc>
          <w:tcPr>
            <w:tcW w:w="50" w:type="pct"/>
            <w:shd w:val="clear" w:color="auto" w:fill="CFF0FC"/>
            <w:noWrap/>
            <w:tcMar>
              <w:top w:w="15" w:type="dxa"/>
              <w:left w:w="0" w:type="dxa"/>
              <w:bottom w:w="0" w:type="dxa"/>
              <w:right w:w="15" w:type="dxa"/>
            </w:tcMar>
            <w:vAlign w:val="bottom"/>
            <w:hideMark/>
          </w:tcPr>
          <w:p w14:paraId="5CCB17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663AA4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89866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EF5A788" w14:textId="77777777" w:rsidR="00000000" w:rsidRDefault="00B8284C">
            <w:pPr>
              <w:pStyle w:val="a3"/>
              <w:spacing w:before="0" w:beforeAutospacing="0" w:after="0" w:afterAutospacing="0"/>
              <w:jc w:val="right"/>
              <w:rPr>
                <w:color w:val="000000"/>
                <w:sz w:val="20"/>
                <w:szCs w:val="20"/>
              </w:rPr>
            </w:pPr>
            <w:r>
              <w:rPr>
                <w:color w:val="000000"/>
                <w:sz w:val="20"/>
                <w:szCs w:val="20"/>
              </w:rPr>
              <w:t>14,783</w:t>
            </w:r>
          </w:p>
        </w:tc>
        <w:tc>
          <w:tcPr>
            <w:tcW w:w="50" w:type="pct"/>
            <w:shd w:val="clear" w:color="auto" w:fill="CFF0FC"/>
            <w:noWrap/>
            <w:tcMar>
              <w:top w:w="15" w:type="dxa"/>
              <w:left w:w="0" w:type="dxa"/>
              <w:bottom w:w="0" w:type="dxa"/>
              <w:right w:w="15" w:type="dxa"/>
            </w:tcMar>
            <w:vAlign w:val="bottom"/>
            <w:hideMark/>
          </w:tcPr>
          <w:p w14:paraId="3128FA4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C154E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6507E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6EC6CC0" w14:textId="77777777" w:rsidR="00000000" w:rsidRDefault="00B8284C">
            <w:pPr>
              <w:pStyle w:val="a3"/>
              <w:spacing w:before="0" w:beforeAutospacing="0" w:after="0" w:afterAutospacing="0"/>
              <w:jc w:val="right"/>
              <w:rPr>
                <w:color w:val="000000"/>
                <w:sz w:val="20"/>
                <w:szCs w:val="20"/>
              </w:rPr>
            </w:pPr>
            <w:r>
              <w:rPr>
                <w:color w:val="000000"/>
                <w:sz w:val="20"/>
                <w:szCs w:val="20"/>
              </w:rPr>
              <w:t>6,332</w:t>
            </w:r>
          </w:p>
        </w:tc>
        <w:tc>
          <w:tcPr>
            <w:tcW w:w="50" w:type="pct"/>
            <w:shd w:val="clear" w:color="auto" w:fill="CFF0FC"/>
            <w:noWrap/>
            <w:tcMar>
              <w:top w:w="15" w:type="dxa"/>
              <w:left w:w="0" w:type="dxa"/>
              <w:bottom w:w="0" w:type="dxa"/>
              <w:right w:w="15" w:type="dxa"/>
            </w:tcMar>
            <w:vAlign w:val="bottom"/>
            <w:hideMark/>
          </w:tcPr>
          <w:p w14:paraId="7714E10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27D07F1" w14:textId="77777777">
        <w:trPr>
          <w:divId w:val="1776168437"/>
        </w:trPr>
        <w:tc>
          <w:tcPr>
            <w:tcW w:w="2517" w:type="pct"/>
            <w:shd w:val="clear" w:color="auto" w:fill="FFFFFF"/>
            <w:tcMar>
              <w:top w:w="15" w:type="dxa"/>
              <w:left w:w="0" w:type="dxa"/>
              <w:bottom w:w="0" w:type="dxa"/>
              <w:right w:w="15" w:type="dxa"/>
            </w:tcMar>
            <w:vAlign w:val="bottom"/>
            <w:hideMark/>
          </w:tcPr>
          <w:p w14:paraId="7610A386" w14:textId="77777777" w:rsidR="00000000" w:rsidRDefault="00B8284C">
            <w:pPr>
              <w:pStyle w:val="a3"/>
              <w:spacing w:before="0" w:beforeAutospacing="0" w:after="0" w:afterAutospacing="0"/>
              <w:ind w:left="274"/>
              <w:rPr>
                <w:color w:val="000000"/>
                <w:sz w:val="20"/>
                <w:szCs w:val="20"/>
              </w:rPr>
            </w:pPr>
            <w:r>
              <w:rPr>
                <w:color w:val="000000"/>
                <w:sz w:val="20"/>
                <w:szCs w:val="20"/>
              </w:rPr>
              <w:t>Interest expense</w:t>
            </w:r>
          </w:p>
        </w:tc>
        <w:tc>
          <w:tcPr>
            <w:tcW w:w="61" w:type="pct"/>
            <w:shd w:val="clear" w:color="auto" w:fill="FFFFFF"/>
            <w:tcMar>
              <w:top w:w="15" w:type="dxa"/>
              <w:left w:w="0" w:type="dxa"/>
              <w:bottom w:w="0" w:type="dxa"/>
              <w:right w:w="15" w:type="dxa"/>
            </w:tcMar>
            <w:vAlign w:val="bottom"/>
            <w:hideMark/>
          </w:tcPr>
          <w:p w14:paraId="775E3C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3C09B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B4ED202" w14:textId="77777777" w:rsidR="00000000" w:rsidRDefault="00B8284C">
            <w:pPr>
              <w:pStyle w:val="a3"/>
              <w:spacing w:before="0" w:beforeAutospacing="0" w:after="0" w:afterAutospacing="0"/>
              <w:jc w:val="right"/>
              <w:rPr>
                <w:color w:val="000000"/>
                <w:sz w:val="20"/>
                <w:szCs w:val="20"/>
              </w:rPr>
            </w:pPr>
            <w:r>
              <w:rPr>
                <w:color w:val="000000"/>
                <w:sz w:val="20"/>
                <w:szCs w:val="20"/>
              </w:rPr>
              <w:t>(5,760</w:t>
            </w:r>
          </w:p>
        </w:tc>
        <w:tc>
          <w:tcPr>
            <w:tcW w:w="50" w:type="pct"/>
            <w:shd w:val="clear" w:color="auto" w:fill="FFFFFF"/>
            <w:noWrap/>
            <w:tcMar>
              <w:top w:w="15" w:type="dxa"/>
              <w:left w:w="0" w:type="dxa"/>
              <w:bottom w:w="0" w:type="dxa"/>
              <w:right w:w="15" w:type="dxa"/>
            </w:tcMar>
            <w:vAlign w:val="bottom"/>
            <w:hideMark/>
          </w:tcPr>
          <w:p w14:paraId="39DB66A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0FECD6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1B622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7915BAB" w14:textId="77777777" w:rsidR="00000000" w:rsidRDefault="00B8284C">
            <w:pPr>
              <w:pStyle w:val="a3"/>
              <w:spacing w:before="0" w:beforeAutospacing="0" w:after="0" w:afterAutospacing="0"/>
              <w:jc w:val="right"/>
              <w:rPr>
                <w:color w:val="000000"/>
                <w:sz w:val="20"/>
                <w:szCs w:val="20"/>
              </w:rPr>
            </w:pPr>
            <w:r>
              <w:rPr>
                <w:color w:val="000000"/>
                <w:sz w:val="20"/>
                <w:szCs w:val="20"/>
              </w:rPr>
              <w:t>(5,393</w:t>
            </w:r>
          </w:p>
        </w:tc>
        <w:tc>
          <w:tcPr>
            <w:tcW w:w="50" w:type="pct"/>
            <w:shd w:val="clear" w:color="auto" w:fill="FFFFFF"/>
            <w:noWrap/>
            <w:tcMar>
              <w:top w:w="15" w:type="dxa"/>
              <w:left w:w="0" w:type="dxa"/>
              <w:bottom w:w="0" w:type="dxa"/>
              <w:right w:w="15" w:type="dxa"/>
            </w:tcMar>
            <w:vAlign w:val="bottom"/>
            <w:hideMark/>
          </w:tcPr>
          <w:p w14:paraId="2E767F5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301279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58C20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E17FE74" w14:textId="77777777" w:rsidR="00000000" w:rsidRDefault="00B8284C">
            <w:pPr>
              <w:pStyle w:val="a3"/>
              <w:spacing w:before="0" w:beforeAutospacing="0" w:after="0" w:afterAutospacing="0"/>
              <w:jc w:val="right"/>
              <w:rPr>
                <w:color w:val="000000"/>
                <w:sz w:val="20"/>
                <w:szCs w:val="20"/>
              </w:rPr>
            </w:pPr>
            <w:r>
              <w:rPr>
                <w:color w:val="000000"/>
                <w:sz w:val="20"/>
                <w:szCs w:val="20"/>
              </w:rPr>
              <w:t>(16,946</w:t>
            </w:r>
          </w:p>
        </w:tc>
        <w:tc>
          <w:tcPr>
            <w:tcW w:w="50" w:type="pct"/>
            <w:shd w:val="clear" w:color="auto" w:fill="FFFFFF"/>
            <w:noWrap/>
            <w:tcMar>
              <w:top w:w="15" w:type="dxa"/>
              <w:left w:w="0" w:type="dxa"/>
              <w:bottom w:w="0" w:type="dxa"/>
              <w:right w:w="15" w:type="dxa"/>
            </w:tcMar>
            <w:vAlign w:val="bottom"/>
            <w:hideMark/>
          </w:tcPr>
          <w:p w14:paraId="19896A4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7BFF4B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1C34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716DD6E" w14:textId="77777777" w:rsidR="00000000" w:rsidRDefault="00B8284C">
            <w:pPr>
              <w:pStyle w:val="a3"/>
              <w:spacing w:before="0" w:beforeAutospacing="0" w:after="0" w:afterAutospacing="0"/>
              <w:jc w:val="right"/>
              <w:rPr>
                <w:color w:val="000000"/>
                <w:sz w:val="20"/>
                <w:szCs w:val="20"/>
              </w:rPr>
            </w:pPr>
            <w:r>
              <w:rPr>
                <w:color w:val="000000"/>
                <w:sz w:val="20"/>
                <w:szCs w:val="20"/>
              </w:rPr>
              <w:t>(15,893</w:t>
            </w:r>
          </w:p>
        </w:tc>
        <w:tc>
          <w:tcPr>
            <w:tcW w:w="50" w:type="pct"/>
            <w:shd w:val="clear" w:color="auto" w:fill="FFFFFF"/>
            <w:noWrap/>
            <w:tcMar>
              <w:top w:w="15" w:type="dxa"/>
              <w:left w:w="0" w:type="dxa"/>
              <w:bottom w:w="0" w:type="dxa"/>
              <w:right w:w="15" w:type="dxa"/>
            </w:tcMar>
            <w:vAlign w:val="bottom"/>
            <w:hideMark/>
          </w:tcPr>
          <w:p w14:paraId="63399103"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747352A8" w14:textId="77777777">
        <w:trPr>
          <w:divId w:val="1776168437"/>
        </w:trPr>
        <w:tc>
          <w:tcPr>
            <w:tcW w:w="2517" w:type="pct"/>
            <w:shd w:val="clear" w:color="auto" w:fill="CFF0FC"/>
            <w:tcMar>
              <w:top w:w="15" w:type="dxa"/>
              <w:left w:w="0" w:type="dxa"/>
              <w:bottom w:w="0" w:type="dxa"/>
              <w:right w:w="15" w:type="dxa"/>
            </w:tcMar>
            <w:vAlign w:val="bottom"/>
            <w:hideMark/>
          </w:tcPr>
          <w:p w14:paraId="01A678F4" w14:textId="77777777" w:rsidR="00000000" w:rsidRDefault="00B8284C">
            <w:pPr>
              <w:pStyle w:val="a3"/>
              <w:spacing w:before="0" w:beforeAutospacing="0" w:after="0" w:afterAutospacing="0"/>
              <w:ind w:left="274"/>
              <w:rPr>
                <w:color w:val="000000"/>
                <w:sz w:val="20"/>
                <w:szCs w:val="20"/>
              </w:rPr>
            </w:pPr>
            <w:r>
              <w:rPr>
                <w:color w:val="000000"/>
                <w:sz w:val="20"/>
                <w:szCs w:val="20"/>
              </w:rPr>
              <w:t>Other expense</w:t>
            </w:r>
          </w:p>
        </w:tc>
        <w:tc>
          <w:tcPr>
            <w:tcW w:w="61" w:type="pct"/>
            <w:shd w:val="clear" w:color="auto" w:fill="CFF0FC"/>
            <w:tcMar>
              <w:top w:w="15" w:type="dxa"/>
              <w:left w:w="0" w:type="dxa"/>
              <w:bottom w:w="0" w:type="dxa"/>
              <w:right w:w="15" w:type="dxa"/>
            </w:tcMar>
            <w:vAlign w:val="bottom"/>
            <w:hideMark/>
          </w:tcPr>
          <w:p w14:paraId="6A7AD8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5C8A32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D287977" w14:textId="77777777" w:rsidR="00000000" w:rsidRDefault="00B8284C">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14:paraId="14C8CA1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5FC76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1661F5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5CC2AAF" w14:textId="77777777" w:rsidR="00000000" w:rsidRDefault="00B8284C">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14:paraId="348E67B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62CF5B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5DAAC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110920A" w14:textId="77777777" w:rsidR="00000000" w:rsidRDefault="00B8284C">
            <w:pPr>
              <w:pStyle w:val="a3"/>
              <w:spacing w:before="0" w:beforeAutospacing="0" w:after="0" w:afterAutospacing="0"/>
              <w:jc w:val="right"/>
              <w:rPr>
                <w:color w:val="000000"/>
                <w:sz w:val="20"/>
                <w:szCs w:val="20"/>
              </w:rPr>
            </w:pPr>
            <w:r>
              <w:rPr>
                <w:color w:val="000000"/>
                <w:sz w:val="20"/>
                <w:szCs w:val="20"/>
              </w:rPr>
              <w:t>(773</w:t>
            </w:r>
          </w:p>
        </w:tc>
        <w:tc>
          <w:tcPr>
            <w:tcW w:w="50" w:type="pct"/>
            <w:shd w:val="clear" w:color="auto" w:fill="CFF0FC"/>
            <w:noWrap/>
            <w:tcMar>
              <w:top w:w="15" w:type="dxa"/>
              <w:left w:w="0" w:type="dxa"/>
              <w:bottom w:w="0" w:type="dxa"/>
              <w:right w:w="15" w:type="dxa"/>
            </w:tcMar>
            <w:vAlign w:val="bottom"/>
            <w:hideMark/>
          </w:tcPr>
          <w:p w14:paraId="73BF467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BFF7CA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35EF3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CBC0272" w14:textId="77777777" w:rsidR="00000000" w:rsidRDefault="00B8284C">
            <w:pPr>
              <w:pStyle w:val="a3"/>
              <w:spacing w:before="0" w:beforeAutospacing="0" w:after="0" w:afterAutospacing="0"/>
              <w:jc w:val="right"/>
              <w:rPr>
                <w:color w:val="000000"/>
                <w:sz w:val="20"/>
                <w:szCs w:val="20"/>
              </w:rPr>
            </w:pPr>
            <w:r>
              <w:rPr>
                <w:color w:val="000000"/>
                <w:sz w:val="20"/>
                <w:szCs w:val="20"/>
              </w:rPr>
              <w:t>(1,087</w:t>
            </w:r>
          </w:p>
        </w:tc>
        <w:tc>
          <w:tcPr>
            <w:tcW w:w="50" w:type="pct"/>
            <w:shd w:val="clear" w:color="auto" w:fill="CFF0FC"/>
            <w:noWrap/>
            <w:tcMar>
              <w:top w:w="15" w:type="dxa"/>
              <w:left w:w="0" w:type="dxa"/>
              <w:bottom w:w="0" w:type="dxa"/>
              <w:right w:w="15" w:type="dxa"/>
            </w:tcMar>
            <w:vAlign w:val="bottom"/>
            <w:hideMark/>
          </w:tcPr>
          <w:p w14:paraId="63B6BCBC"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6B6745F0" w14:textId="77777777">
        <w:trPr>
          <w:divId w:val="1776168437"/>
        </w:trPr>
        <w:tc>
          <w:tcPr>
            <w:tcW w:w="2517" w:type="pct"/>
            <w:shd w:val="clear" w:color="auto" w:fill="FFFFFF"/>
            <w:tcMar>
              <w:top w:w="15" w:type="dxa"/>
              <w:left w:w="0" w:type="dxa"/>
              <w:bottom w:w="0" w:type="dxa"/>
              <w:right w:w="15" w:type="dxa"/>
            </w:tcMar>
            <w:vAlign w:val="bottom"/>
            <w:hideMark/>
          </w:tcPr>
          <w:p w14:paraId="0736F97C" w14:textId="77777777" w:rsidR="00000000" w:rsidRDefault="00B8284C">
            <w:pPr>
              <w:pStyle w:val="a3"/>
              <w:spacing w:before="0" w:beforeAutospacing="0" w:after="0" w:afterAutospacing="0"/>
              <w:ind w:left="547"/>
              <w:rPr>
                <w:color w:val="000000"/>
                <w:sz w:val="20"/>
                <w:szCs w:val="20"/>
              </w:rPr>
            </w:pPr>
            <w:r>
              <w:rPr>
                <w:color w:val="000000"/>
                <w:sz w:val="20"/>
                <w:szCs w:val="20"/>
              </w:rPr>
              <w:t>Total other expense</w:t>
            </w:r>
          </w:p>
        </w:tc>
        <w:tc>
          <w:tcPr>
            <w:tcW w:w="61" w:type="pct"/>
            <w:shd w:val="clear" w:color="auto" w:fill="FFFFFF"/>
            <w:tcMar>
              <w:top w:w="15" w:type="dxa"/>
              <w:left w:w="0" w:type="dxa"/>
              <w:bottom w:w="0" w:type="dxa"/>
              <w:right w:w="15" w:type="dxa"/>
            </w:tcMar>
            <w:vAlign w:val="bottom"/>
            <w:hideMark/>
          </w:tcPr>
          <w:p w14:paraId="630DC6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28B3F9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12BFBF" w14:textId="77777777" w:rsidR="00000000" w:rsidRDefault="00B8284C">
            <w:pPr>
              <w:pStyle w:val="a3"/>
              <w:spacing w:before="0" w:beforeAutospacing="0" w:after="0" w:afterAutospacing="0"/>
              <w:jc w:val="right"/>
              <w:rPr>
                <w:color w:val="000000"/>
                <w:sz w:val="20"/>
                <w:szCs w:val="20"/>
              </w:rPr>
            </w:pPr>
            <w:r>
              <w:rPr>
                <w:color w:val="000000"/>
                <w:sz w:val="20"/>
                <w:szCs w:val="20"/>
              </w:rPr>
              <w:t>(664</w:t>
            </w:r>
          </w:p>
        </w:tc>
        <w:tc>
          <w:tcPr>
            <w:tcW w:w="50" w:type="pct"/>
            <w:shd w:val="clear" w:color="auto" w:fill="FFFFFF"/>
            <w:noWrap/>
            <w:tcMar>
              <w:top w:w="15" w:type="dxa"/>
              <w:left w:w="0" w:type="dxa"/>
              <w:bottom w:w="0" w:type="dxa"/>
              <w:right w:w="15" w:type="dxa"/>
            </w:tcMar>
            <w:vAlign w:val="bottom"/>
            <w:hideMark/>
          </w:tcPr>
          <w:p w14:paraId="1152D7F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23396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012B4A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8A8FD2C" w14:textId="77777777" w:rsidR="00000000" w:rsidRDefault="00B8284C">
            <w:pPr>
              <w:pStyle w:val="a3"/>
              <w:spacing w:before="0" w:beforeAutospacing="0" w:after="0" w:afterAutospacing="0"/>
              <w:jc w:val="right"/>
              <w:rPr>
                <w:color w:val="000000"/>
                <w:sz w:val="20"/>
                <w:szCs w:val="20"/>
              </w:rPr>
            </w:pPr>
            <w:r>
              <w:rPr>
                <w:color w:val="000000"/>
                <w:sz w:val="20"/>
                <w:szCs w:val="20"/>
              </w:rPr>
              <w:t>(3,254</w:t>
            </w:r>
          </w:p>
        </w:tc>
        <w:tc>
          <w:tcPr>
            <w:tcW w:w="50" w:type="pct"/>
            <w:shd w:val="clear" w:color="auto" w:fill="FFFFFF"/>
            <w:noWrap/>
            <w:tcMar>
              <w:top w:w="15" w:type="dxa"/>
              <w:left w:w="0" w:type="dxa"/>
              <w:bottom w:w="0" w:type="dxa"/>
              <w:right w:w="15" w:type="dxa"/>
            </w:tcMar>
            <w:vAlign w:val="bottom"/>
            <w:hideMark/>
          </w:tcPr>
          <w:p w14:paraId="36057C0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B7396A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C6809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43EBA5" w14:textId="77777777" w:rsidR="00000000" w:rsidRDefault="00B8284C">
            <w:pPr>
              <w:pStyle w:val="a3"/>
              <w:spacing w:before="0" w:beforeAutospacing="0" w:after="0" w:afterAutospacing="0"/>
              <w:jc w:val="right"/>
              <w:rPr>
                <w:color w:val="000000"/>
                <w:sz w:val="20"/>
                <w:szCs w:val="20"/>
              </w:rPr>
            </w:pPr>
            <w:r>
              <w:rPr>
                <w:color w:val="000000"/>
                <w:sz w:val="20"/>
                <w:szCs w:val="20"/>
              </w:rPr>
              <w:t>(2,936</w:t>
            </w:r>
          </w:p>
        </w:tc>
        <w:tc>
          <w:tcPr>
            <w:tcW w:w="50" w:type="pct"/>
            <w:shd w:val="clear" w:color="auto" w:fill="FFFFFF"/>
            <w:noWrap/>
            <w:tcMar>
              <w:top w:w="15" w:type="dxa"/>
              <w:left w:w="0" w:type="dxa"/>
              <w:bottom w:w="0" w:type="dxa"/>
              <w:right w:w="15" w:type="dxa"/>
            </w:tcMar>
            <w:vAlign w:val="bottom"/>
            <w:hideMark/>
          </w:tcPr>
          <w:p w14:paraId="3EB40F6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CBFC30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A8B60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A5B50DA" w14:textId="77777777" w:rsidR="00000000" w:rsidRDefault="00B8284C">
            <w:pPr>
              <w:pStyle w:val="a3"/>
              <w:spacing w:before="0" w:beforeAutospacing="0" w:after="0" w:afterAutospacing="0"/>
              <w:jc w:val="right"/>
              <w:rPr>
                <w:color w:val="000000"/>
                <w:sz w:val="20"/>
                <w:szCs w:val="20"/>
              </w:rPr>
            </w:pPr>
            <w:r>
              <w:rPr>
                <w:color w:val="000000"/>
                <w:sz w:val="20"/>
                <w:szCs w:val="20"/>
              </w:rPr>
              <w:t>(10,648</w:t>
            </w:r>
          </w:p>
        </w:tc>
        <w:tc>
          <w:tcPr>
            <w:tcW w:w="50" w:type="pct"/>
            <w:shd w:val="clear" w:color="auto" w:fill="FFFFFF"/>
            <w:noWrap/>
            <w:tcMar>
              <w:top w:w="15" w:type="dxa"/>
              <w:left w:w="0" w:type="dxa"/>
              <w:bottom w:w="0" w:type="dxa"/>
              <w:right w:w="15" w:type="dxa"/>
            </w:tcMar>
            <w:vAlign w:val="bottom"/>
            <w:hideMark/>
          </w:tcPr>
          <w:p w14:paraId="1C39AB24"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461999A9" w14:textId="77777777">
        <w:trPr>
          <w:divId w:val="1776168437"/>
        </w:trPr>
        <w:tc>
          <w:tcPr>
            <w:tcW w:w="2517" w:type="pct"/>
            <w:shd w:val="clear" w:color="auto" w:fill="CFF0FC"/>
            <w:tcMar>
              <w:top w:w="15" w:type="dxa"/>
              <w:left w:w="0" w:type="dxa"/>
              <w:bottom w:w="0" w:type="dxa"/>
              <w:right w:w="15" w:type="dxa"/>
            </w:tcMar>
            <w:vAlign w:val="bottom"/>
            <w:hideMark/>
          </w:tcPr>
          <w:p w14:paraId="73F2FB6D" w14:textId="77777777" w:rsidR="00000000" w:rsidRDefault="00B8284C">
            <w:pPr>
              <w:pStyle w:val="a3"/>
              <w:spacing w:before="0" w:beforeAutospacing="0" w:after="0" w:afterAutospacing="0"/>
              <w:rPr>
                <w:color w:val="000000"/>
                <w:sz w:val="20"/>
                <w:szCs w:val="20"/>
              </w:rPr>
            </w:pPr>
            <w:r>
              <w:rPr>
                <w:color w:val="000000"/>
                <w:sz w:val="20"/>
                <w:szCs w:val="20"/>
              </w:rPr>
              <w:t>Loss before income tax expense</w:t>
            </w:r>
          </w:p>
        </w:tc>
        <w:tc>
          <w:tcPr>
            <w:tcW w:w="61" w:type="pct"/>
            <w:shd w:val="clear" w:color="auto" w:fill="CFF0FC"/>
            <w:tcMar>
              <w:top w:w="15" w:type="dxa"/>
              <w:left w:w="0" w:type="dxa"/>
              <w:bottom w:w="0" w:type="dxa"/>
              <w:right w:w="15" w:type="dxa"/>
            </w:tcMar>
            <w:vAlign w:val="bottom"/>
            <w:hideMark/>
          </w:tcPr>
          <w:p w14:paraId="4BA46C8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E4281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4E40621" w14:textId="77777777" w:rsidR="00000000" w:rsidRDefault="00B8284C">
            <w:pPr>
              <w:pStyle w:val="a3"/>
              <w:spacing w:before="0" w:beforeAutospacing="0" w:after="0" w:afterAutospacing="0"/>
              <w:jc w:val="right"/>
              <w:rPr>
                <w:color w:val="000000"/>
                <w:sz w:val="20"/>
                <w:szCs w:val="20"/>
              </w:rPr>
            </w:pPr>
            <w:r>
              <w:rPr>
                <w:color w:val="000000"/>
                <w:sz w:val="20"/>
                <w:szCs w:val="20"/>
              </w:rPr>
              <w:t>(14,736</w:t>
            </w:r>
          </w:p>
        </w:tc>
        <w:tc>
          <w:tcPr>
            <w:tcW w:w="50" w:type="pct"/>
            <w:shd w:val="clear" w:color="auto" w:fill="CFF0FC"/>
            <w:noWrap/>
            <w:tcMar>
              <w:top w:w="15" w:type="dxa"/>
              <w:left w:w="0" w:type="dxa"/>
              <w:bottom w:w="0" w:type="dxa"/>
              <w:right w:w="15" w:type="dxa"/>
            </w:tcMar>
            <w:vAlign w:val="bottom"/>
            <w:hideMark/>
          </w:tcPr>
          <w:p w14:paraId="2ACBE3F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AF4B17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848704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E07419C" w14:textId="77777777" w:rsidR="00000000" w:rsidRDefault="00B8284C">
            <w:pPr>
              <w:pStyle w:val="a3"/>
              <w:spacing w:before="0" w:beforeAutospacing="0" w:after="0" w:afterAutospacing="0"/>
              <w:jc w:val="right"/>
              <w:rPr>
                <w:color w:val="000000"/>
                <w:sz w:val="20"/>
                <w:szCs w:val="20"/>
              </w:rPr>
            </w:pPr>
            <w:r>
              <w:rPr>
                <w:color w:val="000000"/>
                <w:sz w:val="20"/>
                <w:szCs w:val="20"/>
              </w:rPr>
              <w:t>(18,304</w:t>
            </w:r>
          </w:p>
        </w:tc>
        <w:tc>
          <w:tcPr>
            <w:tcW w:w="50" w:type="pct"/>
            <w:shd w:val="clear" w:color="auto" w:fill="CFF0FC"/>
            <w:noWrap/>
            <w:tcMar>
              <w:top w:w="15" w:type="dxa"/>
              <w:left w:w="0" w:type="dxa"/>
              <w:bottom w:w="0" w:type="dxa"/>
              <w:right w:w="15" w:type="dxa"/>
            </w:tcMar>
            <w:vAlign w:val="bottom"/>
            <w:hideMark/>
          </w:tcPr>
          <w:p w14:paraId="176CC8E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364077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7FD10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583B19F" w14:textId="77777777" w:rsidR="00000000" w:rsidRDefault="00B8284C">
            <w:pPr>
              <w:pStyle w:val="a3"/>
              <w:spacing w:before="0" w:beforeAutospacing="0" w:after="0" w:afterAutospacing="0"/>
              <w:jc w:val="right"/>
              <w:rPr>
                <w:color w:val="000000"/>
                <w:sz w:val="20"/>
                <w:szCs w:val="20"/>
              </w:rPr>
            </w:pPr>
            <w:r>
              <w:rPr>
                <w:color w:val="000000"/>
                <w:sz w:val="20"/>
                <w:szCs w:val="20"/>
              </w:rPr>
              <w:t>(41,769</w:t>
            </w:r>
          </w:p>
        </w:tc>
        <w:tc>
          <w:tcPr>
            <w:tcW w:w="50" w:type="pct"/>
            <w:shd w:val="clear" w:color="auto" w:fill="CFF0FC"/>
            <w:noWrap/>
            <w:tcMar>
              <w:top w:w="15" w:type="dxa"/>
              <w:left w:w="0" w:type="dxa"/>
              <w:bottom w:w="0" w:type="dxa"/>
              <w:right w:w="15" w:type="dxa"/>
            </w:tcMar>
            <w:vAlign w:val="bottom"/>
            <w:hideMark/>
          </w:tcPr>
          <w:p w14:paraId="7841E8C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38B966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158FC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F3AE059" w14:textId="77777777" w:rsidR="00000000" w:rsidRDefault="00B8284C">
            <w:pPr>
              <w:pStyle w:val="a3"/>
              <w:spacing w:before="0" w:beforeAutospacing="0" w:after="0" w:afterAutospacing="0"/>
              <w:jc w:val="right"/>
              <w:rPr>
                <w:color w:val="000000"/>
                <w:sz w:val="20"/>
                <w:szCs w:val="20"/>
              </w:rPr>
            </w:pPr>
            <w:r>
              <w:rPr>
                <w:color w:val="000000"/>
                <w:sz w:val="20"/>
                <w:szCs w:val="20"/>
              </w:rPr>
              <w:t>(51,074</w:t>
            </w:r>
          </w:p>
        </w:tc>
        <w:tc>
          <w:tcPr>
            <w:tcW w:w="50" w:type="pct"/>
            <w:shd w:val="clear" w:color="auto" w:fill="CFF0FC"/>
            <w:noWrap/>
            <w:tcMar>
              <w:top w:w="15" w:type="dxa"/>
              <w:left w:w="0" w:type="dxa"/>
              <w:bottom w:w="0" w:type="dxa"/>
              <w:right w:w="15" w:type="dxa"/>
            </w:tcMar>
            <w:vAlign w:val="bottom"/>
            <w:hideMark/>
          </w:tcPr>
          <w:p w14:paraId="40BDA2C1"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65BC8AD6" w14:textId="77777777">
        <w:trPr>
          <w:divId w:val="1776168437"/>
        </w:trPr>
        <w:tc>
          <w:tcPr>
            <w:tcW w:w="2517" w:type="pct"/>
            <w:shd w:val="clear" w:color="auto" w:fill="FFFFFF"/>
            <w:tcMar>
              <w:top w:w="15" w:type="dxa"/>
              <w:left w:w="0" w:type="dxa"/>
              <w:bottom w:w="0" w:type="dxa"/>
              <w:right w:w="15" w:type="dxa"/>
            </w:tcMar>
            <w:vAlign w:val="bottom"/>
            <w:hideMark/>
          </w:tcPr>
          <w:p w14:paraId="5F28B02D" w14:textId="77777777" w:rsidR="00000000" w:rsidRDefault="00B8284C">
            <w:pPr>
              <w:pStyle w:val="a3"/>
              <w:spacing w:before="0" w:beforeAutospacing="0" w:after="0" w:afterAutospacing="0"/>
              <w:ind w:left="547"/>
              <w:rPr>
                <w:color w:val="000000"/>
                <w:sz w:val="20"/>
                <w:szCs w:val="20"/>
              </w:rPr>
            </w:pPr>
            <w:r>
              <w:rPr>
                <w:color w:val="000000"/>
                <w:sz w:val="20"/>
                <w:szCs w:val="20"/>
              </w:rPr>
              <w:t>Income tax expense</w:t>
            </w:r>
          </w:p>
        </w:tc>
        <w:tc>
          <w:tcPr>
            <w:tcW w:w="61" w:type="pct"/>
            <w:shd w:val="clear" w:color="auto" w:fill="FFFFFF"/>
            <w:tcMar>
              <w:top w:w="15" w:type="dxa"/>
              <w:left w:w="0" w:type="dxa"/>
              <w:bottom w:w="0" w:type="dxa"/>
              <w:right w:w="15" w:type="dxa"/>
            </w:tcMar>
            <w:vAlign w:val="bottom"/>
            <w:hideMark/>
          </w:tcPr>
          <w:p w14:paraId="36FB88A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B5AA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65465E7" w14:textId="77777777" w:rsidR="00000000" w:rsidRDefault="00B8284C">
            <w:pPr>
              <w:pStyle w:val="a3"/>
              <w:spacing w:before="0" w:beforeAutospacing="0" w:after="0" w:afterAutospacing="0"/>
              <w:jc w:val="right"/>
              <w:rPr>
                <w:color w:val="000000"/>
                <w:sz w:val="20"/>
                <w:szCs w:val="20"/>
              </w:rPr>
            </w:pPr>
            <w:r>
              <w:rPr>
                <w:color w:val="000000"/>
                <w:sz w:val="20"/>
                <w:szCs w:val="20"/>
              </w:rPr>
              <w:t>(251</w:t>
            </w:r>
          </w:p>
        </w:tc>
        <w:tc>
          <w:tcPr>
            <w:tcW w:w="50" w:type="pct"/>
            <w:shd w:val="clear" w:color="auto" w:fill="FFFFFF"/>
            <w:noWrap/>
            <w:tcMar>
              <w:top w:w="15" w:type="dxa"/>
              <w:left w:w="0" w:type="dxa"/>
              <w:bottom w:w="0" w:type="dxa"/>
              <w:right w:w="15" w:type="dxa"/>
            </w:tcMar>
            <w:vAlign w:val="bottom"/>
            <w:hideMark/>
          </w:tcPr>
          <w:p w14:paraId="7ED645C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D3EDA1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F41DAF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C79B5CE" w14:textId="77777777" w:rsidR="00000000" w:rsidRDefault="00B8284C">
            <w:pPr>
              <w:pStyle w:val="a3"/>
              <w:spacing w:before="0" w:beforeAutospacing="0" w:after="0" w:afterAutospacing="0"/>
              <w:jc w:val="right"/>
              <w:rPr>
                <w:color w:val="000000"/>
                <w:sz w:val="20"/>
                <w:szCs w:val="20"/>
              </w:rPr>
            </w:pPr>
            <w:r>
              <w:rPr>
                <w:color w:val="000000"/>
                <w:sz w:val="20"/>
                <w:szCs w:val="20"/>
              </w:rPr>
              <w:t>(359</w:t>
            </w:r>
          </w:p>
        </w:tc>
        <w:tc>
          <w:tcPr>
            <w:tcW w:w="50" w:type="pct"/>
            <w:shd w:val="clear" w:color="auto" w:fill="FFFFFF"/>
            <w:noWrap/>
            <w:tcMar>
              <w:top w:w="15" w:type="dxa"/>
              <w:left w:w="0" w:type="dxa"/>
              <w:bottom w:w="0" w:type="dxa"/>
              <w:right w:w="15" w:type="dxa"/>
            </w:tcMar>
            <w:vAlign w:val="bottom"/>
            <w:hideMark/>
          </w:tcPr>
          <w:p w14:paraId="744080B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996E75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D36B06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61B370B" w14:textId="77777777" w:rsidR="00000000" w:rsidRDefault="00B8284C">
            <w:pPr>
              <w:pStyle w:val="a3"/>
              <w:spacing w:before="0" w:beforeAutospacing="0" w:after="0" w:afterAutospacing="0"/>
              <w:jc w:val="right"/>
              <w:rPr>
                <w:color w:val="000000"/>
                <w:sz w:val="20"/>
                <w:szCs w:val="20"/>
              </w:rPr>
            </w:pPr>
            <w:r>
              <w:rPr>
                <w:color w:val="000000"/>
                <w:sz w:val="20"/>
                <w:szCs w:val="20"/>
              </w:rPr>
              <w:t>(1,675</w:t>
            </w:r>
          </w:p>
        </w:tc>
        <w:tc>
          <w:tcPr>
            <w:tcW w:w="50" w:type="pct"/>
            <w:shd w:val="clear" w:color="auto" w:fill="FFFFFF"/>
            <w:noWrap/>
            <w:tcMar>
              <w:top w:w="15" w:type="dxa"/>
              <w:left w:w="0" w:type="dxa"/>
              <w:bottom w:w="0" w:type="dxa"/>
              <w:right w:w="15" w:type="dxa"/>
            </w:tcMar>
            <w:vAlign w:val="bottom"/>
            <w:hideMark/>
          </w:tcPr>
          <w:p w14:paraId="2D1B54A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C8A376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D7B08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4080A5E" w14:textId="77777777" w:rsidR="00000000" w:rsidRDefault="00B8284C">
            <w:pPr>
              <w:pStyle w:val="a3"/>
              <w:spacing w:before="0" w:beforeAutospacing="0" w:after="0" w:afterAutospacing="0"/>
              <w:jc w:val="right"/>
              <w:rPr>
                <w:color w:val="000000"/>
                <w:sz w:val="20"/>
                <w:szCs w:val="20"/>
              </w:rPr>
            </w:pPr>
            <w:r>
              <w:rPr>
                <w:color w:val="000000"/>
                <w:sz w:val="20"/>
                <w:szCs w:val="20"/>
              </w:rPr>
              <w:t>(1,262</w:t>
            </w:r>
          </w:p>
        </w:tc>
        <w:tc>
          <w:tcPr>
            <w:tcW w:w="50" w:type="pct"/>
            <w:shd w:val="clear" w:color="auto" w:fill="FFFFFF"/>
            <w:noWrap/>
            <w:tcMar>
              <w:top w:w="15" w:type="dxa"/>
              <w:left w:w="0" w:type="dxa"/>
              <w:bottom w:w="0" w:type="dxa"/>
              <w:right w:w="15" w:type="dxa"/>
            </w:tcMar>
            <w:vAlign w:val="bottom"/>
            <w:hideMark/>
          </w:tcPr>
          <w:p w14:paraId="2382A339"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688178AF" w14:textId="77777777">
        <w:trPr>
          <w:divId w:val="1776168437"/>
        </w:trPr>
        <w:tc>
          <w:tcPr>
            <w:tcW w:w="2517" w:type="pct"/>
            <w:shd w:val="clear" w:color="auto" w:fill="CFF0FC"/>
            <w:tcMar>
              <w:top w:w="15" w:type="dxa"/>
              <w:left w:w="0" w:type="dxa"/>
              <w:bottom w:w="0" w:type="dxa"/>
              <w:right w:w="15" w:type="dxa"/>
            </w:tcMar>
            <w:vAlign w:val="bottom"/>
            <w:hideMark/>
          </w:tcPr>
          <w:p w14:paraId="0D271860" w14:textId="77777777" w:rsidR="00000000" w:rsidRDefault="00B8284C">
            <w:pPr>
              <w:pStyle w:val="a3"/>
              <w:spacing w:before="0" w:beforeAutospacing="0" w:after="0" w:afterAutospacing="0"/>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14:paraId="2FDECC2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4BC81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4904B6" w14:textId="77777777" w:rsidR="00000000" w:rsidRDefault="00B8284C">
            <w:pPr>
              <w:pStyle w:val="a3"/>
              <w:spacing w:before="0" w:beforeAutospacing="0" w:after="0" w:afterAutospacing="0"/>
              <w:jc w:val="right"/>
              <w:rPr>
                <w:color w:val="000000"/>
                <w:sz w:val="20"/>
                <w:szCs w:val="20"/>
              </w:rPr>
            </w:pPr>
            <w:r>
              <w:rPr>
                <w:color w:val="000000"/>
                <w:sz w:val="20"/>
                <w:szCs w:val="20"/>
              </w:rPr>
              <w:t>(14,987</w:t>
            </w:r>
          </w:p>
        </w:tc>
        <w:tc>
          <w:tcPr>
            <w:tcW w:w="50" w:type="pct"/>
            <w:shd w:val="clear" w:color="auto" w:fill="CFF0FC"/>
            <w:noWrap/>
            <w:tcMar>
              <w:top w:w="15" w:type="dxa"/>
              <w:left w:w="0" w:type="dxa"/>
              <w:bottom w:w="0" w:type="dxa"/>
              <w:right w:w="15" w:type="dxa"/>
            </w:tcMar>
            <w:vAlign w:val="bottom"/>
            <w:hideMark/>
          </w:tcPr>
          <w:p w14:paraId="43467D7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24896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C1820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A68A8E" w14:textId="77777777" w:rsidR="00000000" w:rsidRDefault="00B8284C">
            <w:pPr>
              <w:pStyle w:val="a3"/>
              <w:spacing w:before="0" w:beforeAutospacing="0" w:after="0" w:afterAutospacing="0"/>
              <w:jc w:val="right"/>
              <w:rPr>
                <w:color w:val="000000"/>
                <w:sz w:val="20"/>
                <w:szCs w:val="20"/>
              </w:rPr>
            </w:pPr>
            <w:r>
              <w:rPr>
                <w:color w:val="000000"/>
                <w:sz w:val="20"/>
                <w:szCs w:val="20"/>
              </w:rPr>
              <w:t>(18,663</w:t>
            </w:r>
          </w:p>
        </w:tc>
        <w:tc>
          <w:tcPr>
            <w:tcW w:w="50" w:type="pct"/>
            <w:shd w:val="clear" w:color="auto" w:fill="CFF0FC"/>
            <w:noWrap/>
            <w:tcMar>
              <w:top w:w="15" w:type="dxa"/>
              <w:left w:w="0" w:type="dxa"/>
              <w:bottom w:w="0" w:type="dxa"/>
              <w:right w:w="15" w:type="dxa"/>
            </w:tcMar>
            <w:vAlign w:val="bottom"/>
            <w:hideMark/>
          </w:tcPr>
          <w:p w14:paraId="1F1E610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B7CEB2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57594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0874D2" w14:textId="77777777" w:rsidR="00000000" w:rsidRDefault="00B8284C">
            <w:pPr>
              <w:pStyle w:val="a3"/>
              <w:spacing w:before="0" w:beforeAutospacing="0" w:after="0" w:afterAutospacing="0"/>
              <w:jc w:val="right"/>
              <w:rPr>
                <w:color w:val="000000"/>
                <w:sz w:val="20"/>
                <w:szCs w:val="20"/>
              </w:rPr>
            </w:pPr>
            <w:r>
              <w:rPr>
                <w:color w:val="000000"/>
                <w:sz w:val="20"/>
                <w:szCs w:val="20"/>
              </w:rPr>
              <w:t>(43,444</w:t>
            </w:r>
          </w:p>
        </w:tc>
        <w:tc>
          <w:tcPr>
            <w:tcW w:w="50" w:type="pct"/>
            <w:shd w:val="clear" w:color="auto" w:fill="CFF0FC"/>
            <w:noWrap/>
            <w:tcMar>
              <w:top w:w="15" w:type="dxa"/>
              <w:left w:w="0" w:type="dxa"/>
              <w:bottom w:w="0" w:type="dxa"/>
              <w:right w:w="15" w:type="dxa"/>
            </w:tcMar>
            <w:vAlign w:val="bottom"/>
            <w:hideMark/>
          </w:tcPr>
          <w:p w14:paraId="4B76847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CC3A8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35AAE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EA28F9" w14:textId="77777777" w:rsidR="00000000" w:rsidRDefault="00B8284C">
            <w:pPr>
              <w:pStyle w:val="a3"/>
              <w:spacing w:before="0" w:beforeAutospacing="0" w:after="0" w:afterAutospacing="0"/>
              <w:jc w:val="right"/>
              <w:rPr>
                <w:color w:val="000000"/>
                <w:sz w:val="20"/>
                <w:szCs w:val="20"/>
              </w:rPr>
            </w:pPr>
            <w:r>
              <w:rPr>
                <w:color w:val="000000"/>
                <w:sz w:val="20"/>
                <w:szCs w:val="20"/>
              </w:rPr>
              <w:t>(52,336</w:t>
            </w:r>
          </w:p>
        </w:tc>
        <w:tc>
          <w:tcPr>
            <w:tcW w:w="50" w:type="pct"/>
            <w:shd w:val="clear" w:color="auto" w:fill="CFF0FC"/>
            <w:noWrap/>
            <w:tcMar>
              <w:top w:w="15" w:type="dxa"/>
              <w:left w:w="0" w:type="dxa"/>
              <w:bottom w:w="0" w:type="dxa"/>
              <w:right w:w="15" w:type="dxa"/>
            </w:tcMar>
            <w:vAlign w:val="bottom"/>
            <w:hideMark/>
          </w:tcPr>
          <w:p w14:paraId="4432B61E" w14:textId="77777777" w:rsidR="00000000" w:rsidRDefault="00B8284C">
            <w:pPr>
              <w:pStyle w:val="a3"/>
              <w:spacing w:before="0" w:beforeAutospacing="0" w:after="0" w:afterAutospacing="0"/>
              <w:rPr>
                <w:color w:val="000000"/>
                <w:sz w:val="20"/>
                <w:szCs w:val="20"/>
              </w:rPr>
            </w:pPr>
            <w:r>
              <w:rPr>
                <w:color w:val="000000"/>
                <w:sz w:val="20"/>
                <w:szCs w:val="20"/>
              </w:rPr>
              <w:t>)</w:t>
            </w:r>
          </w:p>
        </w:tc>
      </w:tr>
    </w:tbl>
    <w:p w14:paraId="49FFBEF8" w14:textId="77777777" w:rsidR="00000000" w:rsidRDefault="00B8284C">
      <w:pPr>
        <w:pStyle w:val="a3"/>
        <w:spacing w:before="240" w:beforeAutospacing="0" w:after="0" w:afterAutospacing="0"/>
        <w:jc w:val="center"/>
        <w:rPr>
          <w:sz w:val="20"/>
          <w:szCs w:val="20"/>
        </w:rPr>
      </w:pPr>
      <w:r>
        <w:rPr>
          <w:sz w:val="20"/>
          <w:szCs w:val="20"/>
        </w:rPr>
        <w:t>22</w:t>
      </w:r>
    </w:p>
    <w:p w14:paraId="734E116C" w14:textId="77777777" w:rsidR="00000000" w:rsidRDefault="00B8284C">
      <w:pPr>
        <w:rPr>
          <w:rFonts w:eastAsia="Times New Roman"/>
        </w:rPr>
      </w:pPr>
      <w:r>
        <w:rPr>
          <w:rFonts w:eastAsia="Times New Roman"/>
        </w:rPr>
        <w:pict w14:anchorId="3EA3F501">
          <v:rect id="_x0000_i1046" style="width:0;height:1.5pt" o:hralign="center" o:hrstd="t" o:hr="t" fillcolor="#a0a0a0" stroked="f"/>
        </w:pict>
      </w:r>
    </w:p>
    <w:p w14:paraId="14FF5A91" w14:textId="77777777" w:rsidR="00000000" w:rsidRDefault="00B8284C">
      <w:pPr>
        <w:pStyle w:val="a3"/>
        <w:spacing w:before="0" w:beforeAutospacing="0" w:after="0" w:afterAutospacing="0"/>
        <w:rPr>
          <w:sz w:val="20"/>
          <w:szCs w:val="20"/>
        </w:rPr>
      </w:pPr>
      <w:r>
        <w:rPr>
          <w:sz w:val="20"/>
          <w:szCs w:val="20"/>
        </w:rPr>
        <w:t> </w:t>
      </w:r>
    </w:p>
    <w:p w14:paraId="234229BF"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840"/>
        <w:gridCol w:w="65"/>
        <w:gridCol w:w="65"/>
        <w:gridCol w:w="364"/>
        <w:gridCol w:w="249"/>
        <w:gridCol w:w="65"/>
        <w:gridCol w:w="65"/>
        <w:gridCol w:w="365"/>
        <w:gridCol w:w="249"/>
        <w:gridCol w:w="65"/>
        <w:gridCol w:w="65"/>
        <w:gridCol w:w="364"/>
        <w:gridCol w:w="249"/>
        <w:gridCol w:w="65"/>
        <w:gridCol w:w="65"/>
        <w:gridCol w:w="365"/>
        <w:gridCol w:w="249"/>
      </w:tblGrid>
      <w:tr w:rsidR="00000000" w14:paraId="291C0C29" w14:textId="77777777">
        <w:trPr>
          <w:divId w:val="664555801"/>
        </w:trPr>
        <w:tc>
          <w:tcPr>
            <w:tcW w:w="2517" w:type="pct"/>
            <w:shd w:val="clear" w:color="auto" w:fill="FFFFFF"/>
            <w:tcMar>
              <w:top w:w="15" w:type="dxa"/>
              <w:left w:w="0" w:type="dxa"/>
              <w:bottom w:w="0" w:type="dxa"/>
              <w:right w:w="15" w:type="dxa"/>
            </w:tcMar>
            <w:vAlign w:val="bottom"/>
            <w:hideMark/>
          </w:tcPr>
          <w:p w14:paraId="3C483949" w14:textId="77777777" w:rsidR="00000000" w:rsidRDefault="00B8284C">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39CA8880"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29E36E5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150BEEC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05D3D12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A0AEFD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009F4FC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7AC3CB1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44526C9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41198FB" w14:textId="77777777">
        <w:trPr>
          <w:divId w:val="664555801"/>
        </w:trPr>
        <w:tc>
          <w:tcPr>
            <w:tcW w:w="2517" w:type="pct"/>
            <w:shd w:val="clear" w:color="auto" w:fill="FFFFFF"/>
            <w:tcMar>
              <w:top w:w="15" w:type="dxa"/>
              <w:left w:w="0" w:type="dxa"/>
              <w:bottom w:w="0" w:type="dxa"/>
              <w:right w:w="15" w:type="dxa"/>
            </w:tcMar>
            <w:vAlign w:val="bottom"/>
            <w:hideMark/>
          </w:tcPr>
          <w:p w14:paraId="340B42AF"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2F09F97C"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B4CF9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F8C502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4ECF8B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0F201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94EB30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B36CE8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9D669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174563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71D374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DE915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379D5F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C1D4354" w14:textId="77777777">
        <w:trPr>
          <w:divId w:val="664555801"/>
        </w:trPr>
        <w:tc>
          <w:tcPr>
            <w:tcW w:w="2517" w:type="pct"/>
            <w:shd w:val="clear" w:color="auto" w:fill="CFF0FC"/>
            <w:tcMar>
              <w:top w:w="15" w:type="dxa"/>
              <w:left w:w="0" w:type="dxa"/>
              <w:bottom w:w="0" w:type="dxa"/>
              <w:right w:w="15" w:type="dxa"/>
            </w:tcMar>
            <w:vAlign w:val="bottom"/>
            <w:hideMark/>
          </w:tcPr>
          <w:p w14:paraId="52269698" w14:textId="77777777" w:rsidR="00000000" w:rsidRDefault="00B8284C">
            <w:pPr>
              <w:pStyle w:val="a3"/>
              <w:spacing w:before="0" w:beforeAutospacing="0" w:after="0" w:afterAutospacing="0"/>
              <w:rPr>
                <w:color w:val="000000"/>
                <w:sz w:val="20"/>
                <w:szCs w:val="20"/>
              </w:rPr>
            </w:pPr>
            <w:r>
              <w:rPr>
                <w:color w:val="000000"/>
                <w:sz w:val="20"/>
                <w:szCs w:val="20"/>
              </w:rPr>
              <w:t>Revenue:</w:t>
            </w:r>
          </w:p>
        </w:tc>
        <w:tc>
          <w:tcPr>
            <w:tcW w:w="61" w:type="pct"/>
            <w:shd w:val="clear" w:color="auto" w:fill="CFF0FC"/>
            <w:tcMar>
              <w:top w:w="15" w:type="dxa"/>
              <w:left w:w="0" w:type="dxa"/>
              <w:bottom w:w="0" w:type="dxa"/>
              <w:right w:w="15" w:type="dxa"/>
            </w:tcMar>
            <w:vAlign w:val="bottom"/>
            <w:hideMark/>
          </w:tcPr>
          <w:p w14:paraId="2D6C350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3A8E3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06F349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425A4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D8F321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8058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BE0FA2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EA8E6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164E6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F6E5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8CEF44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7D47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F2D6DF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CE177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0AC758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24F6C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9D3C5B6" w14:textId="77777777">
        <w:trPr>
          <w:divId w:val="664555801"/>
        </w:trPr>
        <w:tc>
          <w:tcPr>
            <w:tcW w:w="2517" w:type="pct"/>
            <w:shd w:val="clear" w:color="auto" w:fill="FFFFFF"/>
            <w:tcMar>
              <w:top w:w="15" w:type="dxa"/>
              <w:left w:w="0" w:type="dxa"/>
              <w:bottom w:w="0" w:type="dxa"/>
              <w:right w:w="15" w:type="dxa"/>
            </w:tcMar>
            <w:vAlign w:val="bottom"/>
            <w:hideMark/>
          </w:tcPr>
          <w:p w14:paraId="09ACEF72" w14:textId="77777777" w:rsidR="00000000" w:rsidRDefault="00B8284C">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14:paraId="4A6A9A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BD4D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755A8A3" w14:textId="77777777" w:rsidR="00000000" w:rsidRDefault="00B8284C">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14:paraId="0C3363E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A8BB9C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63F27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E59CF3F" w14:textId="77777777" w:rsidR="00000000" w:rsidRDefault="00B8284C">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14:paraId="26705BB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F7B14F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DFCB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790C42D" w14:textId="77777777" w:rsidR="00000000" w:rsidRDefault="00B8284C">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14:paraId="07C2D82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8EC0A7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5B5CE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60942DF" w14:textId="77777777" w:rsidR="00000000" w:rsidRDefault="00B8284C">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14:paraId="1C573D34"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77E05DC7" w14:textId="77777777">
        <w:trPr>
          <w:divId w:val="664555801"/>
        </w:trPr>
        <w:tc>
          <w:tcPr>
            <w:tcW w:w="2517" w:type="pct"/>
            <w:shd w:val="clear" w:color="auto" w:fill="CFF0FC"/>
            <w:tcMar>
              <w:top w:w="15" w:type="dxa"/>
              <w:left w:w="0" w:type="dxa"/>
              <w:bottom w:w="0" w:type="dxa"/>
              <w:right w:w="15" w:type="dxa"/>
            </w:tcMar>
            <w:vAlign w:val="bottom"/>
            <w:hideMark/>
          </w:tcPr>
          <w:p w14:paraId="2C54BE72" w14:textId="77777777" w:rsidR="00000000" w:rsidRDefault="00B8284C">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14:paraId="4A1AE16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445D2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5AB7CE3" w14:textId="77777777" w:rsidR="00000000" w:rsidRDefault="00B8284C">
            <w:pPr>
              <w:pStyle w:val="a3"/>
              <w:spacing w:before="0" w:beforeAutospacing="0" w:after="0" w:afterAutospacing="0"/>
              <w:jc w:val="right"/>
              <w:rPr>
                <w:color w:val="000000"/>
                <w:sz w:val="20"/>
                <w:szCs w:val="20"/>
              </w:rPr>
            </w:pPr>
            <w:r>
              <w:rPr>
                <w:color w:val="000000"/>
                <w:sz w:val="20"/>
                <w:szCs w:val="20"/>
              </w:rPr>
              <w:t>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E2C8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D24BE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5BF7B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E03E2BD" w14:textId="77777777" w:rsidR="00000000" w:rsidRDefault="00B8284C">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161E39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0A363C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73753A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0904A3D" w14:textId="77777777" w:rsidR="00000000" w:rsidRDefault="00B8284C">
            <w:pPr>
              <w:pStyle w:val="a3"/>
              <w:spacing w:before="0" w:beforeAutospacing="0" w:after="0" w:afterAutospacing="0"/>
              <w:jc w:val="right"/>
              <w:rPr>
                <w:color w:val="000000"/>
                <w:sz w:val="20"/>
                <w:szCs w:val="20"/>
              </w:rPr>
            </w:pPr>
            <w:r>
              <w:rPr>
                <w:color w:val="000000"/>
                <w:sz w:val="20"/>
                <w:szCs w:val="20"/>
              </w:rPr>
              <w:t>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A7CDE9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37394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0690F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AF3A7BF" w14:textId="77777777" w:rsidR="00000000" w:rsidRDefault="00B8284C">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007732B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A128EF7" w14:textId="77777777">
        <w:trPr>
          <w:divId w:val="664555801"/>
        </w:trPr>
        <w:tc>
          <w:tcPr>
            <w:tcW w:w="2517" w:type="pct"/>
            <w:shd w:val="clear" w:color="auto" w:fill="FFFFFF"/>
            <w:tcMar>
              <w:top w:w="15" w:type="dxa"/>
              <w:left w:w="0" w:type="dxa"/>
              <w:bottom w:w="0" w:type="dxa"/>
              <w:right w:w="15" w:type="dxa"/>
            </w:tcMar>
            <w:vAlign w:val="bottom"/>
            <w:hideMark/>
          </w:tcPr>
          <w:p w14:paraId="757AA54F" w14:textId="77777777" w:rsidR="00000000" w:rsidRDefault="00B8284C">
            <w:pPr>
              <w:pStyle w:val="a3"/>
              <w:spacing w:before="0" w:beforeAutospacing="0" w:after="0" w:afterAutospacing="0"/>
              <w:ind w:left="547"/>
              <w:rPr>
                <w:color w:val="000000"/>
                <w:sz w:val="20"/>
                <w:szCs w:val="20"/>
              </w:rPr>
            </w:pPr>
            <w:r>
              <w:rPr>
                <w:color w:val="000000"/>
                <w:sz w:val="20"/>
                <w:szCs w:val="20"/>
              </w:rPr>
              <w:t>Total revenue</w:t>
            </w:r>
          </w:p>
        </w:tc>
        <w:tc>
          <w:tcPr>
            <w:tcW w:w="61" w:type="pct"/>
            <w:shd w:val="clear" w:color="auto" w:fill="FFFFFF"/>
            <w:tcMar>
              <w:top w:w="15" w:type="dxa"/>
              <w:left w:w="0" w:type="dxa"/>
              <w:bottom w:w="0" w:type="dxa"/>
              <w:right w:w="15" w:type="dxa"/>
            </w:tcMar>
            <w:vAlign w:val="bottom"/>
            <w:hideMark/>
          </w:tcPr>
          <w:p w14:paraId="7D24C36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69426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F261AC1" w14:textId="77777777" w:rsidR="00000000" w:rsidRDefault="00B8284C">
            <w:pPr>
              <w:pStyle w:val="a3"/>
              <w:spacing w:before="0" w:beforeAutospacing="0" w:after="0" w:afterAutospacing="0"/>
              <w:jc w:val="right"/>
              <w:rPr>
                <w:color w:val="000000"/>
                <w:sz w:val="20"/>
                <w:szCs w:val="20"/>
              </w:rPr>
            </w:pPr>
            <w:r>
              <w:rPr>
                <w:color w:val="000000"/>
                <w:sz w:val="20"/>
                <w:szCs w:val="20"/>
              </w:rPr>
              <w:t>100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3DD18B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409B3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2E23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C034ED0" w14:textId="77777777" w:rsidR="00000000" w:rsidRDefault="00B8284C">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14:paraId="15F3580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384F5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EDABEA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D1637C" w14:textId="77777777" w:rsidR="00000000" w:rsidRDefault="00B8284C">
            <w:pPr>
              <w:pStyle w:val="a3"/>
              <w:spacing w:before="0" w:beforeAutospacing="0" w:after="0" w:afterAutospacing="0"/>
              <w:jc w:val="right"/>
              <w:rPr>
                <w:color w:val="000000"/>
                <w:sz w:val="20"/>
                <w:szCs w:val="20"/>
              </w:rPr>
            </w:pPr>
            <w:r>
              <w:rPr>
                <w:color w:val="000000"/>
                <w:sz w:val="20"/>
                <w:szCs w:val="20"/>
              </w:rPr>
              <w:t>100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3E2833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3CF74B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BD9E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D66E440" w14:textId="77777777" w:rsidR="00000000" w:rsidRDefault="00B8284C">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14:paraId="0F4F238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FBA380B" w14:textId="77777777">
        <w:trPr>
          <w:divId w:val="664555801"/>
        </w:trPr>
        <w:tc>
          <w:tcPr>
            <w:tcW w:w="2517" w:type="pct"/>
            <w:shd w:val="clear" w:color="auto" w:fill="CFF0FC"/>
            <w:tcMar>
              <w:top w:w="15" w:type="dxa"/>
              <w:left w:w="0" w:type="dxa"/>
              <w:bottom w:w="0" w:type="dxa"/>
              <w:right w:w="15" w:type="dxa"/>
            </w:tcMar>
            <w:vAlign w:val="bottom"/>
            <w:hideMark/>
          </w:tcPr>
          <w:p w14:paraId="650377EA" w14:textId="77777777" w:rsidR="00000000" w:rsidRDefault="00B8284C">
            <w:pPr>
              <w:pStyle w:val="a3"/>
              <w:spacing w:before="0" w:beforeAutospacing="0" w:after="0" w:afterAutospacing="0"/>
              <w:rPr>
                <w:color w:val="000000"/>
                <w:sz w:val="20"/>
                <w:szCs w:val="20"/>
              </w:rPr>
            </w:pPr>
            <w:r>
              <w:rPr>
                <w:color w:val="000000"/>
                <w:sz w:val="20"/>
                <w:szCs w:val="20"/>
              </w:rPr>
              <w:t>Cost of revenue:</w:t>
            </w:r>
          </w:p>
        </w:tc>
        <w:tc>
          <w:tcPr>
            <w:tcW w:w="61" w:type="pct"/>
            <w:shd w:val="clear" w:color="auto" w:fill="CFF0FC"/>
            <w:tcMar>
              <w:top w:w="15" w:type="dxa"/>
              <w:left w:w="0" w:type="dxa"/>
              <w:bottom w:w="0" w:type="dxa"/>
              <w:right w:w="15" w:type="dxa"/>
            </w:tcMar>
            <w:vAlign w:val="bottom"/>
            <w:hideMark/>
          </w:tcPr>
          <w:p w14:paraId="511C32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BF12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A28B93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5632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0D453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C9D7A7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06FE3F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8A936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245306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5FC2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BAD013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714C3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28B66F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F925C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92A673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C62D0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A351BC0" w14:textId="77777777">
        <w:trPr>
          <w:divId w:val="664555801"/>
        </w:trPr>
        <w:tc>
          <w:tcPr>
            <w:tcW w:w="2517" w:type="pct"/>
            <w:shd w:val="clear" w:color="auto" w:fill="FFFFFF"/>
            <w:tcMar>
              <w:top w:w="15" w:type="dxa"/>
              <w:left w:w="0" w:type="dxa"/>
              <w:bottom w:w="0" w:type="dxa"/>
              <w:right w:w="15" w:type="dxa"/>
            </w:tcMar>
            <w:vAlign w:val="bottom"/>
            <w:hideMark/>
          </w:tcPr>
          <w:p w14:paraId="7604B0F2" w14:textId="77777777" w:rsidR="00000000" w:rsidRDefault="00B8284C">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14:paraId="2D05218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E454B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A92E96B" w14:textId="77777777" w:rsidR="00000000" w:rsidRDefault="00B8284C">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611167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3C799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6743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38F9BDA" w14:textId="77777777" w:rsidR="00000000" w:rsidRDefault="00B8284C">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14:paraId="475AD0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20F54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1FB76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8CC8F77"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3AA8A1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2589E7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C4433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053D5A0"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4B370E8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3960599" w14:textId="77777777">
        <w:trPr>
          <w:divId w:val="664555801"/>
        </w:trPr>
        <w:tc>
          <w:tcPr>
            <w:tcW w:w="2517" w:type="pct"/>
            <w:shd w:val="clear" w:color="auto" w:fill="CFF0FC"/>
            <w:tcMar>
              <w:top w:w="15" w:type="dxa"/>
              <w:left w:w="0" w:type="dxa"/>
              <w:bottom w:w="0" w:type="dxa"/>
              <w:right w:w="15" w:type="dxa"/>
            </w:tcMar>
            <w:vAlign w:val="bottom"/>
            <w:hideMark/>
          </w:tcPr>
          <w:p w14:paraId="02764BE7" w14:textId="77777777" w:rsidR="00000000" w:rsidRDefault="00B8284C">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14:paraId="0F4A84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8C659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C5365AC" w14:textId="77777777" w:rsidR="00000000" w:rsidRDefault="00B8284C">
            <w:pPr>
              <w:pStyle w:val="a3"/>
              <w:spacing w:before="0" w:beforeAutospacing="0" w:after="0" w:afterAutospacing="0"/>
              <w:jc w:val="right"/>
              <w:rPr>
                <w:color w:val="000000"/>
                <w:sz w:val="20"/>
                <w:szCs w:val="20"/>
              </w:rPr>
            </w:pPr>
            <w:r>
              <w:rPr>
                <w:color w:val="000000"/>
                <w:sz w:val="20"/>
                <w:szCs w:val="20"/>
              </w:rPr>
              <w:t>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704D6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D5735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AE2BB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5D05FC1" w14:textId="77777777" w:rsidR="00000000" w:rsidRDefault="00B8284C">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65F639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1FB059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612B18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6312D96" w14:textId="77777777" w:rsidR="00000000" w:rsidRDefault="00B8284C">
            <w:pPr>
              <w:pStyle w:val="a3"/>
              <w:spacing w:before="0" w:beforeAutospacing="0" w:after="0" w:afterAutospacing="0"/>
              <w:jc w:val="right"/>
              <w:rPr>
                <w:color w:val="000000"/>
                <w:sz w:val="20"/>
                <w:szCs w:val="20"/>
              </w:rPr>
            </w:pPr>
            <w:r>
              <w:rPr>
                <w:color w:val="000000"/>
                <w:sz w:val="20"/>
                <w:szCs w:val="20"/>
              </w:rPr>
              <w:t>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7AE87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D7F89A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0D007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7BECE97" w14:textId="77777777" w:rsidR="00000000" w:rsidRDefault="00B8284C">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1E08684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33A388E" w14:textId="77777777">
        <w:trPr>
          <w:divId w:val="664555801"/>
        </w:trPr>
        <w:tc>
          <w:tcPr>
            <w:tcW w:w="2517" w:type="pct"/>
            <w:shd w:val="clear" w:color="auto" w:fill="FFFFFF"/>
            <w:tcMar>
              <w:top w:w="15" w:type="dxa"/>
              <w:left w:w="0" w:type="dxa"/>
              <w:bottom w:w="0" w:type="dxa"/>
              <w:right w:w="15" w:type="dxa"/>
            </w:tcMar>
            <w:vAlign w:val="bottom"/>
            <w:hideMark/>
          </w:tcPr>
          <w:p w14:paraId="6D619E30" w14:textId="77777777" w:rsidR="00000000" w:rsidRDefault="00B8284C">
            <w:pPr>
              <w:pStyle w:val="a3"/>
              <w:spacing w:before="0" w:beforeAutospacing="0" w:after="0" w:afterAutospacing="0"/>
              <w:ind w:left="547"/>
              <w:rPr>
                <w:color w:val="000000"/>
                <w:sz w:val="20"/>
                <w:szCs w:val="20"/>
              </w:rPr>
            </w:pPr>
            <w:r>
              <w:rPr>
                <w:color w:val="000000"/>
                <w:sz w:val="20"/>
                <w:szCs w:val="20"/>
              </w:rPr>
              <w:t>Total cost of revenue</w:t>
            </w:r>
          </w:p>
        </w:tc>
        <w:tc>
          <w:tcPr>
            <w:tcW w:w="61" w:type="pct"/>
            <w:shd w:val="clear" w:color="auto" w:fill="FFFFFF"/>
            <w:tcMar>
              <w:top w:w="15" w:type="dxa"/>
              <w:left w:w="0" w:type="dxa"/>
              <w:bottom w:w="0" w:type="dxa"/>
              <w:right w:w="15" w:type="dxa"/>
            </w:tcMar>
            <w:vAlign w:val="bottom"/>
            <w:hideMark/>
          </w:tcPr>
          <w:p w14:paraId="54FE8E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4BECF5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249531" w14:textId="77777777" w:rsidR="00000000" w:rsidRDefault="00B8284C">
            <w:pPr>
              <w:pStyle w:val="a3"/>
              <w:spacing w:before="0" w:beforeAutospacing="0" w:after="0" w:afterAutospacing="0"/>
              <w:jc w:val="right"/>
              <w:rPr>
                <w:color w:val="000000"/>
                <w:sz w:val="20"/>
                <w:szCs w:val="20"/>
              </w:rPr>
            </w:pPr>
            <w:r>
              <w:rPr>
                <w:color w:val="000000"/>
                <w:sz w:val="20"/>
                <w:szCs w:val="20"/>
              </w:rPr>
              <w:t>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17C64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C1BD0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22D4E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F1853C0" w14:textId="77777777" w:rsidR="00000000" w:rsidRDefault="00B8284C">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7351DB1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64FFD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5AD4A7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40EEC1C" w14:textId="77777777" w:rsidR="00000000" w:rsidRDefault="00B8284C">
            <w:pPr>
              <w:pStyle w:val="a3"/>
              <w:spacing w:before="0" w:beforeAutospacing="0" w:after="0" w:afterAutospacing="0"/>
              <w:jc w:val="right"/>
              <w:rPr>
                <w:color w:val="000000"/>
                <w:sz w:val="20"/>
                <w:szCs w:val="20"/>
              </w:rPr>
            </w:pPr>
            <w:r>
              <w:rPr>
                <w:color w:val="000000"/>
                <w:sz w:val="20"/>
                <w:szCs w:val="20"/>
              </w:rPr>
              <w:t>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B84B41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CFD4F2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CD2C75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3525CC" w14:textId="77777777" w:rsidR="00000000" w:rsidRDefault="00B8284C">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5AF7E5D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48E770F" w14:textId="77777777">
        <w:trPr>
          <w:divId w:val="664555801"/>
        </w:trPr>
        <w:tc>
          <w:tcPr>
            <w:tcW w:w="2517" w:type="pct"/>
            <w:shd w:val="clear" w:color="auto" w:fill="CFF0FC"/>
            <w:tcMar>
              <w:top w:w="15" w:type="dxa"/>
              <w:left w:w="0" w:type="dxa"/>
              <w:bottom w:w="0" w:type="dxa"/>
              <w:right w:w="15" w:type="dxa"/>
            </w:tcMar>
            <w:vAlign w:val="bottom"/>
            <w:hideMark/>
          </w:tcPr>
          <w:p w14:paraId="1B98A7A9" w14:textId="77777777" w:rsidR="00000000" w:rsidRDefault="00B8284C">
            <w:pPr>
              <w:pStyle w:val="a3"/>
              <w:spacing w:before="0" w:beforeAutospacing="0" w:after="0" w:afterAutospacing="0"/>
              <w:rPr>
                <w:color w:val="000000"/>
                <w:sz w:val="20"/>
                <w:szCs w:val="20"/>
              </w:rPr>
            </w:pPr>
            <w:r>
              <w:rPr>
                <w:color w:val="000000"/>
                <w:sz w:val="20"/>
                <w:szCs w:val="20"/>
              </w:rPr>
              <w:t>Gross profit</w:t>
            </w:r>
          </w:p>
        </w:tc>
        <w:tc>
          <w:tcPr>
            <w:tcW w:w="61" w:type="pct"/>
            <w:shd w:val="clear" w:color="auto" w:fill="CFF0FC"/>
            <w:tcMar>
              <w:top w:w="15" w:type="dxa"/>
              <w:left w:w="0" w:type="dxa"/>
              <w:bottom w:w="0" w:type="dxa"/>
              <w:right w:w="15" w:type="dxa"/>
            </w:tcMar>
            <w:vAlign w:val="bottom"/>
            <w:hideMark/>
          </w:tcPr>
          <w:p w14:paraId="4A64AC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33993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2C90FD7" w14:textId="77777777" w:rsidR="00000000" w:rsidRDefault="00B8284C">
            <w:pPr>
              <w:pStyle w:val="a3"/>
              <w:spacing w:before="0" w:beforeAutospacing="0" w:after="0" w:afterAutospacing="0"/>
              <w:jc w:val="right"/>
              <w:rPr>
                <w:color w:val="000000"/>
                <w:sz w:val="20"/>
                <w:szCs w:val="20"/>
              </w:rPr>
            </w:pPr>
            <w:r>
              <w:rPr>
                <w:color w:val="000000"/>
                <w:sz w:val="20"/>
                <w:szCs w:val="20"/>
              </w:rPr>
              <w:t>81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715E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63DAC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03933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F328BE7" w14:textId="77777777" w:rsidR="00000000" w:rsidRDefault="00B8284C">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14:paraId="112DF3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AD9283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7E914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3BDE3DB" w14:textId="77777777" w:rsidR="00000000" w:rsidRDefault="00B8284C">
            <w:pPr>
              <w:pStyle w:val="a3"/>
              <w:spacing w:before="0" w:beforeAutospacing="0" w:after="0" w:afterAutospacing="0"/>
              <w:jc w:val="right"/>
              <w:rPr>
                <w:color w:val="000000"/>
                <w:sz w:val="20"/>
                <w:szCs w:val="20"/>
              </w:rPr>
            </w:pPr>
            <w:r>
              <w:rPr>
                <w:color w:val="000000"/>
                <w:sz w:val="20"/>
                <w:szCs w:val="20"/>
              </w:rPr>
              <w:t>81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6DB46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535960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3C879E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CFA89F0" w14:textId="77777777" w:rsidR="00000000" w:rsidRDefault="00B8284C">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14:paraId="528A73E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1AC23DA3" w14:textId="77777777">
        <w:trPr>
          <w:divId w:val="664555801"/>
        </w:trPr>
        <w:tc>
          <w:tcPr>
            <w:tcW w:w="2517" w:type="pct"/>
            <w:shd w:val="clear" w:color="auto" w:fill="FFFFFF"/>
            <w:tcMar>
              <w:top w:w="15" w:type="dxa"/>
              <w:left w:w="0" w:type="dxa"/>
              <w:bottom w:w="0" w:type="dxa"/>
              <w:right w:w="15" w:type="dxa"/>
            </w:tcMar>
            <w:vAlign w:val="bottom"/>
            <w:hideMark/>
          </w:tcPr>
          <w:p w14:paraId="087A4F1F" w14:textId="77777777" w:rsidR="00000000" w:rsidRDefault="00B8284C">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14:paraId="573A15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A56D2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1FD7130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902D8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D3E4CF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A1B98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0FC251C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C846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A582F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43187A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3B2E055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F905F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0A4243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40E7B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3A9ADFE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8B72D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016C3C1" w14:textId="77777777">
        <w:trPr>
          <w:divId w:val="664555801"/>
        </w:trPr>
        <w:tc>
          <w:tcPr>
            <w:tcW w:w="2517" w:type="pct"/>
            <w:shd w:val="clear" w:color="auto" w:fill="CFF0FC"/>
            <w:tcMar>
              <w:top w:w="15" w:type="dxa"/>
              <w:left w:w="0" w:type="dxa"/>
              <w:bottom w:w="0" w:type="dxa"/>
              <w:right w:w="15" w:type="dxa"/>
            </w:tcMar>
            <w:vAlign w:val="bottom"/>
            <w:hideMark/>
          </w:tcPr>
          <w:p w14:paraId="28C35648" w14:textId="77777777" w:rsidR="00000000" w:rsidRDefault="00B8284C">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68D1C7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D593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687961F" w14:textId="77777777" w:rsidR="00000000" w:rsidRDefault="00B8284C">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7A9705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EAF122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5824A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98212BF" w14:textId="77777777" w:rsidR="00000000" w:rsidRDefault="00B8284C">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3E1616B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071F8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4872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9701086" w14:textId="77777777" w:rsidR="00000000" w:rsidRDefault="00B8284C">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CFF0FC"/>
            <w:noWrap/>
            <w:tcMar>
              <w:top w:w="15" w:type="dxa"/>
              <w:left w:w="0" w:type="dxa"/>
              <w:bottom w:w="0" w:type="dxa"/>
              <w:right w:w="15" w:type="dxa"/>
            </w:tcMar>
            <w:vAlign w:val="bottom"/>
            <w:hideMark/>
          </w:tcPr>
          <w:p w14:paraId="5B36E2D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3A9E7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19F1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649CE8A" w14:textId="77777777" w:rsidR="00000000" w:rsidRDefault="00B8284C">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3885623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901F8A8" w14:textId="77777777">
        <w:trPr>
          <w:divId w:val="664555801"/>
        </w:trPr>
        <w:tc>
          <w:tcPr>
            <w:tcW w:w="2517" w:type="pct"/>
            <w:shd w:val="clear" w:color="auto" w:fill="FFFFFF"/>
            <w:tcMar>
              <w:top w:w="15" w:type="dxa"/>
              <w:left w:w="0" w:type="dxa"/>
              <w:bottom w:w="0" w:type="dxa"/>
              <w:right w:w="15" w:type="dxa"/>
            </w:tcMar>
            <w:vAlign w:val="bottom"/>
            <w:hideMark/>
          </w:tcPr>
          <w:p w14:paraId="3460BE26" w14:textId="77777777" w:rsidR="00000000" w:rsidRDefault="00B8284C">
            <w:pPr>
              <w:pStyle w:val="a3"/>
              <w:spacing w:before="0" w:beforeAutospacing="0" w:after="0" w:afterAutospacing="0"/>
              <w:ind w:left="274"/>
              <w:rPr>
                <w:color w:val="000000"/>
                <w:sz w:val="20"/>
                <w:szCs w:val="20"/>
              </w:rPr>
            </w:pPr>
            <w:r>
              <w:rPr>
                <w:color w:val="000000"/>
                <w:sz w:val="20"/>
                <w:szCs w:val="20"/>
              </w:rPr>
              <w:t>Sales and marketing</w:t>
            </w:r>
          </w:p>
        </w:tc>
        <w:tc>
          <w:tcPr>
            <w:tcW w:w="61" w:type="pct"/>
            <w:shd w:val="clear" w:color="auto" w:fill="FFFFFF"/>
            <w:tcMar>
              <w:top w:w="15" w:type="dxa"/>
              <w:left w:w="0" w:type="dxa"/>
              <w:bottom w:w="0" w:type="dxa"/>
              <w:right w:w="15" w:type="dxa"/>
            </w:tcMar>
            <w:vAlign w:val="bottom"/>
            <w:hideMark/>
          </w:tcPr>
          <w:p w14:paraId="7E6B752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7AE9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5668A20" w14:textId="77777777" w:rsidR="00000000" w:rsidRDefault="00B8284C">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39CDAE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2AF9C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20B09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F24159A" w14:textId="77777777" w:rsidR="00000000" w:rsidRDefault="00B8284C">
            <w:pPr>
              <w:pStyle w:val="a3"/>
              <w:spacing w:before="0" w:beforeAutospacing="0" w:after="0" w:afterAutospacing="0"/>
              <w:jc w:val="right"/>
              <w:rPr>
                <w:color w:val="000000"/>
                <w:sz w:val="20"/>
                <w:szCs w:val="20"/>
              </w:rPr>
            </w:pPr>
            <w:r>
              <w:rPr>
                <w:color w:val="000000"/>
                <w:sz w:val="20"/>
                <w:szCs w:val="20"/>
              </w:rPr>
              <w:t>54</w:t>
            </w:r>
          </w:p>
        </w:tc>
        <w:tc>
          <w:tcPr>
            <w:tcW w:w="50" w:type="pct"/>
            <w:shd w:val="clear" w:color="auto" w:fill="FFFFFF"/>
            <w:noWrap/>
            <w:tcMar>
              <w:top w:w="15" w:type="dxa"/>
              <w:left w:w="0" w:type="dxa"/>
              <w:bottom w:w="0" w:type="dxa"/>
              <w:right w:w="15" w:type="dxa"/>
            </w:tcMar>
            <w:vAlign w:val="bottom"/>
            <w:hideMark/>
          </w:tcPr>
          <w:p w14:paraId="565DB95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49C3D4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E8DF7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8D16A96" w14:textId="77777777" w:rsidR="00000000" w:rsidRDefault="00B8284C">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14:paraId="14F2E9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5F80B5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D6E48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A09575E" w14:textId="77777777" w:rsidR="00000000" w:rsidRDefault="00B8284C">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0369B2EE"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5336CFE" w14:textId="77777777">
        <w:trPr>
          <w:divId w:val="664555801"/>
        </w:trPr>
        <w:tc>
          <w:tcPr>
            <w:tcW w:w="2517" w:type="pct"/>
            <w:shd w:val="clear" w:color="auto" w:fill="CFF0FC"/>
            <w:tcMar>
              <w:top w:w="15" w:type="dxa"/>
              <w:left w:w="0" w:type="dxa"/>
              <w:bottom w:w="0" w:type="dxa"/>
              <w:right w:w="15" w:type="dxa"/>
            </w:tcMar>
            <w:vAlign w:val="bottom"/>
            <w:hideMark/>
          </w:tcPr>
          <w:p w14:paraId="2BACEE3E" w14:textId="77777777" w:rsidR="00000000" w:rsidRDefault="00B8284C">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14:paraId="243C969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6AF9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A02BA5B" w14:textId="77777777" w:rsidR="00000000" w:rsidRDefault="00B8284C">
            <w:pPr>
              <w:pStyle w:val="a3"/>
              <w:spacing w:before="0" w:beforeAutospacing="0" w:after="0" w:afterAutospacing="0"/>
              <w:jc w:val="right"/>
              <w:rPr>
                <w:color w:val="000000"/>
                <w:sz w:val="20"/>
                <w:szCs w:val="20"/>
              </w:rPr>
            </w:pPr>
            <w:r>
              <w:rPr>
                <w:color w:val="000000"/>
                <w:sz w:val="20"/>
                <w:szCs w:val="20"/>
              </w:rPr>
              <w:t>13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B43D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E9FAF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15D78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3F9F78A"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779A24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F64F18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9322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DA38EAB"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6A501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3319B4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1E0A5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87FA3DD" w14:textId="77777777" w:rsidR="00000000" w:rsidRDefault="00B8284C">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33BE439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478BF53" w14:textId="77777777">
        <w:trPr>
          <w:divId w:val="664555801"/>
        </w:trPr>
        <w:tc>
          <w:tcPr>
            <w:tcW w:w="2517" w:type="pct"/>
            <w:shd w:val="clear" w:color="auto" w:fill="FFFFFF"/>
            <w:tcMar>
              <w:top w:w="15" w:type="dxa"/>
              <w:left w:w="0" w:type="dxa"/>
              <w:bottom w:w="0" w:type="dxa"/>
              <w:right w:w="15" w:type="dxa"/>
            </w:tcMar>
            <w:vAlign w:val="bottom"/>
            <w:hideMark/>
          </w:tcPr>
          <w:p w14:paraId="40E91926" w14:textId="77777777" w:rsidR="00000000" w:rsidRDefault="00B8284C">
            <w:pPr>
              <w:pStyle w:val="a3"/>
              <w:spacing w:before="0" w:beforeAutospacing="0" w:after="0" w:afterAutospacing="0"/>
              <w:ind w:left="547"/>
              <w:rPr>
                <w:color w:val="000000"/>
                <w:sz w:val="20"/>
                <w:szCs w:val="20"/>
              </w:rPr>
            </w:pPr>
            <w:r>
              <w:rPr>
                <w:color w:val="000000"/>
                <w:sz w:val="20"/>
                <w:szCs w:val="20"/>
              </w:rPr>
              <w:t>Total operating expenses</w:t>
            </w:r>
          </w:p>
        </w:tc>
        <w:tc>
          <w:tcPr>
            <w:tcW w:w="61" w:type="pct"/>
            <w:shd w:val="clear" w:color="auto" w:fill="FFFFFF"/>
            <w:tcMar>
              <w:top w:w="15" w:type="dxa"/>
              <w:left w:w="0" w:type="dxa"/>
              <w:bottom w:w="0" w:type="dxa"/>
              <w:right w:w="15" w:type="dxa"/>
            </w:tcMar>
            <w:vAlign w:val="bottom"/>
            <w:hideMark/>
          </w:tcPr>
          <w:p w14:paraId="4976AE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14538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BD66F16" w14:textId="77777777" w:rsidR="00000000" w:rsidRDefault="00B8284C">
            <w:pPr>
              <w:pStyle w:val="a3"/>
              <w:spacing w:before="0" w:beforeAutospacing="0" w:after="0" w:afterAutospacing="0"/>
              <w:jc w:val="right"/>
              <w:rPr>
                <w:color w:val="000000"/>
                <w:sz w:val="20"/>
                <w:szCs w:val="20"/>
              </w:rPr>
            </w:pPr>
            <w:r>
              <w:rPr>
                <w:color w:val="000000"/>
                <w:sz w:val="20"/>
                <w:szCs w:val="20"/>
              </w:rPr>
              <w:t>89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C708C8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4CC53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D9A766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9BE44F6" w14:textId="77777777" w:rsidR="00000000" w:rsidRDefault="00B8284C">
            <w:pPr>
              <w:pStyle w:val="a3"/>
              <w:spacing w:before="0" w:beforeAutospacing="0" w:after="0" w:afterAutospacing="0"/>
              <w:jc w:val="right"/>
              <w:rPr>
                <w:color w:val="000000"/>
                <w:sz w:val="20"/>
                <w:szCs w:val="20"/>
              </w:rPr>
            </w:pPr>
            <w:r>
              <w:rPr>
                <w:color w:val="000000"/>
                <w:sz w:val="20"/>
                <w:szCs w:val="20"/>
              </w:rPr>
              <w:t>92</w:t>
            </w:r>
          </w:p>
        </w:tc>
        <w:tc>
          <w:tcPr>
            <w:tcW w:w="50" w:type="pct"/>
            <w:shd w:val="clear" w:color="auto" w:fill="FFFFFF"/>
            <w:noWrap/>
            <w:tcMar>
              <w:top w:w="15" w:type="dxa"/>
              <w:left w:w="0" w:type="dxa"/>
              <w:bottom w:w="0" w:type="dxa"/>
              <w:right w:w="15" w:type="dxa"/>
            </w:tcMar>
            <w:vAlign w:val="bottom"/>
            <w:hideMark/>
          </w:tcPr>
          <w:p w14:paraId="3368538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4594AC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9725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174BB90" w14:textId="77777777" w:rsidR="00000000" w:rsidRDefault="00B8284C">
            <w:pPr>
              <w:pStyle w:val="a3"/>
              <w:spacing w:before="0" w:beforeAutospacing="0" w:after="0" w:afterAutospacing="0"/>
              <w:jc w:val="right"/>
              <w:rPr>
                <w:color w:val="000000"/>
                <w:sz w:val="20"/>
                <w:szCs w:val="20"/>
              </w:rPr>
            </w:pPr>
            <w:r>
              <w:rPr>
                <w:color w:val="000000"/>
                <w:sz w:val="20"/>
                <w:szCs w:val="20"/>
              </w:rPr>
              <w:t>89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64C4F5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88D8AA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90C5F9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BCE00E" w14:textId="77777777" w:rsidR="00000000" w:rsidRDefault="00B8284C">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FFFFFF"/>
            <w:noWrap/>
            <w:tcMar>
              <w:top w:w="15" w:type="dxa"/>
              <w:left w:w="0" w:type="dxa"/>
              <w:bottom w:w="0" w:type="dxa"/>
              <w:right w:w="15" w:type="dxa"/>
            </w:tcMar>
            <w:vAlign w:val="bottom"/>
            <w:hideMark/>
          </w:tcPr>
          <w:p w14:paraId="7AEC40A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70B0468" w14:textId="77777777">
        <w:trPr>
          <w:divId w:val="664555801"/>
        </w:trPr>
        <w:tc>
          <w:tcPr>
            <w:tcW w:w="2517" w:type="pct"/>
            <w:shd w:val="clear" w:color="auto" w:fill="CFF0FC"/>
            <w:tcMar>
              <w:top w:w="15" w:type="dxa"/>
              <w:left w:w="0" w:type="dxa"/>
              <w:bottom w:w="0" w:type="dxa"/>
              <w:right w:w="15" w:type="dxa"/>
            </w:tcMar>
            <w:vAlign w:val="bottom"/>
            <w:hideMark/>
          </w:tcPr>
          <w:p w14:paraId="3750B4C9" w14:textId="77777777" w:rsidR="00000000" w:rsidRDefault="00B8284C">
            <w:pPr>
              <w:pStyle w:val="a3"/>
              <w:spacing w:before="0" w:beforeAutospacing="0" w:after="0" w:afterAutospacing="0"/>
              <w:rPr>
                <w:color w:val="000000"/>
                <w:sz w:val="20"/>
                <w:szCs w:val="20"/>
              </w:rPr>
            </w:pPr>
            <w:r>
              <w:rPr>
                <w:color w:val="000000"/>
                <w:sz w:val="20"/>
                <w:szCs w:val="20"/>
              </w:rPr>
              <w:t>Loss from operations</w:t>
            </w:r>
          </w:p>
        </w:tc>
        <w:tc>
          <w:tcPr>
            <w:tcW w:w="61" w:type="pct"/>
            <w:shd w:val="clear" w:color="auto" w:fill="CFF0FC"/>
            <w:tcMar>
              <w:top w:w="15" w:type="dxa"/>
              <w:left w:w="0" w:type="dxa"/>
              <w:bottom w:w="0" w:type="dxa"/>
              <w:right w:w="15" w:type="dxa"/>
            </w:tcMar>
            <w:vAlign w:val="bottom"/>
            <w:hideMark/>
          </w:tcPr>
          <w:p w14:paraId="2E3450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00EAE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641A1A6" w14:textId="77777777" w:rsidR="00000000" w:rsidRDefault="00B8284C">
            <w:pPr>
              <w:pStyle w:val="a3"/>
              <w:spacing w:before="0" w:beforeAutospacing="0" w:after="0" w:afterAutospacing="0"/>
              <w:jc w:val="right"/>
              <w:rPr>
                <w:color w:val="000000"/>
                <w:sz w:val="20"/>
                <w:szCs w:val="20"/>
              </w:rPr>
            </w:pPr>
            <w:r>
              <w:rPr>
                <w:color w:val="000000"/>
                <w:sz w:val="20"/>
                <w:szCs w:val="20"/>
              </w:rPr>
              <w:t>(8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E33A7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E45D26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A65D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44F003E" w14:textId="77777777" w:rsidR="00000000" w:rsidRDefault="00B8284C">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14:paraId="15C93B2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3EEAE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9E618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51040F3" w14:textId="77777777" w:rsidR="00000000" w:rsidRDefault="00B8284C">
            <w:pPr>
              <w:pStyle w:val="a3"/>
              <w:spacing w:before="0" w:beforeAutospacing="0" w:after="0" w:afterAutospacing="0"/>
              <w:jc w:val="right"/>
              <w:rPr>
                <w:color w:val="000000"/>
                <w:sz w:val="20"/>
                <w:szCs w:val="20"/>
              </w:rPr>
            </w:pPr>
            <w:r>
              <w:rPr>
                <w:color w:val="000000"/>
                <w:sz w:val="20"/>
                <w:szCs w:val="20"/>
              </w:rPr>
              <w:t>(8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987A0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38D360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5E97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6DAF4D0" w14:textId="77777777" w:rsidR="00000000" w:rsidRDefault="00B8284C">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14:paraId="78EEAA5F"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2BD87743" w14:textId="77777777">
        <w:trPr>
          <w:divId w:val="664555801"/>
        </w:trPr>
        <w:tc>
          <w:tcPr>
            <w:tcW w:w="2517" w:type="pct"/>
            <w:shd w:val="clear" w:color="auto" w:fill="FFFFFF"/>
            <w:tcMar>
              <w:top w:w="15" w:type="dxa"/>
              <w:left w:w="0" w:type="dxa"/>
              <w:bottom w:w="0" w:type="dxa"/>
              <w:right w:w="15" w:type="dxa"/>
            </w:tcMar>
            <w:vAlign w:val="bottom"/>
            <w:hideMark/>
          </w:tcPr>
          <w:p w14:paraId="7CB4FA65" w14:textId="77777777" w:rsidR="00000000" w:rsidRDefault="00B8284C">
            <w:pPr>
              <w:pStyle w:val="a3"/>
              <w:spacing w:before="0" w:beforeAutospacing="0" w:after="0" w:afterAutospacing="0"/>
              <w:ind w:left="547"/>
              <w:rPr>
                <w:color w:val="000000"/>
                <w:sz w:val="20"/>
                <w:szCs w:val="20"/>
              </w:rPr>
            </w:pPr>
            <w:r>
              <w:rPr>
                <w:color w:val="000000"/>
                <w:sz w:val="20"/>
                <w:szCs w:val="20"/>
              </w:rPr>
              <w:t>Total other expense</w:t>
            </w:r>
          </w:p>
        </w:tc>
        <w:tc>
          <w:tcPr>
            <w:tcW w:w="61" w:type="pct"/>
            <w:shd w:val="clear" w:color="auto" w:fill="FFFFFF"/>
            <w:tcMar>
              <w:top w:w="15" w:type="dxa"/>
              <w:left w:w="0" w:type="dxa"/>
              <w:bottom w:w="0" w:type="dxa"/>
              <w:right w:w="15" w:type="dxa"/>
            </w:tcMar>
            <w:vAlign w:val="bottom"/>
            <w:hideMark/>
          </w:tcPr>
          <w:p w14:paraId="45F6F5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29466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07F6D1D"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38996C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06A0E5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B4C78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5568252" w14:textId="77777777" w:rsidR="00000000" w:rsidRDefault="00B8284C">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32D2513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98190A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A96437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1A5D616" w14:textId="77777777" w:rsidR="00000000" w:rsidRDefault="00B8284C">
            <w:pPr>
              <w:pStyle w:val="a3"/>
              <w:spacing w:before="0" w:beforeAutospacing="0" w:after="0" w:afterAutospacing="0"/>
              <w:jc w:val="right"/>
              <w:rPr>
                <w:color w:val="000000"/>
                <w:sz w:val="20"/>
                <w:szCs w:val="20"/>
              </w:rPr>
            </w:pPr>
            <w:r>
              <w:rPr>
                <w:color w:val="000000"/>
                <w:sz w:val="20"/>
                <w:szCs w:val="20"/>
              </w:rPr>
              <w:t>(1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212DEE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8FD7C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FA1635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D6C6973" w14:textId="77777777" w:rsidR="00000000" w:rsidRDefault="00B8284C">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23165C1D"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1CB13FE4" w14:textId="77777777">
        <w:trPr>
          <w:divId w:val="664555801"/>
        </w:trPr>
        <w:tc>
          <w:tcPr>
            <w:tcW w:w="2517" w:type="pct"/>
            <w:shd w:val="clear" w:color="auto" w:fill="CFF0FC"/>
            <w:tcMar>
              <w:top w:w="15" w:type="dxa"/>
              <w:left w:w="0" w:type="dxa"/>
              <w:bottom w:w="0" w:type="dxa"/>
              <w:right w:w="15" w:type="dxa"/>
            </w:tcMar>
            <w:vAlign w:val="bottom"/>
            <w:hideMark/>
          </w:tcPr>
          <w:p w14:paraId="2A641E0E" w14:textId="77777777" w:rsidR="00000000" w:rsidRDefault="00B8284C">
            <w:pPr>
              <w:pStyle w:val="a3"/>
              <w:spacing w:before="0" w:beforeAutospacing="0" w:after="0" w:afterAutospacing="0"/>
              <w:rPr>
                <w:color w:val="000000"/>
                <w:sz w:val="20"/>
                <w:szCs w:val="20"/>
              </w:rPr>
            </w:pPr>
            <w:r>
              <w:rPr>
                <w:color w:val="000000"/>
                <w:sz w:val="20"/>
                <w:szCs w:val="20"/>
              </w:rPr>
              <w:t>Loss before income tax expense</w:t>
            </w:r>
          </w:p>
        </w:tc>
        <w:tc>
          <w:tcPr>
            <w:tcW w:w="61" w:type="pct"/>
            <w:shd w:val="clear" w:color="auto" w:fill="CFF0FC"/>
            <w:tcMar>
              <w:top w:w="15" w:type="dxa"/>
              <w:left w:w="0" w:type="dxa"/>
              <w:bottom w:w="0" w:type="dxa"/>
              <w:right w:w="15" w:type="dxa"/>
            </w:tcMar>
            <w:vAlign w:val="bottom"/>
            <w:hideMark/>
          </w:tcPr>
          <w:p w14:paraId="5DE1DB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A7C9A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BEF1476" w14:textId="77777777" w:rsidR="00000000" w:rsidRDefault="00B8284C">
            <w:pPr>
              <w:pStyle w:val="a3"/>
              <w:spacing w:before="0" w:beforeAutospacing="0" w:after="0" w:afterAutospacing="0"/>
              <w:jc w:val="right"/>
              <w:rPr>
                <w:color w:val="000000"/>
                <w:sz w:val="20"/>
                <w:szCs w:val="20"/>
              </w:rPr>
            </w:pPr>
            <w:r>
              <w:rPr>
                <w:color w:val="000000"/>
                <w:sz w:val="20"/>
                <w:szCs w:val="20"/>
              </w:rPr>
              <w:t>(8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F0A6B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438AEF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9E31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8DDAC34"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7B24234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46A33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3B5E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5B79E26" w14:textId="77777777" w:rsidR="00000000" w:rsidRDefault="00B8284C">
            <w:pPr>
              <w:pStyle w:val="a3"/>
              <w:spacing w:before="0" w:beforeAutospacing="0" w:after="0" w:afterAutospacing="0"/>
              <w:jc w:val="right"/>
              <w:rPr>
                <w:color w:val="000000"/>
                <w:sz w:val="20"/>
                <w:szCs w:val="20"/>
              </w:rPr>
            </w:pPr>
            <w:r>
              <w:rPr>
                <w:color w:val="000000"/>
                <w:sz w:val="20"/>
                <w:szCs w:val="20"/>
              </w:rPr>
              <w:t>(9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3ADEE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D8678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DAAFC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2958921"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1DBAA74F"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655D1161" w14:textId="77777777">
        <w:trPr>
          <w:divId w:val="664555801"/>
        </w:trPr>
        <w:tc>
          <w:tcPr>
            <w:tcW w:w="2517" w:type="pct"/>
            <w:shd w:val="clear" w:color="auto" w:fill="FFFFFF"/>
            <w:tcMar>
              <w:top w:w="15" w:type="dxa"/>
              <w:left w:w="0" w:type="dxa"/>
              <w:bottom w:w="0" w:type="dxa"/>
              <w:right w:w="15" w:type="dxa"/>
            </w:tcMar>
            <w:vAlign w:val="bottom"/>
            <w:hideMark/>
          </w:tcPr>
          <w:p w14:paraId="56ECDE86" w14:textId="77777777" w:rsidR="00000000" w:rsidRDefault="00B8284C">
            <w:pPr>
              <w:pStyle w:val="a3"/>
              <w:spacing w:before="0" w:beforeAutospacing="0" w:after="0" w:afterAutospacing="0"/>
              <w:ind w:left="547"/>
              <w:rPr>
                <w:color w:val="000000"/>
                <w:sz w:val="20"/>
                <w:szCs w:val="20"/>
              </w:rPr>
            </w:pPr>
            <w:r>
              <w:rPr>
                <w:color w:val="000000"/>
                <w:sz w:val="20"/>
                <w:szCs w:val="20"/>
              </w:rPr>
              <w:t>Income tax expense</w:t>
            </w:r>
          </w:p>
        </w:tc>
        <w:tc>
          <w:tcPr>
            <w:tcW w:w="61" w:type="pct"/>
            <w:shd w:val="clear" w:color="auto" w:fill="FFFFFF"/>
            <w:tcMar>
              <w:top w:w="15" w:type="dxa"/>
              <w:left w:w="0" w:type="dxa"/>
              <w:bottom w:w="0" w:type="dxa"/>
              <w:right w:w="15" w:type="dxa"/>
            </w:tcMar>
            <w:vAlign w:val="bottom"/>
            <w:hideMark/>
          </w:tcPr>
          <w:p w14:paraId="5821AC9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EE63A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15E2135"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32C9B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14E1F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D24109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B9DC6F7"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EE6B9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474A0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936595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50DBD90"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B2E134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1A58B9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E803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DD49C90"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086FB21"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E085EBA" w14:textId="77777777">
        <w:trPr>
          <w:divId w:val="664555801"/>
        </w:trPr>
        <w:tc>
          <w:tcPr>
            <w:tcW w:w="2517" w:type="pct"/>
            <w:shd w:val="clear" w:color="auto" w:fill="CFF0FC"/>
            <w:tcMar>
              <w:top w:w="15" w:type="dxa"/>
              <w:left w:w="0" w:type="dxa"/>
              <w:bottom w:w="0" w:type="dxa"/>
              <w:right w:w="15" w:type="dxa"/>
            </w:tcMar>
            <w:vAlign w:val="bottom"/>
            <w:hideMark/>
          </w:tcPr>
          <w:p w14:paraId="3E70A1C3" w14:textId="77777777" w:rsidR="00000000" w:rsidRDefault="00B8284C">
            <w:pPr>
              <w:pStyle w:val="a3"/>
              <w:spacing w:before="0" w:beforeAutospacing="0" w:after="0" w:afterAutospacing="0"/>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14:paraId="01FA826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6A0EC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C59BD9" w14:textId="77777777" w:rsidR="00000000" w:rsidRDefault="00B8284C">
            <w:pPr>
              <w:pStyle w:val="a3"/>
              <w:spacing w:before="0" w:beforeAutospacing="0" w:after="0" w:afterAutospacing="0"/>
              <w:jc w:val="right"/>
              <w:rPr>
                <w:color w:val="000000"/>
                <w:sz w:val="20"/>
                <w:szCs w:val="20"/>
              </w:rPr>
            </w:pPr>
            <w:r>
              <w:rPr>
                <w:color w:val="000000"/>
                <w:sz w:val="20"/>
                <w:szCs w:val="20"/>
              </w:rPr>
              <w:t>(9</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F89D1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8AFFFB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F28A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BAAA27"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1D1E6CF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3470E8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063AB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079C95" w14:textId="77777777" w:rsidR="00000000" w:rsidRDefault="00B8284C">
            <w:pPr>
              <w:pStyle w:val="a3"/>
              <w:spacing w:before="0" w:beforeAutospacing="0" w:after="0" w:afterAutospacing="0"/>
              <w:jc w:val="right"/>
              <w:rPr>
                <w:color w:val="000000"/>
                <w:sz w:val="20"/>
                <w:szCs w:val="20"/>
              </w:rPr>
            </w:pPr>
            <w:r>
              <w:rPr>
                <w:color w:val="000000"/>
                <w:sz w:val="20"/>
                <w:szCs w:val="20"/>
              </w:rPr>
              <w:t>(9</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0EBDA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58E41A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796D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7AD0DF"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10ABE8A3" w14:textId="77777777" w:rsidR="00000000" w:rsidRDefault="00B8284C">
            <w:pPr>
              <w:pStyle w:val="a3"/>
              <w:spacing w:before="0" w:beforeAutospacing="0" w:after="0" w:afterAutospacing="0"/>
              <w:rPr>
                <w:color w:val="000000"/>
                <w:sz w:val="20"/>
                <w:szCs w:val="20"/>
              </w:rPr>
            </w:pPr>
            <w:r>
              <w:rPr>
                <w:color w:val="000000"/>
                <w:sz w:val="20"/>
                <w:szCs w:val="20"/>
              </w:rPr>
              <w:t>)%</w:t>
            </w:r>
          </w:p>
        </w:tc>
      </w:tr>
    </w:tbl>
    <w:p w14:paraId="1226D12D" w14:textId="77777777" w:rsidR="00000000" w:rsidRDefault="00B8284C">
      <w:pPr>
        <w:pStyle w:val="a3"/>
        <w:spacing w:before="0" w:beforeAutospacing="0" w:after="0" w:afterAutospacing="0"/>
        <w:rPr>
          <w:sz w:val="20"/>
          <w:szCs w:val="20"/>
        </w:rPr>
      </w:pPr>
      <w:r>
        <w:rPr>
          <w:sz w:val="20"/>
          <w:szCs w:val="20"/>
        </w:rPr>
        <w:t> </w:t>
      </w:r>
    </w:p>
    <w:p w14:paraId="76336963" w14:textId="77777777" w:rsidR="00000000" w:rsidRDefault="00B8284C">
      <w:pPr>
        <w:pStyle w:val="a3"/>
        <w:spacing w:before="40" w:beforeAutospacing="0" w:after="0" w:afterAutospacing="0"/>
        <w:ind w:firstLine="556"/>
        <w:rPr>
          <w:sz w:val="20"/>
          <w:szCs w:val="20"/>
        </w:rPr>
      </w:pPr>
      <w:r>
        <w:rPr>
          <w:sz w:val="20"/>
          <w:szCs w:val="20"/>
        </w:rPr>
        <w:t>Percentages are based on actual values. Totals may not sum due to rounding.</w:t>
      </w:r>
    </w:p>
    <w:p w14:paraId="2D5EE417" w14:textId="77777777" w:rsidR="00000000" w:rsidRDefault="00B8284C">
      <w:pPr>
        <w:pStyle w:val="a3"/>
        <w:spacing w:before="0" w:beforeAutospacing="0" w:after="0" w:afterAutospacing="0"/>
        <w:ind w:firstLine="556"/>
        <w:rPr>
          <w:sz w:val="20"/>
          <w:szCs w:val="20"/>
        </w:rPr>
      </w:pPr>
      <w:r>
        <w:rPr>
          <w:sz w:val="20"/>
          <w:szCs w:val="20"/>
        </w:rPr>
        <w:t> </w:t>
      </w:r>
    </w:p>
    <w:p w14:paraId="2C611A34" w14:textId="77777777" w:rsidR="00000000" w:rsidRDefault="00B8284C">
      <w:pPr>
        <w:pStyle w:val="a3"/>
        <w:spacing w:before="160" w:beforeAutospacing="0" w:after="0" w:afterAutospacing="0"/>
        <w:rPr>
          <w:b/>
          <w:bCs/>
          <w:sz w:val="20"/>
          <w:szCs w:val="20"/>
        </w:rPr>
      </w:pPr>
      <w:r>
        <w:rPr>
          <w:b/>
          <w:bCs/>
          <w:sz w:val="20"/>
          <w:szCs w:val="20"/>
        </w:rPr>
        <w:t>Three and Nine Months Ended September 30, 2019 Compared to the Three and Nine Months Ended September 30, 2018</w:t>
      </w:r>
    </w:p>
    <w:p w14:paraId="2436FA2F" w14:textId="77777777" w:rsidR="00000000" w:rsidRDefault="00B8284C">
      <w:pPr>
        <w:pStyle w:val="a3"/>
        <w:spacing w:before="120" w:beforeAutospacing="0" w:after="0" w:afterAutospacing="0"/>
        <w:rPr>
          <w:b/>
          <w:bCs/>
          <w:i/>
          <w:iCs/>
          <w:sz w:val="20"/>
          <w:szCs w:val="20"/>
        </w:rPr>
      </w:pPr>
      <w:r>
        <w:rPr>
          <w:b/>
          <w:bCs/>
          <w:i/>
          <w:iCs/>
          <w:sz w:val="20"/>
          <w:szCs w:val="20"/>
        </w:rPr>
        <w:t>Revenue</w:t>
      </w:r>
    </w:p>
    <w:p w14:paraId="6C28A6E0"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301"/>
        <w:gridCol w:w="65"/>
        <w:gridCol w:w="115"/>
        <w:gridCol w:w="665"/>
        <w:gridCol w:w="65"/>
        <w:gridCol w:w="65"/>
        <w:gridCol w:w="115"/>
        <w:gridCol w:w="665"/>
        <w:gridCol w:w="65"/>
        <w:gridCol w:w="65"/>
        <w:gridCol w:w="115"/>
        <w:gridCol w:w="565"/>
        <w:gridCol w:w="65"/>
        <w:gridCol w:w="65"/>
        <w:gridCol w:w="112"/>
        <w:gridCol w:w="628"/>
        <w:gridCol w:w="182"/>
        <w:gridCol w:w="65"/>
        <w:gridCol w:w="115"/>
        <w:gridCol w:w="665"/>
        <w:gridCol w:w="65"/>
        <w:gridCol w:w="65"/>
        <w:gridCol w:w="115"/>
        <w:gridCol w:w="665"/>
        <w:gridCol w:w="65"/>
        <w:gridCol w:w="65"/>
        <w:gridCol w:w="115"/>
        <w:gridCol w:w="665"/>
        <w:gridCol w:w="65"/>
        <w:gridCol w:w="65"/>
        <w:gridCol w:w="112"/>
        <w:gridCol w:w="628"/>
        <w:gridCol w:w="182"/>
      </w:tblGrid>
      <w:tr w:rsidR="00000000" w14:paraId="48A07524" w14:textId="77777777">
        <w:trPr>
          <w:divId w:val="661851828"/>
        </w:trPr>
        <w:tc>
          <w:tcPr>
            <w:tcW w:w="1526" w:type="pct"/>
            <w:shd w:val="clear" w:color="auto" w:fill="FFFFFF"/>
            <w:tcMar>
              <w:top w:w="15" w:type="dxa"/>
              <w:left w:w="0" w:type="dxa"/>
              <w:bottom w:w="0" w:type="dxa"/>
              <w:right w:w="15" w:type="dxa"/>
            </w:tcMar>
            <w:vAlign w:val="bottom"/>
            <w:hideMark/>
          </w:tcPr>
          <w:p w14:paraId="6E96DC5A" w14:textId="77777777" w:rsidR="00000000" w:rsidRDefault="00B8284C">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2C90680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AF292D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06F8A0A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0B379F8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FF0B43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03FAE6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261367D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183473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4502CB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2CFA47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72E485F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3F3A1A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48C930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4FF2335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19A84D6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68AD1B4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3FBCCC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DECD12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0120A89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CF0D0E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D8BB15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31E75F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29FB8F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488368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4C1978E6" w14:textId="77777777">
        <w:trPr>
          <w:divId w:val="661851828"/>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4EBAC456" w14:textId="77777777" w:rsidR="00000000" w:rsidRDefault="00B8284C">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6E0B046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B522E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B0A0F2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0BF42D5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7BA10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EDDFF4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5984B2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E87B55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745925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30C007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E7B1F3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246A359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997825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6FB67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CB8E1C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4BBA7F9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BE683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FB149C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F67D61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1D8D342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D16A96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96E1AE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100AF02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EAADE2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B8284C" w14:paraId="71D121B4" w14:textId="77777777">
        <w:trPr>
          <w:divId w:val="661851828"/>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083FFDA1" w14:textId="77777777" w:rsidR="00000000" w:rsidRDefault="00B8284C">
            <w:pPr>
              <w:pStyle w:val="a3"/>
              <w:spacing w:before="0" w:beforeAutospacing="0" w:after="0" w:afterAutospacing="0"/>
              <w:rPr>
                <w:color w:val="000000"/>
                <w:sz w:val="20"/>
                <w:szCs w:val="20"/>
              </w:rPr>
            </w:pPr>
            <w:r>
              <w:rPr>
                <w:color w:val="000000"/>
                <w:sz w:val="20"/>
                <w:szCs w:val="20"/>
              </w:rPr>
              <w:t>Revenues:</w:t>
            </w:r>
          </w:p>
        </w:tc>
        <w:tc>
          <w:tcPr>
            <w:tcW w:w="51" w:type="pct"/>
            <w:shd w:val="clear" w:color="auto" w:fill="CFF0FC"/>
            <w:tcMar>
              <w:top w:w="15" w:type="dxa"/>
              <w:left w:w="0" w:type="dxa"/>
              <w:bottom w:w="0" w:type="dxa"/>
              <w:right w:w="15" w:type="dxa"/>
            </w:tcMar>
            <w:vAlign w:val="bottom"/>
            <w:hideMark/>
          </w:tcPr>
          <w:p w14:paraId="19F1B67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F10C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27F495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2CA2C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36DC44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0EA3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DAF573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B21ED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E56F97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AD741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E4B8E2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99CC1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E38026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C0CD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0A269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A55FB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05574E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719D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6BDA9A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21B8B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9B830E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A38E16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32B7A2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F9957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2E8B12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E126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F973CD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0679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B6FD21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DC2EE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90006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00412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B8284C" w14:paraId="4A659B2B" w14:textId="77777777">
        <w:trPr>
          <w:divId w:val="661851828"/>
        </w:trPr>
        <w:tc>
          <w:tcPr>
            <w:tcW w:w="1526" w:type="pct"/>
            <w:shd w:val="clear" w:color="auto" w:fill="FFFFFF"/>
            <w:tcMar>
              <w:top w:w="15" w:type="dxa"/>
              <w:left w:w="0" w:type="dxa"/>
              <w:bottom w:w="0" w:type="dxa"/>
              <w:right w:w="15" w:type="dxa"/>
            </w:tcMar>
            <w:vAlign w:val="bottom"/>
            <w:hideMark/>
          </w:tcPr>
          <w:p w14:paraId="7F06E5BB" w14:textId="77777777" w:rsidR="00000000" w:rsidRDefault="00B8284C">
            <w:pPr>
              <w:pStyle w:val="a3"/>
              <w:spacing w:before="0" w:beforeAutospacing="0" w:after="0" w:afterAutospacing="0"/>
              <w:ind w:left="274"/>
              <w:rPr>
                <w:color w:val="000000"/>
                <w:sz w:val="20"/>
                <w:szCs w:val="20"/>
              </w:rPr>
            </w:pPr>
            <w:r>
              <w:rPr>
                <w:color w:val="000000"/>
                <w:sz w:val="20"/>
                <w:szCs w:val="20"/>
              </w:rPr>
              <w:t>Subscription</w:t>
            </w:r>
          </w:p>
        </w:tc>
        <w:tc>
          <w:tcPr>
            <w:tcW w:w="51" w:type="pct"/>
            <w:shd w:val="clear" w:color="auto" w:fill="FFFFFF"/>
            <w:tcMar>
              <w:top w:w="15" w:type="dxa"/>
              <w:left w:w="0" w:type="dxa"/>
              <w:bottom w:w="0" w:type="dxa"/>
              <w:right w:w="15" w:type="dxa"/>
            </w:tcMar>
            <w:vAlign w:val="bottom"/>
            <w:hideMark/>
          </w:tcPr>
          <w:p w14:paraId="46A834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E510A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17BC029A" w14:textId="77777777" w:rsidR="00000000" w:rsidRDefault="00B8284C">
            <w:pPr>
              <w:pStyle w:val="a3"/>
              <w:spacing w:before="0" w:beforeAutospacing="0" w:after="0" w:afterAutospacing="0"/>
              <w:jc w:val="right"/>
              <w:rPr>
                <w:color w:val="000000"/>
                <w:sz w:val="20"/>
                <w:szCs w:val="20"/>
              </w:rPr>
            </w:pPr>
            <w:r>
              <w:rPr>
                <w:color w:val="000000"/>
                <w:sz w:val="20"/>
                <w:szCs w:val="20"/>
              </w:rPr>
              <w:t>167,078</w:t>
            </w:r>
          </w:p>
        </w:tc>
        <w:tc>
          <w:tcPr>
            <w:tcW w:w="50" w:type="pct"/>
            <w:shd w:val="clear" w:color="auto" w:fill="FFFFFF"/>
            <w:noWrap/>
            <w:tcMar>
              <w:top w:w="15" w:type="dxa"/>
              <w:left w:w="0" w:type="dxa"/>
              <w:bottom w:w="0" w:type="dxa"/>
              <w:right w:w="15" w:type="dxa"/>
            </w:tcMar>
            <w:vAlign w:val="bottom"/>
            <w:hideMark/>
          </w:tcPr>
          <w:p w14:paraId="22BC89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5E310B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05178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55641764" w14:textId="77777777" w:rsidR="00000000" w:rsidRDefault="00B8284C">
            <w:pPr>
              <w:pStyle w:val="a3"/>
              <w:spacing w:before="0" w:beforeAutospacing="0" w:after="0" w:afterAutospacing="0"/>
              <w:jc w:val="right"/>
              <w:rPr>
                <w:color w:val="000000"/>
                <w:sz w:val="20"/>
                <w:szCs w:val="20"/>
              </w:rPr>
            </w:pPr>
            <w:r>
              <w:rPr>
                <w:color w:val="000000"/>
                <w:sz w:val="20"/>
                <w:szCs w:val="20"/>
              </w:rPr>
              <w:t>125,478</w:t>
            </w:r>
          </w:p>
        </w:tc>
        <w:tc>
          <w:tcPr>
            <w:tcW w:w="50" w:type="pct"/>
            <w:shd w:val="clear" w:color="auto" w:fill="FFFFFF"/>
            <w:noWrap/>
            <w:tcMar>
              <w:top w:w="15" w:type="dxa"/>
              <w:left w:w="0" w:type="dxa"/>
              <w:bottom w:w="0" w:type="dxa"/>
              <w:right w:w="15" w:type="dxa"/>
            </w:tcMar>
            <w:vAlign w:val="bottom"/>
            <w:hideMark/>
          </w:tcPr>
          <w:p w14:paraId="7BE23B8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111BE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C3FB8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4996056C" w14:textId="77777777" w:rsidR="00000000" w:rsidRDefault="00B8284C">
            <w:pPr>
              <w:pStyle w:val="a3"/>
              <w:spacing w:before="0" w:beforeAutospacing="0" w:after="0" w:afterAutospacing="0"/>
              <w:jc w:val="right"/>
              <w:rPr>
                <w:color w:val="000000"/>
                <w:sz w:val="20"/>
                <w:szCs w:val="20"/>
              </w:rPr>
            </w:pPr>
            <w:r>
              <w:rPr>
                <w:color w:val="000000"/>
                <w:sz w:val="20"/>
                <w:szCs w:val="20"/>
              </w:rPr>
              <w:t>41,600</w:t>
            </w:r>
          </w:p>
        </w:tc>
        <w:tc>
          <w:tcPr>
            <w:tcW w:w="50" w:type="pct"/>
            <w:shd w:val="clear" w:color="auto" w:fill="FFFFFF"/>
            <w:noWrap/>
            <w:tcMar>
              <w:top w:w="15" w:type="dxa"/>
              <w:left w:w="0" w:type="dxa"/>
              <w:bottom w:w="0" w:type="dxa"/>
              <w:right w:w="15" w:type="dxa"/>
            </w:tcMar>
            <w:vAlign w:val="bottom"/>
            <w:hideMark/>
          </w:tcPr>
          <w:p w14:paraId="1B5AD8B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7391EE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635AC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F9DB252" w14:textId="77777777" w:rsidR="00000000" w:rsidRDefault="00B8284C">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1FCED89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D5718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4B415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6F15C559" w14:textId="77777777" w:rsidR="00000000" w:rsidRDefault="00B8284C">
            <w:pPr>
              <w:pStyle w:val="a3"/>
              <w:spacing w:before="0" w:beforeAutospacing="0" w:after="0" w:afterAutospacing="0"/>
              <w:jc w:val="right"/>
              <w:rPr>
                <w:color w:val="000000"/>
                <w:sz w:val="20"/>
                <w:szCs w:val="20"/>
              </w:rPr>
            </w:pPr>
            <w:r>
              <w:rPr>
                <w:color w:val="000000"/>
                <w:sz w:val="20"/>
                <w:szCs w:val="20"/>
              </w:rPr>
              <w:t>467,180</w:t>
            </w:r>
          </w:p>
        </w:tc>
        <w:tc>
          <w:tcPr>
            <w:tcW w:w="50" w:type="pct"/>
            <w:shd w:val="clear" w:color="auto" w:fill="FFFFFF"/>
            <w:noWrap/>
            <w:tcMar>
              <w:top w:w="15" w:type="dxa"/>
              <w:left w:w="0" w:type="dxa"/>
              <w:bottom w:w="0" w:type="dxa"/>
              <w:right w:w="15" w:type="dxa"/>
            </w:tcMar>
            <w:vAlign w:val="bottom"/>
            <w:hideMark/>
          </w:tcPr>
          <w:p w14:paraId="3140CA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D9877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22372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24AB63AF" w14:textId="77777777" w:rsidR="00000000" w:rsidRDefault="00B8284C">
            <w:pPr>
              <w:pStyle w:val="a3"/>
              <w:spacing w:before="0" w:beforeAutospacing="0" w:after="0" w:afterAutospacing="0"/>
              <w:jc w:val="right"/>
              <w:rPr>
                <w:color w:val="000000"/>
                <w:sz w:val="20"/>
                <w:szCs w:val="20"/>
              </w:rPr>
            </w:pPr>
            <w:r>
              <w:rPr>
                <w:color w:val="000000"/>
                <w:sz w:val="20"/>
                <w:szCs w:val="20"/>
              </w:rPr>
              <w:t>350,646</w:t>
            </w:r>
          </w:p>
        </w:tc>
        <w:tc>
          <w:tcPr>
            <w:tcW w:w="50" w:type="pct"/>
            <w:shd w:val="clear" w:color="auto" w:fill="FFFFFF"/>
            <w:noWrap/>
            <w:tcMar>
              <w:top w:w="15" w:type="dxa"/>
              <w:left w:w="0" w:type="dxa"/>
              <w:bottom w:w="0" w:type="dxa"/>
              <w:right w:w="15" w:type="dxa"/>
            </w:tcMar>
            <w:vAlign w:val="bottom"/>
            <w:hideMark/>
          </w:tcPr>
          <w:p w14:paraId="5E1BFC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2A62EC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5C64D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2F96B939" w14:textId="77777777" w:rsidR="00000000" w:rsidRDefault="00B8284C">
            <w:pPr>
              <w:pStyle w:val="a3"/>
              <w:spacing w:before="0" w:beforeAutospacing="0" w:after="0" w:afterAutospacing="0"/>
              <w:jc w:val="right"/>
              <w:rPr>
                <w:color w:val="000000"/>
                <w:sz w:val="20"/>
                <w:szCs w:val="20"/>
              </w:rPr>
            </w:pPr>
            <w:r>
              <w:rPr>
                <w:color w:val="000000"/>
                <w:sz w:val="20"/>
                <w:szCs w:val="20"/>
              </w:rPr>
              <w:t>116,534</w:t>
            </w:r>
          </w:p>
        </w:tc>
        <w:tc>
          <w:tcPr>
            <w:tcW w:w="50" w:type="pct"/>
            <w:shd w:val="clear" w:color="auto" w:fill="FFFFFF"/>
            <w:noWrap/>
            <w:tcMar>
              <w:top w:w="15" w:type="dxa"/>
              <w:left w:w="0" w:type="dxa"/>
              <w:bottom w:w="0" w:type="dxa"/>
              <w:right w:w="15" w:type="dxa"/>
            </w:tcMar>
            <w:vAlign w:val="bottom"/>
            <w:hideMark/>
          </w:tcPr>
          <w:p w14:paraId="444C7D1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56712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4449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CBE8E49" w14:textId="77777777" w:rsidR="00000000" w:rsidRDefault="00B8284C">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75654DC6"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2B60C8A6" w14:textId="77777777">
        <w:trPr>
          <w:divId w:val="661851828"/>
        </w:trPr>
        <w:tc>
          <w:tcPr>
            <w:tcW w:w="1526" w:type="pct"/>
            <w:shd w:val="clear" w:color="auto" w:fill="CFF0FC"/>
            <w:tcMar>
              <w:top w:w="15" w:type="dxa"/>
              <w:left w:w="0" w:type="dxa"/>
              <w:bottom w:w="0" w:type="dxa"/>
              <w:right w:w="15" w:type="dxa"/>
            </w:tcMar>
            <w:vAlign w:val="bottom"/>
            <w:hideMark/>
          </w:tcPr>
          <w:p w14:paraId="36FE8C60" w14:textId="77777777" w:rsidR="00000000" w:rsidRDefault="00B8284C">
            <w:pPr>
              <w:pStyle w:val="a3"/>
              <w:spacing w:before="0" w:beforeAutospacing="0" w:after="0" w:afterAutospacing="0"/>
              <w:ind w:left="274"/>
              <w:rPr>
                <w:color w:val="000000"/>
                <w:sz w:val="20"/>
                <w:szCs w:val="20"/>
              </w:rPr>
            </w:pPr>
            <w:r>
              <w:rPr>
                <w:color w:val="000000"/>
                <w:sz w:val="20"/>
                <w:szCs w:val="20"/>
              </w:rPr>
              <w:t>Professional services and other</w:t>
            </w:r>
          </w:p>
        </w:tc>
        <w:tc>
          <w:tcPr>
            <w:tcW w:w="51" w:type="pct"/>
            <w:shd w:val="clear" w:color="auto" w:fill="CFF0FC"/>
            <w:tcMar>
              <w:top w:w="15" w:type="dxa"/>
              <w:left w:w="0" w:type="dxa"/>
              <w:bottom w:w="0" w:type="dxa"/>
              <w:right w:w="15" w:type="dxa"/>
            </w:tcMar>
            <w:vAlign w:val="bottom"/>
            <w:hideMark/>
          </w:tcPr>
          <w:p w14:paraId="5E5C0AD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C192E1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3D0989C9" w14:textId="77777777" w:rsidR="00000000" w:rsidRDefault="00B8284C">
            <w:pPr>
              <w:pStyle w:val="a3"/>
              <w:spacing w:before="0" w:beforeAutospacing="0" w:after="0" w:afterAutospacing="0"/>
              <w:jc w:val="right"/>
              <w:rPr>
                <w:color w:val="000000"/>
                <w:sz w:val="20"/>
                <w:szCs w:val="20"/>
              </w:rPr>
            </w:pPr>
            <w:r>
              <w:rPr>
                <w:color w:val="000000"/>
                <w:sz w:val="20"/>
                <w:szCs w:val="20"/>
              </w:rPr>
              <w:t>6,543</w:t>
            </w:r>
          </w:p>
        </w:tc>
        <w:tc>
          <w:tcPr>
            <w:tcW w:w="50" w:type="pct"/>
            <w:shd w:val="clear" w:color="auto" w:fill="CFF0FC"/>
            <w:noWrap/>
            <w:tcMar>
              <w:top w:w="15" w:type="dxa"/>
              <w:left w:w="0" w:type="dxa"/>
              <w:bottom w:w="0" w:type="dxa"/>
              <w:right w:w="15" w:type="dxa"/>
            </w:tcMar>
            <w:vAlign w:val="bottom"/>
            <w:hideMark/>
          </w:tcPr>
          <w:p w14:paraId="31F7B9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79A79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40E0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6FFA458A" w14:textId="77777777" w:rsidR="00000000" w:rsidRDefault="00B8284C">
            <w:pPr>
              <w:pStyle w:val="a3"/>
              <w:spacing w:before="0" w:beforeAutospacing="0" w:after="0" w:afterAutospacing="0"/>
              <w:jc w:val="right"/>
              <w:rPr>
                <w:color w:val="000000"/>
                <w:sz w:val="20"/>
                <w:szCs w:val="20"/>
              </w:rPr>
            </w:pPr>
            <w:r>
              <w:rPr>
                <w:color w:val="000000"/>
                <w:sz w:val="20"/>
                <w:szCs w:val="20"/>
              </w:rPr>
              <w:t>6,348</w:t>
            </w:r>
          </w:p>
        </w:tc>
        <w:tc>
          <w:tcPr>
            <w:tcW w:w="50" w:type="pct"/>
            <w:shd w:val="clear" w:color="auto" w:fill="CFF0FC"/>
            <w:noWrap/>
            <w:tcMar>
              <w:top w:w="15" w:type="dxa"/>
              <w:left w:w="0" w:type="dxa"/>
              <w:bottom w:w="0" w:type="dxa"/>
              <w:right w:w="15" w:type="dxa"/>
            </w:tcMar>
            <w:vAlign w:val="bottom"/>
            <w:hideMark/>
          </w:tcPr>
          <w:p w14:paraId="6F4AB6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04DA6F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E0C2A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13B51A86" w14:textId="77777777" w:rsidR="00000000" w:rsidRDefault="00B8284C">
            <w:pPr>
              <w:pStyle w:val="a3"/>
              <w:spacing w:before="0" w:beforeAutospacing="0" w:after="0" w:afterAutospacing="0"/>
              <w:jc w:val="right"/>
              <w:rPr>
                <w:color w:val="000000"/>
                <w:sz w:val="20"/>
                <w:szCs w:val="20"/>
              </w:rPr>
            </w:pPr>
            <w:r>
              <w:rPr>
                <w:color w:val="000000"/>
                <w:sz w:val="20"/>
                <w:szCs w:val="20"/>
              </w:rPr>
              <w:t>195</w:t>
            </w:r>
          </w:p>
        </w:tc>
        <w:tc>
          <w:tcPr>
            <w:tcW w:w="50" w:type="pct"/>
            <w:shd w:val="clear" w:color="auto" w:fill="CFF0FC"/>
            <w:noWrap/>
            <w:tcMar>
              <w:top w:w="15" w:type="dxa"/>
              <w:left w:w="0" w:type="dxa"/>
              <w:bottom w:w="0" w:type="dxa"/>
              <w:right w:w="15" w:type="dxa"/>
            </w:tcMar>
            <w:vAlign w:val="bottom"/>
            <w:hideMark/>
          </w:tcPr>
          <w:p w14:paraId="25C7413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81D16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E3A00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3D7E1171" w14:textId="77777777" w:rsidR="00000000" w:rsidRDefault="00B8284C">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14:paraId="286FF60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A3EBD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EEC4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79FBC975" w14:textId="77777777" w:rsidR="00000000" w:rsidRDefault="00B8284C">
            <w:pPr>
              <w:pStyle w:val="a3"/>
              <w:spacing w:before="0" w:beforeAutospacing="0" w:after="0" w:afterAutospacing="0"/>
              <w:jc w:val="right"/>
              <w:rPr>
                <w:color w:val="000000"/>
                <w:sz w:val="20"/>
                <w:szCs w:val="20"/>
              </w:rPr>
            </w:pPr>
            <w:r>
              <w:rPr>
                <w:color w:val="000000"/>
                <w:sz w:val="20"/>
                <w:szCs w:val="20"/>
              </w:rPr>
              <w:t>21,494</w:t>
            </w:r>
          </w:p>
        </w:tc>
        <w:tc>
          <w:tcPr>
            <w:tcW w:w="50" w:type="pct"/>
            <w:shd w:val="clear" w:color="auto" w:fill="CFF0FC"/>
            <w:noWrap/>
            <w:tcMar>
              <w:top w:w="15" w:type="dxa"/>
              <w:left w:w="0" w:type="dxa"/>
              <w:bottom w:w="0" w:type="dxa"/>
              <w:right w:w="15" w:type="dxa"/>
            </w:tcMar>
            <w:vAlign w:val="bottom"/>
            <w:hideMark/>
          </w:tcPr>
          <w:p w14:paraId="4B6C789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B5A8E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2BABB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326678D9" w14:textId="77777777" w:rsidR="00000000" w:rsidRDefault="00B8284C">
            <w:pPr>
              <w:pStyle w:val="a3"/>
              <w:spacing w:before="0" w:beforeAutospacing="0" w:after="0" w:afterAutospacing="0"/>
              <w:jc w:val="right"/>
              <w:rPr>
                <w:color w:val="000000"/>
                <w:sz w:val="20"/>
                <w:szCs w:val="20"/>
              </w:rPr>
            </w:pPr>
            <w:r>
              <w:rPr>
                <w:color w:val="000000"/>
                <w:sz w:val="20"/>
                <w:szCs w:val="20"/>
              </w:rPr>
              <w:t>18,312</w:t>
            </w:r>
          </w:p>
        </w:tc>
        <w:tc>
          <w:tcPr>
            <w:tcW w:w="50" w:type="pct"/>
            <w:shd w:val="clear" w:color="auto" w:fill="CFF0FC"/>
            <w:noWrap/>
            <w:tcMar>
              <w:top w:w="15" w:type="dxa"/>
              <w:left w:w="0" w:type="dxa"/>
              <w:bottom w:w="0" w:type="dxa"/>
              <w:right w:w="15" w:type="dxa"/>
            </w:tcMar>
            <w:vAlign w:val="bottom"/>
            <w:hideMark/>
          </w:tcPr>
          <w:p w14:paraId="2036E4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4F015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69F0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302F3C5F" w14:textId="77777777" w:rsidR="00000000" w:rsidRDefault="00B8284C">
            <w:pPr>
              <w:pStyle w:val="a3"/>
              <w:spacing w:before="0" w:beforeAutospacing="0" w:after="0" w:afterAutospacing="0"/>
              <w:jc w:val="right"/>
              <w:rPr>
                <w:color w:val="000000"/>
                <w:sz w:val="20"/>
                <w:szCs w:val="20"/>
              </w:rPr>
            </w:pPr>
            <w:r>
              <w:rPr>
                <w:color w:val="000000"/>
                <w:sz w:val="20"/>
                <w:szCs w:val="20"/>
              </w:rPr>
              <w:t>3,182</w:t>
            </w:r>
          </w:p>
        </w:tc>
        <w:tc>
          <w:tcPr>
            <w:tcW w:w="50" w:type="pct"/>
            <w:shd w:val="clear" w:color="auto" w:fill="CFF0FC"/>
            <w:noWrap/>
            <w:tcMar>
              <w:top w:w="15" w:type="dxa"/>
              <w:left w:w="0" w:type="dxa"/>
              <w:bottom w:w="0" w:type="dxa"/>
              <w:right w:w="15" w:type="dxa"/>
            </w:tcMar>
            <w:vAlign w:val="bottom"/>
            <w:hideMark/>
          </w:tcPr>
          <w:p w14:paraId="1F2BDC6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0B452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D10A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7E80377C" w14:textId="77777777" w:rsidR="00000000" w:rsidRDefault="00B8284C">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14:paraId="17DD99C5"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1DD64BFC" w14:textId="77777777">
        <w:trPr>
          <w:divId w:val="661851828"/>
        </w:trPr>
        <w:tc>
          <w:tcPr>
            <w:tcW w:w="1526" w:type="pct"/>
            <w:shd w:val="clear" w:color="auto" w:fill="FFFFFF"/>
            <w:tcMar>
              <w:top w:w="15" w:type="dxa"/>
              <w:left w:w="0" w:type="dxa"/>
              <w:bottom w:w="0" w:type="dxa"/>
              <w:right w:w="15" w:type="dxa"/>
            </w:tcMar>
            <w:vAlign w:val="bottom"/>
            <w:hideMark/>
          </w:tcPr>
          <w:p w14:paraId="3AFE56FB" w14:textId="77777777" w:rsidR="00000000" w:rsidRDefault="00B8284C">
            <w:pPr>
              <w:pStyle w:val="a3"/>
              <w:spacing w:before="0" w:beforeAutospacing="0" w:after="0" w:afterAutospacing="0"/>
              <w:ind w:left="547"/>
              <w:rPr>
                <w:color w:val="000000"/>
                <w:sz w:val="20"/>
                <w:szCs w:val="20"/>
              </w:rPr>
            </w:pPr>
            <w:r>
              <w:rPr>
                <w:color w:val="000000"/>
                <w:sz w:val="20"/>
                <w:szCs w:val="20"/>
              </w:rPr>
              <w:t>Total revenue</w:t>
            </w:r>
          </w:p>
        </w:tc>
        <w:tc>
          <w:tcPr>
            <w:tcW w:w="51" w:type="pct"/>
            <w:shd w:val="clear" w:color="auto" w:fill="FFFFFF"/>
            <w:tcMar>
              <w:top w:w="15" w:type="dxa"/>
              <w:left w:w="0" w:type="dxa"/>
              <w:bottom w:w="0" w:type="dxa"/>
              <w:right w:w="15" w:type="dxa"/>
            </w:tcMar>
            <w:vAlign w:val="bottom"/>
            <w:hideMark/>
          </w:tcPr>
          <w:p w14:paraId="4A5BAA6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A44B3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E6601C" w14:textId="77777777" w:rsidR="00000000" w:rsidRDefault="00B8284C">
            <w:pPr>
              <w:pStyle w:val="a3"/>
              <w:spacing w:before="0" w:beforeAutospacing="0" w:after="0" w:afterAutospacing="0"/>
              <w:jc w:val="right"/>
              <w:rPr>
                <w:color w:val="000000"/>
                <w:sz w:val="20"/>
                <w:szCs w:val="20"/>
              </w:rPr>
            </w:pPr>
            <w:r>
              <w:rPr>
                <w:color w:val="000000"/>
                <w:sz w:val="20"/>
                <w:szCs w:val="20"/>
              </w:rPr>
              <w:t>173,621</w:t>
            </w:r>
          </w:p>
        </w:tc>
        <w:tc>
          <w:tcPr>
            <w:tcW w:w="50" w:type="pct"/>
            <w:shd w:val="clear" w:color="auto" w:fill="FFFFFF"/>
            <w:noWrap/>
            <w:tcMar>
              <w:top w:w="15" w:type="dxa"/>
              <w:left w:w="0" w:type="dxa"/>
              <w:bottom w:w="0" w:type="dxa"/>
              <w:right w:w="15" w:type="dxa"/>
            </w:tcMar>
            <w:vAlign w:val="bottom"/>
            <w:hideMark/>
          </w:tcPr>
          <w:p w14:paraId="1701F7E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1910C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493969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04D3AE" w14:textId="77777777" w:rsidR="00000000" w:rsidRDefault="00B8284C">
            <w:pPr>
              <w:pStyle w:val="a3"/>
              <w:spacing w:before="0" w:beforeAutospacing="0" w:after="0" w:afterAutospacing="0"/>
              <w:jc w:val="right"/>
              <w:rPr>
                <w:color w:val="000000"/>
                <w:sz w:val="20"/>
                <w:szCs w:val="20"/>
              </w:rPr>
            </w:pPr>
            <w:r>
              <w:rPr>
                <w:color w:val="000000"/>
                <w:sz w:val="20"/>
                <w:szCs w:val="20"/>
              </w:rPr>
              <w:t>131,826</w:t>
            </w:r>
          </w:p>
        </w:tc>
        <w:tc>
          <w:tcPr>
            <w:tcW w:w="50" w:type="pct"/>
            <w:shd w:val="clear" w:color="auto" w:fill="FFFFFF"/>
            <w:noWrap/>
            <w:tcMar>
              <w:top w:w="15" w:type="dxa"/>
              <w:left w:w="0" w:type="dxa"/>
              <w:bottom w:w="0" w:type="dxa"/>
              <w:right w:w="15" w:type="dxa"/>
            </w:tcMar>
            <w:vAlign w:val="bottom"/>
            <w:hideMark/>
          </w:tcPr>
          <w:p w14:paraId="1D3996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547C4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4ACCC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9FADEF" w14:textId="77777777" w:rsidR="00000000" w:rsidRDefault="00B8284C">
            <w:pPr>
              <w:pStyle w:val="a3"/>
              <w:spacing w:before="0" w:beforeAutospacing="0" w:after="0" w:afterAutospacing="0"/>
              <w:jc w:val="right"/>
              <w:rPr>
                <w:color w:val="000000"/>
                <w:sz w:val="20"/>
                <w:szCs w:val="20"/>
              </w:rPr>
            </w:pPr>
            <w:r>
              <w:rPr>
                <w:color w:val="000000"/>
                <w:sz w:val="20"/>
                <w:szCs w:val="20"/>
              </w:rPr>
              <w:t>41,795</w:t>
            </w:r>
          </w:p>
        </w:tc>
        <w:tc>
          <w:tcPr>
            <w:tcW w:w="50" w:type="pct"/>
            <w:shd w:val="clear" w:color="auto" w:fill="FFFFFF"/>
            <w:noWrap/>
            <w:tcMar>
              <w:top w:w="15" w:type="dxa"/>
              <w:left w:w="0" w:type="dxa"/>
              <w:bottom w:w="0" w:type="dxa"/>
              <w:right w:w="15" w:type="dxa"/>
            </w:tcMar>
            <w:vAlign w:val="bottom"/>
            <w:hideMark/>
          </w:tcPr>
          <w:p w14:paraId="2DE0A58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E3B27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7965E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2483991" w14:textId="77777777" w:rsidR="00000000" w:rsidRDefault="00B8284C">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14:paraId="57D5754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300D32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B2298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F02B7B" w14:textId="77777777" w:rsidR="00000000" w:rsidRDefault="00B8284C">
            <w:pPr>
              <w:pStyle w:val="a3"/>
              <w:spacing w:before="0" w:beforeAutospacing="0" w:after="0" w:afterAutospacing="0"/>
              <w:jc w:val="right"/>
              <w:rPr>
                <w:color w:val="000000"/>
                <w:sz w:val="20"/>
                <w:szCs w:val="20"/>
              </w:rPr>
            </w:pPr>
            <w:r>
              <w:rPr>
                <w:color w:val="000000"/>
                <w:sz w:val="20"/>
                <w:szCs w:val="20"/>
              </w:rPr>
              <w:t>488,674</w:t>
            </w:r>
          </w:p>
        </w:tc>
        <w:tc>
          <w:tcPr>
            <w:tcW w:w="50" w:type="pct"/>
            <w:shd w:val="clear" w:color="auto" w:fill="FFFFFF"/>
            <w:noWrap/>
            <w:tcMar>
              <w:top w:w="15" w:type="dxa"/>
              <w:left w:w="0" w:type="dxa"/>
              <w:bottom w:w="0" w:type="dxa"/>
              <w:right w:w="15" w:type="dxa"/>
            </w:tcMar>
            <w:vAlign w:val="bottom"/>
            <w:hideMark/>
          </w:tcPr>
          <w:p w14:paraId="1AC10F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B6F6CE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B3133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F62CA1" w14:textId="77777777" w:rsidR="00000000" w:rsidRDefault="00B8284C">
            <w:pPr>
              <w:pStyle w:val="a3"/>
              <w:spacing w:before="0" w:beforeAutospacing="0" w:after="0" w:afterAutospacing="0"/>
              <w:jc w:val="right"/>
              <w:rPr>
                <w:color w:val="000000"/>
                <w:sz w:val="20"/>
                <w:szCs w:val="20"/>
              </w:rPr>
            </w:pPr>
            <w:r>
              <w:rPr>
                <w:color w:val="000000"/>
                <w:sz w:val="20"/>
                <w:szCs w:val="20"/>
              </w:rPr>
              <w:t>368,958</w:t>
            </w:r>
          </w:p>
        </w:tc>
        <w:tc>
          <w:tcPr>
            <w:tcW w:w="50" w:type="pct"/>
            <w:shd w:val="clear" w:color="auto" w:fill="FFFFFF"/>
            <w:noWrap/>
            <w:tcMar>
              <w:top w:w="15" w:type="dxa"/>
              <w:left w:w="0" w:type="dxa"/>
              <w:bottom w:w="0" w:type="dxa"/>
              <w:right w:w="15" w:type="dxa"/>
            </w:tcMar>
            <w:vAlign w:val="bottom"/>
            <w:hideMark/>
          </w:tcPr>
          <w:p w14:paraId="0B1B07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6ECA9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27803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6E428D" w14:textId="77777777" w:rsidR="00000000" w:rsidRDefault="00B8284C">
            <w:pPr>
              <w:pStyle w:val="a3"/>
              <w:spacing w:before="0" w:beforeAutospacing="0" w:after="0" w:afterAutospacing="0"/>
              <w:jc w:val="right"/>
              <w:rPr>
                <w:color w:val="000000"/>
                <w:sz w:val="20"/>
                <w:szCs w:val="20"/>
              </w:rPr>
            </w:pPr>
            <w:r>
              <w:rPr>
                <w:color w:val="000000"/>
                <w:sz w:val="20"/>
                <w:szCs w:val="20"/>
              </w:rPr>
              <w:t>119,716</w:t>
            </w:r>
          </w:p>
        </w:tc>
        <w:tc>
          <w:tcPr>
            <w:tcW w:w="50" w:type="pct"/>
            <w:shd w:val="clear" w:color="auto" w:fill="FFFFFF"/>
            <w:noWrap/>
            <w:tcMar>
              <w:top w:w="15" w:type="dxa"/>
              <w:left w:w="0" w:type="dxa"/>
              <w:bottom w:w="0" w:type="dxa"/>
              <w:right w:w="15" w:type="dxa"/>
            </w:tcMar>
            <w:vAlign w:val="bottom"/>
            <w:hideMark/>
          </w:tcPr>
          <w:p w14:paraId="2EFBF82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36B13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CBBBF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BF65D3A" w14:textId="77777777" w:rsidR="00000000" w:rsidRDefault="00B8284C">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14:paraId="15634EE4" w14:textId="77777777" w:rsidR="00000000" w:rsidRDefault="00B8284C">
            <w:pPr>
              <w:pStyle w:val="a3"/>
              <w:spacing w:before="0" w:beforeAutospacing="0" w:after="0" w:afterAutospacing="0"/>
              <w:rPr>
                <w:color w:val="000000"/>
                <w:sz w:val="20"/>
                <w:szCs w:val="20"/>
              </w:rPr>
            </w:pPr>
            <w:r>
              <w:rPr>
                <w:color w:val="000000"/>
                <w:sz w:val="20"/>
                <w:szCs w:val="20"/>
              </w:rPr>
              <w:t>%</w:t>
            </w:r>
          </w:p>
        </w:tc>
      </w:tr>
    </w:tbl>
    <w:p w14:paraId="412DBD24" w14:textId="77777777" w:rsidR="00000000" w:rsidRDefault="00B8284C">
      <w:pPr>
        <w:pStyle w:val="a3"/>
        <w:spacing w:before="0" w:beforeAutospacing="0" w:after="0" w:afterAutospacing="0"/>
        <w:rPr>
          <w:sz w:val="20"/>
          <w:szCs w:val="20"/>
        </w:rPr>
      </w:pPr>
      <w:r>
        <w:rPr>
          <w:sz w:val="20"/>
          <w:szCs w:val="20"/>
        </w:rPr>
        <w:t> </w:t>
      </w:r>
    </w:p>
    <w:p w14:paraId="12BDE992" w14:textId="77777777" w:rsidR="00000000" w:rsidRDefault="00B8284C">
      <w:pPr>
        <w:pStyle w:val="a3"/>
        <w:spacing w:before="160" w:beforeAutospacing="0" w:after="0" w:afterAutospacing="0"/>
        <w:ind w:firstLine="556"/>
        <w:rPr>
          <w:i/>
          <w:iCs/>
          <w:sz w:val="20"/>
          <w:szCs w:val="20"/>
        </w:rPr>
      </w:pPr>
      <w:r>
        <w:rPr>
          <w:i/>
          <w:iCs/>
          <w:sz w:val="20"/>
          <w:szCs w:val="20"/>
          <w:u w:val="single"/>
        </w:rPr>
        <w:t>Thre</w:t>
      </w:r>
      <w:r>
        <w:rPr>
          <w:i/>
          <w:iCs/>
          <w:sz w:val="20"/>
          <w:szCs w:val="20"/>
          <w:u w:val="single"/>
        </w:rPr>
        <w:t xml:space="preserve">e month change </w:t>
      </w:r>
    </w:p>
    <w:p w14:paraId="1AB63133" w14:textId="77777777" w:rsidR="00000000" w:rsidRDefault="00B8284C">
      <w:pPr>
        <w:pStyle w:val="a3"/>
        <w:spacing w:before="0" w:beforeAutospacing="0" w:after="0" w:afterAutospacing="0"/>
        <w:ind w:firstLine="556"/>
        <w:rPr>
          <w:sz w:val="12"/>
          <w:szCs w:val="12"/>
        </w:rPr>
      </w:pPr>
      <w:r>
        <w:rPr>
          <w:sz w:val="12"/>
          <w:szCs w:val="12"/>
        </w:rPr>
        <w:t> </w:t>
      </w:r>
    </w:p>
    <w:p w14:paraId="5A8A3CFB" w14:textId="77777777" w:rsidR="00000000" w:rsidRDefault="00B8284C">
      <w:pPr>
        <w:pStyle w:val="a3"/>
        <w:spacing w:before="0" w:beforeAutospacing="0" w:after="0" w:afterAutospacing="0"/>
        <w:ind w:firstLine="556"/>
        <w:rPr>
          <w:sz w:val="20"/>
          <w:szCs w:val="20"/>
        </w:rPr>
      </w:pPr>
      <w:r>
        <w:rPr>
          <w:sz w:val="20"/>
          <w:szCs w:val="20"/>
        </w:rPr>
        <w:t>Subscription revenue increased during the three months ended September 30, 2019 compared to the same period in 2018 primarily due to the increase in Total Customers, which grew from 52,505 as of September 30, 2018 to 68,803 as of Septembe</w:t>
      </w:r>
      <w:r>
        <w:rPr>
          <w:sz w:val="20"/>
          <w:szCs w:val="20"/>
        </w:rPr>
        <w:t>r 30, 2019.  Total Average Subscription Revenue per Customer increased from $9,959 for the three months ended September 30, 2018 to $9,992 for the three months ended September 30, 2019. The growth in Total Customers was primarily driven by our increased sa</w:t>
      </w:r>
      <w:r>
        <w:rPr>
          <w:sz w:val="20"/>
          <w:szCs w:val="20"/>
        </w:rPr>
        <w:t xml:space="preserve">les representative capacity to meet market demand as well as the freemium model. </w:t>
      </w:r>
      <w:r>
        <w:rPr>
          <w:color w:val="000000"/>
          <w:sz w:val="20"/>
          <w:szCs w:val="20"/>
        </w:rPr>
        <w:t>The increase in average subscription revenue per customer was driven primarily by existing customers increasing their use of our products, existing customers purchasing additi</w:t>
      </w:r>
      <w:r>
        <w:rPr>
          <w:color w:val="000000"/>
          <w:sz w:val="20"/>
          <w:szCs w:val="20"/>
        </w:rPr>
        <w:t>onal subscriptions, and new customers purchasing our higher price product plans. The increase in average subscription revenue per customer was partially offset by the continued adoption of our freemium model.</w:t>
      </w:r>
    </w:p>
    <w:p w14:paraId="04523FA8" w14:textId="77777777" w:rsidR="00000000" w:rsidRDefault="00B8284C">
      <w:pPr>
        <w:pStyle w:val="a3"/>
        <w:spacing w:before="240" w:beforeAutospacing="0" w:after="0" w:afterAutospacing="0"/>
        <w:ind w:firstLine="556"/>
        <w:rPr>
          <w:sz w:val="20"/>
          <w:szCs w:val="20"/>
        </w:rPr>
      </w:pPr>
      <w:r>
        <w:rPr>
          <w:sz w:val="20"/>
          <w:szCs w:val="20"/>
        </w:rPr>
        <w:t>The 3% increase in professional services and ot</w:t>
      </w:r>
      <w:r>
        <w:rPr>
          <w:sz w:val="20"/>
          <w:szCs w:val="20"/>
        </w:rPr>
        <w:t>her revenue resulted primarily from the increase in Total Customers and from the delivery of on-boarding and training services for the additional subscriptions sold.</w:t>
      </w:r>
    </w:p>
    <w:p w14:paraId="6260B4AB" w14:textId="77777777" w:rsidR="00000000" w:rsidRDefault="00B8284C">
      <w:pPr>
        <w:pStyle w:val="a3"/>
        <w:spacing w:before="0" w:beforeAutospacing="0" w:after="0" w:afterAutospacing="0"/>
        <w:ind w:firstLine="816"/>
        <w:rPr>
          <w:sz w:val="20"/>
          <w:szCs w:val="20"/>
        </w:rPr>
      </w:pPr>
      <w:r>
        <w:rPr>
          <w:sz w:val="20"/>
          <w:szCs w:val="20"/>
        </w:rPr>
        <w:t> </w:t>
      </w:r>
    </w:p>
    <w:p w14:paraId="32FFFD82"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Nine month change </w:t>
      </w:r>
    </w:p>
    <w:p w14:paraId="21AD2198" w14:textId="77777777" w:rsidR="00000000" w:rsidRDefault="00B8284C">
      <w:pPr>
        <w:pStyle w:val="a3"/>
        <w:spacing w:before="0" w:beforeAutospacing="0" w:after="0" w:afterAutospacing="0"/>
        <w:ind w:firstLine="556"/>
        <w:rPr>
          <w:sz w:val="12"/>
          <w:szCs w:val="12"/>
        </w:rPr>
      </w:pPr>
      <w:r>
        <w:rPr>
          <w:sz w:val="12"/>
          <w:szCs w:val="12"/>
        </w:rPr>
        <w:t> </w:t>
      </w:r>
    </w:p>
    <w:p w14:paraId="09EE94FF" w14:textId="77777777" w:rsidR="00000000" w:rsidRDefault="00B8284C">
      <w:pPr>
        <w:pStyle w:val="a3"/>
        <w:spacing w:before="0" w:beforeAutospacing="0" w:after="0" w:afterAutospacing="0"/>
        <w:ind w:firstLine="556"/>
        <w:rPr>
          <w:sz w:val="20"/>
          <w:szCs w:val="20"/>
        </w:rPr>
      </w:pPr>
      <w:r>
        <w:rPr>
          <w:sz w:val="20"/>
          <w:szCs w:val="20"/>
        </w:rPr>
        <w:t>Subscription revenue increased during the nine months ended Septemb</w:t>
      </w:r>
      <w:r>
        <w:rPr>
          <w:sz w:val="20"/>
          <w:szCs w:val="20"/>
        </w:rPr>
        <w:t>er 30, 2019 compared to the same period in 2018 primarily due to the increase in Total Customers, which grew from 52,505 as of September 30, 2018 to 68,803 as of September 30, 2019.  Total Average Subscription Revenue per Customer increased from $9,913 for</w:t>
      </w:r>
      <w:r>
        <w:rPr>
          <w:sz w:val="20"/>
          <w:szCs w:val="20"/>
        </w:rPr>
        <w:t xml:space="preserve"> the nine months ended September 30, 2018 to </w:t>
      </w:r>
    </w:p>
    <w:p w14:paraId="20D6A6C6" w14:textId="77777777" w:rsidR="00000000" w:rsidRDefault="00B8284C">
      <w:pPr>
        <w:pStyle w:val="a3"/>
        <w:spacing w:before="240" w:beforeAutospacing="0" w:after="0" w:afterAutospacing="0"/>
        <w:jc w:val="center"/>
        <w:rPr>
          <w:sz w:val="20"/>
          <w:szCs w:val="20"/>
        </w:rPr>
      </w:pPr>
      <w:r>
        <w:rPr>
          <w:sz w:val="20"/>
          <w:szCs w:val="20"/>
        </w:rPr>
        <w:t>23</w:t>
      </w:r>
    </w:p>
    <w:p w14:paraId="65C8ACE1" w14:textId="77777777" w:rsidR="00000000" w:rsidRDefault="00B8284C">
      <w:pPr>
        <w:rPr>
          <w:rFonts w:eastAsia="Times New Roman"/>
        </w:rPr>
      </w:pPr>
      <w:r>
        <w:rPr>
          <w:rFonts w:eastAsia="Times New Roman"/>
        </w:rPr>
        <w:pict w14:anchorId="32FAF6B7">
          <v:rect id="_x0000_i1047" style="width:0;height:1.5pt" o:hralign="center" o:hrstd="t" o:hr="t" fillcolor="#a0a0a0" stroked="f"/>
        </w:pict>
      </w:r>
    </w:p>
    <w:p w14:paraId="5E9D215B" w14:textId="77777777" w:rsidR="00000000" w:rsidRDefault="00B8284C">
      <w:pPr>
        <w:pStyle w:val="a3"/>
        <w:spacing w:before="0" w:beforeAutospacing="0" w:after="0" w:afterAutospacing="0"/>
        <w:rPr>
          <w:sz w:val="20"/>
          <w:szCs w:val="20"/>
        </w:rPr>
      </w:pPr>
      <w:r>
        <w:rPr>
          <w:sz w:val="20"/>
          <w:szCs w:val="20"/>
        </w:rPr>
        <w:t> </w:t>
      </w:r>
    </w:p>
    <w:p w14:paraId="4D15964C" w14:textId="77777777" w:rsidR="00000000" w:rsidRDefault="00B8284C">
      <w:pPr>
        <w:pStyle w:val="a3"/>
        <w:spacing w:before="0" w:beforeAutospacing="0" w:after="0" w:afterAutospacing="0"/>
        <w:rPr>
          <w:sz w:val="20"/>
          <w:szCs w:val="20"/>
        </w:rPr>
      </w:pPr>
      <w:r>
        <w:rPr>
          <w:sz w:val="20"/>
          <w:szCs w:val="20"/>
        </w:rPr>
        <w:t>$9,921 for the nine months ended September 30, 2019</w:t>
      </w:r>
      <w:r>
        <w:rPr>
          <w:sz w:val="20"/>
          <w:szCs w:val="20"/>
        </w:rPr>
        <w:t xml:space="preserve">. The growth in Total Customers was primarily driven by our increased sales representative capacity to meet market demand as well as the freemium model. </w:t>
      </w:r>
      <w:r>
        <w:rPr>
          <w:color w:val="000000"/>
          <w:sz w:val="20"/>
          <w:szCs w:val="20"/>
        </w:rPr>
        <w:t>The increase in average subscription revenue per customer was driven primarily by existing customers in</w:t>
      </w:r>
      <w:r>
        <w:rPr>
          <w:color w:val="000000"/>
          <w:sz w:val="20"/>
          <w:szCs w:val="20"/>
        </w:rPr>
        <w:t>creasing their use of our products, existing customers purchasing additional subscriptions, and new customers purchasing our higher price product plans. The increase in average subscription revenue per customer was partially offset by the continued adoptio</w:t>
      </w:r>
      <w:r>
        <w:rPr>
          <w:color w:val="000000"/>
          <w:sz w:val="20"/>
          <w:szCs w:val="20"/>
        </w:rPr>
        <w:t>n of our freemium model.</w:t>
      </w:r>
    </w:p>
    <w:p w14:paraId="5033AD36" w14:textId="77777777" w:rsidR="00000000" w:rsidRDefault="00B8284C">
      <w:pPr>
        <w:pStyle w:val="a3"/>
        <w:spacing w:before="240" w:beforeAutospacing="0" w:after="0" w:afterAutospacing="0"/>
        <w:ind w:firstLine="556"/>
        <w:rPr>
          <w:sz w:val="20"/>
          <w:szCs w:val="20"/>
        </w:rPr>
      </w:pPr>
      <w:r>
        <w:rPr>
          <w:sz w:val="20"/>
          <w:szCs w:val="20"/>
        </w:rPr>
        <w:t>The 17% increase in professional services and other revenue resulted primarily from the increase in Total Customers and from the delivery of on-boarding and training services for the additional subscriptions sold.</w:t>
      </w:r>
    </w:p>
    <w:p w14:paraId="6988D505" w14:textId="77777777" w:rsidR="00000000" w:rsidRDefault="00B8284C">
      <w:pPr>
        <w:pStyle w:val="a3"/>
        <w:spacing w:before="0" w:beforeAutospacing="0" w:after="0" w:afterAutospacing="0"/>
        <w:rPr>
          <w:sz w:val="18"/>
          <w:szCs w:val="18"/>
        </w:rPr>
      </w:pPr>
      <w:r>
        <w:rPr>
          <w:sz w:val="18"/>
          <w:szCs w:val="18"/>
        </w:rPr>
        <w:t> </w:t>
      </w:r>
    </w:p>
    <w:p w14:paraId="416109F1" w14:textId="77777777" w:rsidR="00000000" w:rsidRDefault="00B8284C">
      <w:pPr>
        <w:pStyle w:val="a3"/>
        <w:spacing w:before="0" w:beforeAutospacing="0" w:after="0" w:afterAutospacing="0"/>
        <w:rPr>
          <w:b/>
          <w:bCs/>
          <w:sz w:val="18"/>
          <w:szCs w:val="18"/>
        </w:rPr>
      </w:pPr>
      <w:r>
        <w:rPr>
          <w:b/>
          <w:bCs/>
          <w:sz w:val="18"/>
          <w:szCs w:val="18"/>
        </w:rPr>
        <w:t> </w:t>
      </w:r>
    </w:p>
    <w:p w14:paraId="42C73652" w14:textId="77777777" w:rsidR="00000000" w:rsidRDefault="00B8284C">
      <w:pPr>
        <w:pStyle w:val="a3"/>
        <w:spacing w:before="0" w:beforeAutospacing="0" w:after="0" w:afterAutospacing="0"/>
        <w:rPr>
          <w:b/>
          <w:bCs/>
          <w:i/>
          <w:iCs/>
          <w:sz w:val="20"/>
          <w:szCs w:val="20"/>
        </w:rPr>
      </w:pPr>
      <w:r>
        <w:rPr>
          <w:b/>
          <w:bCs/>
          <w:i/>
          <w:iCs/>
          <w:sz w:val="20"/>
          <w:szCs w:val="20"/>
        </w:rPr>
        <w:t>Cost of Reven</w:t>
      </w:r>
      <w:r>
        <w:rPr>
          <w:b/>
          <w:bCs/>
          <w:i/>
          <w:iCs/>
          <w:sz w:val="20"/>
          <w:szCs w:val="20"/>
        </w:rPr>
        <w:t xml:space="preserve">ue, Gross Profit and Gross Margin Percentage </w:t>
      </w:r>
    </w:p>
    <w:p w14:paraId="6F7BC479"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015"/>
        <w:gridCol w:w="65"/>
        <w:gridCol w:w="115"/>
        <w:gridCol w:w="665"/>
        <w:gridCol w:w="182"/>
        <w:gridCol w:w="65"/>
        <w:gridCol w:w="115"/>
        <w:gridCol w:w="665"/>
        <w:gridCol w:w="182"/>
        <w:gridCol w:w="65"/>
        <w:gridCol w:w="115"/>
        <w:gridCol w:w="565"/>
        <w:gridCol w:w="65"/>
        <w:gridCol w:w="65"/>
        <w:gridCol w:w="111"/>
        <w:gridCol w:w="625"/>
        <w:gridCol w:w="182"/>
        <w:gridCol w:w="65"/>
        <w:gridCol w:w="115"/>
        <w:gridCol w:w="665"/>
        <w:gridCol w:w="182"/>
        <w:gridCol w:w="65"/>
        <w:gridCol w:w="115"/>
        <w:gridCol w:w="665"/>
        <w:gridCol w:w="182"/>
        <w:gridCol w:w="65"/>
        <w:gridCol w:w="115"/>
        <w:gridCol w:w="565"/>
        <w:gridCol w:w="65"/>
        <w:gridCol w:w="65"/>
        <w:gridCol w:w="111"/>
        <w:gridCol w:w="625"/>
        <w:gridCol w:w="182"/>
      </w:tblGrid>
      <w:tr w:rsidR="00000000" w14:paraId="18B6D36A" w14:textId="77777777">
        <w:trPr>
          <w:divId w:val="1018431873"/>
        </w:trPr>
        <w:tc>
          <w:tcPr>
            <w:tcW w:w="1526" w:type="pct"/>
            <w:shd w:val="clear" w:color="auto" w:fill="FFFFFF"/>
            <w:tcMar>
              <w:top w:w="15" w:type="dxa"/>
              <w:left w:w="0" w:type="dxa"/>
              <w:bottom w:w="0" w:type="dxa"/>
              <w:right w:w="15" w:type="dxa"/>
            </w:tcMar>
            <w:vAlign w:val="bottom"/>
            <w:hideMark/>
          </w:tcPr>
          <w:p w14:paraId="7A2D4A3E" w14:textId="77777777" w:rsidR="00000000" w:rsidRDefault="00B8284C">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3686292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53E4B38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07C8020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1F02CB6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941970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4C410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2C68C1E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9E392A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A7E2BC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561FE4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6B63EDB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3A340B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8F7D34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6720AD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50159F3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688A9A2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849F1A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7C8D28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2E40B79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3CF169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AA1407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733113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5D291C3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D2D2A2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DFF1467" w14:textId="77777777">
        <w:trPr>
          <w:divId w:val="1018431873"/>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38D95AA8" w14:textId="77777777" w:rsidR="00000000" w:rsidRDefault="00B8284C">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0577AE0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5B476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7D05CD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6F85A28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4B9F94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D9BFA2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3D92F7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3DFDEA8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511A124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03C2F9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FF9BE9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3B119CDE"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2DBBCDB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CF898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CDB9B5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3FE250C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4116B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410539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1630EF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7042B88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AAF05B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77B072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5CD926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3A760DE0"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B8284C" w14:paraId="26B88040" w14:textId="77777777">
        <w:trPr>
          <w:divId w:val="1018431873"/>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1DBE9EF1" w14:textId="77777777" w:rsidR="00000000" w:rsidRDefault="00B8284C">
            <w:pPr>
              <w:pStyle w:val="a3"/>
              <w:spacing w:before="0" w:beforeAutospacing="0" w:after="0" w:afterAutospacing="0"/>
              <w:rPr>
                <w:color w:val="000000"/>
                <w:sz w:val="20"/>
                <w:szCs w:val="20"/>
              </w:rPr>
            </w:pPr>
            <w:r>
              <w:rPr>
                <w:color w:val="000000"/>
                <w:sz w:val="20"/>
                <w:szCs w:val="20"/>
              </w:rPr>
              <w:t>Total cost of revenue</w:t>
            </w:r>
          </w:p>
        </w:tc>
        <w:tc>
          <w:tcPr>
            <w:tcW w:w="51" w:type="pct"/>
            <w:shd w:val="clear" w:color="auto" w:fill="CFF0FC"/>
            <w:tcMar>
              <w:top w:w="15" w:type="dxa"/>
              <w:left w:w="0" w:type="dxa"/>
              <w:bottom w:w="0" w:type="dxa"/>
              <w:right w:w="15" w:type="dxa"/>
            </w:tcMar>
            <w:vAlign w:val="bottom"/>
            <w:hideMark/>
          </w:tcPr>
          <w:p w14:paraId="34E450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E2CDE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9017DBE" w14:textId="77777777" w:rsidR="00000000" w:rsidRDefault="00B8284C">
            <w:pPr>
              <w:pStyle w:val="a3"/>
              <w:spacing w:before="0" w:beforeAutospacing="0" w:after="0" w:afterAutospacing="0"/>
              <w:jc w:val="right"/>
              <w:rPr>
                <w:color w:val="000000"/>
                <w:sz w:val="20"/>
                <w:szCs w:val="20"/>
              </w:rPr>
            </w:pPr>
            <w:r>
              <w:rPr>
                <w:color w:val="000000"/>
                <w:sz w:val="20"/>
                <w:szCs w:val="20"/>
              </w:rPr>
              <w:t>33,263</w:t>
            </w:r>
          </w:p>
        </w:tc>
        <w:tc>
          <w:tcPr>
            <w:tcW w:w="50" w:type="pct"/>
            <w:shd w:val="clear" w:color="auto" w:fill="CFF0FC"/>
            <w:noWrap/>
            <w:tcMar>
              <w:top w:w="15" w:type="dxa"/>
              <w:left w:w="0" w:type="dxa"/>
              <w:bottom w:w="0" w:type="dxa"/>
              <w:right w:w="15" w:type="dxa"/>
            </w:tcMar>
            <w:vAlign w:val="bottom"/>
            <w:hideMark/>
          </w:tcPr>
          <w:p w14:paraId="2941BA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9A2E1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9F982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D9C8BAB" w14:textId="77777777" w:rsidR="00000000" w:rsidRDefault="00B8284C">
            <w:pPr>
              <w:pStyle w:val="a3"/>
              <w:spacing w:before="0" w:beforeAutospacing="0" w:after="0" w:afterAutospacing="0"/>
              <w:jc w:val="right"/>
              <w:rPr>
                <w:color w:val="000000"/>
                <w:sz w:val="20"/>
                <w:szCs w:val="20"/>
              </w:rPr>
            </w:pPr>
            <w:r>
              <w:rPr>
                <w:color w:val="000000"/>
                <w:sz w:val="20"/>
                <w:szCs w:val="20"/>
              </w:rPr>
              <w:t>25,765</w:t>
            </w:r>
          </w:p>
        </w:tc>
        <w:tc>
          <w:tcPr>
            <w:tcW w:w="50" w:type="pct"/>
            <w:shd w:val="clear" w:color="auto" w:fill="CFF0FC"/>
            <w:noWrap/>
            <w:tcMar>
              <w:top w:w="15" w:type="dxa"/>
              <w:left w:w="0" w:type="dxa"/>
              <w:bottom w:w="0" w:type="dxa"/>
              <w:right w:w="15" w:type="dxa"/>
            </w:tcMar>
            <w:vAlign w:val="bottom"/>
            <w:hideMark/>
          </w:tcPr>
          <w:p w14:paraId="79A723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BFEFE2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69CE4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61C4488" w14:textId="77777777" w:rsidR="00000000" w:rsidRDefault="00B8284C">
            <w:pPr>
              <w:pStyle w:val="a3"/>
              <w:spacing w:before="0" w:beforeAutospacing="0" w:after="0" w:afterAutospacing="0"/>
              <w:jc w:val="right"/>
              <w:rPr>
                <w:color w:val="000000"/>
                <w:sz w:val="20"/>
                <w:szCs w:val="20"/>
              </w:rPr>
            </w:pPr>
            <w:r>
              <w:rPr>
                <w:color w:val="000000"/>
                <w:sz w:val="20"/>
                <w:szCs w:val="20"/>
              </w:rPr>
              <w:t>7,498</w:t>
            </w:r>
          </w:p>
        </w:tc>
        <w:tc>
          <w:tcPr>
            <w:tcW w:w="50" w:type="pct"/>
            <w:shd w:val="clear" w:color="auto" w:fill="CFF0FC"/>
            <w:noWrap/>
            <w:tcMar>
              <w:top w:w="15" w:type="dxa"/>
              <w:left w:w="0" w:type="dxa"/>
              <w:bottom w:w="0" w:type="dxa"/>
              <w:right w:w="15" w:type="dxa"/>
            </w:tcMar>
            <w:vAlign w:val="bottom"/>
            <w:hideMark/>
          </w:tcPr>
          <w:p w14:paraId="557DBF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431A7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F5A9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E7A7F46" w14:textId="77777777" w:rsidR="00000000" w:rsidRDefault="00B8284C">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1C719A3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D3503A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5D9B37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BC6FD54" w14:textId="77777777" w:rsidR="00000000" w:rsidRDefault="00B8284C">
            <w:pPr>
              <w:pStyle w:val="a3"/>
              <w:spacing w:before="0" w:beforeAutospacing="0" w:after="0" w:afterAutospacing="0"/>
              <w:jc w:val="right"/>
              <w:rPr>
                <w:color w:val="000000"/>
                <w:sz w:val="20"/>
                <w:szCs w:val="20"/>
              </w:rPr>
            </w:pPr>
            <w:r>
              <w:rPr>
                <w:color w:val="000000"/>
                <w:sz w:val="20"/>
                <w:szCs w:val="20"/>
              </w:rPr>
              <w:t>93,983</w:t>
            </w:r>
          </w:p>
        </w:tc>
        <w:tc>
          <w:tcPr>
            <w:tcW w:w="50" w:type="pct"/>
            <w:shd w:val="clear" w:color="auto" w:fill="CFF0FC"/>
            <w:noWrap/>
            <w:tcMar>
              <w:top w:w="15" w:type="dxa"/>
              <w:left w:w="0" w:type="dxa"/>
              <w:bottom w:w="0" w:type="dxa"/>
              <w:right w:w="15" w:type="dxa"/>
            </w:tcMar>
            <w:vAlign w:val="bottom"/>
            <w:hideMark/>
          </w:tcPr>
          <w:p w14:paraId="6BF1473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246290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A0CAC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B90414F" w14:textId="77777777" w:rsidR="00000000" w:rsidRDefault="00B8284C">
            <w:pPr>
              <w:pStyle w:val="a3"/>
              <w:spacing w:before="0" w:beforeAutospacing="0" w:after="0" w:afterAutospacing="0"/>
              <w:jc w:val="right"/>
              <w:rPr>
                <w:color w:val="000000"/>
                <w:sz w:val="20"/>
                <w:szCs w:val="20"/>
              </w:rPr>
            </w:pPr>
            <w:r>
              <w:rPr>
                <w:color w:val="000000"/>
                <w:sz w:val="20"/>
                <w:szCs w:val="20"/>
              </w:rPr>
              <w:t>72,993</w:t>
            </w:r>
          </w:p>
        </w:tc>
        <w:tc>
          <w:tcPr>
            <w:tcW w:w="50" w:type="pct"/>
            <w:shd w:val="clear" w:color="auto" w:fill="CFF0FC"/>
            <w:noWrap/>
            <w:tcMar>
              <w:top w:w="15" w:type="dxa"/>
              <w:left w:w="0" w:type="dxa"/>
              <w:bottom w:w="0" w:type="dxa"/>
              <w:right w:w="15" w:type="dxa"/>
            </w:tcMar>
            <w:vAlign w:val="bottom"/>
            <w:hideMark/>
          </w:tcPr>
          <w:p w14:paraId="782647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F9F02A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34E0A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19C7FB5" w14:textId="77777777" w:rsidR="00000000" w:rsidRDefault="00B8284C">
            <w:pPr>
              <w:pStyle w:val="a3"/>
              <w:spacing w:before="0" w:beforeAutospacing="0" w:after="0" w:afterAutospacing="0"/>
              <w:jc w:val="right"/>
              <w:rPr>
                <w:color w:val="000000"/>
                <w:sz w:val="20"/>
                <w:szCs w:val="20"/>
              </w:rPr>
            </w:pPr>
            <w:r>
              <w:rPr>
                <w:color w:val="000000"/>
                <w:sz w:val="20"/>
                <w:szCs w:val="20"/>
              </w:rPr>
              <w:t>20,990</w:t>
            </w:r>
          </w:p>
        </w:tc>
        <w:tc>
          <w:tcPr>
            <w:tcW w:w="50" w:type="pct"/>
            <w:shd w:val="clear" w:color="auto" w:fill="CFF0FC"/>
            <w:noWrap/>
            <w:tcMar>
              <w:top w:w="15" w:type="dxa"/>
              <w:left w:w="0" w:type="dxa"/>
              <w:bottom w:w="0" w:type="dxa"/>
              <w:right w:w="15" w:type="dxa"/>
            </w:tcMar>
            <w:vAlign w:val="bottom"/>
            <w:hideMark/>
          </w:tcPr>
          <w:p w14:paraId="6BDBE5F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E12432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A7B98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685B2C8" w14:textId="77777777" w:rsidR="00000000" w:rsidRDefault="00B8284C">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42287FB8"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5062FCC7" w14:textId="77777777">
        <w:trPr>
          <w:divId w:val="1018431873"/>
        </w:trPr>
        <w:tc>
          <w:tcPr>
            <w:tcW w:w="1526" w:type="pct"/>
            <w:shd w:val="clear" w:color="auto" w:fill="FFFFFF"/>
            <w:tcMar>
              <w:top w:w="15" w:type="dxa"/>
              <w:left w:w="0" w:type="dxa"/>
              <w:bottom w:w="0" w:type="dxa"/>
              <w:right w:w="15" w:type="dxa"/>
            </w:tcMar>
            <w:vAlign w:val="bottom"/>
            <w:hideMark/>
          </w:tcPr>
          <w:p w14:paraId="0F1CD8E4" w14:textId="77777777" w:rsidR="00000000" w:rsidRDefault="00B8284C">
            <w:pPr>
              <w:pStyle w:val="a3"/>
              <w:spacing w:before="0" w:beforeAutospacing="0" w:after="0" w:afterAutospacing="0"/>
              <w:rPr>
                <w:color w:val="000000"/>
                <w:sz w:val="20"/>
                <w:szCs w:val="20"/>
              </w:rPr>
            </w:pPr>
            <w:r>
              <w:rPr>
                <w:color w:val="000000"/>
                <w:sz w:val="20"/>
                <w:szCs w:val="20"/>
              </w:rPr>
              <w:t>Gross profit</w:t>
            </w:r>
          </w:p>
        </w:tc>
        <w:tc>
          <w:tcPr>
            <w:tcW w:w="51" w:type="pct"/>
            <w:shd w:val="clear" w:color="auto" w:fill="FFFFFF"/>
            <w:tcMar>
              <w:top w:w="15" w:type="dxa"/>
              <w:left w:w="0" w:type="dxa"/>
              <w:bottom w:w="0" w:type="dxa"/>
              <w:right w:w="15" w:type="dxa"/>
            </w:tcMar>
            <w:vAlign w:val="bottom"/>
            <w:hideMark/>
          </w:tcPr>
          <w:p w14:paraId="60B95A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DD384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5EC3B78E" w14:textId="77777777" w:rsidR="00000000" w:rsidRDefault="00B8284C">
            <w:pPr>
              <w:pStyle w:val="a3"/>
              <w:spacing w:before="0" w:beforeAutospacing="0" w:after="0" w:afterAutospacing="0"/>
              <w:jc w:val="right"/>
              <w:rPr>
                <w:color w:val="000000"/>
                <w:sz w:val="20"/>
                <w:szCs w:val="20"/>
              </w:rPr>
            </w:pPr>
            <w:r>
              <w:rPr>
                <w:color w:val="000000"/>
                <w:sz w:val="20"/>
                <w:szCs w:val="20"/>
              </w:rPr>
              <w:t>140,358</w:t>
            </w:r>
          </w:p>
        </w:tc>
        <w:tc>
          <w:tcPr>
            <w:tcW w:w="50" w:type="pct"/>
            <w:shd w:val="clear" w:color="auto" w:fill="FFFFFF"/>
            <w:noWrap/>
            <w:tcMar>
              <w:top w:w="15" w:type="dxa"/>
              <w:left w:w="0" w:type="dxa"/>
              <w:bottom w:w="0" w:type="dxa"/>
              <w:right w:w="15" w:type="dxa"/>
            </w:tcMar>
            <w:vAlign w:val="bottom"/>
            <w:hideMark/>
          </w:tcPr>
          <w:p w14:paraId="1565A7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7CFA08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4DD19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0B6EDF49" w14:textId="77777777" w:rsidR="00000000" w:rsidRDefault="00B8284C">
            <w:pPr>
              <w:pStyle w:val="a3"/>
              <w:spacing w:before="0" w:beforeAutospacing="0" w:after="0" w:afterAutospacing="0"/>
              <w:jc w:val="right"/>
              <w:rPr>
                <w:color w:val="000000"/>
                <w:sz w:val="20"/>
                <w:szCs w:val="20"/>
              </w:rPr>
            </w:pPr>
            <w:r>
              <w:rPr>
                <w:color w:val="000000"/>
                <w:sz w:val="20"/>
                <w:szCs w:val="20"/>
              </w:rPr>
              <w:t>106,061</w:t>
            </w:r>
          </w:p>
        </w:tc>
        <w:tc>
          <w:tcPr>
            <w:tcW w:w="50" w:type="pct"/>
            <w:shd w:val="clear" w:color="auto" w:fill="FFFFFF"/>
            <w:noWrap/>
            <w:tcMar>
              <w:top w:w="15" w:type="dxa"/>
              <w:left w:w="0" w:type="dxa"/>
              <w:bottom w:w="0" w:type="dxa"/>
              <w:right w:w="15" w:type="dxa"/>
            </w:tcMar>
            <w:vAlign w:val="bottom"/>
            <w:hideMark/>
          </w:tcPr>
          <w:p w14:paraId="37789B0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8DF6B0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18BF9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367A9624" w14:textId="77777777" w:rsidR="00000000" w:rsidRDefault="00B8284C">
            <w:pPr>
              <w:pStyle w:val="a3"/>
              <w:spacing w:before="0" w:beforeAutospacing="0" w:after="0" w:afterAutospacing="0"/>
              <w:jc w:val="right"/>
              <w:rPr>
                <w:color w:val="000000"/>
                <w:sz w:val="20"/>
                <w:szCs w:val="20"/>
              </w:rPr>
            </w:pPr>
            <w:r>
              <w:rPr>
                <w:color w:val="000000"/>
                <w:sz w:val="20"/>
                <w:szCs w:val="20"/>
              </w:rPr>
              <w:t>34,297</w:t>
            </w:r>
          </w:p>
        </w:tc>
        <w:tc>
          <w:tcPr>
            <w:tcW w:w="50" w:type="pct"/>
            <w:shd w:val="clear" w:color="auto" w:fill="FFFFFF"/>
            <w:noWrap/>
            <w:tcMar>
              <w:top w:w="15" w:type="dxa"/>
              <w:left w:w="0" w:type="dxa"/>
              <w:bottom w:w="0" w:type="dxa"/>
              <w:right w:w="15" w:type="dxa"/>
            </w:tcMar>
            <w:vAlign w:val="bottom"/>
            <w:hideMark/>
          </w:tcPr>
          <w:p w14:paraId="17DEA2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31A020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CD6E7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F127DA1" w14:textId="77777777" w:rsidR="00000000" w:rsidRDefault="00B8284C">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14:paraId="536A532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1047B2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F4357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1AB32072" w14:textId="77777777" w:rsidR="00000000" w:rsidRDefault="00B8284C">
            <w:pPr>
              <w:pStyle w:val="a3"/>
              <w:spacing w:before="0" w:beforeAutospacing="0" w:after="0" w:afterAutospacing="0"/>
              <w:jc w:val="right"/>
              <w:rPr>
                <w:color w:val="000000"/>
                <w:sz w:val="20"/>
                <w:szCs w:val="20"/>
              </w:rPr>
            </w:pPr>
            <w:r>
              <w:rPr>
                <w:color w:val="000000"/>
                <w:sz w:val="20"/>
                <w:szCs w:val="20"/>
              </w:rPr>
              <w:t>394,691</w:t>
            </w:r>
          </w:p>
        </w:tc>
        <w:tc>
          <w:tcPr>
            <w:tcW w:w="50" w:type="pct"/>
            <w:shd w:val="clear" w:color="auto" w:fill="FFFFFF"/>
            <w:noWrap/>
            <w:tcMar>
              <w:top w:w="15" w:type="dxa"/>
              <w:left w:w="0" w:type="dxa"/>
              <w:bottom w:w="0" w:type="dxa"/>
              <w:right w:w="15" w:type="dxa"/>
            </w:tcMar>
            <w:vAlign w:val="bottom"/>
            <w:hideMark/>
          </w:tcPr>
          <w:p w14:paraId="64F07A9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89B25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0CDA1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4F1757FB" w14:textId="77777777" w:rsidR="00000000" w:rsidRDefault="00B8284C">
            <w:pPr>
              <w:pStyle w:val="a3"/>
              <w:spacing w:before="0" w:beforeAutospacing="0" w:after="0" w:afterAutospacing="0"/>
              <w:jc w:val="right"/>
              <w:rPr>
                <w:color w:val="000000"/>
                <w:sz w:val="20"/>
                <w:szCs w:val="20"/>
              </w:rPr>
            </w:pPr>
            <w:r>
              <w:rPr>
                <w:color w:val="000000"/>
                <w:sz w:val="20"/>
                <w:szCs w:val="20"/>
              </w:rPr>
              <w:t>295,965</w:t>
            </w:r>
          </w:p>
        </w:tc>
        <w:tc>
          <w:tcPr>
            <w:tcW w:w="50" w:type="pct"/>
            <w:shd w:val="clear" w:color="auto" w:fill="FFFFFF"/>
            <w:noWrap/>
            <w:tcMar>
              <w:top w:w="15" w:type="dxa"/>
              <w:left w:w="0" w:type="dxa"/>
              <w:bottom w:w="0" w:type="dxa"/>
              <w:right w:w="15" w:type="dxa"/>
            </w:tcMar>
            <w:vAlign w:val="bottom"/>
            <w:hideMark/>
          </w:tcPr>
          <w:p w14:paraId="4D9717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87B77C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AE650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0467B589" w14:textId="77777777" w:rsidR="00000000" w:rsidRDefault="00B8284C">
            <w:pPr>
              <w:pStyle w:val="a3"/>
              <w:spacing w:before="0" w:beforeAutospacing="0" w:after="0" w:afterAutospacing="0"/>
              <w:jc w:val="right"/>
              <w:rPr>
                <w:color w:val="000000"/>
                <w:sz w:val="20"/>
                <w:szCs w:val="20"/>
              </w:rPr>
            </w:pPr>
            <w:r>
              <w:rPr>
                <w:color w:val="000000"/>
                <w:sz w:val="20"/>
                <w:szCs w:val="20"/>
              </w:rPr>
              <w:t>98,726</w:t>
            </w:r>
          </w:p>
        </w:tc>
        <w:tc>
          <w:tcPr>
            <w:tcW w:w="50" w:type="pct"/>
            <w:shd w:val="clear" w:color="auto" w:fill="FFFFFF"/>
            <w:noWrap/>
            <w:tcMar>
              <w:top w:w="15" w:type="dxa"/>
              <w:left w:w="0" w:type="dxa"/>
              <w:bottom w:w="0" w:type="dxa"/>
              <w:right w:w="15" w:type="dxa"/>
            </w:tcMar>
            <w:vAlign w:val="bottom"/>
            <w:hideMark/>
          </w:tcPr>
          <w:p w14:paraId="19AC0E8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8B62F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360A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443D262" w14:textId="77777777" w:rsidR="00000000" w:rsidRDefault="00B8284C">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28EABD0A"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7CD6967B" w14:textId="77777777">
        <w:trPr>
          <w:divId w:val="1018431873"/>
        </w:trPr>
        <w:tc>
          <w:tcPr>
            <w:tcW w:w="1526" w:type="pct"/>
            <w:shd w:val="clear" w:color="auto" w:fill="CFF0FC"/>
            <w:tcMar>
              <w:top w:w="15" w:type="dxa"/>
              <w:left w:w="0" w:type="dxa"/>
              <w:bottom w:w="0" w:type="dxa"/>
              <w:right w:w="15" w:type="dxa"/>
            </w:tcMar>
            <w:vAlign w:val="bottom"/>
            <w:hideMark/>
          </w:tcPr>
          <w:p w14:paraId="00883776" w14:textId="77777777" w:rsidR="00000000" w:rsidRDefault="00B8284C">
            <w:pPr>
              <w:pStyle w:val="a3"/>
              <w:spacing w:before="0" w:beforeAutospacing="0" w:after="0" w:afterAutospacing="0"/>
              <w:rPr>
                <w:color w:val="000000"/>
                <w:sz w:val="20"/>
                <w:szCs w:val="20"/>
              </w:rPr>
            </w:pPr>
            <w:r>
              <w:rPr>
                <w:color w:val="000000"/>
                <w:sz w:val="20"/>
                <w:szCs w:val="20"/>
              </w:rPr>
              <w:t>Gross margin percentage</w:t>
            </w:r>
          </w:p>
        </w:tc>
        <w:tc>
          <w:tcPr>
            <w:tcW w:w="51" w:type="pct"/>
            <w:shd w:val="clear" w:color="auto" w:fill="CFF0FC"/>
            <w:tcMar>
              <w:top w:w="15" w:type="dxa"/>
              <w:left w:w="0" w:type="dxa"/>
              <w:bottom w:w="0" w:type="dxa"/>
              <w:right w:w="15" w:type="dxa"/>
            </w:tcMar>
            <w:vAlign w:val="bottom"/>
            <w:hideMark/>
          </w:tcPr>
          <w:p w14:paraId="04C463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1E00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03081DF1" w14:textId="77777777" w:rsidR="00000000" w:rsidRDefault="00B8284C">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69714C6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A8C67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7536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26AFE922" w14:textId="77777777" w:rsidR="00000000" w:rsidRDefault="00B8284C">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14:paraId="458F7EB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CFC0EC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CF2D1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1302054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905B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00172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A4298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6ED9D1B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4F6A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2A5FB00"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9B187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7D07B6BF" w14:textId="77777777" w:rsidR="00000000" w:rsidRDefault="00B8284C">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2BFAABE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AA1BA1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6E251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51926196" w14:textId="77777777" w:rsidR="00000000" w:rsidRDefault="00B8284C">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14:paraId="77B69D1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3B587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125A8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192789F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E4A6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AE445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3FF9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1B46A43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169173"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4F57E53E" w14:textId="77777777" w:rsidR="00000000" w:rsidRDefault="00B8284C">
      <w:pPr>
        <w:pStyle w:val="a3"/>
        <w:spacing w:before="0" w:beforeAutospacing="0" w:after="0" w:afterAutospacing="0"/>
        <w:rPr>
          <w:sz w:val="20"/>
          <w:szCs w:val="20"/>
        </w:rPr>
      </w:pPr>
      <w:r>
        <w:rPr>
          <w:sz w:val="20"/>
          <w:szCs w:val="20"/>
        </w:rPr>
        <w:t> </w:t>
      </w:r>
    </w:p>
    <w:p w14:paraId="7A026D09" w14:textId="77777777" w:rsidR="00000000" w:rsidRDefault="00B8284C">
      <w:pPr>
        <w:pStyle w:val="a3"/>
        <w:spacing w:before="40" w:beforeAutospacing="0" w:after="0" w:afterAutospacing="0"/>
        <w:ind w:firstLine="556"/>
        <w:rPr>
          <w:sz w:val="20"/>
          <w:szCs w:val="20"/>
        </w:rPr>
      </w:pPr>
      <w:r>
        <w:rPr>
          <w:sz w:val="20"/>
          <w:szCs w:val="20"/>
        </w:rPr>
        <w:t>Tota</w:t>
      </w:r>
      <w:r>
        <w:rPr>
          <w:sz w:val="20"/>
          <w:szCs w:val="20"/>
        </w:rPr>
        <w:t>l cost of revenue for the three and nine months ended September 30, 2019 increased compared to the same period in 2018 primarily due to an increase in subscription and hosting costs, employee-related costs, amortization of developed technology, amortizatio</w:t>
      </w:r>
      <w:r>
        <w:rPr>
          <w:sz w:val="20"/>
          <w:szCs w:val="20"/>
        </w:rPr>
        <w:t xml:space="preserve">n of acquired technology, and allocated overhead expenses. The increase in gross margin was primarily driven by changes to our service offerings for our products. </w:t>
      </w:r>
    </w:p>
    <w:p w14:paraId="4A1DF997" w14:textId="77777777" w:rsidR="00000000" w:rsidRDefault="00B8284C">
      <w:pPr>
        <w:pStyle w:val="a3"/>
        <w:spacing w:before="0" w:beforeAutospacing="0" w:after="0" w:afterAutospacing="0"/>
        <w:ind w:firstLine="556"/>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027"/>
        <w:gridCol w:w="65"/>
        <w:gridCol w:w="115"/>
        <w:gridCol w:w="565"/>
        <w:gridCol w:w="182"/>
        <w:gridCol w:w="65"/>
        <w:gridCol w:w="115"/>
        <w:gridCol w:w="565"/>
        <w:gridCol w:w="182"/>
        <w:gridCol w:w="65"/>
        <w:gridCol w:w="116"/>
        <w:gridCol w:w="560"/>
        <w:gridCol w:w="65"/>
        <w:gridCol w:w="65"/>
        <w:gridCol w:w="111"/>
        <w:gridCol w:w="625"/>
        <w:gridCol w:w="182"/>
        <w:gridCol w:w="65"/>
        <w:gridCol w:w="115"/>
        <w:gridCol w:w="565"/>
        <w:gridCol w:w="182"/>
        <w:gridCol w:w="65"/>
        <w:gridCol w:w="115"/>
        <w:gridCol w:w="565"/>
        <w:gridCol w:w="182"/>
        <w:gridCol w:w="65"/>
        <w:gridCol w:w="115"/>
        <w:gridCol w:w="565"/>
        <w:gridCol w:w="65"/>
        <w:gridCol w:w="65"/>
        <w:gridCol w:w="112"/>
        <w:gridCol w:w="628"/>
        <w:gridCol w:w="182"/>
      </w:tblGrid>
      <w:tr w:rsidR="00000000" w14:paraId="29EA63BC" w14:textId="77777777">
        <w:trPr>
          <w:divId w:val="2132627855"/>
        </w:trPr>
        <w:tc>
          <w:tcPr>
            <w:tcW w:w="1526" w:type="pct"/>
            <w:shd w:val="clear" w:color="auto" w:fill="FFFFFF"/>
            <w:tcMar>
              <w:top w:w="15" w:type="dxa"/>
              <w:left w:w="0" w:type="dxa"/>
              <w:bottom w:w="0" w:type="dxa"/>
              <w:right w:w="15" w:type="dxa"/>
            </w:tcMar>
            <w:vAlign w:val="bottom"/>
            <w:hideMark/>
          </w:tcPr>
          <w:p w14:paraId="7AFCF17D" w14:textId="77777777" w:rsidR="00000000" w:rsidRDefault="00B8284C">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54C94E3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49CB172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0F443EB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4825A1A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6B77AF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7F4C31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73EC80F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31CBED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0D193E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324947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3D60308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E32BE0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BB1E11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221556E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27B36EB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29AB9FC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81C5BD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2FC582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5CF364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961EE4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CFFD5C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DB8993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7DDACB1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DAE11B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0C308B4" w14:textId="77777777">
        <w:trPr>
          <w:divId w:val="2132627855"/>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2000FD5D" w14:textId="77777777" w:rsidR="00000000" w:rsidRDefault="00B8284C">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610498F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6E620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DB375E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38BE936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28CB2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205712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5D1C50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6B8147D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59AD947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3265EA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2209B49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6962A866"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08E3483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255524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E4306E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1C6D795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D5680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C03E74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CCD2EE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768CCA5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123AC8C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434CF5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2903D33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12C9BF7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B8284C" w14:paraId="6CA97568" w14:textId="77777777">
        <w:trPr>
          <w:divId w:val="2132627855"/>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3531BE61" w14:textId="77777777" w:rsidR="00000000" w:rsidRDefault="00B8284C">
            <w:pPr>
              <w:pStyle w:val="a3"/>
              <w:spacing w:before="0" w:beforeAutospacing="0" w:after="0" w:afterAutospacing="0"/>
              <w:rPr>
                <w:color w:val="000000"/>
                <w:sz w:val="20"/>
                <w:szCs w:val="20"/>
              </w:rPr>
            </w:pPr>
            <w:r>
              <w:rPr>
                <w:color w:val="000000"/>
                <w:sz w:val="20"/>
                <w:szCs w:val="20"/>
              </w:rPr>
              <w:t>Subscription cost of revenue</w:t>
            </w:r>
          </w:p>
        </w:tc>
        <w:tc>
          <w:tcPr>
            <w:tcW w:w="51" w:type="pct"/>
            <w:shd w:val="clear" w:color="auto" w:fill="CFF0FC"/>
            <w:tcMar>
              <w:top w:w="15" w:type="dxa"/>
              <w:left w:w="0" w:type="dxa"/>
              <w:bottom w:w="0" w:type="dxa"/>
              <w:right w:w="15" w:type="dxa"/>
            </w:tcMar>
            <w:vAlign w:val="bottom"/>
            <w:hideMark/>
          </w:tcPr>
          <w:p w14:paraId="506152A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AD7C9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A922444" w14:textId="77777777" w:rsidR="00000000" w:rsidRDefault="00B8284C">
            <w:pPr>
              <w:pStyle w:val="a3"/>
              <w:spacing w:before="0" w:beforeAutospacing="0" w:after="0" w:afterAutospacing="0"/>
              <w:jc w:val="right"/>
              <w:rPr>
                <w:color w:val="000000"/>
                <w:sz w:val="20"/>
                <w:szCs w:val="20"/>
              </w:rPr>
            </w:pPr>
            <w:r>
              <w:rPr>
                <w:color w:val="000000"/>
                <w:sz w:val="20"/>
                <w:szCs w:val="20"/>
              </w:rPr>
              <w:t>25,671</w:t>
            </w:r>
          </w:p>
        </w:tc>
        <w:tc>
          <w:tcPr>
            <w:tcW w:w="50" w:type="pct"/>
            <w:shd w:val="clear" w:color="auto" w:fill="CFF0FC"/>
            <w:noWrap/>
            <w:tcMar>
              <w:top w:w="15" w:type="dxa"/>
              <w:left w:w="0" w:type="dxa"/>
              <w:bottom w:w="0" w:type="dxa"/>
              <w:right w:w="15" w:type="dxa"/>
            </w:tcMar>
            <w:vAlign w:val="bottom"/>
            <w:hideMark/>
          </w:tcPr>
          <w:p w14:paraId="33863C5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FC698B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DCC77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0DE1D03" w14:textId="77777777" w:rsidR="00000000" w:rsidRDefault="00B8284C">
            <w:pPr>
              <w:pStyle w:val="a3"/>
              <w:spacing w:before="0" w:beforeAutospacing="0" w:after="0" w:afterAutospacing="0"/>
              <w:jc w:val="right"/>
              <w:rPr>
                <w:color w:val="000000"/>
                <w:sz w:val="20"/>
                <w:szCs w:val="20"/>
              </w:rPr>
            </w:pPr>
            <w:r>
              <w:rPr>
                <w:color w:val="000000"/>
                <w:sz w:val="20"/>
                <w:szCs w:val="20"/>
              </w:rPr>
              <w:t>17,777</w:t>
            </w:r>
          </w:p>
        </w:tc>
        <w:tc>
          <w:tcPr>
            <w:tcW w:w="50" w:type="pct"/>
            <w:shd w:val="clear" w:color="auto" w:fill="CFF0FC"/>
            <w:noWrap/>
            <w:tcMar>
              <w:top w:w="15" w:type="dxa"/>
              <w:left w:w="0" w:type="dxa"/>
              <w:bottom w:w="0" w:type="dxa"/>
              <w:right w:w="15" w:type="dxa"/>
            </w:tcMar>
            <w:vAlign w:val="bottom"/>
            <w:hideMark/>
          </w:tcPr>
          <w:p w14:paraId="140C00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B6A548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39912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082D519" w14:textId="77777777" w:rsidR="00000000" w:rsidRDefault="00B8284C">
            <w:pPr>
              <w:pStyle w:val="a3"/>
              <w:spacing w:before="0" w:beforeAutospacing="0" w:after="0" w:afterAutospacing="0"/>
              <w:jc w:val="right"/>
              <w:rPr>
                <w:color w:val="000000"/>
                <w:sz w:val="20"/>
                <w:szCs w:val="20"/>
              </w:rPr>
            </w:pPr>
            <w:r>
              <w:rPr>
                <w:color w:val="000000"/>
                <w:sz w:val="20"/>
                <w:szCs w:val="20"/>
              </w:rPr>
              <w:t>7,894</w:t>
            </w:r>
          </w:p>
        </w:tc>
        <w:tc>
          <w:tcPr>
            <w:tcW w:w="50" w:type="pct"/>
            <w:shd w:val="clear" w:color="auto" w:fill="CFF0FC"/>
            <w:noWrap/>
            <w:tcMar>
              <w:top w:w="15" w:type="dxa"/>
              <w:left w:w="0" w:type="dxa"/>
              <w:bottom w:w="0" w:type="dxa"/>
              <w:right w:w="15" w:type="dxa"/>
            </w:tcMar>
            <w:vAlign w:val="bottom"/>
            <w:hideMark/>
          </w:tcPr>
          <w:p w14:paraId="5635D59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A4F83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766663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E6B8ADD" w14:textId="77777777" w:rsidR="00000000" w:rsidRDefault="00B8284C">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14:paraId="7EBB466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7188E30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79E53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E5A99C9" w14:textId="77777777" w:rsidR="00000000" w:rsidRDefault="00B8284C">
            <w:pPr>
              <w:pStyle w:val="a3"/>
              <w:spacing w:before="0" w:beforeAutospacing="0" w:after="0" w:afterAutospacing="0"/>
              <w:jc w:val="right"/>
              <w:rPr>
                <w:color w:val="000000"/>
                <w:sz w:val="20"/>
                <w:szCs w:val="20"/>
              </w:rPr>
            </w:pPr>
            <w:r>
              <w:rPr>
                <w:color w:val="000000"/>
                <w:sz w:val="20"/>
                <w:szCs w:val="20"/>
              </w:rPr>
              <w:t>70,550</w:t>
            </w:r>
          </w:p>
        </w:tc>
        <w:tc>
          <w:tcPr>
            <w:tcW w:w="50" w:type="pct"/>
            <w:shd w:val="clear" w:color="auto" w:fill="CFF0FC"/>
            <w:noWrap/>
            <w:tcMar>
              <w:top w:w="15" w:type="dxa"/>
              <w:left w:w="0" w:type="dxa"/>
              <w:bottom w:w="0" w:type="dxa"/>
              <w:right w:w="15" w:type="dxa"/>
            </w:tcMar>
            <w:vAlign w:val="bottom"/>
            <w:hideMark/>
          </w:tcPr>
          <w:p w14:paraId="74CAA01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C6B83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999DDB"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749B5D3" w14:textId="77777777" w:rsidR="00000000" w:rsidRDefault="00B8284C">
            <w:pPr>
              <w:pStyle w:val="a3"/>
              <w:spacing w:before="0" w:beforeAutospacing="0" w:after="0" w:afterAutospacing="0"/>
              <w:jc w:val="right"/>
              <w:rPr>
                <w:color w:val="000000"/>
                <w:sz w:val="20"/>
                <w:szCs w:val="20"/>
              </w:rPr>
            </w:pPr>
            <w:r>
              <w:rPr>
                <w:color w:val="000000"/>
                <w:sz w:val="20"/>
                <w:szCs w:val="20"/>
              </w:rPr>
              <w:t>49,976</w:t>
            </w:r>
          </w:p>
        </w:tc>
        <w:tc>
          <w:tcPr>
            <w:tcW w:w="50" w:type="pct"/>
            <w:shd w:val="clear" w:color="auto" w:fill="CFF0FC"/>
            <w:noWrap/>
            <w:tcMar>
              <w:top w:w="15" w:type="dxa"/>
              <w:left w:w="0" w:type="dxa"/>
              <w:bottom w:w="0" w:type="dxa"/>
              <w:right w:w="15" w:type="dxa"/>
            </w:tcMar>
            <w:vAlign w:val="bottom"/>
            <w:hideMark/>
          </w:tcPr>
          <w:p w14:paraId="01D11C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E365AE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49657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8C5B2FD" w14:textId="77777777" w:rsidR="00000000" w:rsidRDefault="00B8284C">
            <w:pPr>
              <w:pStyle w:val="a3"/>
              <w:spacing w:before="0" w:beforeAutospacing="0" w:after="0" w:afterAutospacing="0"/>
              <w:jc w:val="right"/>
              <w:rPr>
                <w:color w:val="000000"/>
                <w:sz w:val="20"/>
                <w:szCs w:val="20"/>
              </w:rPr>
            </w:pPr>
            <w:r>
              <w:rPr>
                <w:color w:val="000000"/>
                <w:sz w:val="20"/>
                <w:szCs w:val="20"/>
              </w:rPr>
              <w:t>20,574</w:t>
            </w:r>
          </w:p>
        </w:tc>
        <w:tc>
          <w:tcPr>
            <w:tcW w:w="50" w:type="pct"/>
            <w:shd w:val="clear" w:color="auto" w:fill="CFF0FC"/>
            <w:noWrap/>
            <w:tcMar>
              <w:top w:w="15" w:type="dxa"/>
              <w:left w:w="0" w:type="dxa"/>
              <w:bottom w:w="0" w:type="dxa"/>
              <w:right w:w="15" w:type="dxa"/>
            </w:tcMar>
            <w:vAlign w:val="bottom"/>
            <w:hideMark/>
          </w:tcPr>
          <w:p w14:paraId="73704EF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691C59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5577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6DB7CE3" w14:textId="77777777" w:rsidR="00000000" w:rsidRDefault="00B8284C">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CFF0FC"/>
            <w:noWrap/>
            <w:tcMar>
              <w:top w:w="15" w:type="dxa"/>
              <w:left w:w="0" w:type="dxa"/>
              <w:bottom w:w="0" w:type="dxa"/>
              <w:right w:w="15" w:type="dxa"/>
            </w:tcMar>
            <w:vAlign w:val="bottom"/>
            <w:hideMark/>
          </w:tcPr>
          <w:p w14:paraId="7D52CDAE"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4BBE3688" w14:textId="77777777">
        <w:trPr>
          <w:divId w:val="2132627855"/>
        </w:trPr>
        <w:tc>
          <w:tcPr>
            <w:tcW w:w="1526" w:type="pct"/>
            <w:shd w:val="clear" w:color="auto" w:fill="FFFFFF"/>
            <w:tcMar>
              <w:top w:w="15" w:type="dxa"/>
              <w:left w:w="0" w:type="dxa"/>
              <w:bottom w:w="0" w:type="dxa"/>
              <w:right w:w="15" w:type="dxa"/>
            </w:tcMar>
            <w:vAlign w:val="bottom"/>
            <w:hideMark/>
          </w:tcPr>
          <w:p w14:paraId="3C0A17E2" w14:textId="77777777" w:rsidR="00000000" w:rsidRDefault="00B8284C">
            <w:pPr>
              <w:pStyle w:val="a3"/>
              <w:spacing w:before="0" w:beforeAutospacing="0" w:after="0" w:afterAutospacing="0"/>
              <w:rPr>
                <w:color w:val="000000"/>
                <w:sz w:val="20"/>
                <w:szCs w:val="20"/>
              </w:rPr>
            </w:pPr>
            <w:r>
              <w:rPr>
                <w:color w:val="000000"/>
                <w:sz w:val="20"/>
                <w:szCs w:val="20"/>
              </w:rPr>
              <w:t>Percentage of subscription revenue</w:t>
            </w:r>
          </w:p>
        </w:tc>
        <w:tc>
          <w:tcPr>
            <w:tcW w:w="51" w:type="pct"/>
            <w:shd w:val="clear" w:color="auto" w:fill="FFFFFF"/>
            <w:tcMar>
              <w:top w:w="15" w:type="dxa"/>
              <w:left w:w="0" w:type="dxa"/>
              <w:bottom w:w="0" w:type="dxa"/>
              <w:right w:w="15" w:type="dxa"/>
            </w:tcMar>
            <w:vAlign w:val="bottom"/>
            <w:hideMark/>
          </w:tcPr>
          <w:p w14:paraId="6A4311B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0C7B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BE2BAD9" w14:textId="77777777" w:rsidR="00000000" w:rsidRDefault="00B8284C">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0426DF1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6248468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C74B9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DACAF4F"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24CE4B6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92FA93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7BE4B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003429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1E4E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DA744F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0C90F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E213AA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D3EE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C841CF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587E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4E9CE9C" w14:textId="77777777" w:rsidR="00000000" w:rsidRDefault="00B8284C">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58A80E7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240A6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4A0FA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54870AF"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0717C7B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65463C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85D0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EAAB83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6A72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CAE9B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9C066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9AE6BB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674491"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5B3EE0A9" w14:textId="77777777" w:rsidR="00000000" w:rsidRDefault="00B8284C">
      <w:pPr>
        <w:pStyle w:val="a3"/>
        <w:spacing w:before="0" w:beforeAutospacing="0" w:after="0" w:afterAutospacing="0"/>
        <w:rPr>
          <w:sz w:val="20"/>
          <w:szCs w:val="20"/>
        </w:rPr>
      </w:pPr>
      <w:r>
        <w:rPr>
          <w:sz w:val="20"/>
          <w:szCs w:val="20"/>
        </w:rPr>
        <w:t> </w:t>
      </w:r>
    </w:p>
    <w:p w14:paraId="163DAAC2" w14:textId="77777777" w:rsidR="00000000" w:rsidRDefault="00B8284C">
      <w:pPr>
        <w:pStyle w:val="a3"/>
        <w:spacing w:before="40" w:beforeAutospacing="0" w:after="0" w:afterAutospacing="0"/>
        <w:ind w:firstLine="556"/>
        <w:rPr>
          <w:sz w:val="20"/>
          <w:szCs w:val="20"/>
        </w:rPr>
      </w:pPr>
      <w:r>
        <w:rPr>
          <w:sz w:val="20"/>
          <w:szCs w:val="20"/>
        </w:rPr>
        <w:t>The increase in subscription cost of revenue for the three and nine month periods ende</w:t>
      </w:r>
      <w:r>
        <w:rPr>
          <w:sz w:val="20"/>
          <w:szCs w:val="20"/>
        </w:rPr>
        <w:t>d September 30, 2019 compared to the same period in 2018 was primarily due to the following:</w:t>
      </w:r>
    </w:p>
    <w:p w14:paraId="56CC9583"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916"/>
        <w:gridCol w:w="85"/>
        <w:gridCol w:w="115"/>
        <w:gridCol w:w="683"/>
        <w:gridCol w:w="65"/>
        <w:gridCol w:w="85"/>
        <w:gridCol w:w="115"/>
        <w:gridCol w:w="685"/>
        <w:gridCol w:w="65"/>
      </w:tblGrid>
      <w:tr w:rsidR="00000000" w14:paraId="7A6B8C1B" w14:textId="77777777">
        <w:trPr>
          <w:divId w:val="910850295"/>
        </w:trPr>
        <w:tc>
          <w:tcPr>
            <w:tcW w:w="3389" w:type="pct"/>
            <w:shd w:val="clear" w:color="auto" w:fill="FFFFFF"/>
            <w:tcMar>
              <w:top w:w="15" w:type="dxa"/>
              <w:left w:w="0" w:type="dxa"/>
              <w:bottom w:w="0" w:type="dxa"/>
              <w:right w:w="15" w:type="dxa"/>
            </w:tcMar>
            <w:vAlign w:val="bottom"/>
            <w:hideMark/>
          </w:tcPr>
          <w:p w14:paraId="0190B5E9" w14:textId="77777777" w:rsidR="00000000" w:rsidRDefault="00B8284C">
            <w:pPr>
              <w:pStyle w:val="a3"/>
              <w:spacing w:before="0" w:beforeAutospacing="0" w:after="0" w:afterAutospacing="0"/>
              <w:jc w:val="center"/>
              <w:rPr>
                <w:sz w:val="20"/>
                <w:szCs w:val="20"/>
              </w:rPr>
            </w:pPr>
            <w:r>
              <w:rPr>
                <w:sz w:val="20"/>
                <w:szCs w:val="20"/>
              </w:rPr>
              <w:t> </w:t>
            </w:r>
          </w:p>
        </w:tc>
        <w:tc>
          <w:tcPr>
            <w:tcW w:w="95" w:type="pct"/>
            <w:shd w:val="clear" w:color="auto" w:fill="FFFFFF"/>
            <w:tcMar>
              <w:top w:w="15" w:type="dxa"/>
              <w:left w:w="0" w:type="dxa"/>
              <w:bottom w:w="0" w:type="dxa"/>
              <w:right w:w="15" w:type="dxa"/>
            </w:tcMar>
            <w:vAlign w:val="bottom"/>
            <w:hideMark/>
          </w:tcPr>
          <w:p w14:paraId="279F4DA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465" w:type="pct"/>
            <w:gridSpan w:val="6"/>
            <w:tcBorders>
              <w:bottom w:val="single" w:sz="6" w:space="0" w:color="000000"/>
            </w:tcBorders>
            <w:shd w:val="clear" w:color="auto" w:fill="FFFFFF"/>
            <w:tcMar>
              <w:top w:w="15" w:type="dxa"/>
              <w:left w:w="0" w:type="dxa"/>
              <w:bottom w:w="0" w:type="dxa"/>
              <w:right w:w="15" w:type="dxa"/>
            </w:tcMar>
            <w:vAlign w:val="bottom"/>
            <w:hideMark/>
          </w:tcPr>
          <w:p w14:paraId="2573381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503ACA3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429A4D15" w14:textId="77777777">
        <w:trPr>
          <w:divId w:val="910850295"/>
        </w:trPr>
        <w:tc>
          <w:tcPr>
            <w:tcW w:w="3389" w:type="pct"/>
            <w:shd w:val="clear" w:color="auto" w:fill="FFFFFF"/>
            <w:tcMar>
              <w:top w:w="15" w:type="dxa"/>
              <w:left w:w="0" w:type="dxa"/>
              <w:bottom w:w="0" w:type="dxa"/>
              <w:right w:w="15" w:type="dxa"/>
            </w:tcMar>
            <w:vAlign w:val="bottom"/>
            <w:hideMark/>
          </w:tcPr>
          <w:p w14:paraId="0AEAE94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95" w:type="pct"/>
            <w:shd w:val="clear" w:color="auto" w:fill="FFFFFF"/>
            <w:tcMar>
              <w:top w:w="15" w:type="dxa"/>
              <w:left w:w="0" w:type="dxa"/>
              <w:bottom w:w="0" w:type="dxa"/>
              <w:right w:w="15" w:type="dxa"/>
            </w:tcMar>
            <w:vAlign w:val="bottom"/>
            <w:hideMark/>
          </w:tcPr>
          <w:p w14:paraId="71046A8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65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78F65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28906F4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9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808FB2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65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B9838F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tc>
        <w:tc>
          <w:tcPr>
            <w:tcW w:w="50" w:type="pct"/>
            <w:shd w:val="clear" w:color="auto" w:fill="FFFFFF"/>
            <w:noWrap/>
            <w:tcMar>
              <w:top w:w="15" w:type="dxa"/>
              <w:left w:w="0" w:type="dxa"/>
              <w:bottom w:w="0" w:type="dxa"/>
              <w:right w:w="15" w:type="dxa"/>
            </w:tcMar>
            <w:vAlign w:val="bottom"/>
            <w:hideMark/>
          </w:tcPr>
          <w:p w14:paraId="39CE839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8B8444C" w14:textId="77777777">
        <w:trPr>
          <w:divId w:val="910850295"/>
        </w:trPr>
        <w:tc>
          <w:tcPr>
            <w:tcW w:w="3389" w:type="pct"/>
            <w:shd w:val="clear" w:color="auto" w:fill="FFFFFF"/>
            <w:tcMar>
              <w:top w:w="15" w:type="dxa"/>
              <w:left w:w="0" w:type="dxa"/>
              <w:bottom w:w="0" w:type="dxa"/>
              <w:right w:w="15" w:type="dxa"/>
            </w:tcMar>
            <w:vAlign w:val="bottom"/>
            <w:hideMark/>
          </w:tcPr>
          <w:p w14:paraId="348BFEB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95" w:type="pct"/>
            <w:shd w:val="clear" w:color="auto" w:fill="FFFFFF"/>
            <w:tcMar>
              <w:top w:w="15" w:type="dxa"/>
              <w:left w:w="0" w:type="dxa"/>
              <w:bottom w:w="0" w:type="dxa"/>
              <w:right w:w="15" w:type="dxa"/>
            </w:tcMar>
            <w:vAlign w:val="bottom"/>
            <w:hideMark/>
          </w:tcPr>
          <w:p w14:paraId="79B67A8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1465" w:type="pct"/>
            <w:gridSpan w:val="6"/>
            <w:tcBorders>
              <w:top w:val="single" w:sz="6" w:space="0" w:color="000000"/>
            </w:tcBorders>
            <w:shd w:val="clear" w:color="auto" w:fill="FFFFFF"/>
            <w:tcMar>
              <w:top w:w="15" w:type="dxa"/>
              <w:left w:w="0" w:type="dxa"/>
              <w:bottom w:w="0" w:type="dxa"/>
              <w:right w:w="15" w:type="dxa"/>
            </w:tcMar>
            <w:vAlign w:val="bottom"/>
            <w:hideMark/>
          </w:tcPr>
          <w:p w14:paraId="6887900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3ACD6C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AF0447E" w14:textId="77777777">
        <w:trPr>
          <w:divId w:val="910850295"/>
        </w:trPr>
        <w:tc>
          <w:tcPr>
            <w:tcW w:w="3389" w:type="pct"/>
            <w:shd w:val="clear" w:color="auto" w:fill="CFF0FC"/>
            <w:tcMar>
              <w:top w:w="15" w:type="dxa"/>
              <w:left w:w="0" w:type="dxa"/>
              <w:bottom w:w="0" w:type="dxa"/>
              <w:right w:w="15" w:type="dxa"/>
            </w:tcMar>
            <w:vAlign w:val="bottom"/>
            <w:hideMark/>
          </w:tcPr>
          <w:p w14:paraId="2020CD56" w14:textId="77777777" w:rsidR="00000000" w:rsidRDefault="00B8284C">
            <w:pPr>
              <w:pStyle w:val="a3"/>
              <w:spacing w:before="0" w:beforeAutospacing="0" w:after="0" w:afterAutospacing="0"/>
              <w:rPr>
                <w:color w:val="000000"/>
                <w:sz w:val="20"/>
                <w:szCs w:val="20"/>
              </w:rPr>
            </w:pPr>
            <w:r>
              <w:rPr>
                <w:color w:val="000000"/>
                <w:sz w:val="20"/>
                <w:szCs w:val="20"/>
              </w:rPr>
              <w:t>Subscription and hosting costs</w:t>
            </w:r>
          </w:p>
        </w:tc>
        <w:tc>
          <w:tcPr>
            <w:tcW w:w="95" w:type="pct"/>
            <w:shd w:val="clear" w:color="auto" w:fill="CFF0FC"/>
            <w:tcMar>
              <w:top w:w="15" w:type="dxa"/>
              <w:left w:w="0" w:type="dxa"/>
              <w:bottom w:w="0" w:type="dxa"/>
              <w:right w:w="15" w:type="dxa"/>
            </w:tcMar>
            <w:vAlign w:val="bottom"/>
            <w:hideMark/>
          </w:tcPr>
          <w:p w14:paraId="257218C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2DA7D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bottom"/>
            <w:hideMark/>
          </w:tcPr>
          <w:p w14:paraId="638DC91C" w14:textId="77777777" w:rsidR="00000000" w:rsidRDefault="00B8284C">
            <w:pPr>
              <w:pStyle w:val="a3"/>
              <w:spacing w:before="0" w:beforeAutospacing="0" w:after="0" w:afterAutospacing="0"/>
              <w:jc w:val="right"/>
              <w:rPr>
                <w:color w:val="000000"/>
                <w:sz w:val="20"/>
                <w:szCs w:val="20"/>
              </w:rPr>
            </w:pPr>
            <w:r>
              <w:rPr>
                <w:color w:val="000000"/>
                <w:sz w:val="20"/>
                <w:szCs w:val="20"/>
              </w:rPr>
              <w:t>4,887</w:t>
            </w:r>
          </w:p>
        </w:tc>
        <w:tc>
          <w:tcPr>
            <w:tcW w:w="50" w:type="pct"/>
            <w:shd w:val="clear" w:color="auto" w:fill="CFF0FC"/>
            <w:noWrap/>
            <w:tcMar>
              <w:top w:w="15" w:type="dxa"/>
              <w:left w:w="0" w:type="dxa"/>
              <w:bottom w:w="0" w:type="dxa"/>
              <w:right w:w="15" w:type="dxa"/>
            </w:tcMar>
            <w:vAlign w:val="bottom"/>
            <w:hideMark/>
          </w:tcPr>
          <w:p w14:paraId="516932B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vAlign w:val="bottom"/>
            <w:hideMark/>
          </w:tcPr>
          <w:p w14:paraId="4BCBF791"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6AE5420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bottom"/>
            <w:hideMark/>
          </w:tcPr>
          <w:p w14:paraId="7822E3E7" w14:textId="77777777" w:rsidR="00000000" w:rsidRDefault="00B8284C">
            <w:pPr>
              <w:pStyle w:val="a3"/>
              <w:spacing w:before="0" w:beforeAutospacing="0" w:after="0" w:afterAutospacing="0"/>
              <w:jc w:val="right"/>
              <w:rPr>
                <w:color w:val="000000"/>
                <w:sz w:val="20"/>
                <w:szCs w:val="20"/>
              </w:rPr>
            </w:pPr>
            <w:r>
              <w:rPr>
                <w:color w:val="000000"/>
                <w:sz w:val="20"/>
                <w:szCs w:val="20"/>
              </w:rPr>
              <w:t>9,991</w:t>
            </w:r>
          </w:p>
        </w:tc>
        <w:tc>
          <w:tcPr>
            <w:tcW w:w="50" w:type="pct"/>
            <w:shd w:val="clear" w:color="auto" w:fill="CFF0FC"/>
            <w:noWrap/>
            <w:tcMar>
              <w:top w:w="15" w:type="dxa"/>
              <w:left w:w="0" w:type="dxa"/>
              <w:bottom w:w="0" w:type="dxa"/>
              <w:right w:w="15" w:type="dxa"/>
            </w:tcMar>
            <w:vAlign w:val="bottom"/>
            <w:hideMark/>
          </w:tcPr>
          <w:p w14:paraId="6D8DFB5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D91B0E4" w14:textId="77777777">
        <w:trPr>
          <w:divId w:val="910850295"/>
        </w:trPr>
        <w:tc>
          <w:tcPr>
            <w:tcW w:w="3389" w:type="pct"/>
            <w:shd w:val="clear" w:color="auto" w:fill="FFFFFF"/>
            <w:tcMar>
              <w:top w:w="15" w:type="dxa"/>
              <w:left w:w="0" w:type="dxa"/>
              <w:bottom w:w="0" w:type="dxa"/>
              <w:right w:w="15" w:type="dxa"/>
            </w:tcMar>
            <w:vAlign w:val="bottom"/>
            <w:hideMark/>
          </w:tcPr>
          <w:p w14:paraId="6E809AC5" w14:textId="77777777" w:rsidR="00000000" w:rsidRDefault="00B8284C">
            <w:pPr>
              <w:pStyle w:val="a3"/>
              <w:spacing w:before="0" w:beforeAutospacing="0" w:after="0" w:afterAutospacing="0"/>
              <w:rPr>
                <w:color w:val="000000"/>
                <w:sz w:val="20"/>
                <w:szCs w:val="20"/>
              </w:rPr>
            </w:pPr>
            <w:r>
              <w:rPr>
                <w:color w:val="000000"/>
                <w:sz w:val="20"/>
                <w:szCs w:val="20"/>
              </w:rPr>
              <w:t>Employee-related costs</w:t>
            </w:r>
          </w:p>
        </w:tc>
        <w:tc>
          <w:tcPr>
            <w:tcW w:w="95" w:type="pct"/>
            <w:shd w:val="clear" w:color="auto" w:fill="FFFFFF"/>
            <w:tcMar>
              <w:top w:w="15" w:type="dxa"/>
              <w:left w:w="0" w:type="dxa"/>
              <w:bottom w:w="0" w:type="dxa"/>
              <w:right w:w="15" w:type="dxa"/>
            </w:tcMar>
            <w:vAlign w:val="bottom"/>
            <w:hideMark/>
          </w:tcPr>
          <w:p w14:paraId="56BE614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A7391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14:paraId="0A46D03A" w14:textId="77777777" w:rsidR="00000000" w:rsidRDefault="00B8284C">
            <w:pPr>
              <w:pStyle w:val="a3"/>
              <w:spacing w:before="0" w:beforeAutospacing="0" w:after="0" w:afterAutospacing="0"/>
              <w:jc w:val="right"/>
              <w:rPr>
                <w:color w:val="000000"/>
                <w:sz w:val="20"/>
                <w:szCs w:val="20"/>
              </w:rPr>
            </w:pPr>
            <w:r>
              <w:rPr>
                <w:color w:val="000000"/>
                <w:sz w:val="20"/>
                <w:szCs w:val="20"/>
              </w:rPr>
              <w:t>1,902</w:t>
            </w:r>
          </w:p>
        </w:tc>
        <w:tc>
          <w:tcPr>
            <w:tcW w:w="50" w:type="pct"/>
            <w:shd w:val="clear" w:color="auto" w:fill="FFFFFF"/>
            <w:noWrap/>
            <w:tcMar>
              <w:top w:w="15" w:type="dxa"/>
              <w:left w:w="0" w:type="dxa"/>
              <w:bottom w:w="0" w:type="dxa"/>
              <w:right w:w="15" w:type="dxa"/>
            </w:tcMar>
            <w:vAlign w:val="bottom"/>
            <w:hideMark/>
          </w:tcPr>
          <w:p w14:paraId="59AEE78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vAlign w:val="bottom"/>
            <w:hideMark/>
          </w:tcPr>
          <w:p w14:paraId="25F44709"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2755F1D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14:paraId="272ADF0E" w14:textId="77777777" w:rsidR="00000000" w:rsidRDefault="00B8284C">
            <w:pPr>
              <w:pStyle w:val="a3"/>
              <w:spacing w:before="0" w:beforeAutospacing="0" w:after="0" w:afterAutospacing="0"/>
              <w:jc w:val="right"/>
              <w:rPr>
                <w:color w:val="000000"/>
                <w:sz w:val="20"/>
                <w:szCs w:val="20"/>
              </w:rPr>
            </w:pPr>
            <w:r>
              <w:rPr>
                <w:color w:val="000000"/>
                <w:sz w:val="20"/>
                <w:szCs w:val="20"/>
              </w:rPr>
              <w:t>5,797</w:t>
            </w:r>
          </w:p>
        </w:tc>
        <w:tc>
          <w:tcPr>
            <w:tcW w:w="50" w:type="pct"/>
            <w:shd w:val="clear" w:color="auto" w:fill="FFFFFF"/>
            <w:noWrap/>
            <w:tcMar>
              <w:top w:w="15" w:type="dxa"/>
              <w:left w:w="0" w:type="dxa"/>
              <w:bottom w:w="0" w:type="dxa"/>
              <w:right w:w="15" w:type="dxa"/>
            </w:tcMar>
            <w:vAlign w:val="bottom"/>
            <w:hideMark/>
          </w:tcPr>
          <w:p w14:paraId="32BBE6C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6D96150" w14:textId="77777777">
        <w:trPr>
          <w:divId w:val="910850295"/>
        </w:trPr>
        <w:tc>
          <w:tcPr>
            <w:tcW w:w="3389" w:type="pct"/>
            <w:shd w:val="clear" w:color="auto" w:fill="CFF0FC"/>
            <w:tcMar>
              <w:top w:w="15" w:type="dxa"/>
              <w:left w:w="0" w:type="dxa"/>
              <w:bottom w:w="0" w:type="dxa"/>
              <w:right w:w="15" w:type="dxa"/>
            </w:tcMar>
            <w:vAlign w:val="bottom"/>
            <w:hideMark/>
          </w:tcPr>
          <w:p w14:paraId="093C0F0C" w14:textId="77777777" w:rsidR="00000000" w:rsidRDefault="00B8284C">
            <w:pPr>
              <w:pStyle w:val="a3"/>
              <w:spacing w:before="0" w:beforeAutospacing="0" w:after="0" w:afterAutospacing="0"/>
              <w:rPr>
                <w:color w:val="000000"/>
                <w:sz w:val="20"/>
                <w:szCs w:val="20"/>
              </w:rPr>
            </w:pPr>
            <w:r>
              <w:rPr>
                <w:color w:val="000000"/>
                <w:sz w:val="20"/>
                <w:szCs w:val="20"/>
              </w:rPr>
              <w:t>Amortization of capitalized software development costs</w:t>
            </w:r>
          </w:p>
        </w:tc>
        <w:tc>
          <w:tcPr>
            <w:tcW w:w="95" w:type="pct"/>
            <w:shd w:val="clear" w:color="auto" w:fill="CFF0FC"/>
            <w:tcMar>
              <w:top w:w="15" w:type="dxa"/>
              <w:left w:w="0" w:type="dxa"/>
              <w:bottom w:w="0" w:type="dxa"/>
              <w:right w:w="15" w:type="dxa"/>
            </w:tcMar>
            <w:vAlign w:val="bottom"/>
            <w:hideMark/>
          </w:tcPr>
          <w:p w14:paraId="6019E85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F35F8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9" w:type="pct"/>
            <w:shd w:val="clear" w:color="auto" w:fill="CFF0FC"/>
            <w:noWrap/>
            <w:tcMar>
              <w:top w:w="15" w:type="dxa"/>
              <w:left w:w="0" w:type="dxa"/>
              <w:bottom w:w="0" w:type="dxa"/>
              <w:right w:w="15" w:type="dxa"/>
            </w:tcMar>
            <w:vAlign w:val="bottom"/>
            <w:hideMark/>
          </w:tcPr>
          <w:p w14:paraId="7FA44C33" w14:textId="77777777" w:rsidR="00000000" w:rsidRDefault="00B8284C">
            <w:pPr>
              <w:pStyle w:val="a3"/>
              <w:spacing w:before="0" w:beforeAutospacing="0" w:after="0" w:afterAutospacing="0"/>
              <w:jc w:val="right"/>
              <w:rPr>
                <w:color w:val="000000"/>
                <w:sz w:val="20"/>
                <w:szCs w:val="20"/>
              </w:rPr>
            </w:pPr>
            <w:r>
              <w:rPr>
                <w:color w:val="000000"/>
                <w:sz w:val="20"/>
                <w:szCs w:val="20"/>
              </w:rPr>
              <w:t>641</w:t>
            </w:r>
          </w:p>
        </w:tc>
        <w:tc>
          <w:tcPr>
            <w:tcW w:w="50" w:type="pct"/>
            <w:shd w:val="clear" w:color="auto" w:fill="CFF0FC"/>
            <w:noWrap/>
            <w:tcMar>
              <w:top w:w="15" w:type="dxa"/>
              <w:left w:w="0" w:type="dxa"/>
              <w:bottom w:w="0" w:type="dxa"/>
              <w:right w:w="15" w:type="dxa"/>
            </w:tcMar>
            <w:vAlign w:val="bottom"/>
            <w:hideMark/>
          </w:tcPr>
          <w:p w14:paraId="5D0C4D6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vAlign w:val="bottom"/>
            <w:hideMark/>
          </w:tcPr>
          <w:p w14:paraId="3C01E1C0"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2F3E563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9" w:type="pct"/>
            <w:shd w:val="clear" w:color="auto" w:fill="CFF0FC"/>
            <w:noWrap/>
            <w:tcMar>
              <w:top w:w="15" w:type="dxa"/>
              <w:left w:w="0" w:type="dxa"/>
              <w:bottom w:w="0" w:type="dxa"/>
              <w:right w:w="15" w:type="dxa"/>
            </w:tcMar>
            <w:vAlign w:val="bottom"/>
            <w:hideMark/>
          </w:tcPr>
          <w:p w14:paraId="057E8986" w14:textId="77777777" w:rsidR="00000000" w:rsidRDefault="00B8284C">
            <w:pPr>
              <w:pStyle w:val="a3"/>
              <w:spacing w:before="0" w:beforeAutospacing="0" w:after="0" w:afterAutospacing="0"/>
              <w:jc w:val="right"/>
              <w:rPr>
                <w:color w:val="000000"/>
                <w:sz w:val="20"/>
                <w:szCs w:val="20"/>
              </w:rPr>
            </w:pPr>
            <w:r>
              <w:rPr>
                <w:color w:val="000000"/>
                <w:sz w:val="20"/>
                <w:szCs w:val="20"/>
              </w:rPr>
              <w:t>2,259</w:t>
            </w:r>
          </w:p>
        </w:tc>
        <w:tc>
          <w:tcPr>
            <w:tcW w:w="50" w:type="pct"/>
            <w:shd w:val="clear" w:color="auto" w:fill="CFF0FC"/>
            <w:noWrap/>
            <w:tcMar>
              <w:top w:w="15" w:type="dxa"/>
              <w:left w:w="0" w:type="dxa"/>
              <w:bottom w:w="0" w:type="dxa"/>
              <w:right w:w="15" w:type="dxa"/>
            </w:tcMar>
            <w:vAlign w:val="bottom"/>
            <w:hideMark/>
          </w:tcPr>
          <w:p w14:paraId="626E91B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BB8527C" w14:textId="77777777">
        <w:trPr>
          <w:divId w:val="910850295"/>
        </w:trPr>
        <w:tc>
          <w:tcPr>
            <w:tcW w:w="3389" w:type="pct"/>
            <w:shd w:val="clear" w:color="auto" w:fill="FFFFFF"/>
            <w:tcMar>
              <w:top w:w="15" w:type="dxa"/>
              <w:left w:w="0" w:type="dxa"/>
              <w:bottom w:w="0" w:type="dxa"/>
              <w:right w:w="15" w:type="dxa"/>
            </w:tcMar>
            <w:vAlign w:val="bottom"/>
            <w:hideMark/>
          </w:tcPr>
          <w:p w14:paraId="1C77249D" w14:textId="77777777" w:rsidR="00000000" w:rsidRDefault="00B8284C">
            <w:pPr>
              <w:pStyle w:val="a3"/>
              <w:spacing w:before="0" w:beforeAutospacing="0" w:after="0" w:afterAutospacing="0"/>
              <w:rPr>
                <w:color w:val="000000"/>
                <w:sz w:val="20"/>
                <w:szCs w:val="20"/>
              </w:rPr>
            </w:pPr>
            <w:r>
              <w:rPr>
                <w:color w:val="000000"/>
                <w:sz w:val="20"/>
                <w:szCs w:val="20"/>
              </w:rPr>
              <w:t>Amortization of acquired technology</w:t>
            </w:r>
          </w:p>
        </w:tc>
        <w:tc>
          <w:tcPr>
            <w:tcW w:w="95" w:type="pct"/>
            <w:shd w:val="clear" w:color="auto" w:fill="FFFFFF"/>
            <w:tcMar>
              <w:top w:w="15" w:type="dxa"/>
              <w:left w:w="0" w:type="dxa"/>
              <w:bottom w:w="0" w:type="dxa"/>
              <w:right w:w="15" w:type="dxa"/>
            </w:tcMar>
            <w:vAlign w:val="bottom"/>
            <w:hideMark/>
          </w:tcPr>
          <w:p w14:paraId="21C459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B3F5D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14:paraId="06EBF455" w14:textId="77777777" w:rsidR="00000000" w:rsidRDefault="00B8284C">
            <w:pPr>
              <w:pStyle w:val="a3"/>
              <w:spacing w:before="0" w:beforeAutospacing="0" w:after="0" w:afterAutospacing="0"/>
              <w:jc w:val="right"/>
              <w:rPr>
                <w:color w:val="000000"/>
                <w:sz w:val="20"/>
                <w:szCs w:val="20"/>
              </w:rPr>
            </w:pPr>
            <w:r>
              <w:rPr>
                <w:color w:val="000000"/>
                <w:sz w:val="20"/>
                <w:szCs w:val="20"/>
              </w:rPr>
              <w:t>195</w:t>
            </w:r>
          </w:p>
        </w:tc>
        <w:tc>
          <w:tcPr>
            <w:tcW w:w="50" w:type="pct"/>
            <w:shd w:val="clear" w:color="auto" w:fill="FFFFFF"/>
            <w:noWrap/>
            <w:tcMar>
              <w:top w:w="15" w:type="dxa"/>
              <w:left w:w="0" w:type="dxa"/>
              <w:bottom w:w="0" w:type="dxa"/>
              <w:right w:w="15" w:type="dxa"/>
            </w:tcMar>
            <w:vAlign w:val="bottom"/>
            <w:hideMark/>
          </w:tcPr>
          <w:p w14:paraId="25091A9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vAlign w:val="bottom"/>
            <w:hideMark/>
          </w:tcPr>
          <w:p w14:paraId="694D4DFF"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55B60C3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14:paraId="4400BA35" w14:textId="77777777" w:rsidR="00000000" w:rsidRDefault="00B8284C">
            <w:pPr>
              <w:pStyle w:val="a3"/>
              <w:spacing w:before="0" w:beforeAutospacing="0" w:after="0" w:afterAutospacing="0"/>
              <w:jc w:val="right"/>
              <w:rPr>
                <w:color w:val="000000"/>
                <w:sz w:val="20"/>
                <w:szCs w:val="20"/>
              </w:rPr>
            </w:pPr>
            <w:r>
              <w:rPr>
                <w:color w:val="000000"/>
                <w:sz w:val="20"/>
                <w:szCs w:val="20"/>
              </w:rPr>
              <w:t>1,769</w:t>
            </w:r>
          </w:p>
        </w:tc>
        <w:tc>
          <w:tcPr>
            <w:tcW w:w="50" w:type="pct"/>
            <w:shd w:val="clear" w:color="auto" w:fill="FFFFFF"/>
            <w:noWrap/>
            <w:tcMar>
              <w:top w:w="15" w:type="dxa"/>
              <w:left w:w="0" w:type="dxa"/>
              <w:bottom w:w="0" w:type="dxa"/>
              <w:right w:w="15" w:type="dxa"/>
            </w:tcMar>
            <w:vAlign w:val="bottom"/>
            <w:hideMark/>
          </w:tcPr>
          <w:p w14:paraId="6AF45D9D"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A7E5597" w14:textId="77777777">
        <w:trPr>
          <w:divId w:val="910850295"/>
        </w:trPr>
        <w:tc>
          <w:tcPr>
            <w:tcW w:w="3389" w:type="pct"/>
            <w:shd w:val="clear" w:color="auto" w:fill="CFF0FC"/>
            <w:tcMar>
              <w:top w:w="15" w:type="dxa"/>
              <w:left w:w="0" w:type="dxa"/>
              <w:bottom w:w="0" w:type="dxa"/>
              <w:right w:w="15" w:type="dxa"/>
            </w:tcMar>
            <w:vAlign w:val="bottom"/>
            <w:hideMark/>
          </w:tcPr>
          <w:p w14:paraId="29414207" w14:textId="77777777" w:rsidR="00000000" w:rsidRDefault="00B8284C">
            <w:pPr>
              <w:pStyle w:val="a3"/>
              <w:spacing w:before="0" w:beforeAutospacing="0" w:after="0" w:afterAutospacing="0"/>
              <w:rPr>
                <w:color w:val="000000"/>
                <w:sz w:val="20"/>
                <w:szCs w:val="20"/>
              </w:rPr>
            </w:pPr>
            <w:r>
              <w:rPr>
                <w:color w:val="000000"/>
                <w:sz w:val="20"/>
                <w:szCs w:val="20"/>
              </w:rPr>
              <w:t>Allocated overhead expenses</w:t>
            </w:r>
          </w:p>
        </w:tc>
        <w:tc>
          <w:tcPr>
            <w:tcW w:w="95" w:type="pct"/>
            <w:shd w:val="clear" w:color="auto" w:fill="CFF0FC"/>
            <w:tcMar>
              <w:top w:w="15" w:type="dxa"/>
              <w:left w:w="0" w:type="dxa"/>
              <w:bottom w:w="0" w:type="dxa"/>
              <w:right w:w="15" w:type="dxa"/>
            </w:tcMar>
            <w:vAlign w:val="bottom"/>
            <w:hideMark/>
          </w:tcPr>
          <w:p w14:paraId="478EDE5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F544C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CFF0FC"/>
            <w:noWrap/>
            <w:tcMar>
              <w:top w:w="15" w:type="dxa"/>
              <w:left w:w="0" w:type="dxa"/>
              <w:bottom w:w="0" w:type="dxa"/>
              <w:right w:w="15" w:type="dxa"/>
            </w:tcMar>
            <w:vAlign w:val="bottom"/>
            <w:hideMark/>
          </w:tcPr>
          <w:p w14:paraId="325BE8C6" w14:textId="77777777" w:rsidR="00000000" w:rsidRDefault="00B8284C">
            <w:pPr>
              <w:pStyle w:val="a3"/>
              <w:spacing w:before="0" w:beforeAutospacing="0" w:after="0" w:afterAutospacing="0"/>
              <w:jc w:val="right"/>
              <w:rPr>
                <w:color w:val="000000"/>
                <w:sz w:val="20"/>
                <w:szCs w:val="20"/>
              </w:rPr>
            </w:pPr>
            <w:r>
              <w:rPr>
                <w:color w:val="000000"/>
                <w:sz w:val="20"/>
                <w:szCs w:val="20"/>
              </w:rPr>
              <w:t>269</w:t>
            </w:r>
          </w:p>
        </w:tc>
        <w:tc>
          <w:tcPr>
            <w:tcW w:w="50" w:type="pct"/>
            <w:shd w:val="clear" w:color="auto" w:fill="CFF0FC"/>
            <w:noWrap/>
            <w:tcMar>
              <w:top w:w="15" w:type="dxa"/>
              <w:left w:w="0" w:type="dxa"/>
              <w:bottom w:w="0" w:type="dxa"/>
              <w:right w:w="15" w:type="dxa"/>
            </w:tcMar>
            <w:vAlign w:val="bottom"/>
            <w:hideMark/>
          </w:tcPr>
          <w:p w14:paraId="0AFDB8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vAlign w:val="bottom"/>
            <w:hideMark/>
          </w:tcPr>
          <w:p w14:paraId="428A35BE"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3C994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CFF0FC"/>
            <w:noWrap/>
            <w:tcMar>
              <w:top w:w="15" w:type="dxa"/>
              <w:left w:w="0" w:type="dxa"/>
              <w:bottom w:w="0" w:type="dxa"/>
              <w:right w:w="15" w:type="dxa"/>
            </w:tcMar>
            <w:vAlign w:val="bottom"/>
            <w:hideMark/>
          </w:tcPr>
          <w:p w14:paraId="6ED04DA5" w14:textId="77777777" w:rsidR="00000000" w:rsidRDefault="00B8284C">
            <w:pPr>
              <w:pStyle w:val="a3"/>
              <w:spacing w:before="0" w:beforeAutospacing="0" w:after="0" w:afterAutospacing="0"/>
              <w:jc w:val="right"/>
              <w:rPr>
                <w:color w:val="000000"/>
                <w:sz w:val="20"/>
                <w:szCs w:val="20"/>
              </w:rPr>
            </w:pPr>
            <w:r>
              <w:rPr>
                <w:color w:val="000000"/>
                <w:sz w:val="20"/>
                <w:szCs w:val="20"/>
              </w:rPr>
              <w:t>758</w:t>
            </w:r>
          </w:p>
        </w:tc>
        <w:tc>
          <w:tcPr>
            <w:tcW w:w="50" w:type="pct"/>
            <w:shd w:val="clear" w:color="auto" w:fill="CFF0FC"/>
            <w:noWrap/>
            <w:tcMar>
              <w:top w:w="15" w:type="dxa"/>
              <w:left w:w="0" w:type="dxa"/>
              <w:bottom w:w="0" w:type="dxa"/>
              <w:right w:w="15" w:type="dxa"/>
            </w:tcMar>
            <w:vAlign w:val="bottom"/>
            <w:hideMark/>
          </w:tcPr>
          <w:p w14:paraId="483F9685"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B6DBF79" w14:textId="77777777">
        <w:trPr>
          <w:divId w:val="910850295"/>
        </w:trPr>
        <w:tc>
          <w:tcPr>
            <w:tcW w:w="3389" w:type="pct"/>
            <w:shd w:val="clear" w:color="auto" w:fill="FFFFFF"/>
            <w:tcMar>
              <w:top w:w="15" w:type="dxa"/>
              <w:left w:w="0" w:type="dxa"/>
              <w:bottom w:w="0" w:type="dxa"/>
              <w:right w:w="15" w:type="dxa"/>
            </w:tcMar>
            <w:vAlign w:val="bottom"/>
            <w:hideMark/>
          </w:tcPr>
          <w:p w14:paraId="6BA6638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vAlign w:val="bottom"/>
            <w:hideMark/>
          </w:tcPr>
          <w:p w14:paraId="69465F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D4643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15DB3D" w14:textId="77777777" w:rsidR="00000000" w:rsidRDefault="00B8284C">
            <w:pPr>
              <w:pStyle w:val="a3"/>
              <w:spacing w:before="0" w:beforeAutospacing="0" w:after="0" w:afterAutospacing="0"/>
              <w:jc w:val="right"/>
              <w:rPr>
                <w:color w:val="000000"/>
                <w:sz w:val="20"/>
                <w:szCs w:val="20"/>
              </w:rPr>
            </w:pPr>
            <w:r>
              <w:rPr>
                <w:color w:val="000000"/>
                <w:sz w:val="20"/>
                <w:szCs w:val="20"/>
              </w:rPr>
              <w:t>7,894</w:t>
            </w:r>
          </w:p>
        </w:tc>
        <w:tc>
          <w:tcPr>
            <w:tcW w:w="50" w:type="pct"/>
            <w:shd w:val="clear" w:color="auto" w:fill="FFFFFF"/>
            <w:noWrap/>
            <w:tcMar>
              <w:top w:w="15" w:type="dxa"/>
              <w:left w:w="0" w:type="dxa"/>
              <w:bottom w:w="0" w:type="dxa"/>
              <w:right w:w="15" w:type="dxa"/>
            </w:tcMar>
            <w:vAlign w:val="bottom"/>
            <w:hideMark/>
          </w:tcPr>
          <w:p w14:paraId="178888A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vAlign w:val="bottom"/>
            <w:hideMark/>
          </w:tcPr>
          <w:p w14:paraId="6BEF522C"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30443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B5D0E9" w14:textId="77777777" w:rsidR="00000000" w:rsidRDefault="00B8284C">
            <w:pPr>
              <w:pStyle w:val="a3"/>
              <w:spacing w:before="0" w:beforeAutospacing="0" w:after="0" w:afterAutospacing="0"/>
              <w:jc w:val="right"/>
              <w:rPr>
                <w:color w:val="000000"/>
                <w:sz w:val="20"/>
                <w:szCs w:val="20"/>
              </w:rPr>
            </w:pPr>
            <w:r>
              <w:rPr>
                <w:color w:val="000000"/>
                <w:sz w:val="20"/>
                <w:szCs w:val="20"/>
              </w:rPr>
              <w:t>20,574</w:t>
            </w:r>
          </w:p>
        </w:tc>
        <w:tc>
          <w:tcPr>
            <w:tcW w:w="50" w:type="pct"/>
            <w:shd w:val="clear" w:color="auto" w:fill="FFFFFF"/>
            <w:noWrap/>
            <w:tcMar>
              <w:top w:w="15" w:type="dxa"/>
              <w:left w:w="0" w:type="dxa"/>
              <w:bottom w:w="0" w:type="dxa"/>
              <w:right w:w="15" w:type="dxa"/>
            </w:tcMar>
            <w:vAlign w:val="bottom"/>
            <w:hideMark/>
          </w:tcPr>
          <w:p w14:paraId="671C802A"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4C57543B" w14:textId="77777777" w:rsidR="00000000" w:rsidRDefault="00B8284C">
      <w:pPr>
        <w:pStyle w:val="a3"/>
        <w:spacing w:before="0" w:beforeAutospacing="0" w:after="0" w:afterAutospacing="0"/>
        <w:ind w:firstLine="556"/>
        <w:rPr>
          <w:sz w:val="20"/>
          <w:szCs w:val="20"/>
        </w:rPr>
      </w:pPr>
      <w:r>
        <w:rPr>
          <w:sz w:val="20"/>
          <w:szCs w:val="20"/>
        </w:rPr>
        <w:t> </w:t>
      </w:r>
    </w:p>
    <w:p w14:paraId="4D473C04"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Three month change </w:t>
      </w:r>
    </w:p>
    <w:p w14:paraId="40D64476" w14:textId="77777777" w:rsidR="00000000" w:rsidRDefault="00B8284C">
      <w:pPr>
        <w:pStyle w:val="a3"/>
        <w:spacing w:before="0" w:beforeAutospacing="0" w:after="0" w:afterAutospacing="0"/>
        <w:rPr>
          <w:sz w:val="12"/>
          <w:szCs w:val="12"/>
        </w:rPr>
      </w:pPr>
      <w:r>
        <w:rPr>
          <w:sz w:val="12"/>
          <w:szCs w:val="12"/>
        </w:rPr>
        <w:t> </w:t>
      </w:r>
    </w:p>
    <w:p w14:paraId="770D48FE" w14:textId="77777777" w:rsidR="00000000" w:rsidRDefault="00B8284C">
      <w:pPr>
        <w:pStyle w:val="a3"/>
        <w:spacing w:before="0" w:beforeAutospacing="0" w:after="0" w:afterAutospacing="0"/>
        <w:ind w:firstLine="556"/>
        <w:rPr>
          <w:color w:val="000000"/>
          <w:sz w:val="20"/>
          <w:szCs w:val="20"/>
        </w:rPr>
      </w:pPr>
      <w:r>
        <w:rPr>
          <w:color w:val="000000"/>
          <w:sz w:val="20"/>
          <w:szCs w:val="20"/>
        </w:rPr>
        <w:t xml:space="preserve">Subscription and hosting costs increased primarily due to growth in our Total Customer base from 52,505 as of September 30, 2018 to 68,803 as of September 30, 2019. Employee-related costs increased as a result of increased headcount as we continue to grow </w:t>
      </w:r>
      <w:r>
        <w:rPr>
          <w:color w:val="000000"/>
          <w:sz w:val="20"/>
          <w:szCs w:val="20"/>
        </w:rPr>
        <w:t>our customer support organization to support our customer growth and improve service levels and offerings. Amortization of capitalized software development costs increased due to the increased number of developers working on our software platform as we con</w:t>
      </w:r>
      <w:r>
        <w:rPr>
          <w:color w:val="000000"/>
          <w:sz w:val="20"/>
          <w:szCs w:val="20"/>
        </w:rPr>
        <w:t>tinue to develop new products and increased functionality.  Amortization of acquired technology increased due to acquired technology being placed into service during the third quarter of 2018. Allocated overhead expenses increased due to expansion of our l</w:t>
      </w:r>
      <w:r>
        <w:rPr>
          <w:color w:val="000000"/>
          <w:sz w:val="20"/>
          <w:szCs w:val="20"/>
        </w:rPr>
        <w:t>eased space and infrastructure as we continue to grow our business and expand headcount.</w:t>
      </w:r>
    </w:p>
    <w:p w14:paraId="53B62837" w14:textId="77777777" w:rsidR="00000000" w:rsidRDefault="00B8284C">
      <w:pPr>
        <w:pStyle w:val="a3"/>
        <w:spacing w:before="0" w:beforeAutospacing="0" w:after="0" w:afterAutospacing="0"/>
        <w:rPr>
          <w:sz w:val="20"/>
          <w:szCs w:val="20"/>
        </w:rPr>
      </w:pPr>
      <w:r>
        <w:rPr>
          <w:sz w:val="20"/>
          <w:szCs w:val="20"/>
        </w:rPr>
        <w:t> </w:t>
      </w:r>
    </w:p>
    <w:p w14:paraId="0E31AE36" w14:textId="77777777" w:rsidR="00000000" w:rsidRDefault="00B8284C">
      <w:pPr>
        <w:pStyle w:val="a3"/>
        <w:spacing w:before="240" w:beforeAutospacing="0" w:after="0" w:afterAutospacing="0"/>
        <w:jc w:val="center"/>
        <w:rPr>
          <w:sz w:val="20"/>
          <w:szCs w:val="20"/>
        </w:rPr>
      </w:pPr>
      <w:r>
        <w:rPr>
          <w:sz w:val="20"/>
          <w:szCs w:val="20"/>
        </w:rPr>
        <w:t>24</w:t>
      </w:r>
    </w:p>
    <w:p w14:paraId="22F4F422" w14:textId="77777777" w:rsidR="00000000" w:rsidRDefault="00B8284C">
      <w:pPr>
        <w:rPr>
          <w:rFonts w:eastAsia="Times New Roman"/>
        </w:rPr>
      </w:pPr>
      <w:r>
        <w:rPr>
          <w:rFonts w:eastAsia="Times New Roman"/>
        </w:rPr>
        <w:pict w14:anchorId="60D78BAB">
          <v:rect id="_x0000_i1048" style="width:0;height:1.5pt" o:hralign="center" o:hrstd="t" o:hr="t" fillcolor="#a0a0a0" stroked="f"/>
        </w:pict>
      </w:r>
    </w:p>
    <w:p w14:paraId="2A467DC4" w14:textId="77777777" w:rsidR="00000000" w:rsidRDefault="00B8284C">
      <w:pPr>
        <w:pStyle w:val="a3"/>
        <w:spacing w:before="0" w:beforeAutospacing="0" w:after="0" w:afterAutospacing="0"/>
        <w:rPr>
          <w:sz w:val="20"/>
          <w:szCs w:val="20"/>
        </w:rPr>
      </w:pPr>
      <w:r>
        <w:rPr>
          <w:sz w:val="20"/>
          <w:szCs w:val="20"/>
        </w:rPr>
        <w:t> </w:t>
      </w:r>
    </w:p>
    <w:p w14:paraId="6D5391A1"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Nine month change </w:t>
      </w:r>
    </w:p>
    <w:p w14:paraId="3A06CDFE" w14:textId="77777777" w:rsidR="00000000" w:rsidRDefault="00B8284C">
      <w:pPr>
        <w:pStyle w:val="a3"/>
        <w:spacing w:before="0" w:beforeAutospacing="0" w:after="0" w:afterAutospacing="0"/>
        <w:rPr>
          <w:sz w:val="12"/>
          <w:szCs w:val="12"/>
        </w:rPr>
      </w:pPr>
      <w:r>
        <w:rPr>
          <w:sz w:val="12"/>
          <w:szCs w:val="12"/>
        </w:rPr>
        <w:t> </w:t>
      </w:r>
    </w:p>
    <w:p w14:paraId="32195088" w14:textId="77777777" w:rsidR="00000000" w:rsidRDefault="00B8284C">
      <w:pPr>
        <w:pStyle w:val="a3"/>
        <w:spacing w:before="0" w:beforeAutospacing="0" w:after="0" w:afterAutospacing="0"/>
        <w:ind w:firstLine="556"/>
        <w:rPr>
          <w:color w:val="000000"/>
          <w:sz w:val="20"/>
          <w:szCs w:val="20"/>
        </w:rPr>
      </w:pPr>
      <w:r>
        <w:rPr>
          <w:color w:val="000000"/>
          <w:sz w:val="20"/>
          <w:szCs w:val="20"/>
        </w:rPr>
        <w:t>Subscription and hosting costs increased primarily due to growth in our Total Customer base from 52,505</w:t>
      </w:r>
      <w:r>
        <w:rPr>
          <w:color w:val="000000"/>
          <w:sz w:val="20"/>
          <w:szCs w:val="20"/>
        </w:rPr>
        <w:t xml:space="preserve"> as of September 30, 2018 to 68,803 as of September 30, 2019. Employee-related costs increased as a result of increased headcount as we continue to grow our customer support organization to support our customer growth and improve service levels and offerin</w:t>
      </w:r>
      <w:r>
        <w:rPr>
          <w:color w:val="000000"/>
          <w:sz w:val="20"/>
          <w:szCs w:val="20"/>
        </w:rPr>
        <w:t>gs. Amortization of capitalized software development costs increased due to the increased number of developers working on our software platform as we continue to develop new products and increased functionality.  Amortization of acquired technology increas</w:t>
      </w:r>
      <w:r>
        <w:rPr>
          <w:color w:val="000000"/>
          <w:sz w:val="20"/>
          <w:szCs w:val="20"/>
        </w:rPr>
        <w:t>ed due to acquired technology being placed into service during the third quarter of 2018. Allocated overhead expenses increased due to expansion of our leased space and infrastructure as we continue to grow our business and expand headcount.</w:t>
      </w:r>
    </w:p>
    <w:p w14:paraId="10334148"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170"/>
        <w:gridCol w:w="65"/>
        <w:gridCol w:w="115"/>
        <w:gridCol w:w="465"/>
        <w:gridCol w:w="182"/>
        <w:gridCol w:w="65"/>
        <w:gridCol w:w="115"/>
        <w:gridCol w:w="465"/>
        <w:gridCol w:w="182"/>
        <w:gridCol w:w="65"/>
        <w:gridCol w:w="116"/>
        <w:gridCol w:w="560"/>
        <w:gridCol w:w="82"/>
        <w:gridCol w:w="65"/>
        <w:gridCol w:w="111"/>
        <w:gridCol w:w="625"/>
        <w:gridCol w:w="249"/>
        <w:gridCol w:w="65"/>
        <w:gridCol w:w="115"/>
        <w:gridCol w:w="565"/>
        <w:gridCol w:w="182"/>
        <w:gridCol w:w="65"/>
        <w:gridCol w:w="115"/>
        <w:gridCol w:w="565"/>
        <w:gridCol w:w="182"/>
        <w:gridCol w:w="65"/>
        <w:gridCol w:w="116"/>
        <w:gridCol w:w="560"/>
        <w:gridCol w:w="65"/>
        <w:gridCol w:w="65"/>
        <w:gridCol w:w="111"/>
        <w:gridCol w:w="625"/>
        <w:gridCol w:w="182"/>
      </w:tblGrid>
      <w:tr w:rsidR="00000000" w14:paraId="463D09D7" w14:textId="77777777">
        <w:trPr>
          <w:divId w:val="209733317"/>
        </w:trPr>
        <w:tc>
          <w:tcPr>
            <w:tcW w:w="1526" w:type="pct"/>
            <w:shd w:val="clear" w:color="auto" w:fill="FFFFFF"/>
            <w:tcMar>
              <w:top w:w="15" w:type="dxa"/>
              <w:left w:w="0" w:type="dxa"/>
              <w:bottom w:w="0" w:type="dxa"/>
              <w:right w:w="15" w:type="dxa"/>
            </w:tcMar>
            <w:vAlign w:val="bottom"/>
            <w:hideMark/>
          </w:tcPr>
          <w:p w14:paraId="195C32C3" w14:textId="77777777" w:rsidR="00000000" w:rsidRDefault="00B8284C">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011420E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7C3E40D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7B4B320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0ECC2B5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9A6690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01786D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719C850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CA91E3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EF9CDD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059CBF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3FF2213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6F1F3A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B1D4D5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E2D169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62C86EB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3E4CC78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28FB72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E72FC1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C3E91F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771A76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E2F5CD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A08FF0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62C19A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4E1671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A87DD87" w14:textId="77777777">
        <w:trPr>
          <w:divId w:val="209733317"/>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2EAF5C31" w14:textId="77777777" w:rsidR="00000000" w:rsidRDefault="00B8284C">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18708A8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7F6F3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3DAEC8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20B08C1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FFB767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CFDB0B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B7045E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6D35787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375B621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7D0008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11B0F68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4CEEC826"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7F81469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7E51E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21890D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537948F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F21DA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968604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442E1C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64DD7D6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2020523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2FE457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3FBAF4D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0250A2F2"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B8284C" w14:paraId="70368C44" w14:textId="77777777">
        <w:trPr>
          <w:divId w:val="209733317"/>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794A660C" w14:textId="77777777" w:rsidR="00000000" w:rsidRDefault="00B8284C">
            <w:pPr>
              <w:pStyle w:val="a3"/>
              <w:spacing w:before="0" w:beforeAutospacing="0" w:after="0" w:afterAutospacing="0"/>
              <w:rPr>
                <w:color w:val="000000"/>
                <w:sz w:val="20"/>
                <w:szCs w:val="20"/>
              </w:rPr>
            </w:pPr>
            <w:r>
              <w:rPr>
                <w:color w:val="000000"/>
                <w:sz w:val="20"/>
                <w:szCs w:val="20"/>
              </w:rPr>
              <w:t>Professional services and other cost of</w:t>
            </w:r>
          </w:p>
          <w:p w14:paraId="3639E1AE" w14:textId="77777777" w:rsidR="00000000" w:rsidRDefault="00B8284C">
            <w:pPr>
              <w:pStyle w:val="a3"/>
              <w:spacing w:before="0" w:beforeAutospacing="0" w:after="0" w:afterAutospacing="0"/>
              <w:rPr>
                <w:color w:val="000000"/>
                <w:sz w:val="20"/>
                <w:szCs w:val="20"/>
              </w:rPr>
            </w:pPr>
            <w:r>
              <w:rPr>
                <w:color w:val="000000"/>
                <w:sz w:val="20"/>
                <w:szCs w:val="20"/>
              </w:rPr>
              <w:t>   revenue</w:t>
            </w:r>
          </w:p>
        </w:tc>
        <w:tc>
          <w:tcPr>
            <w:tcW w:w="51" w:type="pct"/>
            <w:shd w:val="clear" w:color="auto" w:fill="CFF0FC"/>
            <w:tcMar>
              <w:top w:w="15" w:type="dxa"/>
              <w:left w:w="0" w:type="dxa"/>
              <w:bottom w:w="0" w:type="dxa"/>
              <w:right w:w="15" w:type="dxa"/>
            </w:tcMar>
            <w:vAlign w:val="bottom"/>
            <w:hideMark/>
          </w:tcPr>
          <w:p w14:paraId="6593AB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34834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29D9776" w14:textId="77777777" w:rsidR="00000000" w:rsidRDefault="00B8284C">
            <w:pPr>
              <w:pStyle w:val="a3"/>
              <w:spacing w:before="0" w:beforeAutospacing="0" w:after="0" w:afterAutospacing="0"/>
              <w:jc w:val="right"/>
              <w:rPr>
                <w:color w:val="000000"/>
                <w:sz w:val="20"/>
                <w:szCs w:val="20"/>
              </w:rPr>
            </w:pPr>
            <w:r>
              <w:rPr>
                <w:color w:val="000000"/>
                <w:sz w:val="20"/>
                <w:szCs w:val="20"/>
              </w:rPr>
              <w:t>7,592</w:t>
            </w:r>
          </w:p>
        </w:tc>
        <w:tc>
          <w:tcPr>
            <w:tcW w:w="50" w:type="pct"/>
            <w:shd w:val="clear" w:color="auto" w:fill="CFF0FC"/>
            <w:noWrap/>
            <w:tcMar>
              <w:top w:w="15" w:type="dxa"/>
              <w:left w:w="0" w:type="dxa"/>
              <w:bottom w:w="0" w:type="dxa"/>
              <w:right w:w="15" w:type="dxa"/>
            </w:tcMar>
            <w:vAlign w:val="bottom"/>
            <w:hideMark/>
          </w:tcPr>
          <w:p w14:paraId="42C83A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6846F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1A49EA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368876D" w14:textId="77777777" w:rsidR="00000000" w:rsidRDefault="00B8284C">
            <w:pPr>
              <w:pStyle w:val="a3"/>
              <w:spacing w:before="0" w:beforeAutospacing="0" w:after="0" w:afterAutospacing="0"/>
              <w:jc w:val="right"/>
              <w:rPr>
                <w:color w:val="000000"/>
                <w:sz w:val="20"/>
                <w:szCs w:val="20"/>
              </w:rPr>
            </w:pPr>
            <w:r>
              <w:rPr>
                <w:color w:val="000000"/>
                <w:sz w:val="20"/>
                <w:szCs w:val="20"/>
              </w:rPr>
              <w:t>7,988</w:t>
            </w:r>
          </w:p>
        </w:tc>
        <w:tc>
          <w:tcPr>
            <w:tcW w:w="50" w:type="pct"/>
            <w:shd w:val="clear" w:color="auto" w:fill="CFF0FC"/>
            <w:noWrap/>
            <w:tcMar>
              <w:top w:w="15" w:type="dxa"/>
              <w:left w:w="0" w:type="dxa"/>
              <w:bottom w:w="0" w:type="dxa"/>
              <w:right w:w="15" w:type="dxa"/>
            </w:tcMar>
            <w:vAlign w:val="bottom"/>
            <w:hideMark/>
          </w:tcPr>
          <w:p w14:paraId="6C20312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A0A3C6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BBD48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1D4C662" w14:textId="77777777" w:rsidR="00000000" w:rsidRDefault="00B8284C">
            <w:pPr>
              <w:pStyle w:val="a3"/>
              <w:spacing w:before="0" w:beforeAutospacing="0" w:after="0" w:afterAutospacing="0"/>
              <w:jc w:val="right"/>
              <w:rPr>
                <w:color w:val="000000"/>
                <w:sz w:val="20"/>
                <w:szCs w:val="20"/>
              </w:rPr>
            </w:pPr>
            <w:r>
              <w:rPr>
                <w:color w:val="000000"/>
                <w:sz w:val="20"/>
                <w:szCs w:val="20"/>
              </w:rPr>
              <w:t>(396</w:t>
            </w:r>
          </w:p>
        </w:tc>
        <w:tc>
          <w:tcPr>
            <w:tcW w:w="50" w:type="pct"/>
            <w:shd w:val="clear" w:color="auto" w:fill="CFF0FC"/>
            <w:noWrap/>
            <w:tcMar>
              <w:top w:w="15" w:type="dxa"/>
              <w:left w:w="0" w:type="dxa"/>
              <w:bottom w:w="0" w:type="dxa"/>
              <w:right w:w="15" w:type="dxa"/>
            </w:tcMar>
            <w:vAlign w:val="bottom"/>
            <w:hideMark/>
          </w:tcPr>
          <w:p w14:paraId="0ACB962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F4C86C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DB38A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618B5D4" w14:textId="77777777" w:rsidR="00000000" w:rsidRDefault="00B8284C">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2D04868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1A9639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A5DCE4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BBF4564" w14:textId="77777777" w:rsidR="00000000" w:rsidRDefault="00B8284C">
            <w:pPr>
              <w:pStyle w:val="a3"/>
              <w:spacing w:before="0" w:beforeAutospacing="0" w:after="0" w:afterAutospacing="0"/>
              <w:jc w:val="right"/>
              <w:rPr>
                <w:color w:val="000000"/>
                <w:sz w:val="20"/>
                <w:szCs w:val="20"/>
              </w:rPr>
            </w:pPr>
            <w:r>
              <w:rPr>
                <w:color w:val="000000"/>
                <w:sz w:val="20"/>
                <w:szCs w:val="20"/>
              </w:rPr>
              <w:t>23,433</w:t>
            </w:r>
          </w:p>
        </w:tc>
        <w:tc>
          <w:tcPr>
            <w:tcW w:w="50" w:type="pct"/>
            <w:shd w:val="clear" w:color="auto" w:fill="CFF0FC"/>
            <w:noWrap/>
            <w:tcMar>
              <w:top w:w="15" w:type="dxa"/>
              <w:left w:w="0" w:type="dxa"/>
              <w:bottom w:w="0" w:type="dxa"/>
              <w:right w:w="15" w:type="dxa"/>
            </w:tcMar>
            <w:vAlign w:val="bottom"/>
            <w:hideMark/>
          </w:tcPr>
          <w:p w14:paraId="73D6182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76A19C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6C311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DA385E3" w14:textId="77777777" w:rsidR="00000000" w:rsidRDefault="00B8284C">
            <w:pPr>
              <w:pStyle w:val="a3"/>
              <w:spacing w:before="0" w:beforeAutospacing="0" w:after="0" w:afterAutospacing="0"/>
              <w:jc w:val="right"/>
              <w:rPr>
                <w:color w:val="000000"/>
                <w:sz w:val="20"/>
                <w:szCs w:val="20"/>
              </w:rPr>
            </w:pPr>
            <w:r>
              <w:rPr>
                <w:color w:val="000000"/>
                <w:sz w:val="20"/>
                <w:szCs w:val="20"/>
              </w:rPr>
              <w:t>23,017</w:t>
            </w:r>
          </w:p>
        </w:tc>
        <w:tc>
          <w:tcPr>
            <w:tcW w:w="50" w:type="pct"/>
            <w:shd w:val="clear" w:color="auto" w:fill="CFF0FC"/>
            <w:noWrap/>
            <w:tcMar>
              <w:top w:w="15" w:type="dxa"/>
              <w:left w:w="0" w:type="dxa"/>
              <w:bottom w:w="0" w:type="dxa"/>
              <w:right w:w="15" w:type="dxa"/>
            </w:tcMar>
            <w:vAlign w:val="bottom"/>
            <w:hideMark/>
          </w:tcPr>
          <w:p w14:paraId="2554231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7D30A1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36DAF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17A0712" w14:textId="77777777" w:rsidR="00000000" w:rsidRDefault="00B8284C">
            <w:pPr>
              <w:pStyle w:val="a3"/>
              <w:spacing w:before="0" w:beforeAutospacing="0" w:after="0" w:afterAutospacing="0"/>
              <w:jc w:val="right"/>
              <w:rPr>
                <w:color w:val="000000"/>
                <w:sz w:val="20"/>
                <w:szCs w:val="20"/>
              </w:rPr>
            </w:pPr>
            <w:r>
              <w:rPr>
                <w:color w:val="000000"/>
                <w:sz w:val="20"/>
                <w:szCs w:val="20"/>
              </w:rPr>
              <w:t>416</w:t>
            </w:r>
          </w:p>
        </w:tc>
        <w:tc>
          <w:tcPr>
            <w:tcW w:w="50" w:type="pct"/>
            <w:shd w:val="clear" w:color="auto" w:fill="CFF0FC"/>
            <w:noWrap/>
            <w:tcMar>
              <w:top w:w="15" w:type="dxa"/>
              <w:left w:w="0" w:type="dxa"/>
              <w:bottom w:w="0" w:type="dxa"/>
              <w:right w:w="15" w:type="dxa"/>
            </w:tcMar>
            <w:vAlign w:val="bottom"/>
            <w:hideMark/>
          </w:tcPr>
          <w:p w14:paraId="216E2E3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AF06E7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4CAADB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E760657" w14:textId="77777777" w:rsidR="00000000" w:rsidRDefault="00B8284C">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50DE036F"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2BB65DA3" w14:textId="77777777">
        <w:trPr>
          <w:divId w:val="209733317"/>
        </w:trPr>
        <w:tc>
          <w:tcPr>
            <w:tcW w:w="1526" w:type="pct"/>
            <w:shd w:val="clear" w:color="auto" w:fill="FFFFFF"/>
            <w:tcMar>
              <w:top w:w="15" w:type="dxa"/>
              <w:left w:w="0" w:type="dxa"/>
              <w:bottom w:w="0" w:type="dxa"/>
              <w:right w:w="15" w:type="dxa"/>
            </w:tcMar>
            <w:vAlign w:val="bottom"/>
            <w:hideMark/>
          </w:tcPr>
          <w:p w14:paraId="77B00FD3" w14:textId="77777777" w:rsidR="00000000" w:rsidRDefault="00B8284C">
            <w:pPr>
              <w:pStyle w:val="a3"/>
              <w:spacing w:before="0" w:beforeAutospacing="0" w:after="0" w:afterAutospacing="0"/>
              <w:rPr>
                <w:color w:val="000000"/>
                <w:sz w:val="20"/>
                <w:szCs w:val="20"/>
              </w:rPr>
            </w:pPr>
            <w:r>
              <w:rPr>
                <w:color w:val="000000"/>
                <w:sz w:val="20"/>
                <w:szCs w:val="20"/>
              </w:rPr>
              <w:t>Percentage of professional services and</w:t>
            </w:r>
          </w:p>
          <w:p w14:paraId="385C0D0F" w14:textId="77777777" w:rsidR="00000000" w:rsidRDefault="00B8284C">
            <w:pPr>
              <w:pStyle w:val="a3"/>
              <w:spacing w:before="0" w:beforeAutospacing="0" w:after="0" w:afterAutospacing="0"/>
              <w:rPr>
                <w:color w:val="000000"/>
                <w:sz w:val="20"/>
                <w:szCs w:val="20"/>
              </w:rPr>
            </w:pPr>
            <w:r>
              <w:rPr>
                <w:color w:val="000000"/>
                <w:sz w:val="20"/>
                <w:szCs w:val="20"/>
              </w:rPr>
              <w:t>   other revenue</w:t>
            </w:r>
          </w:p>
        </w:tc>
        <w:tc>
          <w:tcPr>
            <w:tcW w:w="51" w:type="pct"/>
            <w:shd w:val="clear" w:color="auto" w:fill="FFFFFF"/>
            <w:tcMar>
              <w:top w:w="15" w:type="dxa"/>
              <w:left w:w="0" w:type="dxa"/>
              <w:bottom w:w="0" w:type="dxa"/>
              <w:right w:w="15" w:type="dxa"/>
            </w:tcMar>
            <w:vAlign w:val="bottom"/>
            <w:hideMark/>
          </w:tcPr>
          <w:p w14:paraId="3E6DD8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1AA7B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4A009CA" w14:textId="77777777" w:rsidR="00000000" w:rsidRDefault="00B8284C">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FFFFFF"/>
            <w:noWrap/>
            <w:tcMar>
              <w:top w:w="15" w:type="dxa"/>
              <w:left w:w="0" w:type="dxa"/>
              <w:bottom w:w="0" w:type="dxa"/>
              <w:right w:w="15" w:type="dxa"/>
            </w:tcMar>
            <w:vAlign w:val="bottom"/>
            <w:hideMark/>
          </w:tcPr>
          <w:p w14:paraId="3AA4781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29F6E1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4FEFA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AA9BE73" w14:textId="77777777" w:rsidR="00000000" w:rsidRDefault="00B8284C">
            <w:pPr>
              <w:pStyle w:val="a3"/>
              <w:spacing w:before="0" w:beforeAutospacing="0" w:after="0" w:afterAutospacing="0"/>
              <w:jc w:val="right"/>
              <w:rPr>
                <w:color w:val="000000"/>
                <w:sz w:val="20"/>
                <w:szCs w:val="20"/>
              </w:rPr>
            </w:pPr>
            <w:r>
              <w:rPr>
                <w:color w:val="000000"/>
                <w:sz w:val="20"/>
                <w:szCs w:val="20"/>
              </w:rPr>
              <w:t>126</w:t>
            </w:r>
          </w:p>
        </w:tc>
        <w:tc>
          <w:tcPr>
            <w:tcW w:w="50" w:type="pct"/>
            <w:shd w:val="clear" w:color="auto" w:fill="FFFFFF"/>
            <w:noWrap/>
            <w:tcMar>
              <w:top w:w="15" w:type="dxa"/>
              <w:left w:w="0" w:type="dxa"/>
              <w:bottom w:w="0" w:type="dxa"/>
              <w:right w:w="15" w:type="dxa"/>
            </w:tcMar>
            <w:vAlign w:val="bottom"/>
            <w:hideMark/>
          </w:tcPr>
          <w:p w14:paraId="7CFC010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6ABFDBF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670AD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516DD9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3F2E9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7EB16B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D27B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5CDAA9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1588B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B2AC0F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3A11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8B4F409" w14:textId="77777777" w:rsidR="00000000" w:rsidRDefault="00B8284C">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14:paraId="2102B5B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00012F8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88BE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1121FE5" w14:textId="77777777" w:rsidR="00000000" w:rsidRDefault="00B8284C">
            <w:pPr>
              <w:pStyle w:val="a3"/>
              <w:spacing w:before="0" w:beforeAutospacing="0" w:after="0" w:afterAutospacing="0"/>
              <w:jc w:val="right"/>
              <w:rPr>
                <w:color w:val="000000"/>
                <w:sz w:val="20"/>
                <w:szCs w:val="20"/>
              </w:rPr>
            </w:pPr>
            <w:r>
              <w:rPr>
                <w:color w:val="000000"/>
                <w:sz w:val="20"/>
                <w:szCs w:val="20"/>
              </w:rPr>
              <w:t>126</w:t>
            </w:r>
          </w:p>
        </w:tc>
        <w:tc>
          <w:tcPr>
            <w:tcW w:w="50" w:type="pct"/>
            <w:shd w:val="clear" w:color="auto" w:fill="FFFFFF"/>
            <w:noWrap/>
            <w:tcMar>
              <w:top w:w="15" w:type="dxa"/>
              <w:left w:w="0" w:type="dxa"/>
              <w:bottom w:w="0" w:type="dxa"/>
              <w:right w:w="15" w:type="dxa"/>
            </w:tcMar>
            <w:vAlign w:val="bottom"/>
            <w:hideMark/>
          </w:tcPr>
          <w:p w14:paraId="6F5E794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65F27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6EE4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84AA02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EF8C9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DF0E66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C2DE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7D2FE8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7B5D48"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0E32FED3" w14:textId="77777777" w:rsidR="00000000" w:rsidRDefault="00B8284C">
      <w:pPr>
        <w:pStyle w:val="a3"/>
        <w:spacing w:before="0" w:beforeAutospacing="0" w:after="0" w:afterAutospacing="0"/>
        <w:rPr>
          <w:sz w:val="20"/>
          <w:szCs w:val="20"/>
        </w:rPr>
      </w:pPr>
      <w:r>
        <w:rPr>
          <w:sz w:val="20"/>
          <w:szCs w:val="20"/>
        </w:rPr>
        <w:t> </w:t>
      </w:r>
    </w:p>
    <w:p w14:paraId="55669880" w14:textId="77777777" w:rsidR="00000000" w:rsidRDefault="00B8284C">
      <w:pPr>
        <w:pStyle w:val="a3"/>
        <w:spacing w:before="40" w:beforeAutospacing="0" w:after="0" w:afterAutospacing="0"/>
        <w:ind w:firstLine="556"/>
        <w:rPr>
          <w:sz w:val="20"/>
          <w:szCs w:val="20"/>
        </w:rPr>
      </w:pPr>
      <w:r>
        <w:rPr>
          <w:sz w:val="20"/>
          <w:szCs w:val="20"/>
        </w:rPr>
        <w:t xml:space="preserve">The </w:t>
      </w:r>
      <w:r>
        <w:rPr>
          <w:sz w:val="20"/>
          <w:szCs w:val="20"/>
        </w:rPr>
        <w:t xml:space="preserve">(decrease) increase in professional services and other cost of revenue for the three and nine month periods ended </w:t>
      </w:r>
      <w:r>
        <w:rPr>
          <w:color w:val="000000"/>
          <w:sz w:val="20"/>
          <w:szCs w:val="20"/>
        </w:rPr>
        <w:t>September 30, 2019</w:t>
      </w:r>
      <w:r>
        <w:rPr>
          <w:sz w:val="20"/>
          <w:szCs w:val="20"/>
        </w:rPr>
        <w:t xml:space="preserve"> compared to the same period in 2018 was primarily due to the following:</w:t>
      </w:r>
    </w:p>
    <w:p w14:paraId="5BF55B03"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5"/>
        <w:gridCol w:w="74"/>
        <w:gridCol w:w="116"/>
        <w:gridCol w:w="811"/>
        <w:gridCol w:w="82"/>
        <w:gridCol w:w="74"/>
        <w:gridCol w:w="116"/>
        <w:gridCol w:w="811"/>
        <w:gridCol w:w="65"/>
      </w:tblGrid>
      <w:tr w:rsidR="00000000" w14:paraId="0945DE23" w14:textId="77777777">
        <w:trPr>
          <w:divId w:val="906652417"/>
        </w:trPr>
        <w:tc>
          <w:tcPr>
            <w:tcW w:w="3176" w:type="pct"/>
            <w:shd w:val="clear" w:color="auto" w:fill="FFFFFF"/>
            <w:tcMar>
              <w:top w:w="15" w:type="dxa"/>
              <w:left w:w="0" w:type="dxa"/>
              <w:bottom w:w="0" w:type="dxa"/>
              <w:right w:w="15" w:type="dxa"/>
            </w:tcMar>
            <w:vAlign w:val="bottom"/>
            <w:hideMark/>
          </w:tcPr>
          <w:p w14:paraId="6EB16D3C" w14:textId="77777777" w:rsidR="00000000" w:rsidRDefault="00B8284C">
            <w:pPr>
              <w:pStyle w:val="a3"/>
              <w:spacing w:before="0" w:beforeAutospacing="0" w:after="0" w:afterAutospacing="0"/>
              <w:rPr>
                <w:sz w:val="20"/>
                <w:szCs w:val="20"/>
              </w:rPr>
            </w:pPr>
            <w:r>
              <w:rPr>
                <w:sz w:val="20"/>
                <w:szCs w:val="20"/>
              </w:rPr>
              <w:t> </w:t>
            </w:r>
          </w:p>
        </w:tc>
        <w:tc>
          <w:tcPr>
            <w:tcW w:w="89" w:type="pct"/>
            <w:shd w:val="clear" w:color="auto" w:fill="FFFFFF"/>
            <w:tcMar>
              <w:top w:w="15" w:type="dxa"/>
              <w:left w:w="0" w:type="dxa"/>
              <w:bottom w:w="0" w:type="dxa"/>
              <w:right w:w="15" w:type="dxa"/>
            </w:tcMar>
            <w:vAlign w:val="bottom"/>
            <w:hideMark/>
          </w:tcPr>
          <w:p w14:paraId="27B88D43" w14:textId="77777777" w:rsidR="00000000" w:rsidRDefault="00B8284C">
            <w:pPr>
              <w:pStyle w:val="a3"/>
              <w:spacing w:before="0" w:beforeAutospacing="0" w:after="0" w:afterAutospacing="0"/>
              <w:rPr>
                <w:b/>
                <w:bCs/>
                <w:color w:val="000000"/>
                <w:sz w:val="20"/>
                <w:szCs w:val="20"/>
              </w:rPr>
            </w:pPr>
            <w:r>
              <w:rPr>
                <w:b/>
                <w:bCs/>
                <w:color w:val="000000"/>
                <w:sz w:val="20"/>
                <w:szCs w:val="20"/>
              </w:rPr>
              <w:t> </w:t>
            </w:r>
          </w:p>
        </w:tc>
        <w:tc>
          <w:tcPr>
            <w:tcW w:w="1683" w:type="pct"/>
            <w:gridSpan w:val="6"/>
            <w:tcBorders>
              <w:bottom w:val="single" w:sz="6" w:space="0" w:color="000000"/>
            </w:tcBorders>
            <w:shd w:val="clear" w:color="auto" w:fill="FFFFFF"/>
            <w:tcMar>
              <w:top w:w="15" w:type="dxa"/>
              <w:left w:w="0" w:type="dxa"/>
              <w:bottom w:w="0" w:type="dxa"/>
              <w:right w:w="15" w:type="dxa"/>
            </w:tcMar>
            <w:vAlign w:val="bottom"/>
            <w:hideMark/>
          </w:tcPr>
          <w:p w14:paraId="6E0FFD8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767F35F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CF34AEE" w14:textId="77777777">
        <w:trPr>
          <w:divId w:val="906652417"/>
        </w:trPr>
        <w:tc>
          <w:tcPr>
            <w:tcW w:w="3176" w:type="pct"/>
            <w:shd w:val="clear" w:color="auto" w:fill="FFFFFF"/>
            <w:tcMar>
              <w:top w:w="15" w:type="dxa"/>
              <w:left w:w="0" w:type="dxa"/>
              <w:bottom w:w="0" w:type="dxa"/>
              <w:right w:w="15" w:type="dxa"/>
            </w:tcMar>
            <w:vAlign w:val="bottom"/>
            <w:hideMark/>
          </w:tcPr>
          <w:p w14:paraId="58678801"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9" w:type="pct"/>
            <w:shd w:val="clear" w:color="auto" w:fill="FFFFFF"/>
            <w:tcMar>
              <w:top w:w="15" w:type="dxa"/>
              <w:left w:w="0" w:type="dxa"/>
              <w:bottom w:w="0" w:type="dxa"/>
              <w:right w:w="15" w:type="dxa"/>
            </w:tcMar>
            <w:vAlign w:val="bottom"/>
            <w:hideMark/>
          </w:tcPr>
          <w:p w14:paraId="16D97D69"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ACDFF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7318D0C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A0D8E0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50D62A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tc>
        <w:tc>
          <w:tcPr>
            <w:tcW w:w="50" w:type="pct"/>
            <w:shd w:val="clear" w:color="auto" w:fill="FFFFFF"/>
            <w:noWrap/>
            <w:tcMar>
              <w:top w:w="15" w:type="dxa"/>
              <w:left w:w="0" w:type="dxa"/>
              <w:bottom w:w="0" w:type="dxa"/>
              <w:right w:w="15" w:type="dxa"/>
            </w:tcMar>
            <w:vAlign w:val="bottom"/>
            <w:hideMark/>
          </w:tcPr>
          <w:p w14:paraId="3D8E738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946D093" w14:textId="77777777">
        <w:trPr>
          <w:divId w:val="906652417"/>
        </w:trPr>
        <w:tc>
          <w:tcPr>
            <w:tcW w:w="3176" w:type="pct"/>
            <w:shd w:val="clear" w:color="auto" w:fill="FFFFFF"/>
            <w:tcMar>
              <w:top w:w="15" w:type="dxa"/>
              <w:left w:w="0" w:type="dxa"/>
              <w:bottom w:w="0" w:type="dxa"/>
              <w:right w:w="15" w:type="dxa"/>
            </w:tcMar>
            <w:vAlign w:val="bottom"/>
            <w:hideMark/>
          </w:tcPr>
          <w:p w14:paraId="3C8E3F1D"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9" w:type="pct"/>
            <w:shd w:val="clear" w:color="auto" w:fill="FFFFFF"/>
            <w:tcMar>
              <w:top w:w="15" w:type="dxa"/>
              <w:left w:w="0" w:type="dxa"/>
              <w:bottom w:w="0" w:type="dxa"/>
              <w:right w:w="15" w:type="dxa"/>
            </w:tcMar>
            <w:vAlign w:val="bottom"/>
            <w:hideMark/>
          </w:tcPr>
          <w:p w14:paraId="38180D48"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683" w:type="pct"/>
            <w:gridSpan w:val="6"/>
            <w:tcBorders>
              <w:top w:val="single" w:sz="6" w:space="0" w:color="000000"/>
            </w:tcBorders>
            <w:shd w:val="clear" w:color="auto" w:fill="FFFFFF"/>
            <w:tcMar>
              <w:top w:w="15" w:type="dxa"/>
              <w:left w:w="0" w:type="dxa"/>
              <w:bottom w:w="0" w:type="dxa"/>
              <w:right w:w="15" w:type="dxa"/>
            </w:tcMar>
            <w:vAlign w:val="bottom"/>
            <w:hideMark/>
          </w:tcPr>
          <w:p w14:paraId="0DC2638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570890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44CFADC" w14:textId="77777777">
        <w:trPr>
          <w:divId w:val="906652417"/>
        </w:trPr>
        <w:tc>
          <w:tcPr>
            <w:tcW w:w="3176" w:type="pct"/>
            <w:shd w:val="clear" w:color="auto" w:fill="CFF0FC"/>
            <w:tcMar>
              <w:top w:w="15" w:type="dxa"/>
              <w:left w:w="0" w:type="dxa"/>
              <w:bottom w:w="0" w:type="dxa"/>
              <w:right w:w="15" w:type="dxa"/>
            </w:tcMar>
            <w:vAlign w:val="bottom"/>
            <w:hideMark/>
          </w:tcPr>
          <w:p w14:paraId="2CBC8639" w14:textId="77777777" w:rsidR="00000000" w:rsidRDefault="00B8284C">
            <w:pPr>
              <w:pStyle w:val="a3"/>
              <w:spacing w:before="0" w:beforeAutospacing="0" w:after="0" w:afterAutospacing="0"/>
              <w:rPr>
                <w:color w:val="000000"/>
                <w:sz w:val="20"/>
                <w:szCs w:val="20"/>
              </w:rPr>
            </w:pPr>
            <w:r>
              <w:rPr>
                <w:color w:val="000000"/>
                <w:sz w:val="20"/>
                <w:szCs w:val="20"/>
              </w:rPr>
              <w:t>Employee-related costs and allocated overhead expenses</w:t>
            </w:r>
          </w:p>
        </w:tc>
        <w:tc>
          <w:tcPr>
            <w:tcW w:w="89" w:type="pct"/>
            <w:shd w:val="clear" w:color="auto" w:fill="CFF0FC"/>
            <w:tcMar>
              <w:top w:w="15" w:type="dxa"/>
              <w:left w:w="0" w:type="dxa"/>
              <w:bottom w:w="0" w:type="dxa"/>
              <w:right w:w="15" w:type="dxa"/>
            </w:tcMar>
            <w:vAlign w:val="bottom"/>
            <w:hideMark/>
          </w:tcPr>
          <w:p w14:paraId="577605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5ACEDC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362C047A" w14:textId="77777777" w:rsidR="00000000" w:rsidRDefault="00B8284C">
            <w:pPr>
              <w:pStyle w:val="a3"/>
              <w:spacing w:before="0" w:beforeAutospacing="0" w:after="0" w:afterAutospacing="0"/>
              <w:jc w:val="right"/>
              <w:rPr>
                <w:color w:val="000000"/>
                <w:sz w:val="20"/>
                <w:szCs w:val="20"/>
              </w:rPr>
            </w:pPr>
            <w:r>
              <w:rPr>
                <w:color w:val="000000"/>
                <w:sz w:val="20"/>
                <w:szCs w:val="20"/>
              </w:rPr>
              <w:t>(396</w:t>
            </w:r>
          </w:p>
        </w:tc>
        <w:tc>
          <w:tcPr>
            <w:tcW w:w="50" w:type="pct"/>
            <w:shd w:val="clear" w:color="auto" w:fill="CFF0FC"/>
            <w:noWrap/>
            <w:tcMar>
              <w:top w:w="15" w:type="dxa"/>
              <w:left w:w="0" w:type="dxa"/>
              <w:bottom w:w="0" w:type="dxa"/>
              <w:right w:w="15" w:type="dxa"/>
            </w:tcMar>
            <w:vAlign w:val="bottom"/>
            <w:hideMark/>
          </w:tcPr>
          <w:p w14:paraId="51B493D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9" w:type="pct"/>
            <w:shd w:val="clear" w:color="auto" w:fill="CFF0FC"/>
            <w:tcMar>
              <w:top w:w="15" w:type="dxa"/>
              <w:left w:w="0" w:type="dxa"/>
              <w:bottom w:w="0" w:type="dxa"/>
              <w:right w:w="15" w:type="dxa"/>
            </w:tcMar>
            <w:vAlign w:val="bottom"/>
            <w:hideMark/>
          </w:tcPr>
          <w:p w14:paraId="1798589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A8AE57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4D917C1D" w14:textId="77777777" w:rsidR="00000000" w:rsidRDefault="00B8284C">
            <w:pPr>
              <w:pStyle w:val="a3"/>
              <w:spacing w:before="0" w:beforeAutospacing="0" w:after="0" w:afterAutospacing="0"/>
              <w:jc w:val="right"/>
              <w:rPr>
                <w:color w:val="000000"/>
                <w:sz w:val="20"/>
                <w:szCs w:val="20"/>
              </w:rPr>
            </w:pPr>
            <w:r>
              <w:rPr>
                <w:color w:val="000000"/>
                <w:sz w:val="20"/>
                <w:szCs w:val="20"/>
              </w:rPr>
              <w:t>416</w:t>
            </w:r>
          </w:p>
        </w:tc>
        <w:tc>
          <w:tcPr>
            <w:tcW w:w="50" w:type="pct"/>
            <w:shd w:val="clear" w:color="auto" w:fill="CFF0FC"/>
            <w:noWrap/>
            <w:tcMar>
              <w:top w:w="15" w:type="dxa"/>
              <w:left w:w="0" w:type="dxa"/>
              <w:bottom w:w="0" w:type="dxa"/>
              <w:right w:w="15" w:type="dxa"/>
            </w:tcMar>
            <w:vAlign w:val="bottom"/>
            <w:hideMark/>
          </w:tcPr>
          <w:p w14:paraId="615350B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5C17EAB" w14:textId="77777777">
        <w:trPr>
          <w:divId w:val="906652417"/>
        </w:trPr>
        <w:tc>
          <w:tcPr>
            <w:tcW w:w="3176" w:type="pct"/>
            <w:shd w:val="clear" w:color="auto" w:fill="FFFFFF"/>
            <w:tcMar>
              <w:top w:w="15" w:type="dxa"/>
              <w:left w:w="0" w:type="dxa"/>
              <w:bottom w:w="0" w:type="dxa"/>
              <w:right w:w="15" w:type="dxa"/>
            </w:tcMar>
            <w:vAlign w:val="bottom"/>
            <w:hideMark/>
          </w:tcPr>
          <w:p w14:paraId="2840BD77"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9" w:type="pct"/>
            <w:shd w:val="clear" w:color="auto" w:fill="FFFFFF"/>
            <w:tcMar>
              <w:top w:w="15" w:type="dxa"/>
              <w:left w:w="0" w:type="dxa"/>
              <w:bottom w:w="0" w:type="dxa"/>
              <w:right w:w="15" w:type="dxa"/>
            </w:tcMar>
            <w:vAlign w:val="bottom"/>
            <w:hideMark/>
          </w:tcPr>
          <w:p w14:paraId="56B13527"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50F87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593BF6" w14:textId="77777777" w:rsidR="00000000" w:rsidRDefault="00B8284C">
            <w:pPr>
              <w:pStyle w:val="a3"/>
              <w:spacing w:before="0" w:beforeAutospacing="0" w:after="0" w:afterAutospacing="0"/>
              <w:jc w:val="right"/>
              <w:rPr>
                <w:color w:val="000000"/>
                <w:sz w:val="20"/>
                <w:szCs w:val="20"/>
              </w:rPr>
            </w:pPr>
            <w:r>
              <w:rPr>
                <w:color w:val="000000"/>
                <w:sz w:val="20"/>
                <w:szCs w:val="20"/>
              </w:rPr>
              <w:t>(396</w:t>
            </w:r>
          </w:p>
        </w:tc>
        <w:tc>
          <w:tcPr>
            <w:tcW w:w="50" w:type="pct"/>
            <w:shd w:val="clear" w:color="auto" w:fill="FFFFFF"/>
            <w:noWrap/>
            <w:tcMar>
              <w:top w:w="15" w:type="dxa"/>
              <w:left w:w="0" w:type="dxa"/>
              <w:bottom w:w="0" w:type="dxa"/>
              <w:right w:w="15" w:type="dxa"/>
            </w:tcMar>
            <w:vAlign w:val="bottom"/>
            <w:hideMark/>
          </w:tcPr>
          <w:p w14:paraId="025E057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89" w:type="pct"/>
            <w:shd w:val="clear" w:color="auto" w:fill="FFFFFF"/>
            <w:tcMar>
              <w:top w:w="15" w:type="dxa"/>
              <w:left w:w="0" w:type="dxa"/>
              <w:bottom w:w="0" w:type="dxa"/>
              <w:right w:w="15" w:type="dxa"/>
            </w:tcMar>
            <w:vAlign w:val="bottom"/>
            <w:hideMark/>
          </w:tcPr>
          <w:p w14:paraId="6C046970"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4DEB4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47911B" w14:textId="77777777" w:rsidR="00000000" w:rsidRDefault="00B8284C">
            <w:pPr>
              <w:pStyle w:val="a3"/>
              <w:spacing w:before="0" w:beforeAutospacing="0" w:after="0" w:afterAutospacing="0"/>
              <w:jc w:val="right"/>
              <w:rPr>
                <w:color w:val="000000"/>
                <w:sz w:val="20"/>
                <w:szCs w:val="20"/>
              </w:rPr>
            </w:pPr>
            <w:r>
              <w:rPr>
                <w:color w:val="000000"/>
                <w:sz w:val="20"/>
                <w:szCs w:val="20"/>
              </w:rPr>
              <w:t>416</w:t>
            </w:r>
          </w:p>
        </w:tc>
        <w:tc>
          <w:tcPr>
            <w:tcW w:w="50" w:type="pct"/>
            <w:shd w:val="clear" w:color="auto" w:fill="FFFFFF"/>
            <w:noWrap/>
            <w:tcMar>
              <w:top w:w="15" w:type="dxa"/>
              <w:left w:w="0" w:type="dxa"/>
              <w:bottom w:w="0" w:type="dxa"/>
              <w:right w:w="15" w:type="dxa"/>
            </w:tcMar>
            <w:vAlign w:val="bottom"/>
            <w:hideMark/>
          </w:tcPr>
          <w:p w14:paraId="7C9686E2"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5B25359E" w14:textId="77777777" w:rsidR="00000000" w:rsidRDefault="00B8284C">
      <w:pPr>
        <w:pStyle w:val="a3"/>
        <w:spacing w:before="0" w:beforeAutospacing="0" w:after="0" w:afterAutospacing="0"/>
        <w:ind w:firstLine="556"/>
        <w:rPr>
          <w:sz w:val="20"/>
          <w:szCs w:val="20"/>
        </w:rPr>
      </w:pPr>
      <w:r>
        <w:rPr>
          <w:sz w:val="20"/>
          <w:szCs w:val="20"/>
        </w:rPr>
        <w:t> </w:t>
      </w:r>
    </w:p>
    <w:p w14:paraId="3D86E3E3"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Three month change </w:t>
      </w:r>
    </w:p>
    <w:p w14:paraId="7AE14E1C" w14:textId="77777777" w:rsidR="00000000" w:rsidRDefault="00B8284C">
      <w:pPr>
        <w:pStyle w:val="a3"/>
        <w:spacing w:before="0" w:beforeAutospacing="0" w:after="0" w:afterAutospacing="0"/>
        <w:ind w:firstLine="556"/>
        <w:rPr>
          <w:sz w:val="12"/>
          <w:szCs w:val="12"/>
        </w:rPr>
      </w:pPr>
      <w:r>
        <w:rPr>
          <w:sz w:val="12"/>
          <w:szCs w:val="12"/>
        </w:rPr>
        <w:t> </w:t>
      </w:r>
    </w:p>
    <w:p w14:paraId="307E6F6D" w14:textId="77777777" w:rsidR="00000000" w:rsidRDefault="00B8284C">
      <w:pPr>
        <w:pStyle w:val="a3"/>
        <w:spacing w:before="0" w:beforeAutospacing="0" w:after="0" w:afterAutospacing="0"/>
        <w:ind w:firstLine="556"/>
        <w:rPr>
          <w:sz w:val="20"/>
          <w:szCs w:val="20"/>
        </w:rPr>
      </w:pPr>
      <w:r>
        <w:rPr>
          <w:sz w:val="20"/>
          <w:szCs w:val="20"/>
        </w:rPr>
        <w:t xml:space="preserve">Employee-related costs and allocated overhead expenses decreased as a result of changes to our service offerings for our products. </w:t>
      </w:r>
    </w:p>
    <w:p w14:paraId="7D8567C2" w14:textId="77777777" w:rsidR="00000000" w:rsidRDefault="00B8284C">
      <w:pPr>
        <w:pStyle w:val="a3"/>
        <w:spacing w:before="0" w:beforeAutospacing="0" w:after="0" w:afterAutospacing="0"/>
        <w:ind w:firstLine="556"/>
        <w:rPr>
          <w:sz w:val="20"/>
          <w:szCs w:val="20"/>
        </w:rPr>
      </w:pPr>
      <w:r>
        <w:rPr>
          <w:sz w:val="20"/>
          <w:szCs w:val="20"/>
        </w:rPr>
        <w:t> </w:t>
      </w:r>
    </w:p>
    <w:p w14:paraId="01EA8267"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Nine month change </w:t>
      </w:r>
    </w:p>
    <w:p w14:paraId="1C9965E3" w14:textId="77777777" w:rsidR="00000000" w:rsidRDefault="00B8284C">
      <w:pPr>
        <w:pStyle w:val="a3"/>
        <w:spacing w:before="0" w:beforeAutospacing="0" w:after="0" w:afterAutospacing="0"/>
        <w:rPr>
          <w:sz w:val="12"/>
          <w:szCs w:val="12"/>
        </w:rPr>
      </w:pPr>
      <w:r>
        <w:rPr>
          <w:sz w:val="12"/>
          <w:szCs w:val="12"/>
        </w:rPr>
        <w:t> </w:t>
      </w:r>
    </w:p>
    <w:p w14:paraId="43E67F59" w14:textId="77777777" w:rsidR="00000000" w:rsidRDefault="00B8284C">
      <w:pPr>
        <w:pStyle w:val="a3"/>
        <w:spacing w:before="0" w:beforeAutospacing="0" w:after="0" w:afterAutospacing="0"/>
        <w:ind w:firstLine="556"/>
        <w:rPr>
          <w:sz w:val="20"/>
          <w:szCs w:val="20"/>
        </w:rPr>
      </w:pPr>
      <w:r>
        <w:rPr>
          <w:sz w:val="20"/>
          <w:szCs w:val="20"/>
        </w:rPr>
        <w:t>Employee-related costs and allocated overhead expenses increased as a result of increased headcount d</w:t>
      </w:r>
      <w:r>
        <w:rPr>
          <w:sz w:val="20"/>
          <w:szCs w:val="20"/>
        </w:rPr>
        <w:t>uring the first quarter of 2019, offset during the second and third quarter of 2019 by changes to our service offerings for our products.  </w:t>
      </w:r>
    </w:p>
    <w:p w14:paraId="7CB0478E" w14:textId="77777777" w:rsidR="00000000" w:rsidRDefault="00B8284C">
      <w:pPr>
        <w:pStyle w:val="a3"/>
        <w:spacing w:before="360" w:beforeAutospacing="0" w:after="0" w:afterAutospacing="0"/>
        <w:rPr>
          <w:b/>
          <w:bCs/>
          <w:i/>
          <w:iCs/>
          <w:sz w:val="20"/>
          <w:szCs w:val="20"/>
        </w:rPr>
      </w:pPr>
      <w:r>
        <w:rPr>
          <w:b/>
          <w:bCs/>
          <w:i/>
          <w:iCs/>
          <w:sz w:val="20"/>
          <w:szCs w:val="20"/>
        </w:rPr>
        <w:t>Research and Development</w:t>
      </w:r>
    </w:p>
    <w:p w14:paraId="11B604B4"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198"/>
        <w:gridCol w:w="65"/>
        <w:gridCol w:w="115"/>
        <w:gridCol w:w="565"/>
        <w:gridCol w:w="182"/>
        <w:gridCol w:w="65"/>
        <w:gridCol w:w="115"/>
        <w:gridCol w:w="565"/>
        <w:gridCol w:w="182"/>
        <w:gridCol w:w="65"/>
        <w:gridCol w:w="116"/>
        <w:gridCol w:w="560"/>
        <w:gridCol w:w="65"/>
        <w:gridCol w:w="65"/>
        <w:gridCol w:w="112"/>
        <w:gridCol w:w="628"/>
        <w:gridCol w:w="182"/>
        <w:gridCol w:w="70"/>
        <w:gridCol w:w="115"/>
        <w:gridCol w:w="665"/>
        <w:gridCol w:w="182"/>
        <w:gridCol w:w="65"/>
        <w:gridCol w:w="115"/>
        <w:gridCol w:w="565"/>
        <w:gridCol w:w="182"/>
        <w:gridCol w:w="65"/>
        <w:gridCol w:w="115"/>
        <w:gridCol w:w="565"/>
        <w:gridCol w:w="65"/>
        <w:gridCol w:w="65"/>
        <w:gridCol w:w="112"/>
        <w:gridCol w:w="628"/>
        <w:gridCol w:w="182"/>
      </w:tblGrid>
      <w:tr w:rsidR="00000000" w14:paraId="735B7B4B" w14:textId="77777777">
        <w:trPr>
          <w:divId w:val="898710705"/>
        </w:trPr>
        <w:tc>
          <w:tcPr>
            <w:tcW w:w="1526" w:type="pct"/>
            <w:shd w:val="clear" w:color="auto" w:fill="FFFFFF"/>
            <w:tcMar>
              <w:top w:w="15" w:type="dxa"/>
              <w:left w:w="0" w:type="dxa"/>
              <w:bottom w:w="0" w:type="dxa"/>
              <w:right w:w="15" w:type="dxa"/>
            </w:tcMar>
            <w:vAlign w:val="bottom"/>
            <w:hideMark/>
          </w:tcPr>
          <w:p w14:paraId="0EDF3972" w14:textId="77777777" w:rsidR="00000000" w:rsidRDefault="00B8284C">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24AB8BE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6422ED5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2AF7127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638B66F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5FA23D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83DD097"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677F079"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2510D9A"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1" w:type="pct"/>
            <w:shd w:val="clear" w:color="auto" w:fill="FFFFFF"/>
            <w:tcMar>
              <w:top w:w="15" w:type="dxa"/>
              <w:left w:w="0" w:type="dxa"/>
              <w:bottom w:w="0" w:type="dxa"/>
              <w:right w:w="15" w:type="dxa"/>
            </w:tcMar>
            <w:vAlign w:val="bottom"/>
            <w:hideMark/>
          </w:tcPr>
          <w:p w14:paraId="4A8396E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540DA1C"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3FC34DF"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D851A8A"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1" w:type="pct"/>
            <w:shd w:val="clear" w:color="auto" w:fill="FFFFFF"/>
            <w:tcMar>
              <w:top w:w="15" w:type="dxa"/>
              <w:left w:w="0" w:type="dxa"/>
              <w:bottom w:w="0" w:type="dxa"/>
              <w:right w:w="15" w:type="dxa"/>
            </w:tcMar>
            <w:vAlign w:val="bottom"/>
            <w:hideMark/>
          </w:tcPr>
          <w:p w14:paraId="0657FD92"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78A790E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4F6F812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w:t>
            </w: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14:paraId="03B9AF4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585D39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A1231EC"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2712192E"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C5CC9A8"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1" w:type="pct"/>
            <w:shd w:val="clear" w:color="auto" w:fill="FFFFFF"/>
            <w:tcMar>
              <w:top w:w="15" w:type="dxa"/>
              <w:left w:w="0" w:type="dxa"/>
              <w:bottom w:w="0" w:type="dxa"/>
              <w:right w:w="15" w:type="dxa"/>
            </w:tcMar>
            <w:vAlign w:val="bottom"/>
            <w:hideMark/>
          </w:tcPr>
          <w:p w14:paraId="0EB12AF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DCA262A"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0F26EA55"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2F886E2"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000000" w14:paraId="5C8C6FB5" w14:textId="77777777">
        <w:trPr>
          <w:divId w:val="898710705"/>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1795DB5E" w14:textId="77777777" w:rsidR="00000000" w:rsidRDefault="00B8284C">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6B0D670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35AAF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1ECADA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5FCEDD7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E1343D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41DB97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360CC77"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1390E0F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38129D7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D2F1015"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5188BE2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5F3FE2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C697D59"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FAAA1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C5CA18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78ACA7A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2A8B10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C9CEB1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AF44B2A"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68F47AD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61ABD7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AE2584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6860F5B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6ABFD64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B8284C" w14:paraId="4114948A" w14:textId="77777777">
        <w:trPr>
          <w:divId w:val="898710705"/>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12A64DA5" w14:textId="77777777" w:rsidR="00000000" w:rsidRDefault="00B8284C">
            <w:pPr>
              <w:pStyle w:val="a3"/>
              <w:spacing w:before="0" w:beforeAutospacing="0" w:after="0" w:afterAutospacing="0"/>
              <w:rPr>
                <w:color w:val="000000"/>
                <w:sz w:val="20"/>
                <w:szCs w:val="20"/>
              </w:rPr>
            </w:pPr>
            <w:r>
              <w:rPr>
                <w:color w:val="000000"/>
                <w:sz w:val="20"/>
                <w:szCs w:val="20"/>
              </w:rPr>
              <w:t>Research and development</w:t>
            </w:r>
          </w:p>
        </w:tc>
        <w:tc>
          <w:tcPr>
            <w:tcW w:w="51" w:type="pct"/>
            <w:shd w:val="clear" w:color="auto" w:fill="CFF0FC"/>
            <w:tcMar>
              <w:top w:w="15" w:type="dxa"/>
              <w:left w:w="0" w:type="dxa"/>
              <w:bottom w:w="0" w:type="dxa"/>
              <w:right w:w="15" w:type="dxa"/>
            </w:tcMar>
            <w:vAlign w:val="bottom"/>
            <w:hideMark/>
          </w:tcPr>
          <w:p w14:paraId="10FD731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34B2A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EB7DD69" w14:textId="77777777" w:rsidR="00000000" w:rsidRDefault="00B8284C">
            <w:pPr>
              <w:pStyle w:val="a3"/>
              <w:spacing w:before="0" w:beforeAutospacing="0" w:after="0" w:afterAutospacing="0"/>
              <w:jc w:val="right"/>
              <w:rPr>
                <w:color w:val="000000"/>
                <w:sz w:val="20"/>
                <w:szCs w:val="20"/>
              </w:rPr>
            </w:pPr>
            <w:r>
              <w:rPr>
                <w:color w:val="000000"/>
                <w:sz w:val="20"/>
                <w:szCs w:val="20"/>
              </w:rPr>
              <w:t>39,847</w:t>
            </w:r>
          </w:p>
        </w:tc>
        <w:tc>
          <w:tcPr>
            <w:tcW w:w="50" w:type="pct"/>
            <w:shd w:val="clear" w:color="auto" w:fill="CFF0FC"/>
            <w:noWrap/>
            <w:tcMar>
              <w:top w:w="15" w:type="dxa"/>
              <w:left w:w="0" w:type="dxa"/>
              <w:bottom w:w="0" w:type="dxa"/>
              <w:right w:w="15" w:type="dxa"/>
            </w:tcMar>
            <w:vAlign w:val="bottom"/>
            <w:hideMark/>
          </w:tcPr>
          <w:p w14:paraId="3EB5C5F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E7826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66854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212D2CC" w14:textId="77777777" w:rsidR="00000000" w:rsidRDefault="00B8284C">
            <w:pPr>
              <w:pStyle w:val="a3"/>
              <w:spacing w:before="0" w:beforeAutospacing="0" w:after="0" w:afterAutospacing="0"/>
              <w:jc w:val="right"/>
              <w:rPr>
                <w:color w:val="000000"/>
                <w:sz w:val="20"/>
                <w:szCs w:val="20"/>
              </w:rPr>
            </w:pPr>
            <w:r>
              <w:rPr>
                <w:color w:val="000000"/>
                <w:sz w:val="20"/>
                <w:szCs w:val="20"/>
              </w:rPr>
              <w:t>30,761</w:t>
            </w:r>
          </w:p>
        </w:tc>
        <w:tc>
          <w:tcPr>
            <w:tcW w:w="50" w:type="pct"/>
            <w:shd w:val="clear" w:color="auto" w:fill="CFF0FC"/>
            <w:noWrap/>
            <w:tcMar>
              <w:top w:w="15" w:type="dxa"/>
              <w:left w:w="0" w:type="dxa"/>
              <w:bottom w:w="0" w:type="dxa"/>
              <w:right w:w="15" w:type="dxa"/>
            </w:tcMar>
            <w:vAlign w:val="bottom"/>
            <w:hideMark/>
          </w:tcPr>
          <w:p w14:paraId="572DC13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15929A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9EBB2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87E09A6" w14:textId="77777777" w:rsidR="00000000" w:rsidRDefault="00B8284C">
            <w:pPr>
              <w:pStyle w:val="a3"/>
              <w:spacing w:before="0" w:beforeAutospacing="0" w:after="0" w:afterAutospacing="0"/>
              <w:jc w:val="right"/>
              <w:rPr>
                <w:color w:val="000000"/>
                <w:sz w:val="20"/>
                <w:szCs w:val="20"/>
              </w:rPr>
            </w:pPr>
            <w:r>
              <w:rPr>
                <w:color w:val="000000"/>
                <w:sz w:val="20"/>
                <w:szCs w:val="20"/>
              </w:rPr>
              <w:t>9,086</w:t>
            </w:r>
          </w:p>
        </w:tc>
        <w:tc>
          <w:tcPr>
            <w:tcW w:w="50" w:type="pct"/>
            <w:shd w:val="clear" w:color="auto" w:fill="CFF0FC"/>
            <w:noWrap/>
            <w:tcMar>
              <w:top w:w="15" w:type="dxa"/>
              <w:left w:w="0" w:type="dxa"/>
              <w:bottom w:w="0" w:type="dxa"/>
              <w:right w:w="15" w:type="dxa"/>
            </w:tcMar>
            <w:vAlign w:val="bottom"/>
            <w:hideMark/>
          </w:tcPr>
          <w:p w14:paraId="164520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501E67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F2D6C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326FDE4" w14:textId="77777777" w:rsidR="00000000" w:rsidRDefault="00B8284C">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14:paraId="19E6ECF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B1EABF5"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B7AE1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B9FA61E" w14:textId="77777777" w:rsidR="00000000" w:rsidRDefault="00B8284C">
            <w:pPr>
              <w:pStyle w:val="a3"/>
              <w:spacing w:before="0" w:beforeAutospacing="0" w:after="0" w:afterAutospacing="0"/>
              <w:jc w:val="right"/>
              <w:rPr>
                <w:color w:val="000000"/>
                <w:sz w:val="20"/>
                <w:szCs w:val="20"/>
              </w:rPr>
            </w:pPr>
            <w:r>
              <w:rPr>
                <w:color w:val="000000"/>
                <w:sz w:val="20"/>
                <w:szCs w:val="20"/>
              </w:rPr>
              <w:t>115,480</w:t>
            </w:r>
          </w:p>
        </w:tc>
        <w:tc>
          <w:tcPr>
            <w:tcW w:w="50" w:type="pct"/>
            <w:shd w:val="clear" w:color="auto" w:fill="CFF0FC"/>
            <w:noWrap/>
            <w:tcMar>
              <w:top w:w="15" w:type="dxa"/>
              <w:left w:w="0" w:type="dxa"/>
              <w:bottom w:w="0" w:type="dxa"/>
              <w:right w:w="15" w:type="dxa"/>
            </w:tcMar>
            <w:vAlign w:val="bottom"/>
            <w:hideMark/>
          </w:tcPr>
          <w:p w14:paraId="06B4921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854160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DDD67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578AD54" w14:textId="77777777" w:rsidR="00000000" w:rsidRDefault="00B8284C">
            <w:pPr>
              <w:pStyle w:val="a3"/>
              <w:spacing w:before="0" w:beforeAutospacing="0" w:after="0" w:afterAutospacing="0"/>
              <w:jc w:val="right"/>
              <w:rPr>
                <w:color w:val="000000"/>
                <w:sz w:val="20"/>
                <w:szCs w:val="20"/>
              </w:rPr>
            </w:pPr>
            <w:r>
              <w:rPr>
                <w:color w:val="000000"/>
                <w:sz w:val="20"/>
                <w:szCs w:val="20"/>
              </w:rPr>
              <w:t>85,598</w:t>
            </w:r>
          </w:p>
        </w:tc>
        <w:tc>
          <w:tcPr>
            <w:tcW w:w="50" w:type="pct"/>
            <w:shd w:val="clear" w:color="auto" w:fill="CFF0FC"/>
            <w:noWrap/>
            <w:tcMar>
              <w:top w:w="15" w:type="dxa"/>
              <w:left w:w="0" w:type="dxa"/>
              <w:bottom w:w="0" w:type="dxa"/>
              <w:right w:w="15" w:type="dxa"/>
            </w:tcMar>
            <w:vAlign w:val="bottom"/>
            <w:hideMark/>
          </w:tcPr>
          <w:p w14:paraId="119E482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042FB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C2B61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CCFBF22" w14:textId="77777777" w:rsidR="00000000" w:rsidRDefault="00B8284C">
            <w:pPr>
              <w:pStyle w:val="a3"/>
              <w:spacing w:before="0" w:beforeAutospacing="0" w:after="0" w:afterAutospacing="0"/>
              <w:jc w:val="right"/>
              <w:rPr>
                <w:color w:val="000000"/>
                <w:sz w:val="20"/>
                <w:szCs w:val="20"/>
              </w:rPr>
            </w:pPr>
            <w:r>
              <w:rPr>
                <w:color w:val="000000"/>
                <w:sz w:val="20"/>
                <w:szCs w:val="20"/>
              </w:rPr>
              <w:t>29,882</w:t>
            </w:r>
          </w:p>
        </w:tc>
        <w:tc>
          <w:tcPr>
            <w:tcW w:w="50" w:type="pct"/>
            <w:shd w:val="clear" w:color="auto" w:fill="CFF0FC"/>
            <w:noWrap/>
            <w:tcMar>
              <w:top w:w="15" w:type="dxa"/>
              <w:left w:w="0" w:type="dxa"/>
              <w:bottom w:w="0" w:type="dxa"/>
              <w:right w:w="15" w:type="dxa"/>
            </w:tcMar>
            <w:vAlign w:val="bottom"/>
            <w:hideMark/>
          </w:tcPr>
          <w:p w14:paraId="28E4677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D626AE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3AC8AA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D509F09" w14:textId="77777777" w:rsidR="00000000" w:rsidRDefault="00B8284C">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CFF0FC"/>
            <w:noWrap/>
            <w:tcMar>
              <w:top w:w="15" w:type="dxa"/>
              <w:left w:w="0" w:type="dxa"/>
              <w:bottom w:w="0" w:type="dxa"/>
              <w:right w:w="15" w:type="dxa"/>
            </w:tcMar>
            <w:vAlign w:val="bottom"/>
            <w:hideMark/>
          </w:tcPr>
          <w:p w14:paraId="08F1D8BE"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0C90AD5D" w14:textId="77777777">
        <w:trPr>
          <w:divId w:val="898710705"/>
        </w:trPr>
        <w:tc>
          <w:tcPr>
            <w:tcW w:w="1526" w:type="pct"/>
            <w:shd w:val="clear" w:color="auto" w:fill="FFFFFF"/>
            <w:tcMar>
              <w:top w:w="15" w:type="dxa"/>
              <w:left w:w="0" w:type="dxa"/>
              <w:bottom w:w="0" w:type="dxa"/>
              <w:right w:w="15" w:type="dxa"/>
            </w:tcMar>
            <w:vAlign w:val="bottom"/>
            <w:hideMark/>
          </w:tcPr>
          <w:p w14:paraId="4D934FB8" w14:textId="77777777" w:rsidR="00000000" w:rsidRDefault="00B8284C">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27661A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19B6E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C8AE99A" w14:textId="77777777" w:rsidR="00000000" w:rsidRDefault="00B8284C">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5830946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ABB37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5A4B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20705FD" w14:textId="77777777" w:rsidR="00000000" w:rsidRDefault="00B8284C">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527D85E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487350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0A31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C111B3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4D6C6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043EB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A5F0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104E26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6D953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E01D05E"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26A396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CC7982B" w14:textId="77777777" w:rsidR="00000000" w:rsidRDefault="00B8284C">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14:paraId="4025AD0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006C6FE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0E33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ADDB139" w14:textId="77777777" w:rsidR="00000000" w:rsidRDefault="00B8284C">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35E4B1B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2181D9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7923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B56B3BD"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3A44B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E6BA9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527F1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EE2B5A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5EA946"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25576E7A" w14:textId="77777777" w:rsidR="00000000" w:rsidRDefault="00B8284C">
      <w:pPr>
        <w:pStyle w:val="a3"/>
        <w:spacing w:before="0" w:beforeAutospacing="0" w:after="0" w:afterAutospacing="0"/>
        <w:rPr>
          <w:sz w:val="20"/>
          <w:szCs w:val="20"/>
        </w:rPr>
      </w:pPr>
      <w:r>
        <w:rPr>
          <w:sz w:val="20"/>
          <w:szCs w:val="20"/>
        </w:rPr>
        <w:t> </w:t>
      </w:r>
    </w:p>
    <w:p w14:paraId="2635FFCF" w14:textId="77777777" w:rsidR="00000000" w:rsidRDefault="00B8284C">
      <w:pPr>
        <w:pStyle w:val="a3"/>
        <w:spacing w:before="40" w:beforeAutospacing="0" w:after="0" w:afterAutospacing="0"/>
        <w:ind w:firstLine="556"/>
        <w:rPr>
          <w:sz w:val="20"/>
          <w:szCs w:val="20"/>
        </w:rPr>
      </w:pPr>
      <w:r>
        <w:rPr>
          <w:sz w:val="20"/>
          <w:szCs w:val="20"/>
        </w:rPr>
        <w:t xml:space="preserve">The </w:t>
      </w:r>
      <w:r>
        <w:rPr>
          <w:sz w:val="20"/>
          <w:szCs w:val="20"/>
        </w:rPr>
        <w:t xml:space="preserve">increase in research and development expense for the three and nine month periods ended </w:t>
      </w:r>
      <w:r>
        <w:rPr>
          <w:color w:val="000000"/>
          <w:sz w:val="20"/>
          <w:szCs w:val="20"/>
        </w:rPr>
        <w:t>September 30, 2019</w:t>
      </w:r>
      <w:r>
        <w:rPr>
          <w:sz w:val="20"/>
          <w:szCs w:val="20"/>
        </w:rPr>
        <w:t xml:space="preserve"> compared to the same period in 2018 was primarily due to the following:</w:t>
      </w:r>
    </w:p>
    <w:p w14:paraId="00A3789A" w14:textId="77777777" w:rsidR="00000000" w:rsidRDefault="00B8284C">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8"/>
        <w:gridCol w:w="78"/>
        <w:gridCol w:w="115"/>
        <w:gridCol w:w="815"/>
        <w:gridCol w:w="65"/>
        <w:gridCol w:w="78"/>
        <w:gridCol w:w="115"/>
        <w:gridCol w:w="815"/>
        <w:gridCol w:w="65"/>
      </w:tblGrid>
      <w:tr w:rsidR="00000000" w14:paraId="71EBB033" w14:textId="77777777">
        <w:trPr>
          <w:divId w:val="1351030879"/>
        </w:trPr>
        <w:tc>
          <w:tcPr>
            <w:tcW w:w="3176" w:type="pct"/>
            <w:shd w:val="clear" w:color="auto" w:fill="FFFFFF"/>
            <w:tcMar>
              <w:top w:w="15" w:type="dxa"/>
              <w:left w:w="0" w:type="dxa"/>
              <w:bottom w:w="0" w:type="dxa"/>
              <w:right w:w="15" w:type="dxa"/>
            </w:tcMar>
            <w:vAlign w:val="bottom"/>
            <w:hideMark/>
          </w:tcPr>
          <w:p w14:paraId="1A565B9A" w14:textId="77777777" w:rsidR="00000000" w:rsidRDefault="00B8284C">
            <w:pPr>
              <w:pStyle w:val="a3"/>
              <w:spacing w:before="0" w:beforeAutospacing="0" w:after="0" w:afterAutospacing="0"/>
              <w:rPr>
                <w:sz w:val="20"/>
                <w:szCs w:val="20"/>
              </w:rPr>
            </w:pPr>
            <w:r>
              <w:rPr>
                <w:sz w:val="20"/>
                <w:szCs w:val="20"/>
              </w:rPr>
              <w:t> </w:t>
            </w:r>
          </w:p>
        </w:tc>
        <w:tc>
          <w:tcPr>
            <w:tcW w:w="89" w:type="pct"/>
            <w:shd w:val="clear" w:color="auto" w:fill="FFFFFF"/>
            <w:tcMar>
              <w:top w:w="15" w:type="dxa"/>
              <w:left w:w="0" w:type="dxa"/>
              <w:bottom w:w="0" w:type="dxa"/>
              <w:right w:w="15" w:type="dxa"/>
            </w:tcMar>
            <w:vAlign w:val="bottom"/>
            <w:hideMark/>
          </w:tcPr>
          <w:p w14:paraId="7E04EA8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1683" w:type="pct"/>
            <w:gridSpan w:val="6"/>
            <w:tcBorders>
              <w:bottom w:val="single" w:sz="6" w:space="0" w:color="000000"/>
            </w:tcBorders>
            <w:shd w:val="clear" w:color="auto" w:fill="FFFFFF"/>
            <w:tcMar>
              <w:top w:w="15" w:type="dxa"/>
              <w:left w:w="0" w:type="dxa"/>
              <w:bottom w:w="0" w:type="dxa"/>
              <w:right w:w="15" w:type="dxa"/>
            </w:tcMar>
            <w:vAlign w:val="bottom"/>
            <w:hideMark/>
          </w:tcPr>
          <w:p w14:paraId="1DA527C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63F2BA8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326FFDBB" w14:textId="77777777">
        <w:trPr>
          <w:divId w:val="1351030879"/>
        </w:trPr>
        <w:tc>
          <w:tcPr>
            <w:tcW w:w="3176" w:type="pct"/>
            <w:shd w:val="clear" w:color="auto" w:fill="FFFFFF"/>
            <w:tcMar>
              <w:top w:w="15" w:type="dxa"/>
              <w:left w:w="0" w:type="dxa"/>
              <w:bottom w:w="0" w:type="dxa"/>
              <w:right w:w="15" w:type="dxa"/>
            </w:tcMar>
            <w:vAlign w:val="bottom"/>
            <w:hideMark/>
          </w:tcPr>
          <w:p w14:paraId="79D393D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44DB1D3B"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FD4BF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2457C29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D09A0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B1FED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tc>
        <w:tc>
          <w:tcPr>
            <w:tcW w:w="50" w:type="pct"/>
            <w:shd w:val="clear" w:color="auto" w:fill="FFFFFF"/>
            <w:noWrap/>
            <w:tcMar>
              <w:top w:w="15" w:type="dxa"/>
              <w:left w:w="0" w:type="dxa"/>
              <w:bottom w:w="0" w:type="dxa"/>
              <w:right w:w="15" w:type="dxa"/>
            </w:tcMar>
            <w:vAlign w:val="bottom"/>
            <w:hideMark/>
          </w:tcPr>
          <w:p w14:paraId="4D8996E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DB6B100" w14:textId="77777777">
        <w:trPr>
          <w:divId w:val="1351030879"/>
        </w:trPr>
        <w:tc>
          <w:tcPr>
            <w:tcW w:w="3176" w:type="pct"/>
            <w:shd w:val="clear" w:color="auto" w:fill="FFFFFF"/>
            <w:tcMar>
              <w:top w:w="15" w:type="dxa"/>
              <w:left w:w="0" w:type="dxa"/>
              <w:bottom w:w="0" w:type="dxa"/>
              <w:right w:w="15" w:type="dxa"/>
            </w:tcMar>
            <w:vAlign w:val="bottom"/>
            <w:hideMark/>
          </w:tcPr>
          <w:p w14:paraId="0D65BD89"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1324F901"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683" w:type="pct"/>
            <w:gridSpan w:val="6"/>
            <w:tcBorders>
              <w:top w:val="single" w:sz="6" w:space="0" w:color="000000"/>
            </w:tcBorders>
            <w:shd w:val="clear" w:color="auto" w:fill="FFFFFF"/>
            <w:tcMar>
              <w:top w:w="15" w:type="dxa"/>
              <w:left w:w="0" w:type="dxa"/>
              <w:bottom w:w="0" w:type="dxa"/>
              <w:right w:w="15" w:type="dxa"/>
            </w:tcMar>
            <w:vAlign w:val="bottom"/>
            <w:hideMark/>
          </w:tcPr>
          <w:p w14:paraId="0C7152B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27FD90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0494AAA5" w14:textId="77777777">
        <w:trPr>
          <w:divId w:val="1351030879"/>
        </w:trPr>
        <w:tc>
          <w:tcPr>
            <w:tcW w:w="3176" w:type="pct"/>
            <w:shd w:val="clear" w:color="auto" w:fill="CFF0FC"/>
            <w:tcMar>
              <w:top w:w="15" w:type="dxa"/>
              <w:left w:w="0" w:type="dxa"/>
              <w:bottom w:w="0" w:type="dxa"/>
              <w:right w:w="15" w:type="dxa"/>
            </w:tcMar>
            <w:vAlign w:val="bottom"/>
            <w:hideMark/>
          </w:tcPr>
          <w:p w14:paraId="54B1086B" w14:textId="77777777" w:rsidR="00000000" w:rsidRDefault="00B8284C">
            <w:pPr>
              <w:pStyle w:val="a3"/>
              <w:spacing w:before="0" w:beforeAutospacing="0" w:after="0" w:afterAutospacing="0"/>
              <w:rPr>
                <w:color w:val="000000"/>
                <w:sz w:val="20"/>
                <w:szCs w:val="20"/>
              </w:rPr>
            </w:pPr>
            <w:r>
              <w:rPr>
                <w:color w:val="000000"/>
                <w:sz w:val="20"/>
                <w:szCs w:val="20"/>
              </w:rPr>
              <w:t>Employee-related costs</w:t>
            </w:r>
          </w:p>
        </w:tc>
        <w:tc>
          <w:tcPr>
            <w:tcW w:w="89" w:type="pct"/>
            <w:shd w:val="clear" w:color="auto" w:fill="CFF0FC"/>
            <w:tcMar>
              <w:top w:w="15" w:type="dxa"/>
              <w:left w:w="0" w:type="dxa"/>
              <w:bottom w:w="0" w:type="dxa"/>
              <w:right w:w="15" w:type="dxa"/>
            </w:tcMar>
            <w:vAlign w:val="bottom"/>
            <w:hideMark/>
          </w:tcPr>
          <w:p w14:paraId="269CCC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55D71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4028C37A" w14:textId="77777777" w:rsidR="00000000" w:rsidRDefault="00B8284C">
            <w:pPr>
              <w:pStyle w:val="a3"/>
              <w:spacing w:before="0" w:beforeAutospacing="0" w:after="0" w:afterAutospacing="0"/>
              <w:jc w:val="right"/>
              <w:rPr>
                <w:color w:val="000000"/>
                <w:sz w:val="20"/>
                <w:szCs w:val="20"/>
              </w:rPr>
            </w:pPr>
            <w:r>
              <w:rPr>
                <w:color w:val="000000"/>
                <w:sz w:val="20"/>
                <w:szCs w:val="20"/>
              </w:rPr>
              <w:t>7,732</w:t>
            </w:r>
          </w:p>
        </w:tc>
        <w:tc>
          <w:tcPr>
            <w:tcW w:w="50" w:type="pct"/>
            <w:shd w:val="clear" w:color="auto" w:fill="CFF0FC"/>
            <w:noWrap/>
            <w:tcMar>
              <w:top w:w="15" w:type="dxa"/>
              <w:left w:w="0" w:type="dxa"/>
              <w:bottom w:w="0" w:type="dxa"/>
              <w:right w:w="15" w:type="dxa"/>
            </w:tcMar>
            <w:vAlign w:val="bottom"/>
            <w:hideMark/>
          </w:tcPr>
          <w:p w14:paraId="76DFF56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08D6B20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F78C48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47187743" w14:textId="77777777" w:rsidR="00000000" w:rsidRDefault="00B8284C">
            <w:pPr>
              <w:pStyle w:val="a3"/>
              <w:spacing w:before="0" w:beforeAutospacing="0" w:after="0" w:afterAutospacing="0"/>
              <w:jc w:val="right"/>
              <w:rPr>
                <w:color w:val="000000"/>
                <w:sz w:val="20"/>
                <w:szCs w:val="20"/>
              </w:rPr>
            </w:pPr>
            <w:r>
              <w:rPr>
                <w:color w:val="000000"/>
                <w:sz w:val="20"/>
                <w:szCs w:val="20"/>
              </w:rPr>
              <w:t>26,805</w:t>
            </w:r>
          </w:p>
        </w:tc>
        <w:tc>
          <w:tcPr>
            <w:tcW w:w="50" w:type="pct"/>
            <w:shd w:val="clear" w:color="auto" w:fill="CFF0FC"/>
            <w:noWrap/>
            <w:tcMar>
              <w:top w:w="15" w:type="dxa"/>
              <w:left w:w="0" w:type="dxa"/>
              <w:bottom w:w="0" w:type="dxa"/>
              <w:right w:w="15" w:type="dxa"/>
            </w:tcMar>
            <w:vAlign w:val="bottom"/>
            <w:hideMark/>
          </w:tcPr>
          <w:p w14:paraId="10A427B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037952B" w14:textId="77777777">
        <w:trPr>
          <w:divId w:val="1351030879"/>
        </w:trPr>
        <w:tc>
          <w:tcPr>
            <w:tcW w:w="3176" w:type="pct"/>
            <w:shd w:val="clear" w:color="auto" w:fill="FFFFFF"/>
            <w:tcMar>
              <w:top w:w="15" w:type="dxa"/>
              <w:left w:w="0" w:type="dxa"/>
              <w:bottom w:w="0" w:type="dxa"/>
              <w:right w:w="15" w:type="dxa"/>
            </w:tcMar>
            <w:vAlign w:val="bottom"/>
            <w:hideMark/>
          </w:tcPr>
          <w:p w14:paraId="56632587" w14:textId="77777777" w:rsidR="00000000" w:rsidRDefault="00B8284C">
            <w:pPr>
              <w:pStyle w:val="a3"/>
              <w:spacing w:before="0" w:beforeAutospacing="0" w:after="0" w:afterAutospacing="0"/>
              <w:rPr>
                <w:color w:val="000000"/>
                <w:sz w:val="20"/>
                <w:szCs w:val="20"/>
              </w:rPr>
            </w:pPr>
            <w:r>
              <w:rPr>
                <w:color w:val="000000"/>
                <w:sz w:val="20"/>
                <w:szCs w:val="20"/>
              </w:rPr>
              <w:t>Allocated overhead expenses</w:t>
            </w:r>
          </w:p>
        </w:tc>
        <w:tc>
          <w:tcPr>
            <w:tcW w:w="89" w:type="pct"/>
            <w:shd w:val="clear" w:color="auto" w:fill="FFFFFF"/>
            <w:tcMar>
              <w:top w:w="15" w:type="dxa"/>
              <w:left w:w="0" w:type="dxa"/>
              <w:bottom w:w="0" w:type="dxa"/>
              <w:right w:w="15" w:type="dxa"/>
            </w:tcMar>
            <w:vAlign w:val="bottom"/>
            <w:hideMark/>
          </w:tcPr>
          <w:p w14:paraId="34A37E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F3D2D5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FFFFFF"/>
            <w:noWrap/>
            <w:tcMar>
              <w:top w:w="15" w:type="dxa"/>
              <w:left w:w="0" w:type="dxa"/>
              <w:bottom w:w="0" w:type="dxa"/>
              <w:right w:w="15" w:type="dxa"/>
            </w:tcMar>
            <w:vAlign w:val="bottom"/>
            <w:hideMark/>
          </w:tcPr>
          <w:p w14:paraId="690065EC" w14:textId="77777777" w:rsidR="00000000" w:rsidRDefault="00B8284C">
            <w:pPr>
              <w:pStyle w:val="a3"/>
              <w:spacing w:before="0" w:beforeAutospacing="0" w:after="0" w:afterAutospacing="0"/>
              <w:jc w:val="right"/>
              <w:rPr>
                <w:color w:val="000000"/>
                <w:sz w:val="20"/>
                <w:szCs w:val="20"/>
              </w:rPr>
            </w:pPr>
            <w:r>
              <w:rPr>
                <w:color w:val="000000"/>
                <w:sz w:val="20"/>
                <w:szCs w:val="20"/>
              </w:rPr>
              <w:t>1,354</w:t>
            </w:r>
          </w:p>
        </w:tc>
        <w:tc>
          <w:tcPr>
            <w:tcW w:w="50" w:type="pct"/>
            <w:shd w:val="clear" w:color="auto" w:fill="FFFFFF"/>
            <w:noWrap/>
            <w:tcMar>
              <w:top w:w="15" w:type="dxa"/>
              <w:left w:w="0" w:type="dxa"/>
              <w:bottom w:w="0" w:type="dxa"/>
              <w:right w:w="15" w:type="dxa"/>
            </w:tcMar>
            <w:vAlign w:val="bottom"/>
            <w:hideMark/>
          </w:tcPr>
          <w:p w14:paraId="4F53055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3F00EF6A"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1ED854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FFFFFF"/>
            <w:noWrap/>
            <w:tcMar>
              <w:top w:w="15" w:type="dxa"/>
              <w:left w:w="0" w:type="dxa"/>
              <w:bottom w:w="0" w:type="dxa"/>
              <w:right w:w="15" w:type="dxa"/>
            </w:tcMar>
            <w:vAlign w:val="bottom"/>
            <w:hideMark/>
          </w:tcPr>
          <w:p w14:paraId="301FEC56" w14:textId="77777777" w:rsidR="00000000" w:rsidRDefault="00B8284C">
            <w:pPr>
              <w:pStyle w:val="a3"/>
              <w:spacing w:before="0" w:beforeAutospacing="0" w:after="0" w:afterAutospacing="0"/>
              <w:jc w:val="right"/>
              <w:rPr>
                <w:color w:val="000000"/>
                <w:sz w:val="20"/>
                <w:szCs w:val="20"/>
              </w:rPr>
            </w:pPr>
            <w:r>
              <w:rPr>
                <w:color w:val="000000"/>
                <w:sz w:val="20"/>
                <w:szCs w:val="20"/>
              </w:rPr>
              <w:t>3,077</w:t>
            </w:r>
          </w:p>
        </w:tc>
        <w:tc>
          <w:tcPr>
            <w:tcW w:w="50" w:type="pct"/>
            <w:shd w:val="clear" w:color="auto" w:fill="FFFFFF"/>
            <w:noWrap/>
            <w:tcMar>
              <w:top w:w="15" w:type="dxa"/>
              <w:left w:w="0" w:type="dxa"/>
              <w:bottom w:w="0" w:type="dxa"/>
              <w:right w:w="15" w:type="dxa"/>
            </w:tcMar>
            <w:vAlign w:val="bottom"/>
            <w:hideMark/>
          </w:tcPr>
          <w:p w14:paraId="53BA6167"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46C0B7F1" w14:textId="77777777">
        <w:trPr>
          <w:divId w:val="1351030879"/>
        </w:trPr>
        <w:tc>
          <w:tcPr>
            <w:tcW w:w="3176" w:type="pct"/>
            <w:shd w:val="clear" w:color="auto" w:fill="CFF0FC"/>
            <w:tcMar>
              <w:top w:w="15" w:type="dxa"/>
              <w:left w:w="0" w:type="dxa"/>
              <w:bottom w:w="0" w:type="dxa"/>
              <w:right w:w="15" w:type="dxa"/>
            </w:tcMar>
            <w:vAlign w:val="bottom"/>
            <w:hideMark/>
          </w:tcPr>
          <w:p w14:paraId="5F6269E9"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9" w:type="pct"/>
            <w:shd w:val="clear" w:color="auto" w:fill="CFF0FC"/>
            <w:tcMar>
              <w:top w:w="15" w:type="dxa"/>
              <w:left w:w="0" w:type="dxa"/>
              <w:bottom w:w="0" w:type="dxa"/>
              <w:right w:w="15" w:type="dxa"/>
            </w:tcMar>
            <w:vAlign w:val="bottom"/>
            <w:hideMark/>
          </w:tcPr>
          <w:p w14:paraId="5D8600EF"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DEC33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F4E304" w14:textId="77777777" w:rsidR="00000000" w:rsidRDefault="00B8284C">
            <w:pPr>
              <w:pStyle w:val="a3"/>
              <w:spacing w:before="0" w:beforeAutospacing="0" w:after="0" w:afterAutospacing="0"/>
              <w:jc w:val="right"/>
              <w:rPr>
                <w:color w:val="000000"/>
                <w:sz w:val="20"/>
                <w:szCs w:val="20"/>
              </w:rPr>
            </w:pPr>
            <w:r>
              <w:rPr>
                <w:color w:val="000000"/>
                <w:sz w:val="20"/>
                <w:szCs w:val="20"/>
              </w:rPr>
              <w:t>9,086</w:t>
            </w:r>
          </w:p>
        </w:tc>
        <w:tc>
          <w:tcPr>
            <w:tcW w:w="50" w:type="pct"/>
            <w:shd w:val="clear" w:color="auto" w:fill="CFF0FC"/>
            <w:noWrap/>
            <w:tcMar>
              <w:top w:w="15" w:type="dxa"/>
              <w:left w:w="0" w:type="dxa"/>
              <w:bottom w:w="0" w:type="dxa"/>
              <w:right w:w="15" w:type="dxa"/>
            </w:tcMar>
            <w:vAlign w:val="bottom"/>
            <w:hideMark/>
          </w:tcPr>
          <w:p w14:paraId="11B5BAA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03C5E32C"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A8CE4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FF261B" w14:textId="77777777" w:rsidR="00000000" w:rsidRDefault="00B8284C">
            <w:pPr>
              <w:pStyle w:val="a3"/>
              <w:spacing w:before="0" w:beforeAutospacing="0" w:after="0" w:afterAutospacing="0"/>
              <w:jc w:val="right"/>
              <w:rPr>
                <w:color w:val="000000"/>
                <w:sz w:val="20"/>
                <w:szCs w:val="20"/>
              </w:rPr>
            </w:pPr>
            <w:r>
              <w:rPr>
                <w:color w:val="000000"/>
                <w:sz w:val="20"/>
                <w:szCs w:val="20"/>
              </w:rPr>
              <w:t>29,882</w:t>
            </w:r>
          </w:p>
        </w:tc>
        <w:tc>
          <w:tcPr>
            <w:tcW w:w="50" w:type="pct"/>
            <w:shd w:val="clear" w:color="auto" w:fill="CFF0FC"/>
            <w:noWrap/>
            <w:tcMar>
              <w:top w:w="15" w:type="dxa"/>
              <w:left w:w="0" w:type="dxa"/>
              <w:bottom w:w="0" w:type="dxa"/>
              <w:right w:w="15" w:type="dxa"/>
            </w:tcMar>
            <w:vAlign w:val="bottom"/>
            <w:hideMark/>
          </w:tcPr>
          <w:p w14:paraId="4665B43F"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6A5D7755" w14:textId="77777777" w:rsidR="00000000" w:rsidRDefault="00B8284C">
      <w:pPr>
        <w:pStyle w:val="a3"/>
        <w:spacing w:before="0" w:beforeAutospacing="0" w:after="0" w:afterAutospacing="0"/>
        <w:ind w:firstLine="556"/>
        <w:rPr>
          <w:sz w:val="20"/>
          <w:szCs w:val="20"/>
        </w:rPr>
      </w:pPr>
      <w:r>
        <w:rPr>
          <w:sz w:val="20"/>
          <w:szCs w:val="20"/>
        </w:rPr>
        <w:t> </w:t>
      </w:r>
    </w:p>
    <w:p w14:paraId="1EB7EF78" w14:textId="77777777" w:rsidR="00000000" w:rsidRDefault="00B8284C">
      <w:pPr>
        <w:pStyle w:val="a3"/>
        <w:spacing w:before="240" w:beforeAutospacing="0" w:after="0" w:afterAutospacing="0"/>
        <w:jc w:val="center"/>
        <w:rPr>
          <w:sz w:val="20"/>
          <w:szCs w:val="20"/>
        </w:rPr>
      </w:pPr>
      <w:r>
        <w:rPr>
          <w:sz w:val="20"/>
          <w:szCs w:val="20"/>
        </w:rPr>
        <w:t>25</w:t>
      </w:r>
    </w:p>
    <w:p w14:paraId="116A7E2D" w14:textId="77777777" w:rsidR="00000000" w:rsidRDefault="00B8284C">
      <w:pPr>
        <w:rPr>
          <w:rFonts w:eastAsia="Times New Roman"/>
        </w:rPr>
      </w:pPr>
      <w:r>
        <w:rPr>
          <w:rFonts w:eastAsia="Times New Roman"/>
        </w:rPr>
        <w:pict w14:anchorId="4815FA02">
          <v:rect id="_x0000_i1049" style="width:0;height:1.5pt" o:hralign="center" o:hrstd="t" o:hr="t" fillcolor="#a0a0a0" stroked="f"/>
        </w:pict>
      </w:r>
    </w:p>
    <w:p w14:paraId="3D7744F0" w14:textId="77777777" w:rsidR="00000000" w:rsidRDefault="00B8284C">
      <w:pPr>
        <w:pStyle w:val="a3"/>
        <w:spacing w:before="0" w:beforeAutospacing="0" w:after="0" w:afterAutospacing="0"/>
        <w:rPr>
          <w:sz w:val="20"/>
          <w:szCs w:val="20"/>
        </w:rPr>
      </w:pPr>
      <w:r>
        <w:rPr>
          <w:sz w:val="20"/>
          <w:szCs w:val="20"/>
        </w:rPr>
        <w:t> </w:t>
      </w:r>
    </w:p>
    <w:p w14:paraId="239C74B2"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Three month change </w:t>
      </w:r>
    </w:p>
    <w:p w14:paraId="44358B68" w14:textId="77777777" w:rsidR="00000000" w:rsidRDefault="00B8284C">
      <w:pPr>
        <w:pStyle w:val="a3"/>
        <w:spacing w:before="0" w:beforeAutospacing="0" w:after="0" w:afterAutospacing="0"/>
        <w:rPr>
          <w:sz w:val="12"/>
          <w:szCs w:val="12"/>
        </w:rPr>
      </w:pPr>
      <w:r>
        <w:rPr>
          <w:sz w:val="12"/>
          <w:szCs w:val="12"/>
        </w:rPr>
        <w:t> </w:t>
      </w:r>
    </w:p>
    <w:p w14:paraId="5531FE34" w14:textId="77777777" w:rsidR="00000000" w:rsidRDefault="00B8284C">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headcount as we continue to grow our engineering organization to develop new products, increase functionality and to maintain our existing</w:t>
      </w:r>
      <w:r>
        <w:rPr>
          <w:color w:val="000000"/>
          <w:sz w:val="20"/>
          <w:szCs w:val="20"/>
        </w:rPr>
        <w:t xml:space="preserve"> Growth Platform. Allocated overhead expense increased due to expanding our leased space and infrastructure as we continue to grow our business and expand headcount.</w:t>
      </w:r>
    </w:p>
    <w:p w14:paraId="79F20088" w14:textId="77777777" w:rsidR="00000000" w:rsidRDefault="00B8284C">
      <w:pPr>
        <w:pStyle w:val="a3"/>
        <w:spacing w:before="0" w:beforeAutospacing="0" w:after="0" w:afterAutospacing="0"/>
        <w:ind w:firstLine="556"/>
        <w:rPr>
          <w:sz w:val="18"/>
          <w:szCs w:val="18"/>
        </w:rPr>
      </w:pPr>
      <w:r>
        <w:rPr>
          <w:sz w:val="18"/>
          <w:szCs w:val="18"/>
        </w:rPr>
        <w:t> </w:t>
      </w:r>
    </w:p>
    <w:p w14:paraId="540B53F9" w14:textId="77777777" w:rsidR="00000000" w:rsidRDefault="00B8284C">
      <w:pPr>
        <w:pStyle w:val="a3"/>
        <w:spacing w:before="0" w:beforeAutospacing="0" w:after="0" w:afterAutospacing="0"/>
        <w:ind w:firstLine="556"/>
        <w:rPr>
          <w:sz w:val="18"/>
          <w:szCs w:val="18"/>
        </w:rPr>
      </w:pPr>
      <w:r>
        <w:rPr>
          <w:sz w:val="18"/>
          <w:szCs w:val="18"/>
        </w:rPr>
        <w:t> </w:t>
      </w:r>
    </w:p>
    <w:p w14:paraId="51A146F5" w14:textId="77777777" w:rsidR="00000000" w:rsidRDefault="00B8284C">
      <w:pPr>
        <w:pStyle w:val="a3"/>
        <w:spacing w:before="0" w:beforeAutospacing="0" w:after="0" w:afterAutospacing="0"/>
        <w:ind w:firstLine="556"/>
        <w:rPr>
          <w:i/>
          <w:iCs/>
          <w:sz w:val="20"/>
          <w:szCs w:val="20"/>
        </w:rPr>
      </w:pPr>
      <w:r>
        <w:rPr>
          <w:i/>
          <w:iCs/>
          <w:sz w:val="20"/>
          <w:szCs w:val="20"/>
          <w:u w:val="single"/>
        </w:rPr>
        <w:t xml:space="preserve">Nine month change </w:t>
      </w:r>
    </w:p>
    <w:p w14:paraId="332BF421" w14:textId="77777777" w:rsidR="00000000" w:rsidRDefault="00B8284C">
      <w:pPr>
        <w:pStyle w:val="a3"/>
        <w:spacing w:before="0" w:beforeAutospacing="0" w:after="0" w:afterAutospacing="0"/>
        <w:rPr>
          <w:sz w:val="12"/>
          <w:szCs w:val="12"/>
        </w:rPr>
      </w:pPr>
      <w:r>
        <w:rPr>
          <w:sz w:val="12"/>
          <w:szCs w:val="12"/>
        </w:rPr>
        <w:t> </w:t>
      </w:r>
    </w:p>
    <w:p w14:paraId="384168A3" w14:textId="77777777" w:rsidR="00000000" w:rsidRDefault="00B8284C">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w:t>
      </w:r>
      <w:r>
        <w:rPr>
          <w:color w:val="000000"/>
          <w:sz w:val="20"/>
          <w:szCs w:val="20"/>
        </w:rPr>
        <w:t>nt as we continue to grow our engineering organization to develop new products, increase functionality and to maintain our existing Growth Platform. Allocated overhead expense increased due to expanding our leased space and infrastructure as we continue to</w:t>
      </w:r>
      <w:r>
        <w:rPr>
          <w:color w:val="000000"/>
          <w:sz w:val="20"/>
          <w:szCs w:val="20"/>
        </w:rPr>
        <w:t xml:space="preserve"> grow our business and expand headcount.</w:t>
      </w:r>
    </w:p>
    <w:p w14:paraId="4057F61A" w14:textId="77777777" w:rsidR="00000000" w:rsidRDefault="00B8284C">
      <w:pPr>
        <w:pStyle w:val="a3"/>
        <w:spacing w:before="0" w:beforeAutospacing="0" w:after="0" w:afterAutospacing="0"/>
        <w:ind w:firstLine="556"/>
        <w:rPr>
          <w:sz w:val="20"/>
          <w:szCs w:val="20"/>
        </w:rPr>
      </w:pPr>
      <w:r>
        <w:rPr>
          <w:sz w:val="20"/>
          <w:szCs w:val="20"/>
        </w:rPr>
        <w:t> </w:t>
      </w:r>
    </w:p>
    <w:p w14:paraId="098928D4" w14:textId="77777777" w:rsidR="00000000" w:rsidRDefault="00B8284C">
      <w:pPr>
        <w:pStyle w:val="a3"/>
        <w:spacing w:before="160" w:beforeAutospacing="0" w:after="0" w:afterAutospacing="0"/>
        <w:ind w:firstLine="556"/>
        <w:rPr>
          <w:b/>
          <w:bCs/>
          <w:i/>
          <w:iCs/>
          <w:sz w:val="20"/>
          <w:szCs w:val="20"/>
        </w:rPr>
      </w:pPr>
      <w:r>
        <w:rPr>
          <w:b/>
          <w:bCs/>
          <w:i/>
          <w:iCs/>
          <w:sz w:val="20"/>
          <w:szCs w:val="20"/>
        </w:rPr>
        <w:t>Sales and Marketing</w:t>
      </w:r>
    </w:p>
    <w:p w14:paraId="6DEFF746"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198"/>
        <w:gridCol w:w="65"/>
        <w:gridCol w:w="115"/>
        <w:gridCol w:w="565"/>
        <w:gridCol w:w="182"/>
        <w:gridCol w:w="65"/>
        <w:gridCol w:w="115"/>
        <w:gridCol w:w="565"/>
        <w:gridCol w:w="182"/>
        <w:gridCol w:w="65"/>
        <w:gridCol w:w="115"/>
        <w:gridCol w:w="565"/>
        <w:gridCol w:w="65"/>
        <w:gridCol w:w="65"/>
        <w:gridCol w:w="112"/>
        <w:gridCol w:w="628"/>
        <w:gridCol w:w="182"/>
        <w:gridCol w:w="65"/>
        <w:gridCol w:w="115"/>
        <w:gridCol w:w="665"/>
        <w:gridCol w:w="182"/>
        <w:gridCol w:w="65"/>
        <w:gridCol w:w="115"/>
        <w:gridCol w:w="665"/>
        <w:gridCol w:w="182"/>
        <w:gridCol w:w="65"/>
        <w:gridCol w:w="115"/>
        <w:gridCol w:w="565"/>
        <w:gridCol w:w="65"/>
        <w:gridCol w:w="65"/>
        <w:gridCol w:w="112"/>
        <w:gridCol w:w="628"/>
        <w:gridCol w:w="182"/>
      </w:tblGrid>
      <w:tr w:rsidR="00000000" w14:paraId="2231AE0D" w14:textId="77777777">
        <w:trPr>
          <w:divId w:val="2107575383"/>
        </w:trPr>
        <w:tc>
          <w:tcPr>
            <w:tcW w:w="1526" w:type="pct"/>
            <w:shd w:val="clear" w:color="auto" w:fill="FFFFFF"/>
            <w:tcMar>
              <w:top w:w="15" w:type="dxa"/>
              <w:left w:w="0" w:type="dxa"/>
              <w:bottom w:w="0" w:type="dxa"/>
              <w:right w:w="15" w:type="dxa"/>
            </w:tcMar>
            <w:vAlign w:val="bottom"/>
            <w:hideMark/>
          </w:tcPr>
          <w:p w14:paraId="29EE235B" w14:textId="77777777" w:rsidR="00000000" w:rsidRDefault="00B8284C">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2FCF155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67204F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4F36571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72B71C5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5C7F8E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3A5472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6A89AA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D411A6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59EF4A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E1C819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36A425F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2506F3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2C72A3B"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5DABFB7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29D9E80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27A652E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2C7D21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6D2C81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F52119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A7A7AE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7CA5CC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955AB6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69DBDA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C826A3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B9C949A" w14:textId="77777777">
        <w:trPr>
          <w:divId w:val="2107575383"/>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66EEFC0A" w14:textId="77777777" w:rsidR="00000000" w:rsidRDefault="00B8284C">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79480B3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E3E37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09986E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2CD9E4E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2F2B3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29A9B4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043BDA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71CF4E6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38FF181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D4BE20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532AFEC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337E23F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937841E"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D4394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5A561F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24ABCAB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8BEE9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C4C441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4DBD86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108CE6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9E395C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AF66C0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1A9C3C3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76BDD4E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B8284C" w14:paraId="02E5F231" w14:textId="77777777">
        <w:trPr>
          <w:divId w:val="2107575383"/>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70FDC244" w14:textId="77777777" w:rsidR="00000000" w:rsidRDefault="00B8284C">
            <w:pPr>
              <w:pStyle w:val="a3"/>
              <w:spacing w:before="0" w:beforeAutospacing="0" w:after="0" w:afterAutospacing="0"/>
              <w:rPr>
                <w:color w:val="000000"/>
                <w:sz w:val="20"/>
                <w:szCs w:val="20"/>
              </w:rPr>
            </w:pPr>
            <w:r>
              <w:rPr>
                <w:color w:val="000000"/>
                <w:sz w:val="20"/>
                <w:szCs w:val="20"/>
              </w:rPr>
              <w:t>Sales and marketing</w:t>
            </w:r>
          </w:p>
        </w:tc>
        <w:tc>
          <w:tcPr>
            <w:tcW w:w="51" w:type="pct"/>
            <w:shd w:val="clear" w:color="auto" w:fill="CFF0FC"/>
            <w:tcMar>
              <w:top w:w="15" w:type="dxa"/>
              <w:left w:w="0" w:type="dxa"/>
              <w:bottom w:w="0" w:type="dxa"/>
              <w:right w:w="15" w:type="dxa"/>
            </w:tcMar>
            <w:vAlign w:val="bottom"/>
            <w:hideMark/>
          </w:tcPr>
          <w:p w14:paraId="5212A15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C3689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68FF2E5" w14:textId="77777777" w:rsidR="00000000" w:rsidRDefault="00B8284C">
            <w:pPr>
              <w:pStyle w:val="a3"/>
              <w:spacing w:before="0" w:beforeAutospacing="0" w:after="0" w:afterAutospacing="0"/>
              <w:jc w:val="right"/>
              <w:rPr>
                <w:color w:val="000000"/>
                <w:sz w:val="20"/>
                <w:szCs w:val="20"/>
              </w:rPr>
            </w:pPr>
            <w:r>
              <w:rPr>
                <w:color w:val="000000"/>
                <w:sz w:val="20"/>
                <w:szCs w:val="20"/>
              </w:rPr>
              <w:t>91,283</w:t>
            </w:r>
          </w:p>
        </w:tc>
        <w:tc>
          <w:tcPr>
            <w:tcW w:w="50" w:type="pct"/>
            <w:shd w:val="clear" w:color="auto" w:fill="CFF0FC"/>
            <w:noWrap/>
            <w:tcMar>
              <w:top w:w="15" w:type="dxa"/>
              <w:left w:w="0" w:type="dxa"/>
              <w:bottom w:w="0" w:type="dxa"/>
              <w:right w:w="15" w:type="dxa"/>
            </w:tcMar>
            <w:vAlign w:val="bottom"/>
            <w:hideMark/>
          </w:tcPr>
          <w:p w14:paraId="0B66221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835CF2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58D10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156D1EE" w14:textId="77777777" w:rsidR="00000000" w:rsidRDefault="00B8284C">
            <w:pPr>
              <w:pStyle w:val="a3"/>
              <w:spacing w:before="0" w:beforeAutospacing="0" w:after="0" w:afterAutospacing="0"/>
              <w:jc w:val="right"/>
              <w:rPr>
                <w:color w:val="000000"/>
                <w:sz w:val="20"/>
                <w:szCs w:val="20"/>
              </w:rPr>
            </w:pPr>
            <w:r>
              <w:rPr>
                <w:color w:val="000000"/>
                <w:sz w:val="20"/>
                <w:szCs w:val="20"/>
              </w:rPr>
              <w:t>71,293</w:t>
            </w:r>
          </w:p>
        </w:tc>
        <w:tc>
          <w:tcPr>
            <w:tcW w:w="50" w:type="pct"/>
            <w:shd w:val="clear" w:color="auto" w:fill="CFF0FC"/>
            <w:noWrap/>
            <w:tcMar>
              <w:top w:w="15" w:type="dxa"/>
              <w:left w:w="0" w:type="dxa"/>
              <w:bottom w:w="0" w:type="dxa"/>
              <w:right w:w="15" w:type="dxa"/>
            </w:tcMar>
            <w:vAlign w:val="bottom"/>
            <w:hideMark/>
          </w:tcPr>
          <w:p w14:paraId="6AC064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1E47E5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D0DDB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8D5F81E" w14:textId="77777777" w:rsidR="00000000" w:rsidRDefault="00B8284C">
            <w:pPr>
              <w:pStyle w:val="a3"/>
              <w:spacing w:before="0" w:beforeAutospacing="0" w:after="0" w:afterAutospacing="0"/>
              <w:jc w:val="right"/>
              <w:rPr>
                <w:color w:val="000000"/>
                <w:sz w:val="20"/>
                <w:szCs w:val="20"/>
              </w:rPr>
            </w:pPr>
            <w:r>
              <w:rPr>
                <w:color w:val="000000"/>
                <w:sz w:val="20"/>
                <w:szCs w:val="20"/>
              </w:rPr>
              <w:t>19,990</w:t>
            </w:r>
          </w:p>
        </w:tc>
        <w:tc>
          <w:tcPr>
            <w:tcW w:w="50" w:type="pct"/>
            <w:shd w:val="clear" w:color="auto" w:fill="CFF0FC"/>
            <w:noWrap/>
            <w:tcMar>
              <w:top w:w="15" w:type="dxa"/>
              <w:left w:w="0" w:type="dxa"/>
              <w:bottom w:w="0" w:type="dxa"/>
              <w:right w:w="15" w:type="dxa"/>
            </w:tcMar>
            <w:vAlign w:val="bottom"/>
            <w:hideMark/>
          </w:tcPr>
          <w:p w14:paraId="639C537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F39E6E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5BDF0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E879829" w14:textId="77777777" w:rsidR="00000000" w:rsidRDefault="00B8284C">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14:paraId="72E5328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5DD0A3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1228C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BB261A8" w14:textId="77777777" w:rsidR="00000000" w:rsidRDefault="00B8284C">
            <w:pPr>
              <w:pStyle w:val="a3"/>
              <w:spacing w:before="0" w:beforeAutospacing="0" w:after="0" w:afterAutospacing="0"/>
              <w:jc w:val="right"/>
              <w:rPr>
                <w:color w:val="000000"/>
                <w:sz w:val="20"/>
                <w:szCs w:val="20"/>
              </w:rPr>
            </w:pPr>
            <w:r>
              <w:rPr>
                <w:color w:val="000000"/>
                <w:sz w:val="20"/>
                <w:szCs w:val="20"/>
              </w:rPr>
              <w:t>250,267</w:t>
            </w:r>
          </w:p>
        </w:tc>
        <w:tc>
          <w:tcPr>
            <w:tcW w:w="50" w:type="pct"/>
            <w:shd w:val="clear" w:color="auto" w:fill="CFF0FC"/>
            <w:noWrap/>
            <w:tcMar>
              <w:top w:w="15" w:type="dxa"/>
              <w:left w:w="0" w:type="dxa"/>
              <w:bottom w:w="0" w:type="dxa"/>
              <w:right w:w="15" w:type="dxa"/>
            </w:tcMar>
            <w:vAlign w:val="bottom"/>
            <w:hideMark/>
          </w:tcPr>
          <w:p w14:paraId="655959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FC3AEB3"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111C6B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20060F3" w14:textId="77777777" w:rsidR="00000000" w:rsidRDefault="00B8284C">
            <w:pPr>
              <w:pStyle w:val="a3"/>
              <w:spacing w:before="0" w:beforeAutospacing="0" w:after="0" w:afterAutospacing="0"/>
              <w:jc w:val="right"/>
              <w:rPr>
                <w:color w:val="000000"/>
                <w:sz w:val="20"/>
                <w:szCs w:val="20"/>
              </w:rPr>
            </w:pPr>
            <w:r>
              <w:rPr>
                <w:color w:val="000000"/>
                <w:sz w:val="20"/>
                <w:szCs w:val="20"/>
              </w:rPr>
              <w:t>196,484</w:t>
            </w:r>
          </w:p>
        </w:tc>
        <w:tc>
          <w:tcPr>
            <w:tcW w:w="50" w:type="pct"/>
            <w:shd w:val="clear" w:color="auto" w:fill="CFF0FC"/>
            <w:noWrap/>
            <w:tcMar>
              <w:top w:w="15" w:type="dxa"/>
              <w:left w:w="0" w:type="dxa"/>
              <w:bottom w:w="0" w:type="dxa"/>
              <w:right w:w="15" w:type="dxa"/>
            </w:tcMar>
            <w:vAlign w:val="bottom"/>
            <w:hideMark/>
          </w:tcPr>
          <w:p w14:paraId="03940C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1A8593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272C15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7703DF6" w14:textId="77777777" w:rsidR="00000000" w:rsidRDefault="00B8284C">
            <w:pPr>
              <w:pStyle w:val="a3"/>
              <w:spacing w:before="0" w:beforeAutospacing="0" w:after="0" w:afterAutospacing="0"/>
              <w:jc w:val="right"/>
              <w:rPr>
                <w:color w:val="000000"/>
                <w:sz w:val="20"/>
                <w:szCs w:val="20"/>
              </w:rPr>
            </w:pPr>
            <w:r>
              <w:rPr>
                <w:color w:val="000000"/>
                <w:sz w:val="20"/>
                <w:szCs w:val="20"/>
              </w:rPr>
              <w:t>53,783</w:t>
            </w:r>
          </w:p>
        </w:tc>
        <w:tc>
          <w:tcPr>
            <w:tcW w:w="50" w:type="pct"/>
            <w:shd w:val="clear" w:color="auto" w:fill="CFF0FC"/>
            <w:noWrap/>
            <w:tcMar>
              <w:top w:w="15" w:type="dxa"/>
              <w:left w:w="0" w:type="dxa"/>
              <w:bottom w:w="0" w:type="dxa"/>
              <w:right w:w="15" w:type="dxa"/>
            </w:tcMar>
            <w:vAlign w:val="bottom"/>
            <w:hideMark/>
          </w:tcPr>
          <w:p w14:paraId="0805DCE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3F8A8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6984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C053BB7" w14:textId="77777777" w:rsidR="00000000" w:rsidRDefault="00B8284C">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14:paraId="7FD0A8BA"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68848551" w14:textId="77777777">
        <w:trPr>
          <w:divId w:val="2107575383"/>
        </w:trPr>
        <w:tc>
          <w:tcPr>
            <w:tcW w:w="1526" w:type="pct"/>
            <w:shd w:val="clear" w:color="auto" w:fill="FFFFFF"/>
            <w:tcMar>
              <w:top w:w="15" w:type="dxa"/>
              <w:left w:w="0" w:type="dxa"/>
              <w:bottom w:w="0" w:type="dxa"/>
              <w:right w:w="15" w:type="dxa"/>
            </w:tcMar>
            <w:vAlign w:val="bottom"/>
            <w:hideMark/>
          </w:tcPr>
          <w:p w14:paraId="4A88F6C6" w14:textId="77777777" w:rsidR="00000000" w:rsidRDefault="00B8284C">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036FF3E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EBE96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D673A58" w14:textId="77777777" w:rsidR="00000000" w:rsidRDefault="00B8284C">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4C35EE8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C0D73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275F7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085442B" w14:textId="77777777" w:rsidR="00000000" w:rsidRDefault="00B8284C">
            <w:pPr>
              <w:pStyle w:val="a3"/>
              <w:spacing w:before="0" w:beforeAutospacing="0" w:after="0" w:afterAutospacing="0"/>
              <w:jc w:val="right"/>
              <w:rPr>
                <w:color w:val="000000"/>
                <w:sz w:val="20"/>
                <w:szCs w:val="20"/>
              </w:rPr>
            </w:pPr>
            <w:r>
              <w:rPr>
                <w:color w:val="000000"/>
                <w:sz w:val="20"/>
                <w:szCs w:val="20"/>
              </w:rPr>
              <w:t>54</w:t>
            </w:r>
          </w:p>
        </w:tc>
        <w:tc>
          <w:tcPr>
            <w:tcW w:w="50" w:type="pct"/>
            <w:shd w:val="clear" w:color="auto" w:fill="FFFFFF"/>
            <w:noWrap/>
            <w:tcMar>
              <w:top w:w="15" w:type="dxa"/>
              <w:left w:w="0" w:type="dxa"/>
              <w:bottom w:w="0" w:type="dxa"/>
              <w:right w:w="15" w:type="dxa"/>
            </w:tcMar>
            <w:vAlign w:val="bottom"/>
            <w:hideMark/>
          </w:tcPr>
          <w:p w14:paraId="439528D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C4BDC3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4C720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0BFC2B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9E0B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53C38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6272F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5E029C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B02A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86CED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E0CC1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C02D18C" w14:textId="77777777" w:rsidR="00000000" w:rsidRDefault="00B8284C">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14:paraId="632DA20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68ACD86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F6D1A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CD65654" w14:textId="77777777" w:rsidR="00000000" w:rsidRDefault="00B8284C">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65BA99B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2A92E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61E16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910939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FBE99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A3D33D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FAFE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0041E4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0B107D"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3EFB6292" w14:textId="77777777" w:rsidR="00000000" w:rsidRDefault="00B8284C">
      <w:pPr>
        <w:pStyle w:val="a3"/>
        <w:spacing w:before="0" w:beforeAutospacing="0" w:after="0" w:afterAutospacing="0"/>
        <w:rPr>
          <w:sz w:val="20"/>
          <w:szCs w:val="20"/>
        </w:rPr>
      </w:pPr>
      <w:r>
        <w:rPr>
          <w:sz w:val="20"/>
          <w:szCs w:val="20"/>
        </w:rPr>
        <w:t> </w:t>
      </w:r>
    </w:p>
    <w:p w14:paraId="4D015554" w14:textId="77777777" w:rsidR="00000000" w:rsidRDefault="00B8284C">
      <w:pPr>
        <w:pStyle w:val="a3"/>
        <w:spacing w:before="40" w:beforeAutospacing="0" w:after="0" w:afterAutospacing="0"/>
        <w:ind w:firstLine="556"/>
        <w:rPr>
          <w:sz w:val="20"/>
          <w:szCs w:val="20"/>
        </w:rPr>
      </w:pPr>
      <w:r>
        <w:rPr>
          <w:sz w:val="20"/>
          <w:szCs w:val="20"/>
        </w:rPr>
        <w:t xml:space="preserve">The </w:t>
      </w:r>
      <w:r>
        <w:rPr>
          <w:sz w:val="20"/>
          <w:szCs w:val="20"/>
        </w:rPr>
        <w:t xml:space="preserve">increase in sales and marketing expense for the three and nine month periods ended </w:t>
      </w:r>
      <w:r>
        <w:rPr>
          <w:color w:val="000000"/>
          <w:sz w:val="20"/>
          <w:szCs w:val="20"/>
        </w:rPr>
        <w:t>September 30, 2019</w:t>
      </w:r>
      <w:r>
        <w:rPr>
          <w:sz w:val="20"/>
          <w:szCs w:val="20"/>
        </w:rPr>
        <w:t xml:space="preserve"> compared to the same period in 2018 was primarily due to the following:</w:t>
      </w:r>
    </w:p>
    <w:p w14:paraId="47334CA2" w14:textId="77777777" w:rsidR="00000000" w:rsidRDefault="00B8284C">
      <w:pPr>
        <w:pStyle w:val="a3"/>
        <w:spacing w:before="0" w:beforeAutospacing="0" w:after="0" w:afterAutospacing="0"/>
        <w:ind w:firstLine="556"/>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8"/>
        <w:gridCol w:w="78"/>
        <w:gridCol w:w="115"/>
        <w:gridCol w:w="815"/>
        <w:gridCol w:w="65"/>
        <w:gridCol w:w="78"/>
        <w:gridCol w:w="115"/>
        <w:gridCol w:w="815"/>
        <w:gridCol w:w="65"/>
      </w:tblGrid>
      <w:tr w:rsidR="00000000" w14:paraId="0D4F8305" w14:textId="77777777">
        <w:trPr>
          <w:divId w:val="1725448024"/>
        </w:trPr>
        <w:tc>
          <w:tcPr>
            <w:tcW w:w="3176" w:type="pct"/>
            <w:shd w:val="clear" w:color="auto" w:fill="FFFFFF"/>
            <w:tcMar>
              <w:top w:w="15" w:type="dxa"/>
              <w:left w:w="0" w:type="dxa"/>
              <w:bottom w:w="0" w:type="dxa"/>
              <w:right w:w="15" w:type="dxa"/>
            </w:tcMar>
            <w:vAlign w:val="bottom"/>
            <w:hideMark/>
          </w:tcPr>
          <w:p w14:paraId="160FC9E1" w14:textId="77777777" w:rsidR="00000000" w:rsidRDefault="00B8284C">
            <w:pPr>
              <w:pStyle w:val="a3"/>
              <w:spacing w:before="0" w:beforeAutospacing="0" w:after="0" w:afterAutospacing="0"/>
              <w:rPr>
                <w:sz w:val="20"/>
                <w:szCs w:val="20"/>
              </w:rPr>
            </w:pPr>
            <w:r>
              <w:rPr>
                <w:sz w:val="20"/>
                <w:szCs w:val="20"/>
              </w:rPr>
              <w:t> </w:t>
            </w:r>
          </w:p>
        </w:tc>
        <w:tc>
          <w:tcPr>
            <w:tcW w:w="89" w:type="pct"/>
            <w:shd w:val="clear" w:color="auto" w:fill="FFFFFF"/>
            <w:tcMar>
              <w:top w:w="15" w:type="dxa"/>
              <w:left w:w="0" w:type="dxa"/>
              <w:bottom w:w="0" w:type="dxa"/>
              <w:right w:w="15" w:type="dxa"/>
            </w:tcMar>
            <w:vAlign w:val="bottom"/>
            <w:hideMark/>
          </w:tcPr>
          <w:p w14:paraId="76C08D35"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683" w:type="pct"/>
            <w:gridSpan w:val="6"/>
            <w:tcBorders>
              <w:bottom w:val="single" w:sz="6" w:space="0" w:color="000000"/>
            </w:tcBorders>
            <w:shd w:val="clear" w:color="auto" w:fill="FFFFFF"/>
            <w:tcMar>
              <w:top w:w="15" w:type="dxa"/>
              <w:left w:w="0" w:type="dxa"/>
              <w:bottom w:w="0" w:type="dxa"/>
              <w:right w:w="15" w:type="dxa"/>
            </w:tcMar>
            <w:vAlign w:val="bottom"/>
            <w:hideMark/>
          </w:tcPr>
          <w:p w14:paraId="53F62D9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264056D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1ADEA4C" w14:textId="77777777">
        <w:trPr>
          <w:divId w:val="1725448024"/>
        </w:trPr>
        <w:tc>
          <w:tcPr>
            <w:tcW w:w="3176" w:type="pct"/>
            <w:shd w:val="clear" w:color="auto" w:fill="FFFFFF"/>
            <w:tcMar>
              <w:top w:w="15" w:type="dxa"/>
              <w:left w:w="0" w:type="dxa"/>
              <w:bottom w:w="0" w:type="dxa"/>
              <w:right w:w="15" w:type="dxa"/>
            </w:tcMar>
            <w:vAlign w:val="bottom"/>
            <w:hideMark/>
          </w:tcPr>
          <w:p w14:paraId="3E620A4B"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5231B0EB"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5D00C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25F3071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762E2E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A8907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tc>
        <w:tc>
          <w:tcPr>
            <w:tcW w:w="50" w:type="pct"/>
            <w:shd w:val="clear" w:color="auto" w:fill="FFFFFF"/>
            <w:noWrap/>
            <w:tcMar>
              <w:top w:w="15" w:type="dxa"/>
              <w:left w:w="0" w:type="dxa"/>
              <w:bottom w:w="0" w:type="dxa"/>
              <w:right w:w="15" w:type="dxa"/>
            </w:tcMar>
            <w:vAlign w:val="bottom"/>
            <w:hideMark/>
          </w:tcPr>
          <w:p w14:paraId="08B9F9B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6F47642" w14:textId="77777777">
        <w:trPr>
          <w:divId w:val="1725448024"/>
        </w:trPr>
        <w:tc>
          <w:tcPr>
            <w:tcW w:w="3176" w:type="pct"/>
            <w:shd w:val="clear" w:color="auto" w:fill="FFFFFF"/>
            <w:tcMar>
              <w:top w:w="15" w:type="dxa"/>
              <w:left w:w="0" w:type="dxa"/>
              <w:bottom w:w="0" w:type="dxa"/>
              <w:right w:w="15" w:type="dxa"/>
            </w:tcMar>
            <w:vAlign w:val="bottom"/>
            <w:hideMark/>
          </w:tcPr>
          <w:p w14:paraId="6802595F"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3D2B83B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683" w:type="pct"/>
            <w:gridSpan w:val="6"/>
            <w:tcBorders>
              <w:top w:val="single" w:sz="6" w:space="0" w:color="000000"/>
            </w:tcBorders>
            <w:shd w:val="clear" w:color="auto" w:fill="FFFFFF"/>
            <w:tcMar>
              <w:top w:w="15" w:type="dxa"/>
              <w:left w:w="0" w:type="dxa"/>
              <w:bottom w:w="0" w:type="dxa"/>
              <w:right w:w="15" w:type="dxa"/>
            </w:tcMar>
            <w:vAlign w:val="bottom"/>
            <w:hideMark/>
          </w:tcPr>
          <w:p w14:paraId="4968635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4B7B70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1A8EE9AF" w14:textId="77777777">
        <w:trPr>
          <w:divId w:val="1725448024"/>
        </w:trPr>
        <w:tc>
          <w:tcPr>
            <w:tcW w:w="3176" w:type="pct"/>
            <w:shd w:val="clear" w:color="auto" w:fill="CFF0FC"/>
            <w:tcMar>
              <w:top w:w="15" w:type="dxa"/>
              <w:left w:w="0" w:type="dxa"/>
              <w:bottom w:w="0" w:type="dxa"/>
              <w:right w:w="15" w:type="dxa"/>
            </w:tcMar>
            <w:vAlign w:val="bottom"/>
            <w:hideMark/>
          </w:tcPr>
          <w:p w14:paraId="7B699418" w14:textId="77777777" w:rsidR="00000000" w:rsidRDefault="00B8284C">
            <w:pPr>
              <w:pStyle w:val="a3"/>
              <w:spacing w:before="0" w:beforeAutospacing="0" w:after="0" w:afterAutospacing="0"/>
              <w:rPr>
                <w:color w:val="000000"/>
                <w:sz w:val="20"/>
                <w:szCs w:val="20"/>
              </w:rPr>
            </w:pPr>
            <w:r>
              <w:rPr>
                <w:color w:val="000000"/>
                <w:sz w:val="20"/>
                <w:szCs w:val="20"/>
              </w:rPr>
              <w:t>Employee-related costs</w:t>
            </w:r>
          </w:p>
        </w:tc>
        <w:tc>
          <w:tcPr>
            <w:tcW w:w="89" w:type="pct"/>
            <w:shd w:val="clear" w:color="auto" w:fill="CFF0FC"/>
            <w:tcMar>
              <w:top w:w="15" w:type="dxa"/>
              <w:left w:w="0" w:type="dxa"/>
              <w:bottom w:w="0" w:type="dxa"/>
              <w:right w:w="15" w:type="dxa"/>
            </w:tcMar>
            <w:vAlign w:val="bottom"/>
            <w:hideMark/>
          </w:tcPr>
          <w:p w14:paraId="1C635F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63964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268A29AB" w14:textId="77777777" w:rsidR="00000000" w:rsidRDefault="00B8284C">
            <w:pPr>
              <w:pStyle w:val="a3"/>
              <w:spacing w:before="0" w:beforeAutospacing="0" w:after="0" w:afterAutospacing="0"/>
              <w:jc w:val="right"/>
              <w:rPr>
                <w:color w:val="000000"/>
                <w:sz w:val="20"/>
                <w:szCs w:val="20"/>
              </w:rPr>
            </w:pPr>
            <w:r>
              <w:rPr>
                <w:color w:val="000000"/>
                <w:sz w:val="20"/>
                <w:szCs w:val="20"/>
              </w:rPr>
              <w:t>12,651</w:t>
            </w:r>
          </w:p>
        </w:tc>
        <w:tc>
          <w:tcPr>
            <w:tcW w:w="50" w:type="pct"/>
            <w:shd w:val="clear" w:color="auto" w:fill="CFF0FC"/>
            <w:noWrap/>
            <w:tcMar>
              <w:top w:w="15" w:type="dxa"/>
              <w:left w:w="0" w:type="dxa"/>
              <w:bottom w:w="0" w:type="dxa"/>
              <w:right w:w="15" w:type="dxa"/>
            </w:tcMar>
            <w:vAlign w:val="bottom"/>
            <w:hideMark/>
          </w:tcPr>
          <w:p w14:paraId="1D6D5E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07C4165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99971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07472462" w14:textId="77777777" w:rsidR="00000000" w:rsidRDefault="00B8284C">
            <w:pPr>
              <w:pStyle w:val="a3"/>
              <w:spacing w:before="0" w:beforeAutospacing="0" w:after="0" w:afterAutospacing="0"/>
              <w:jc w:val="right"/>
              <w:rPr>
                <w:color w:val="000000"/>
                <w:sz w:val="20"/>
                <w:szCs w:val="20"/>
              </w:rPr>
            </w:pPr>
            <w:r>
              <w:rPr>
                <w:color w:val="000000"/>
                <w:sz w:val="20"/>
                <w:szCs w:val="20"/>
              </w:rPr>
              <w:t>36,307</w:t>
            </w:r>
          </w:p>
        </w:tc>
        <w:tc>
          <w:tcPr>
            <w:tcW w:w="50" w:type="pct"/>
            <w:shd w:val="clear" w:color="auto" w:fill="CFF0FC"/>
            <w:noWrap/>
            <w:tcMar>
              <w:top w:w="15" w:type="dxa"/>
              <w:left w:w="0" w:type="dxa"/>
              <w:bottom w:w="0" w:type="dxa"/>
              <w:right w:w="15" w:type="dxa"/>
            </w:tcMar>
            <w:vAlign w:val="bottom"/>
            <w:hideMark/>
          </w:tcPr>
          <w:p w14:paraId="4F4B65D8"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3DD6B037" w14:textId="77777777">
        <w:trPr>
          <w:divId w:val="1725448024"/>
        </w:trPr>
        <w:tc>
          <w:tcPr>
            <w:tcW w:w="3176" w:type="pct"/>
            <w:shd w:val="clear" w:color="auto" w:fill="FFFFFF"/>
            <w:tcMar>
              <w:top w:w="15" w:type="dxa"/>
              <w:left w:w="0" w:type="dxa"/>
              <w:bottom w:w="0" w:type="dxa"/>
              <w:right w:w="15" w:type="dxa"/>
            </w:tcMar>
            <w:vAlign w:val="bottom"/>
            <w:hideMark/>
          </w:tcPr>
          <w:p w14:paraId="77A7ACB9" w14:textId="77777777" w:rsidR="00000000" w:rsidRDefault="00B8284C">
            <w:pPr>
              <w:pStyle w:val="a3"/>
              <w:spacing w:before="0" w:beforeAutospacing="0" w:after="0" w:afterAutospacing="0"/>
              <w:rPr>
                <w:color w:val="000000"/>
                <w:sz w:val="20"/>
                <w:szCs w:val="20"/>
              </w:rPr>
            </w:pPr>
            <w:r>
              <w:rPr>
                <w:color w:val="000000"/>
                <w:sz w:val="20"/>
                <w:szCs w:val="20"/>
              </w:rPr>
              <w:t>Partner commissions</w:t>
            </w:r>
          </w:p>
        </w:tc>
        <w:tc>
          <w:tcPr>
            <w:tcW w:w="89" w:type="pct"/>
            <w:shd w:val="clear" w:color="auto" w:fill="FFFFFF"/>
            <w:tcMar>
              <w:top w:w="15" w:type="dxa"/>
              <w:left w:w="0" w:type="dxa"/>
              <w:bottom w:w="0" w:type="dxa"/>
              <w:right w:w="15" w:type="dxa"/>
            </w:tcMar>
            <w:vAlign w:val="bottom"/>
            <w:hideMark/>
          </w:tcPr>
          <w:p w14:paraId="769A205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D8134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296985DB" w14:textId="77777777" w:rsidR="00000000" w:rsidRDefault="00B8284C">
            <w:pPr>
              <w:pStyle w:val="a3"/>
              <w:spacing w:before="0" w:beforeAutospacing="0" w:after="0" w:afterAutospacing="0"/>
              <w:jc w:val="right"/>
              <w:rPr>
                <w:color w:val="000000"/>
                <w:sz w:val="20"/>
                <w:szCs w:val="20"/>
              </w:rPr>
            </w:pPr>
            <w:r>
              <w:rPr>
                <w:color w:val="000000"/>
                <w:sz w:val="20"/>
                <w:szCs w:val="20"/>
              </w:rPr>
              <w:t>2,301</w:t>
            </w:r>
          </w:p>
        </w:tc>
        <w:tc>
          <w:tcPr>
            <w:tcW w:w="50" w:type="pct"/>
            <w:shd w:val="clear" w:color="auto" w:fill="FFFFFF"/>
            <w:noWrap/>
            <w:tcMar>
              <w:top w:w="15" w:type="dxa"/>
              <w:left w:w="0" w:type="dxa"/>
              <w:bottom w:w="0" w:type="dxa"/>
              <w:right w:w="15" w:type="dxa"/>
            </w:tcMar>
            <w:vAlign w:val="bottom"/>
            <w:hideMark/>
          </w:tcPr>
          <w:p w14:paraId="5040F95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67A9CC07"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05117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757B0147" w14:textId="77777777" w:rsidR="00000000" w:rsidRDefault="00B8284C">
            <w:pPr>
              <w:pStyle w:val="a3"/>
              <w:spacing w:before="0" w:beforeAutospacing="0" w:after="0" w:afterAutospacing="0"/>
              <w:jc w:val="right"/>
              <w:rPr>
                <w:color w:val="000000"/>
                <w:sz w:val="20"/>
                <w:szCs w:val="20"/>
              </w:rPr>
            </w:pPr>
            <w:r>
              <w:rPr>
                <w:color w:val="000000"/>
                <w:sz w:val="20"/>
                <w:szCs w:val="20"/>
              </w:rPr>
              <w:t>6,841</w:t>
            </w:r>
          </w:p>
        </w:tc>
        <w:tc>
          <w:tcPr>
            <w:tcW w:w="50" w:type="pct"/>
            <w:shd w:val="clear" w:color="auto" w:fill="FFFFFF"/>
            <w:noWrap/>
            <w:tcMar>
              <w:top w:w="15" w:type="dxa"/>
              <w:left w:w="0" w:type="dxa"/>
              <w:bottom w:w="0" w:type="dxa"/>
              <w:right w:w="15" w:type="dxa"/>
            </w:tcMar>
            <w:vAlign w:val="bottom"/>
            <w:hideMark/>
          </w:tcPr>
          <w:p w14:paraId="0AECE9E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213DE839" w14:textId="77777777">
        <w:trPr>
          <w:divId w:val="1725448024"/>
        </w:trPr>
        <w:tc>
          <w:tcPr>
            <w:tcW w:w="3176" w:type="pct"/>
            <w:shd w:val="clear" w:color="auto" w:fill="CFF0FC"/>
            <w:tcMar>
              <w:top w:w="15" w:type="dxa"/>
              <w:left w:w="0" w:type="dxa"/>
              <w:bottom w:w="0" w:type="dxa"/>
              <w:right w:w="15" w:type="dxa"/>
            </w:tcMar>
            <w:vAlign w:val="bottom"/>
            <w:hideMark/>
          </w:tcPr>
          <w:p w14:paraId="703311A2" w14:textId="77777777" w:rsidR="00000000" w:rsidRDefault="00B8284C">
            <w:pPr>
              <w:pStyle w:val="a3"/>
              <w:spacing w:before="0" w:beforeAutospacing="0" w:after="0" w:afterAutospacing="0"/>
              <w:rPr>
                <w:color w:val="000000"/>
                <w:sz w:val="20"/>
                <w:szCs w:val="20"/>
              </w:rPr>
            </w:pPr>
            <w:r>
              <w:rPr>
                <w:color w:val="000000"/>
                <w:sz w:val="20"/>
                <w:szCs w:val="20"/>
              </w:rPr>
              <w:t>Marketing programs</w:t>
            </w:r>
          </w:p>
        </w:tc>
        <w:tc>
          <w:tcPr>
            <w:tcW w:w="89" w:type="pct"/>
            <w:shd w:val="clear" w:color="auto" w:fill="CFF0FC"/>
            <w:tcMar>
              <w:top w:w="15" w:type="dxa"/>
              <w:left w:w="0" w:type="dxa"/>
              <w:bottom w:w="0" w:type="dxa"/>
              <w:right w:w="15" w:type="dxa"/>
            </w:tcMar>
            <w:vAlign w:val="bottom"/>
            <w:hideMark/>
          </w:tcPr>
          <w:p w14:paraId="7238640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61EA8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shd w:val="clear" w:color="auto" w:fill="CFF0FC"/>
            <w:noWrap/>
            <w:tcMar>
              <w:top w:w="15" w:type="dxa"/>
              <w:left w:w="0" w:type="dxa"/>
              <w:bottom w:w="0" w:type="dxa"/>
              <w:right w:w="15" w:type="dxa"/>
            </w:tcMar>
            <w:vAlign w:val="bottom"/>
            <w:hideMark/>
          </w:tcPr>
          <w:p w14:paraId="5F6E5D35" w14:textId="77777777" w:rsidR="00000000" w:rsidRDefault="00B8284C">
            <w:pPr>
              <w:pStyle w:val="a3"/>
              <w:spacing w:before="0" w:beforeAutospacing="0" w:after="0" w:afterAutospacing="0"/>
              <w:jc w:val="right"/>
              <w:rPr>
                <w:color w:val="000000"/>
                <w:sz w:val="20"/>
                <w:szCs w:val="20"/>
              </w:rPr>
            </w:pPr>
            <w:r>
              <w:rPr>
                <w:color w:val="000000"/>
                <w:sz w:val="20"/>
                <w:szCs w:val="20"/>
              </w:rPr>
              <w:t>2,792</w:t>
            </w:r>
          </w:p>
        </w:tc>
        <w:tc>
          <w:tcPr>
            <w:tcW w:w="50" w:type="pct"/>
            <w:shd w:val="clear" w:color="auto" w:fill="CFF0FC"/>
            <w:noWrap/>
            <w:tcMar>
              <w:top w:w="15" w:type="dxa"/>
              <w:left w:w="0" w:type="dxa"/>
              <w:bottom w:w="0" w:type="dxa"/>
              <w:right w:w="15" w:type="dxa"/>
            </w:tcMar>
            <w:vAlign w:val="bottom"/>
            <w:hideMark/>
          </w:tcPr>
          <w:p w14:paraId="27FAAE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56FE4120"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15517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shd w:val="clear" w:color="auto" w:fill="CFF0FC"/>
            <w:noWrap/>
            <w:tcMar>
              <w:top w:w="15" w:type="dxa"/>
              <w:left w:w="0" w:type="dxa"/>
              <w:bottom w:w="0" w:type="dxa"/>
              <w:right w:w="15" w:type="dxa"/>
            </w:tcMar>
            <w:vAlign w:val="bottom"/>
            <w:hideMark/>
          </w:tcPr>
          <w:p w14:paraId="13E2870A" w14:textId="77777777" w:rsidR="00000000" w:rsidRDefault="00B8284C">
            <w:pPr>
              <w:pStyle w:val="a3"/>
              <w:spacing w:before="0" w:beforeAutospacing="0" w:after="0" w:afterAutospacing="0"/>
              <w:jc w:val="right"/>
              <w:rPr>
                <w:color w:val="000000"/>
                <w:sz w:val="20"/>
                <w:szCs w:val="20"/>
              </w:rPr>
            </w:pPr>
            <w:r>
              <w:rPr>
                <w:color w:val="000000"/>
                <w:sz w:val="20"/>
                <w:szCs w:val="20"/>
              </w:rPr>
              <w:t>5,747</w:t>
            </w:r>
          </w:p>
        </w:tc>
        <w:tc>
          <w:tcPr>
            <w:tcW w:w="50" w:type="pct"/>
            <w:shd w:val="clear" w:color="auto" w:fill="CFF0FC"/>
            <w:noWrap/>
            <w:tcMar>
              <w:top w:w="15" w:type="dxa"/>
              <w:left w:w="0" w:type="dxa"/>
              <w:bottom w:w="0" w:type="dxa"/>
              <w:right w:w="15" w:type="dxa"/>
            </w:tcMar>
            <w:vAlign w:val="bottom"/>
            <w:hideMark/>
          </w:tcPr>
          <w:p w14:paraId="74635196"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6D910FE" w14:textId="77777777">
        <w:trPr>
          <w:divId w:val="1725448024"/>
        </w:trPr>
        <w:tc>
          <w:tcPr>
            <w:tcW w:w="3176" w:type="pct"/>
            <w:shd w:val="clear" w:color="auto" w:fill="FFFFFF"/>
            <w:tcMar>
              <w:top w:w="15" w:type="dxa"/>
              <w:left w:w="0" w:type="dxa"/>
              <w:bottom w:w="0" w:type="dxa"/>
              <w:right w:w="15" w:type="dxa"/>
            </w:tcMar>
            <w:vAlign w:val="bottom"/>
            <w:hideMark/>
          </w:tcPr>
          <w:p w14:paraId="5F028894" w14:textId="77777777" w:rsidR="00000000" w:rsidRDefault="00B8284C">
            <w:pPr>
              <w:pStyle w:val="a3"/>
              <w:spacing w:before="0" w:beforeAutospacing="0" w:after="0" w:afterAutospacing="0"/>
              <w:rPr>
                <w:color w:val="000000"/>
                <w:sz w:val="20"/>
                <w:szCs w:val="20"/>
              </w:rPr>
            </w:pPr>
            <w:r>
              <w:rPr>
                <w:color w:val="000000"/>
                <w:sz w:val="20"/>
                <w:szCs w:val="20"/>
              </w:rPr>
              <w:t>Allocated overhead expenses</w:t>
            </w:r>
          </w:p>
        </w:tc>
        <w:tc>
          <w:tcPr>
            <w:tcW w:w="89" w:type="pct"/>
            <w:shd w:val="clear" w:color="auto" w:fill="FFFFFF"/>
            <w:tcMar>
              <w:top w:w="15" w:type="dxa"/>
              <w:left w:w="0" w:type="dxa"/>
              <w:bottom w:w="0" w:type="dxa"/>
              <w:right w:w="15" w:type="dxa"/>
            </w:tcMar>
            <w:vAlign w:val="bottom"/>
            <w:hideMark/>
          </w:tcPr>
          <w:p w14:paraId="7F3E869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BED74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FFFFFF"/>
            <w:noWrap/>
            <w:tcMar>
              <w:top w:w="15" w:type="dxa"/>
              <w:left w:w="0" w:type="dxa"/>
              <w:bottom w:w="0" w:type="dxa"/>
              <w:right w:w="15" w:type="dxa"/>
            </w:tcMar>
            <w:vAlign w:val="bottom"/>
            <w:hideMark/>
          </w:tcPr>
          <w:p w14:paraId="60559914" w14:textId="77777777" w:rsidR="00000000" w:rsidRDefault="00B8284C">
            <w:pPr>
              <w:pStyle w:val="a3"/>
              <w:spacing w:before="0" w:beforeAutospacing="0" w:after="0" w:afterAutospacing="0"/>
              <w:jc w:val="right"/>
              <w:rPr>
                <w:color w:val="000000"/>
                <w:sz w:val="20"/>
                <w:szCs w:val="20"/>
              </w:rPr>
            </w:pPr>
            <w:r>
              <w:rPr>
                <w:color w:val="000000"/>
                <w:sz w:val="20"/>
                <w:szCs w:val="20"/>
              </w:rPr>
              <w:t>2,246</w:t>
            </w:r>
          </w:p>
        </w:tc>
        <w:tc>
          <w:tcPr>
            <w:tcW w:w="50" w:type="pct"/>
            <w:shd w:val="clear" w:color="auto" w:fill="FFFFFF"/>
            <w:noWrap/>
            <w:tcMar>
              <w:top w:w="15" w:type="dxa"/>
              <w:left w:w="0" w:type="dxa"/>
              <w:bottom w:w="0" w:type="dxa"/>
              <w:right w:w="15" w:type="dxa"/>
            </w:tcMar>
            <w:vAlign w:val="bottom"/>
            <w:hideMark/>
          </w:tcPr>
          <w:p w14:paraId="4EDE8FB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4B3D796A"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067A7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FFFFFF"/>
            <w:noWrap/>
            <w:tcMar>
              <w:top w:w="15" w:type="dxa"/>
              <w:left w:w="0" w:type="dxa"/>
              <w:bottom w:w="0" w:type="dxa"/>
              <w:right w:w="15" w:type="dxa"/>
            </w:tcMar>
            <w:vAlign w:val="bottom"/>
            <w:hideMark/>
          </w:tcPr>
          <w:p w14:paraId="73A4252B" w14:textId="77777777" w:rsidR="00000000" w:rsidRDefault="00B8284C">
            <w:pPr>
              <w:pStyle w:val="a3"/>
              <w:spacing w:before="0" w:beforeAutospacing="0" w:after="0" w:afterAutospacing="0"/>
              <w:jc w:val="right"/>
              <w:rPr>
                <w:color w:val="000000"/>
                <w:sz w:val="20"/>
                <w:szCs w:val="20"/>
              </w:rPr>
            </w:pPr>
            <w:r>
              <w:rPr>
                <w:color w:val="000000"/>
                <w:sz w:val="20"/>
                <w:szCs w:val="20"/>
              </w:rPr>
              <w:t>4,888</w:t>
            </w:r>
          </w:p>
        </w:tc>
        <w:tc>
          <w:tcPr>
            <w:tcW w:w="50" w:type="pct"/>
            <w:shd w:val="clear" w:color="auto" w:fill="FFFFFF"/>
            <w:noWrap/>
            <w:tcMar>
              <w:top w:w="15" w:type="dxa"/>
              <w:left w:w="0" w:type="dxa"/>
              <w:bottom w:w="0" w:type="dxa"/>
              <w:right w:w="15" w:type="dxa"/>
            </w:tcMar>
            <w:vAlign w:val="bottom"/>
            <w:hideMark/>
          </w:tcPr>
          <w:p w14:paraId="7B32CC6B"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75BE79D" w14:textId="77777777">
        <w:trPr>
          <w:divId w:val="1725448024"/>
        </w:trPr>
        <w:tc>
          <w:tcPr>
            <w:tcW w:w="3176" w:type="pct"/>
            <w:shd w:val="clear" w:color="auto" w:fill="CFF0FC"/>
            <w:tcMar>
              <w:top w:w="15" w:type="dxa"/>
              <w:left w:w="0" w:type="dxa"/>
              <w:bottom w:w="0" w:type="dxa"/>
              <w:right w:w="15" w:type="dxa"/>
            </w:tcMar>
            <w:vAlign w:val="bottom"/>
            <w:hideMark/>
          </w:tcPr>
          <w:p w14:paraId="306DBE4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7D2AB4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6D408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511198" w14:textId="77777777" w:rsidR="00000000" w:rsidRDefault="00B8284C">
            <w:pPr>
              <w:pStyle w:val="a3"/>
              <w:spacing w:before="0" w:beforeAutospacing="0" w:after="0" w:afterAutospacing="0"/>
              <w:jc w:val="right"/>
              <w:rPr>
                <w:color w:val="000000"/>
                <w:sz w:val="20"/>
                <w:szCs w:val="20"/>
              </w:rPr>
            </w:pPr>
            <w:r>
              <w:rPr>
                <w:color w:val="000000"/>
                <w:sz w:val="20"/>
                <w:szCs w:val="20"/>
              </w:rPr>
              <w:t>19,990</w:t>
            </w:r>
          </w:p>
        </w:tc>
        <w:tc>
          <w:tcPr>
            <w:tcW w:w="50" w:type="pct"/>
            <w:shd w:val="clear" w:color="auto" w:fill="CFF0FC"/>
            <w:noWrap/>
            <w:tcMar>
              <w:top w:w="15" w:type="dxa"/>
              <w:left w:w="0" w:type="dxa"/>
              <w:bottom w:w="0" w:type="dxa"/>
              <w:right w:w="15" w:type="dxa"/>
            </w:tcMar>
            <w:vAlign w:val="bottom"/>
            <w:hideMark/>
          </w:tcPr>
          <w:p w14:paraId="4D1CE7E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68F99A80"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A91DE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EE0FD9" w14:textId="77777777" w:rsidR="00000000" w:rsidRDefault="00B8284C">
            <w:pPr>
              <w:pStyle w:val="a3"/>
              <w:spacing w:before="0" w:beforeAutospacing="0" w:after="0" w:afterAutospacing="0"/>
              <w:jc w:val="right"/>
              <w:rPr>
                <w:color w:val="000000"/>
                <w:sz w:val="20"/>
                <w:szCs w:val="20"/>
              </w:rPr>
            </w:pPr>
            <w:r>
              <w:rPr>
                <w:color w:val="000000"/>
                <w:sz w:val="20"/>
                <w:szCs w:val="20"/>
              </w:rPr>
              <w:t>53,783</w:t>
            </w:r>
          </w:p>
        </w:tc>
        <w:tc>
          <w:tcPr>
            <w:tcW w:w="50" w:type="pct"/>
            <w:shd w:val="clear" w:color="auto" w:fill="CFF0FC"/>
            <w:noWrap/>
            <w:tcMar>
              <w:top w:w="15" w:type="dxa"/>
              <w:left w:w="0" w:type="dxa"/>
              <w:bottom w:w="0" w:type="dxa"/>
              <w:right w:w="15" w:type="dxa"/>
            </w:tcMar>
            <w:vAlign w:val="bottom"/>
            <w:hideMark/>
          </w:tcPr>
          <w:p w14:paraId="4BE2D03F"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7BD14CFF" w14:textId="77777777" w:rsidR="00000000" w:rsidRDefault="00B8284C">
      <w:pPr>
        <w:pStyle w:val="a3"/>
        <w:spacing w:before="0" w:beforeAutospacing="0" w:after="0" w:afterAutospacing="0"/>
        <w:ind w:firstLine="556"/>
        <w:rPr>
          <w:sz w:val="20"/>
          <w:szCs w:val="20"/>
        </w:rPr>
      </w:pPr>
      <w:r>
        <w:rPr>
          <w:sz w:val="20"/>
          <w:szCs w:val="20"/>
        </w:rPr>
        <w:t> </w:t>
      </w:r>
    </w:p>
    <w:p w14:paraId="2783C01C"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Three month change </w:t>
      </w:r>
    </w:p>
    <w:p w14:paraId="046DB430" w14:textId="77777777" w:rsidR="00000000" w:rsidRDefault="00B8284C">
      <w:pPr>
        <w:pStyle w:val="a3"/>
        <w:spacing w:before="0" w:beforeAutospacing="0" w:after="0" w:afterAutospacing="0"/>
        <w:ind w:firstLine="556"/>
        <w:rPr>
          <w:sz w:val="12"/>
          <w:szCs w:val="12"/>
        </w:rPr>
      </w:pPr>
      <w:r>
        <w:rPr>
          <w:sz w:val="12"/>
          <w:szCs w:val="12"/>
        </w:rPr>
        <w:t> </w:t>
      </w:r>
    </w:p>
    <w:p w14:paraId="7FA649E2" w14:textId="77777777" w:rsidR="00000000" w:rsidRDefault="00B8284C">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headcount as we continue to expand our selling and marketing organizations to grow our customer base. Partner commissions increased as a result of increased revenue generated t</w:t>
      </w:r>
      <w:r>
        <w:rPr>
          <w:color w:val="000000"/>
          <w:sz w:val="20"/>
          <w:szCs w:val="20"/>
        </w:rPr>
        <w:t>hrough our partners. Marketing programs increased due to the timing and size of certain marketing efforts as we continue to make investments in attracting new customers. Allocated overhead expenses increased due to expanding our leased space and infrastruc</w:t>
      </w:r>
      <w:r>
        <w:rPr>
          <w:color w:val="000000"/>
          <w:sz w:val="20"/>
          <w:szCs w:val="20"/>
        </w:rPr>
        <w:t xml:space="preserve">ture as we continue to grow our business and expand headcount. </w:t>
      </w:r>
    </w:p>
    <w:p w14:paraId="296D6900" w14:textId="77777777" w:rsidR="00000000" w:rsidRDefault="00B8284C">
      <w:pPr>
        <w:pStyle w:val="a3"/>
        <w:spacing w:before="0" w:beforeAutospacing="0" w:after="0" w:afterAutospacing="0"/>
        <w:ind w:firstLine="556"/>
        <w:rPr>
          <w:sz w:val="20"/>
          <w:szCs w:val="20"/>
        </w:rPr>
      </w:pPr>
      <w:r>
        <w:rPr>
          <w:sz w:val="20"/>
          <w:szCs w:val="20"/>
        </w:rPr>
        <w:t> </w:t>
      </w:r>
    </w:p>
    <w:p w14:paraId="6561EF41"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Nine month change </w:t>
      </w:r>
    </w:p>
    <w:p w14:paraId="79246AAD" w14:textId="77777777" w:rsidR="00000000" w:rsidRDefault="00B8284C">
      <w:pPr>
        <w:pStyle w:val="a3"/>
        <w:spacing w:before="0" w:beforeAutospacing="0" w:after="0" w:afterAutospacing="0"/>
        <w:ind w:firstLine="556"/>
        <w:rPr>
          <w:sz w:val="12"/>
          <w:szCs w:val="12"/>
        </w:rPr>
      </w:pPr>
      <w:r>
        <w:rPr>
          <w:sz w:val="12"/>
          <w:szCs w:val="12"/>
        </w:rPr>
        <w:t> </w:t>
      </w:r>
    </w:p>
    <w:p w14:paraId="051D556E" w14:textId="77777777" w:rsidR="00000000" w:rsidRDefault="00B8284C">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headcount as we continue to expand our selling and marketing organizations to grow our customer base. Partner c</w:t>
      </w:r>
      <w:r>
        <w:rPr>
          <w:color w:val="000000"/>
          <w:sz w:val="20"/>
          <w:szCs w:val="20"/>
        </w:rPr>
        <w:t>ommissions increased as a result of increased revenue generated through our partners. Marketing programs increased due to the timing and size of certain marketing efforts as we continue to make investments in attracting new customers. Allocated overhead ex</w:t>
      </w:r>
      <w:r>
        <w:rPr>
          <w:color w:val="000000"/>
          <w:sz w:val="20"/>
          <w:szCs w:val="20"/>
        </w:rPr>
        <w:t xml:space="preserve">penses increased due to expanding our leased space and infrastructure as we continue to grow our business and expand headcount. </w:t>
      </w:r>
    </w:p>
    <w:p w14:paraId="516303B3" w14:textId="77777777" w:rsidR="00000000" w:rsidRDefault="00B8284C">
      <w:pPr>
        <w:pStyle w:val="a3"/>
        <w:spacing w:before="0" w:beforeAutospacing="0" w:after="0" w:afterAutospacing="0"/>
        <w:ind w:firstLine="556"/>
        <w:rPr>
          <w:sz w:val="18"/>
          <w:szCs w:val="18"/>
        </w:rPr>
      </w:pPr>
      <w:r>
        <w:rPr>
          <w:sz w:val="18"/>
          <w:szCs w:val="18"/>
        </w:rPr>
        <w:t> </w:t>
      </w:r>
    </w:p>
    <w:p w14:paraId="5E91C058" w14:textId="77777777" w:rsidR="00000000" w:rsidRDefault="00B8284C">
      <w:pPr>
        <w:pStyle w:val="a3"/>
        <w:spacing w:before="0" w:beforeAutospacing="0" w:after="0" w:afterAutospacing="0"/>
        <w:ind w:firstLine="556"/>
        <w:rPr>
          <w:sz w:val="18"/>
          <w:szCs w:val="18"/>
        </w:rPr>
      </w:pPr>
      <w:r>
        <w:rPr>
          <w:sz w:val="18"/>
          <w:szCs w:val="18"/>
        </w:rPr>
        <w:t> </w:t>
      </w:r>
    </w:p>
    <w:p w14:paraId="188CD367" w14:textId="77777777" w:rsidR="00000000" w:rsidRDefault="00B8284C">
      <w:pPr>
        <w:pStyle w:val="a3"/>
        <w:spacing w:before="0" w:beforeAutospacing="0" w:after="0" w:afterAutospacing="0"/>
        <w:ind w:firstLine="556"/>
        <w:rPr>
          <w:b/>
          <w:bCs/>
          <w:i/>
          <w:iCs/>
          <w:sz w:val="20"/>
          <w:szCs w:val="20"/>
        </w:rPr>
      </w:pPr>
      <w:r>
        <w:rPr>
          <w:b/>
          <w:bCs/>
          <w:i/>
          <w:iCs/>
          <w:sz w:val="20"/>
          <w:szCs w:val="20"/>
        </w:rPr>
        <w:t xml:space="preserve">General and Administrative </w:t>
      </w:r>
    </w:p>
    <w:p w14:paraId="6D96CB51"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198"/>
        <w:gridCol w:w="65"/>
        <w:gridCol w:w="115"/>
        <w:gridCol w:w="565"/>
        <w:gridCol w:w="182"/>
        <w:gridCol w:w="65"/>
        <w:gridCol w:w="115"/>
        <w:gridCol w:w="565"/>
        <w:gridCol w:w="182"/>
        <w:gridCol w:w="65"/>
        <w:gridCol w:w="116"/>
        <w:gridCol w:w="560"/>
        <w:gridCol w:w="65"/>
        <w:gridCol w:w="65"/>
        <w:gridCol w:w="112"/>
        <w:gridCol w:w="628"/>
        <w:gridCol w:w="182"/>
        <w:gridCol w:w="65"/>
        <w:gridCol w:w="115"/>
        <w:gridCol w:w="565"/>
        <w:gridCol w:w="182"/>
        <w:gridCol w:w="65"/>
        <w:gridCol w:w="115"/>
        <w:gridCol w:w="565"/>
        <w:gridCol w:w="182"/>
        <w:gridCol w:w="65"/>
        <w:gridCol w:w="115"/>
        <w:gridCol w:w="565"/>
        <w:gridCol w:w="65"/>
        <w:gridCol w:w="65"/>
        <w:gridCol w:w="112"/>
        <w:gridCol w:w="628"/>
        <w:gridCol w:w="182"/>
      </w:tblGrid>
      <w:tr w:rsidR="00000000" w14:paraId="089D29E2" w14:textId="77777777">
        <w:trPr>
          <w:divId w:val="83495115"/>
        </w:trPr>
        <w:tc>
          <w:tcPr>
            <w:tcW w:w="1526" w:type="pct"/>
            <w:shd w:val="clear" w:color="auto" w:fill="FFFFFF"/>
            <w:tcMar>
              <w:top w:w="15" w:type="dxa"/>
              <w:left w:w="0" w:type="dxa"/>
              <w:bottom w:w="0" w:type="dxa"/>
              <w:right w:w="15" w:type="dxa"/>
            </w:tcMar>
            <w:vAlign w:val="bottom"/>
            <w:hideMark/>
          </w:tcPr>
          <w:p w14:paraId="4D02C568" w14:textId="77777777" w:rsidR="00000000" w:rsidRDefault="00B8284C">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7E5BFEA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2A45E8C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5700AB8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4FC2516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CBAE9E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9AC80A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9CFC3C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95BB7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544F9A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2B45F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1276EE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0D6051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D8DD1D2" w14:textId="77777777" w:rsidR="00000000" w:rsidRDefault="00B8284C">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64B71AF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5F91451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w:t>
            </w: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14:paraId="6315B19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24AED4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F7EC86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5DDB66B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50177D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460484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CC0BFD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698BF62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96F946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74BD382" w14:textId="77777777">
        <w:trPr>
          <w:divId w:val="83495115"/>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105C7D40" w14:textId="77777777" w:rsidR="00000000" w:rsidRDefault="00B8284C">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473DB1E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DFBB5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6230E8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79F1895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2FAEB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A4DAA8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093919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844856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7BE817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279327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6E917AE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5E241BC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A4A5585" w14:textId="77777777" w:rsidR="00000000" w:rsidRDefault="00B8284C">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BF99F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181AF7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7734ED7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873BA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30984D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F38EA0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7577709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2279E3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4EE38F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20D2FE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EF3BAA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B8284C" w14:paraId="59DF8F98" w14:textId="77777777">
        <w:trPr>
          <w:divId w:val="83495115"/>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32FE2055" w14:textId="77777777" w:rsidR="00000000" w:rsidRDefault="00B8284C">
            <w:pPr>
              <w:pStyle w:val="a3"/>
              <w:spacing w:before="0" w:beforeAutospacing="0" w:after="0" w:afterAutospacing="0"/>
              <w:rPr>
                <w:color w:val="000000"/>
                <w:sz w:val="20"/>
                <w:szCs w:val="20"/>
              </w:rPr>
            </w:pPr>
            <w:r>
              <w:rPr>
                <w:color w:val="000000"/>
                <w:sz w:val="20"/>
                <w:szCs w:val="20"/>
              </w:rPr>
              <w:t>General and administrative</w:t>
            </w:r>
          </w:p>
        </w:tc>
        <w:tc>
          <w:tcPr>
            <w:tcW w:w="51" w:type="pct"/>
            <w:shd w:val="clear" w:color="auto" w:fill="CFF0FC"/>
            <w:tcMar>
              <w:top w:w="15" w:type="dxa"/>
              <w:left w:w="0" w:type="dxa"/>
              <w:bottom w:w="0" w:type="dxa"/>
              <w:right w:w="15" w:type="dxa"/>
            </w:tcMar>
            <w:vAlign w:val="bottom"/>
            <w:hideMark/>
          </w:tcPr>
          <w:p w14:paraId="5A2B2B5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2A162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AA17BF5" w14:textId="77777777" w:rsidR="00000000" w:rsidRDefault="00B8284C">
            <w:pPr>
              <w:pStyle w:val="a3"/>
              <w:spacing w:before="0" w:beforeAutospacing="0" w:after="0" w:afterAutospacing="0"/>
              <w:jc w:val="right"/>
              <w:rPr>
                <w:color w:val="000000"/>
                <w:sz w:val="20"/>
                <w:szCs w:val="20"/>
              </w:rPr>
            </w:pPr>
            <w:r>
              <w:rPr>
                <w:color w:val="000000"/>
                <w:sz w:val="20"/>
                <w:szCs w:val="20"/>
              </w:rPr>
              <w:t>23,300</w:t>
            </w:r>
          </w:p>
        </w:tc>
        <w:tc>
          <w:tcPr>
            <w:tcW w:w="50" w:type="pct"/>
            <w:shd w:val="clear" w:color="auto" w:fill="CFF0FC"/>
            <w:noWrap/>
            <w:tcMar>
              <w:top w:w="15" w:type="dxa"/>
              <w:left w:w="0" w:type="dxa"/>
              <w:bottom w:w="0" w:type="dxa"/>
              <w:right w:w="15" w:type="dxa"/>
            </w:tcMar>
            <w:vAlign w:val="bottom"/>
            <w:hideMark/>
          </w:tcPr>
          <w:p w14:paraId="201D6E6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42022D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E5039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FC6C8BD" w14:textId="77777777" w:rsidR="00000000" w:rsidRDefault="00B8284C">
            <w:pPr>
              <w:pStyle w:val="a3"/>
              <w:spacing w:before="0" w:beforeAutospacing="0" w:after="0" w:afterAutospacing="0"/>
              <w:jc w:val="right"/>
              <w:rPr>
                <w:color w:val="000000"/>
                <w:sz w:val="20"/>
                <w:szCs w:val="20"/>
              </w:rPr>
            </w:pPr>
            <w:r>
              <w:rPr>
                <w:color w:val="000000"/>
                <w:sz w:val="20"/>
                <w:szCs w:val="20"/>
              </w:rPr>
              <w:t>19,057</w:t>
            </w:r>
          </w:p>
        </w:tc>
        <w:tc>
          <w:tcPr>
            <w:tcW w:w="50" w:type="pct"/>
            <w:shd w:val="clear" w:color="auto" w:fill="CFF0FC"/>
            <w:noWrap/>
            <w:tcMar>
              <w:top w:w="15" w:type="dxa"/>
              <w:left w:w="0" w:type="dxa"/>
              <w:bottom w:w="0" w:type="dxa"/>
              <w:right w:w="15" w:type="dxa"/>
            </w:tcMar>
            <w:vAlign w:val="bottom"/>
            <w:hideMark/>
          </w:tcPr>
          <w:p w14:paraId="580FC6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035DCB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D624E2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F5CDBA7" w14:textId="77777777" w:rsidR="00000000" w:rsidRDefault="00B8284C">
            <w:pPr>
              <w:pStyle w:val="a3"/>
              <w:spacing w:before="0" w:beforeAutospacing="0" w:after="0" w:afterAutospacing="0"/>
              <w:jc w:val="right"/>
              <w:rPr>
                <w:color w:val="000000"/>
                <w:sz w:val="20"/>
                <w:szCs w:val="20"/>
              </w:rPr>
            </w:pPr>
            <w:r>
              <w:rPr>
                <w:color w:val="000000"/>
                <w:sz w:val="20"/>
                <w:szCs w:val="20"/>
              </w:rPr>
              <w:t>4,243</w:t>
            </w:r>
          </w:p>
        </w:tc>
        <w:tc>
          <w:tcPr>
            <w:tcW w:w="50" w:type="pct"/>
            <w:shd w:val="clear" w:color="auto" w:fill="CFF0FC"/>
            <w:noWrap/>
            <w:tcMar>
              <w:top w:w="15" w:type="dxa"/>
              <w:left w:w="0" w:type="dxa"/>
              <w:bottom w:w="0" w:type="dxa"/>
              <w:right w:w="15" w:type="dxa"/>
            </w:tcMar>
            <w:vAlign w:val="bottom"/>
            <w:hideMark/>
          </w:tcPr>
          <w:p w14:paraId="486352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572712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26C7B9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6CE9BE4" w14:textId="77777777" w:rsidR="00000000" w:rsidRDefault="00B8284C">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CFF0FC"/>
            <w:noWrap/>
            <w:tcMar>
              <w:top w:w="15" w:type="dxa"/>
              <w:left w:w="0" w:type="dxa"/>
              <w:bottom w:w="0" w:type="dxa"/>
              <w:right w:w="15" w:type="dxa"/>
            </w:tcMar>
            <w:vAlign w:val="bottom"/>
            <w:hideMark/>
          </w:tcPr>
          <w:p w14:paraId="3F3F1E3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73781500"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CA911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62D155E" w14:textId="77777777" w:rsidR="00000000" w:rsidRDefault="00B8284C">
            <w:pPr>
              <w:pStyle w:val="a3"/>
              <w:spacing w:before="0" w:beforeAutospacing="0" w:after="0" w:afterAutospacing="0"/>
              <w:jc w:val="right"/>
              <w:rPr>
                <w:color w:val="000000"/>
                <w:sz w:val="20"/>
                <w:szCs w:val="20"/>
              </w:rPr>
            </w:pPr>
            <w:r>
              <w:rPr>
                <w:color w:val="000000"/>
                <w:sz w:val="20"/>
                <w:szCs w:val="20"/>
              </w:rPr>
              <w:t>67,777</w:t>
            </w:r>
          </w:p>
        </w:tc>
        <w:tc>
          <w:tcPr>
            <w:tcW w:w="50" w:type="pct"/>
            <w:shd w:val="clear" w:color="auto" w:fill="CFF0FC"/>
            <w:noWrap/>
            <w:tcMar>
              <w:top w:w="15" w:type="dxa"/>
              <w:left w:w="0" w:type="dxa"/>
              <w:bottom w:w="0" w:type="dxa"/>
              <w:right w:w="15" w:type="dxa"/>
            </w:tcMar>
            <w:vAlign w:val="bottom"/>
            <w:hideMark/>
          </w:tcPr>
          <w:p w14:paraId="1A9994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0D7A6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08F5D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ECB3143" w14:textId="77777777" w:rsidR="00000000" w:rsidRDefault="00B8284C">
            <w:pPr>
              <w:pStyle w:val="a3"/>
              <w:spacing w:before="0" w:beforeAutospacing="0" w:after="0" w:afterAutospacing="0"/>
              <w:jc w:val="right"/>
              <w:rPr>
                <w:color w:val="000000"/>
                <w:sz w:val="20"/>
                <w:szCs w:val="20"/>
              </w:rPr>
            </w:pPr>
            <w:r>
              <w:rPr>
                <w:color w:val="000000"/>
                <w:sz w:val="20"/>
                <w:szCs w:val="20"/>
              </w:rPr>
              <w:t>54,309</w:t>
            </w:r>
          </w:p>
        </w:tc>
        <w:tc>
          <w:tcPr>
            <w:tcW w:w="50" w:type="pct"/>
            <w:shd w:val="clear" w:color="auto" w:fill="CFF0FC"/>
            <w:noWrap/>
            <w:tcMar>
              <w:top w:w="15" w:type="dxa"/>
              <w:left w:w="0" w:type="dxa"/>
              <w:bottom w:w="0" w:type="dxa"/>
              <w:right w:w="15" w:type="dxa"/>
            </w:tcMar>
            <w:vAlign w:val="bottom"/>
            <w:hideMark/>
          </w:tcPr>
          <w:p w14:paraId="142DA51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624383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8D079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B6930DB" w14:textId="77777777" w:rsidR="00000000" w:rsidRDefault="00B8284C">
            <w:pPr>
              <w:pStyle w:val="a3"/>
              <w:spacing w:before="0" w:beforeAutospacing="0" w:after="0" w:afterAutospacing="0"/>
              <w:jc w:val="right"/>
              <w:rPr>
                <w:color w:val="000000"/>
                <w:sz w:val="20"/>
                <w:szCs w:val="20"/>
              </w:rPr>
            </w:pPr>
            <w:r>
              <w:rPr>
                <w:color w:val="000000"/>
                <w:sz w:val="20"/>
                <w:szCs w:val="20"/>
              </w:rPr>
              <w:t>13,468</w:t>
            </w:r>
          </w:p>
        </w:tc>
        <w:tc>
          <w:tcPr>
            <w:tcW w:w="50" w:type="pct"/>
            <w:shd w:val="clear" w:color="auto" w:fill="CFF0FC"/>
            <w:noWrap/>
            <w:tcMar>
              <w:top w:w="15" w:type="dxa"/>
              <w:left w:w="0" w:type="dxa"/>
              <w:bottom w:w="0" w:type="dxa"/>
              <w:right w:w="15" w:type="dxa"/>
            </w:tcMar>
            <w:vAlign w:val="bottom"/>
            <w:hideMark/>
          </w:tcPr>
          <w:p w14:paraId="5D8404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CBAB0A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17DCE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B81278F" w14:textId="77777777" w:rsidR="00000000" w:rsidRDefault="00B8284C">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CFF0FC"/>
            <w:noWrap/>
            <w:tcMar>
              <w:top w:w="15" w:type="dxa"/>
              <w:left w:w="0" w:type="dxa"/>
              <w:bottom w:w="0" w:type="dxa"/>
              <w:right w:w="15" w:type="dxa"/>
            </w:tcMar>
            <w:vAlign w:val="bottom"/>
            <w:hideMark/>
          </w:tcPr>
          <w:p w14:paraId="04D77CE8"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3EC66C6B" w14:textId="77777777">
        <w:trPr>
          <w:divId w:val="83495115"/>
        </w:trPr>
        <w:tc>
          <w:tcPr>
            <w:tcW w:w="1526" w:type="pct"/>
            <w:shd w:val="clear" w:color="auto" w:fill="FFFFFF"/>
            <w:tcMar>
              <w:top w:w="15" w:type="dxa"/>
              <w:left w:w="0" w:type="dxa"/>
              <w:bottom w:w="0" w:type="dxa"/>
              <w:right w:w="15" w:type="dxa"/>
            </w:tcMar>
            <w:vAlign w:val="bottom"/>
            <w:hideMark/>
          </w:tcPr>
          <w:p w14:paraId="7094A6B6" w14:textId="77777777" w:rsidR="00000000" w:rsidRDefault="00B8284C">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11CC94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79DE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E59BA42" w14:textId="77777777" w:rsidR="00000000" w:rsidRDefault="00B8284C">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14:paraId="234B1CD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39F2E8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C93F5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F8F08CD"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1D517C6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A1E9D1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7E3AA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C9BE4D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A6E85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52C428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E00DE40"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282" w:type="pct"/>
            <w:shd w:val="clear" w:color="auto" w:fill="FFFFFF"/>
            <w:noWrap/>
            <w:tcMar>
              <w:top w:w="15" w:type="dxa"/>
              <w:left w:w="0" w:type="dxa"/>
              <w:bottom w:w="0" w:type="dxa"/>
              <w:right w:w="15" w:type="dxa"/>
            </w:tcMar>
            <w:vAlign w:val="bottom"/>
            <w:hideMark/>
          </w:tcPr>
          <w:p w14:paraId="025B39B6"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00C1A35C"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51" w:type="pct"/>
            <w:shd w:val="clear" w:color="auto" w:fill="FFFFFF"/>
            <w:tcMar>
              <w:top w:w="15" w:type="dxa"/>
              <w:left w:w="0" w:type="dxa"/>
              <w:bottom w:w="0" w:type="dxa"/>
              <w:right w:w="15" w:type="dxa"/>
            </w:tcMar>
            <w:vAlign w:val="bottom"/>
            <w:hideMark/>
          </w:tcPr>
          <w:p w14:paraId="1FA4A24B"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09F2E59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65FA4F2" w14:textId="77777777" w:rsidR="00000000" w:rsidRDefault="00B8284C">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5E479F2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CB0BAF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0140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214D702" w14:textId="77777777" w:rsidR="00000000" w:rsidRDefault="00B8284C">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74890D0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8C6240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60365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A12A59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676BF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2A6DCD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722D31"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282" w:type="pct"/>
            <w:shd w:val="clear" w:color="auto" w:fill="FFFFFF"/>
            <w:noWrap/>
            <w:tcMar>
              <w:top w:w="15" w:type="dxa"/>
              <w:left w:w="0" w:type="dxa"/>
              <w:bottom w:w="0" w:type="dxa"/>
              <w:right w:w="15" w:type="dxa"/>
            </w:tcMar>
            <w:vAlign w:val="bottom"/>
            <w:hideMark/>
          </w:tcPr>
          <w:p w14:paraId="153CA6E4" w14:textId="77777777" w:rsidR="00000000" w:rsidRDefault="00B8284C">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52DB367E"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5D3A2D3F" w14:textId="77777777" w:rsidR="00000000" w:rsidRDefault="00B8284C">
      <w:pPr>
        <w:pStyle w:val="a3"/>
        <w:spacing w:before="0" w:beforeAutospacing="0" w:after="0" w:afterAutospacing="0"/>
        <w:rPr>
          <w:sz w:val="20"/>
          <w:szCs w:val="20"/>
        </w:rPr>
      </w:pPr>
      <w:r>
        <w:rPr>
          <w:sz w:val="20"/>
          <w:szCs w:val="20"/>
        </w:rPr>
        <w:t> </w:t>
      </w:r>
    </w:p>
    <w:p w14:paraId="1BE6A4B4" w14:textId="77777777" w:rsidR="00000000" w:rsidRDefault="00B8284C">
      <w:pPr>
        <w:pStyle w:val="a3"/>
        <w:spacing w:before="240" w:beforeAutospacing="0" w:after="0" w:afterAutospacing="0"/>
        <w:jc w:val="center"/>
        <w:rPr>
          <w:sz w:val="20"/>
          <w:szCs w:val="20"/>
        </w:rPr>
      </w:pPr>
      <w:r>
        <w:rPr>
          <w:sz w:val="20"/>
          <w:szCs w:val="20"/>
        </w:rPr>
        <w:t>26</w:t>
      </w:r>
    </w:p>
    <w:p w14:paraId="7A49468F" w14:textId="77777777" w:rsidR="00000000" w:rsidRDefault="00B8284C">
      <w:pPr>
        <w:rPr>
          <w:rFonts w:eastAsia="Times New Roman"/>
        </w:rPr>
      </w:pPr>
      <w:r>
        <w:rPr>
          <w:rFonts w:eastAsia="Times New Roman"/>
        </w:rPr>
        <w:pict w14:anchorId="0E25053B">
          <v:rect id="_x0000_i1050" style="width:0;height:1.5pt" o:hralign="center" o:hrstd="t" o:hr="t" fillcolor="#a0a0a0" stroked="f"/>
        </w:pict>
      </w:r>
    </w:p>
    <w:p w14:paraId="6824CC7D" w14:textId="77777777" w:rsidR="00000000" w:rsidRDefault="00B8284C">
      <w:pPr>
        <w:pStyle w:val="a3"/>
        <w:spacing w:before="0" w:beforeAutospacing="0" w:after="0" w:afterAutospacing="0"/>
        <w:rPr>
          <w:sz w:val="20"/>
          <w:szCs w:val="20"/>
        </w:rPr>
      </w:pPr>
      <w:r>
        <w:rPr>
          <w:sz w:val="20"/>
          <w:szCs w:val="20"/>
        </w:rPr>
        <w:t> </w:t>
      </w:r>
    </w:p>
    <w:p w14:paraId="66C5D104" w14:textId="77777777" w:rsidR="00000000" w:rsidRDefault="00B8284C">
      <w:pPr>
        <w:pStyle w:val="a3"/>
        <w:spacing w:before="40" w:beforeAutospacing="0" w:after="0" w:afterAutospacing="0"/>
        <w:ind w:firstLine="556"/>
        <w:rPr>
          <w:sz w:val="20"/>
          <w:szCs w:val="20"/>
        </w:rPr>
      </w:pPr>
      <w:r>
        <w:rPr>
          <w:sz w:val="20"/>
          <w:szCs w:val="20"/>
        </w:rPr>
        <w:t xml:space="preserve">The increase in general and administrative expense for the three and nine month periods ended </w:t>
      </w:r>
      <w:r>
        <w:rPr>
          <w:color w:val="000000"/>
          <w:sz w:val="20"/>
          <w:szCs w:val="20"/>
        </w:rPr>
        <w:t>September 30, 2019</w:t>
      </w:r>
      <w:r>
        <w:rPr>
          <w:sz w:val="20"/>
          <w:szCs w:val="20"/>
        </w:rPr>
        <w:t xml:space="preserve"> compared to the same period in 2018 was primarily due to the following:</w:t>
      </w:r>
    </w:p>
    <w:p w14:paraId="4DF07F16" w14:textId="77777777" w:rsidR="00000000" w:rsidRDefault="00B8284C">
      <w:pPr>
        <w:pStyle w:val="a3"/>
        <w:spacing w:before="0" w:beforeAutospacing="0" w:after="0" w:afterAutospacing="0"/>
        <w:ind w:firstLine="556"/>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8"/>
        <w:gridCol w:w="78"/>
        <w:gridCol w:w="115"/>
        <w:gridCol w:w="815"/>
        <w:gridCol w:w="65"/>
        <w:gridCol w:w="78"/>
        <w:gridCol w:w="115"/>
        <w:gridCol w:w="815"/>
        <w:gridCol w:w="65"/>
      </w:tblGrid>
      <w:tr w:rsidR="00000000" w14:paraId="45C398FC" w14:textId="77777777">
        <w:trPr>
          <w:divId w:val="644244077"/>
        </w:trPr>
        <w:tc>
          <w:tcPr>
            <w:tcW w:w="3176" w:type="pct"/>
            <w:shd w:val="clear" w:color="auto" w:fill="FFFFFF"/>
            <w:tcMar>
              <w:top w:w="15" w:type="dxa"/>
              <w:left w:w="0" w:type="dxa"/>
              <w:bottom w:w="0" w:type="dxa"/>
              <w:right w:w="15" w:type="dxa"/>
            </w:tcMar>
            <w:vAlign w:val="bottom"/>
            <w:hideMark/>
          </w:tcPr>
          <w:p w14:paraId="1E4859C4" w14:textId="77777777" w:rsidR="00000000" w:rsidRDefault="00B8284C">
            <w:pPr>
              <w:pStyle w:val="a3"/>
              <w:spacing w:before="0" w:beforeAutospacing="0" w:after="0" w:afterAutospacing="0"/>
              <w:rPr>
                <w:sz w:val="20"/>
                <w:szCs w:val="20"/>
              </w:rPr>
            </w:pPr>
            <w:r>
              <w:rPr>
                <w:sz w:val="20"/>
                <w:szCs w:val="20"/>
              </w:rPr>
              <w:t> </w:t>
            </w:r>
          </w:p>
        </w:tc>
        <w:tc>
          <w:tcPr>
            <w:tcW w:w="89" w:type="pct"/>
            <w:shd w:val="clear" w:color="auto" w:fill="FFFFFF"/>
            <w:tcMar>
              <w:top w:w="15" w:type="dxa"/>
              <w:left w:w="0" w:type="dxa"/>
              <w:bottom w:w="0" w:type="dxa"/>
              <w:right w:w="15" w:type="dxa"/>
            </w:tcMar>
            <w:vAlign w:val="bottom"/>
            <w:hideMark/>
          </w:tcPr>
          <w:p w14:paraId="58A887D2"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683" w:type="pct"/>
            <w:gridSpan w:val="6"/>
            <w:tcBorders>
              <w:bottom w:val="single" w:sz="6" w:space="0" w:color="000000"/>
            </w:tcBorders>
            <w:shd w:val="clear" w:color="auto" w:fill="FFFFFF"/>
            <w:tcMar>
              <w:top w:w="15" w:type="dxa"/>
              <w:left w:w="0" w:type="dxa"/>
              <w:bottom w:w="0" w:type="dxa"/>
              <w:right w:w="15" w:type="dxa"/>
            </w:tcMar>
            <w:vAlign w:val="bottom"/>
            <w:hideMark/>
          </w:tcPr>
          <w:p w14:paraId="546F786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536ADD9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25041EC" w14:textId="77777777">
        <w:trPr>
          <w:divId w:val="644244077"/>
        </w:trPr>
        <w:tc>
          <w:tcPr>
            <w:tcW w:w="3176" w:type="pct"/>
            <w:shd w:val="clear" w:color="auto" w:fill="FFFFFF"/>
            <w:tcMar>
              <w:top w:w="15" w:type="dxa"/>
              <w:left w:w="0" w:type="dxa"/>
              <w:bottom w:w="0" w:type="dxa"/>
              <w:right w:w="15" w:type="dxa"/>
            </w:tcMar>
            <w:vAlign w:val="bottom"/>
            <w:hideMark/>
          </w:tcPr>
          <w:p w14:paraId="7BD0DF0C"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1709D7F5"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FAE8A9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w:t>
            </w:r>
            <w:r>
              <w:rPr>
                <w:b/>
                <w:bCs/>
                <w:color w:val="000000"/>
                <w:sz w:val="16"/>
                <w:szCs w:val="16"/>
              </w:rPr>
              <w:t>nths</w:t>
            </w:r>
          </w:p>
        </w:tc>
        <w:tc>
          <w:tcPr>
            <w:tcW w:w="50" w:type="pct"/>
            <w:shd w:val="clear" w:color="auto" w:fill="FFFFFF"/>
            <w:noWrap/>
            <w:tcMar>
              <w:top w:w="15" w:type="dxa"/>
              <w:left w:w="0" w:type="dxa"/>
              <w:bottom w:w="0" w:type="dxa"/>
              <w:right w:w="15" w:type="dxa"/>
            </w:tcMar>
            <w:vAlign w:val="bottom"/>
            <w:hideMark/>
          </w:tcPr>
          <w:p w14:paraId="1607089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E04A2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89FC8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tc>
        <w:tc>
          <w:tcPr>
            <w:tcW w:w="50" w:type="pct"/>
            <w:shd w:val="clear" w:color="auto" w:fill="FFFFFF"/>
            <w:noWrap/>
            <w:tcMar>
              <w:top w:w="15" w:type="dxa"/>
              <w:left w:w="0" w:type="dxa"/>
              <w:bottom w:w="0" w:type="dxa"/>
              <w:right w:w="15" w:type="dxa"/>
            </w:tcMar>
            <w:vAlign w:val="bottom"/>
            <w:hideMark/>
          </w:tcPr>
          <w:p w14:paraId="19A9CDF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8DE0F14" w14:textId="77777777">
        <w:trPr>
          <w:divId w:val="644244077"/>
        </w:trPr>
        <w:tc>
          <w:tcPr>
            <w:tcW w:w="3176" w:type="pct"/>
            <w:shd w:val="clear" w:color="auto" w:fill="FFFFFF"/>
            <w:tcMar>
              <w:top w:w="15" w:type="dxa"/>
              <w:left w:w="0" w:type="dxa"/>
              <w:bottom w:w="0" w:type="dxa"/>
              <w:right w:w="15" w:type="dxa"/>
            </w:tcMar>
            <w:vAlign w:val="bottom"/>
            <w:hideMark/>
          </w:tcPr>
          <w:p w14:paraId="7BFDBA7F"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4FE88A1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683" w:type="pct"/>
            <w:gridSpan w:val="6"/>
            <w:tcBorders>
              <w:top w:val="single" w:sz="6" w:space="0" w:color="000000"/>
            </w:tcBorders>
            <w:shd w:val="clear" w:color="auto" w:fill="FFFFFF"/>
            <w:tcMar>
              <w:top w:w="15" w:type="dxa"/>
              <w:left w:w="0" w:type="dxa"/>
              <w:bottom w:w="0" w:type="dxa"/>
              <w:right w:w="15" w:type="dxa"/>
            </w:tcMar>
            <w:vAlign w:val="bottom"/>
            <w:hideMark/>
          </w:tcPr>
          <w:p w14:paraId="2706097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DA6F3A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A338359" w14:textId="77777777">
        <w:trPr>
          <w:divId w:val="644244077"/>
        </w:trPr>
        <w:tc>
          <w:tcPr>
            <w:tcW w:w="3176" w:type="pct"/>
            <w:shd w:val="clear" w:color="auto" w:fill="CFF0FC"/>
            <w:tcMar>
              <w:top w:w="15" w:type="dxa"/>
              <w:left w:w="0" w:type="dxa"/>
              <w:bottom w:w="0" w:type="dxa"/>
              <w:right w:w="15" w:type="dxa"/>
            </w:tcMar>
            <w:vAlign w:val="bottom"/>
            <w:hideMark/>
          </w:tcPr>
          <w:p w14:paraId="79F5620E" w14:textId="77777777" w:rsidR="00000000" w:rsidRDefault="00B8284C">
            <w:pPr>
              <w:pStyle w:val="a3"/>
              <w:spacing w:before="0" w:beforeAutospacing="0" w:after="0" w:afterAutospacing="0"/>
              <w:rPr>
                <w:color w:val="000000"/>
                <w:sz w:val="20"/>
                <w:szCs w:val="20"/>
              </w:rPr>
            </w:pPr>
            <w:r>
              <w:rPr>
                <w:color w:val="000000"/>
                <w:sz w:val="20"/>
                <w:szCs w:val="20"/>
              </w:rPr>
              <w:t>Employee-related costs</w:t>
            </w:r>
          </w:p>
        </w:tc>
        <w:tc>
          <w:tcPr>
            <w:tcW w:w="89" w:type="pct"/>
            <w:shd w:val="clear" w:color="auto" w:fill="CFF0FC"/>
            <w:tcMar>
              <w:top w:w="15" w:type="dxa"/>
              <w:left w:w="0" w:type="dxa"/>
              <w:bottom w:w="0" w:type="dxa"/>
              <w:right w:w="15" w:type="dxa"/>
            </w:tcMar>
            <w:vAlign w:val="bottom"/>
            <w:hideMark/>
          </w:tcPr>
          <w:p w14:paraId="55BFB39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596F1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20087B69" w14:textId="77777777" w:rsidR="00000000" w:rsidRDefault="00B8284C">
            <w:pPr>
              <w:pStyle w:val="a3"/>
              <w:spacing w:before="0" w:beforeAutospacing="0" w:after="0" w:afterAutospacing="0"/>
              <w:jc w:val="right"/>
              <w:rPr>
                <w:color w:val="000000"/>
                <w:sz w:val="20"/>
                <w:szCs w:val="20"/>
              </w:rPr>
            </w:pPr>
            <w:r>
              <w:rPr>
                <w:color w:val="000000"/>
                <w:sz w:val="20"/>
                <w:szCs w:val="20"/>
              </w:rPr>
              <w:t>2,898</w:t>
            </w:r>
          </w:p>
        </w:tc>
        <w:tc>
          <w:tcPr>
            <w:tcW w:w="50" w:type="pct"/>
            <w:shd w:val="clear" w:color="auto" w:fill="CFF0FC"/>
            <w:noWrap/>
            <w:tcMar>
              <w:top w:w="15" w:type="dxa"/>
              <w:left w:w="0" w:type="dxa"/>
              <w:bottom w:w="0" w:type="dxa"/>
              <w:right w:w="15" w:type="dxa"/>
            </w:tcMar>
            <w:vAlign w:val="bottom"/>
            <w:hideMark/>
          </w:tcPr>
          <w:p w14:paraId="007336C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5F0821C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6052B8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1F62F976" w14:textId="77777777" w:rsidR="00000000" w:rsidRDefault="00B8284C">
            <w:pPr>
              <w:pStyle w:val="a3"/>
              <w:spacing w:before="0" w:beforeAutospacing="0" w:after="0" w:afterAutospacing="0"/>
              <w:jc w:val="right"/>
              <w:rPr>
                <w:color w:val="000000"/>
                <w:sz w:val="20"/>
                <w:szCs w:val="20"/>
              </w:rPr>
            </w:pPr>
            <w:r>
              <w:rPr>
                <w:color w:val="000000"/>
                <w:sz w:val="20"/>
                <w:szCs w:val="20"/>
              </w:rPr>
              <w:t>9,487</w:t>
            </w:r>
          </w:p>
        </w:tc>
        <w:tc>
          <w:tcPr>
            <w:tcW w:w="50" w:type="pct"/>
            <w:shd w:val="clear" w:color="auto" w:fill="CFF0FC"/>
            <w:noWrap/>
            <w:tcMar>
              <w:top w:w="15" w:type="dxa"/>
              <w:left w:w="0" w:type="dxa"/>
              <w:bottom w:w="0" w:type="dxa"/>
              <w:right w:w="15" w:type="dxa"/>
            </w:tcMar>
            <w:vAlign w:val="bottom"/>
            <w:hideMark/>
          </w:tcPr>
          <w:p w14:paraId="3308F88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556F4666" w14:textId="77777777">
        <w:trPr>
          <w:divId w:val="644244077"/>
        </w:trPr>
        <w:tc>
          <w:tcPr>
            <w:tcW w:w="3176" w:type="pct"/>
            <w:shd w:val="clear" w:color="auto" w:fill="FFFFFF"/>
            <w:tcMar>
              <w:top w:w="15" w:type="dxa"/>
              <w:left w:w="0" w:type="dxa"/>
              <w:bottom w:w="0" w:type="dxa"/>
              <w:right w:w="15" w:type="dxa"/>
            </w:tcMar>
            <w:vAlign w:val="bottom"/>
            <w:hideMark/>
          </w:tcPr>
          <w:p w14:paraId="2542D689" w14:textId="77777777" w:rsidR="00000000" w:rsidRDefault="00B8284C">
            <w:pPr>
              <w:pStyle w:val="a3"/>
              <w:spacing w:before="0" w:beforeAutospacing="0" w:after="0" w:afterAutospacing="0"/>
              <w:rPr>
                <w:color w:val="000000"/>
                <w:sz w:val="20"/>
                <w:szCs w:val="20"/>
              </w:rPr>
            </w:pPr>
            <w:r>
              <w:rPr>
                <w:color w:val="000000"/>
                <w:sz w:val="20"/>
                <w:szCs w:val="20"/>
              </w:rPr>
              <w:t>Customer credit card fees</w:t>
            </w:r>
          </w:p>
        </w:tc>
        <w:tc>
          <w:tcPr>
            <w:tcW w:w="89" w:type="pct"/>
            <w:shd w:val="clear" w:color="auto" w:fill="FFFFFF"/>
            <w:tcMar>
              <w:top w:w="15" w:type="dxa"/>
              <w:left w:w="0" w:type="dxa"/>
              <w:bottom w:w="0" w:type="dxa"/>
              <w:right w:w="15" w:type="dxa"/>
            </w:tcMar>
            <w:vAlign w:val="bottom"/>
            <w:hideMark/>
          </w:tcPr>
          <w:p w14:paraId="102CFA2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85360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1975B908" w14:textId="77777777" w:rsidR="00000000" w:rsidRDefault="00B8284C">
            <w:pPr>
              <w:pStyle w:val="a3"/>
              <w:spacing w:before="0" w:beforeAutospacing="0" w:after="0" w:afterAutospacing="0"/>
              <w:jc w:val="right"/>
              <w:rPr>
                <w:color w:val="000000"/>
                <w:sz w:val="20"/>
                <w:szCs w:val="20"/>
              </w:rPr>
            </w:pPr>
            <w:r>
              <w:rPr>
                <w:color w:val="000000"/>
                <w:sz w:val="20"/>
                <w:szCs w:val="20"/>
              </w:rPr>
              <w:t>686</w:t>
            </w:r>
          </w:p>
        </w:tc>
        <w:tc>
          <w:tcPr>
            <w:tcW w:w="50" w:type="pct"/>
            <w:shd w:val="clear" w:color="auto" w:fill="FFFFFF"/>
            <w:noWrap/>
            <w:tcMar>
              <w:top w:w="15" w:type="dxa"/>
              <w:left w:w="0" w:type="dxa"/>
              <w:bottom w:w="0" w:type="dxa"/>
              <w:right w:w="15" w:type="dxa"/>
            </w:tcMar>
            <w:vAlign w:val="bottom"/>
            <w:hideMark/>
          </w:tcPr>
          <w:p w14:paraId="544814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6C3E3C8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AA61B3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416E9167" w14:textId="77777777" w:rsidR="00000000" w:rsidRDefault="00B8284C">
            <w:pPr>
              <w:pStyle w:val="a3"/>
              <w:spacing w:before="0" w:beforeAutospacing="0" w:after="0" w:afterAutospacing="0"/>
              <w:jc w:val="right"/>
              <w:rPr>
                <w:color w:val="000000"/>
                <w:sz w:val="20"/>
                <w:szCs w:val="20"/>
              </w:rPr>
            </w:pPr>
            <w:r>
              <w:rPr>
                <w:color w:val="000000"/>
                <w:sz w:val="20"/>
                <w:szCs w:val="20"/>
              </w:rPr>
              <w:t>2,177</w:t>
            </w:r>
          </w:p>
        </w:tc>
        <w:tc>
          <w:tcPr>
            <w:tcW w:w="50" w:type="pct"/>
            <w:shd w:val="clear" w:color="auto" w:fill="FFFFFF"/>
            <w:noWrap/>
            <w:tcMar>
              <w:top w:w="15" w:type="dxa"/>
              <w:left w:w="0" w:type="dxa"/>
              <w:bottom w:w="0" w:type="dxa"/>
              <w:right w:w="15" w:type="dxa"/>
            </w:tcMar>
            <w:vAlign w:val="bottom"/>
            <w:hideMark/>
          </w:tcPr>
          <w:p w14:paraId="49CCEB6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D61E1E2" w14:textId="77777777">
        <w:trPr>
          <w:divId w:val="644244077"/>
        </w:trPr>
        <w:tc>
          <w:tcPr>
            <w:tcW w:w="3176" w:type="pct"/>
            <w:shd w:val="clear" w:color="auto" w:fill="CFF0FC"/>
            <w:tcMar>
              <w:top w:w="15" w:type="dxa"/>
              <w:left w:w="0" w:type="dxa"/>
              <w:bottom w:w="0" w:type="dxa"/>
              <w:right w:w="15" w:type="dxa"/>
            </w:tcMar>
            <w:vAlign w:val="bottom"/>
            <w:hideMark/>
          </w:tcPr>
          <w:p w14:paraId="28ECA68D" w14:textId="77777777" w:rsidR="00000000" w:rsidRDefault="00B8284C">
            <w:pPr>
              <w:pStyle w:val="a3"/>
              <w:spacing w:before="0" w:beforeAutospacing="0" w:after="0" w:afterAutospacing="0"/>
              <w:rPr>
                <w:color w:val="000000"/>
                <w:sz w:val="20"/>
                <w:szCs w:val="20"/>
              </w:rPr>
            </w:pPr>
            <w:r>
              <w:rPr>
                <w:color w:val="000000"/>
                <w:sz w:val="20"/>
                <w:szCs w:val="20"/>
              </w:rPr>
              <w:t>Allocated overhead expenses</w:t>
            </w:r>
          </w:p>
        </w:tc>
        <w:tc>
          <w:tcPr>
            <w:tcW w:w="89" w:type="pct"/>
            <w:shd w:val="clear" w:color="auto" w:fill="CFF0FC"/>
            <w:tcMar>
              <w:top w:w="15" w:type="dxa"/>
              <w:left w:w="0" w:type="dxa"/>
              <w:bottom w:w="0" w:type="dxa"/>
              <w:right w:w="15" w:type="dxa"/>
            </w:tcMar>
            <w:vAlign w:val="bottom"/>
            <w:hideMark/>
          </w:tcPr>
          <w:p w14:paraId="19BE2D7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FE3EC1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55E482AC" w14:textId="77777777" w:rsidR="00000000" w:rsidRDefault="00B8284C">
            <w:pPr>
              <w:pStyle w:val="a3"/>
              <w:spacing w:before="0" w:beforeAutospacing="0" w:after="0" w:afterAutospacing="0"/>
              <w:jc w:val="right"/>
              <w:rPr>
                <w:color w:val="000000"/>
                <w:sz w:val="20"/>
                <w:szCs w:val="20"/>
              </w:rPr>
            </w:pPr>
            <w:r>
              <w:rPr>
                <w:color w:val="000000"/>
                <w:sz w:val="20"/>
                <w:szCs w:val="20"/>
              </w:rPr>
              <w:t>659</w:t>
            </w:r>
          </w:p>
        </w:tc>
        <w:tc>
          <w:tcPr>
            <w:tcW w:w="50" w:type="pct"/>
            <w:shd w:val="clear" w:color="auto" w:fill="CFF0FC"/>
            <w:noWrap/>
            <w:tcMar>
              <w:top w:w="15" w:type="dxa"/>
              <w:left w:w="0" w:type="dxa"/>
              <w:bottom w:w="0" w:type="dxa"/>
              <w:right w:w="15" w:type="dxa"/>
            </w:tcMar>
            <w:vAlign w:val="bottom"/>
            <w:hideMark/>
          </w:tcPr>
          <w:p w14:paraId="3A75DE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56DDCCF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0D2B4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1240F1F9" w14:textId="77777777" w:rsidR="00000000" w:rsidRDefault="00B8284C">
            <w:pPr>
              <w:pStyle w:val="a3"/>
              <w:spacing w:before="0" w:beforeAutospacing="0" w:after="0" w:afterAutospacing="0"/>
              <w:jc w:val="right"/>
              <w:rPr>
                <w:color w:val="000000"/>
                <w:sz w:val="20"/>
                <w:szCs w:val="20"/>
              </w:rPr>
            </w:pPr>
            <w:r>
              <w:rPr>
                <w:color w:val="000000"/>
                <w:sz w:val="20"/>
                <w:szCs w:val="20"/>
              </w:rPr>
              <w:t>1,804</w:t>
            </w:r>
          </w:p>
        </w:tc>
        <w:tc>
          <w:tcPr>
            <w:tcW w:w="50" w:type="pct"/>
            <w:shd w:val="clear" w:color="auto" w:fill="CFF0FC"/>
            <w:noWrap/>
            <w:tcMar>
              <w:top w:w="15" w:type="dxa"/>
              <w:left w:w="0" w:type="dxa"/>
              <w:bottom w:w="0" w:type="dxa"/>
              <w:right w:w="15" w:type="dxa"/>
            </w:tcMar>
            <w:vAlign w:val="bottom"/>
            <w:hideMark/>
          </w:tcPr>
          <w:p w14:paraId="608F8804"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69BF77E6" w14:textId="77777777">
        <w:trPr>
          <w:divId w:val="644244077"/>
        </w:trPr>
        <w:tc>
          <w:tcPr>
            <w:tcW w:w="3176" w:type="pct"/>
            <w:shd w:val="clear" w:color="auto" w:fill="FFFFFF"/>
            <w:tcMar>
              <w:top w:w="15" w:type="dxa"/>
              <w:left w:w="0" w:type="dxa"/>
              <w:bottom w:w="0" w:type="dxa"/>
              <w:right w:w="15" w:type="dxa"/>
            </w:tcMar>
            <w:vAlign w:val="bottom"/>
            <w:hideMark/>
          </w:tcPr>
          <w:p w14:paraId="2F23928A"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9" w:type="pct"/>
            <w:shd w:val="clear" w:color="auto" w:fill="FFFFFF"/>
            <w:tcMar>
              <w:top w:w="15" w:type="dxa"/>
              <w:left w:w="0" w:type="dxa"/>
              <w:bottom w:w="0" w:type="dxa"/>
              <w:right w:w="15" w:type="dxa"/>
            </w:tcMar>
            <w:vAlign w:val="bottom"/>
            <w:hideMark/>
          </w:tcPr>
          <w:p w14:paraId="02B9804B"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7B6DA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2A6030" w14:textId="77777777" w:rsidR="00000000" w:rsidRDefault="00B8284C">
            <w:pPr>
              <w:pStyle w:val="a3"/>
              <w:spacing w:before="0" w:beforeAutospacing="0" w:after="0" w:afterAutospacing="0"/>
              <w:jc w:val="right"/>
              <w:rPr>
                <w:color w:val="000000"/>
                <w:sz w:val="20"/>
                <w:szCs w:val="20"/>
              </w:rPr>
            </w:pPr>
            <w:r>
              <w:rPr>
                <w:color w:val="000000"/>
                <w:sz w:val="20"/>
                <w:szCs w:val="20"/>
              </w:rPr>
              <w:t>4,243</w:t>
            </w:r>
          </w:p>
        </w:tc>
        <w:tc>
          <w:tcPr>
            <w:tcW w:w="50" w:type="pct"/>
            <w:shd w:val="clear" w:color="auto" w:fill="FFFFFF"/>
            <w:noWrap/>
            <w:tcMar>
              <w:top w:w="15" w:type="dxa"/>
              <w:left w:w="0" w:type="dxa"/>
              <w:bottom w:w="0" w:type="dxa"/>
              <w:right w:w="15" w:type="dxa"/>
            </w:tcMar>
            <w:vAlign w:val="bottom"/>
            <w:hideMark/>
          </w:tcPr>
          <w:p w14:paraId="4FB8C4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7E5B9732"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C4430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4CA36E" w14:textId="77777777" w:rsidR="00000000" w:rsidRDefault="00B8284C">
            <w:pPr>
              <w:pStyle w:val="a3"/>
              <w:spacing w:before="0" w:beforeAutospacing="0" w:after="0" w:afterAutospacing="0"/>
              <w:jc w:val="right"/>
              <w:rPr>
                <w:color w:val="000000"/>
                <w:sz w:val="20"/>
                <w:szCs w:val="20"/>
              </w:rPr>
            </w:pPr>
            <w:r>
              <w:rPr>
                <w:color w:val="000000"/>
                <w:sz w:val="20"/>
                <w:szCs w:val="20"/>
              </w:rPr>
              <w:t>13,468</w:t>
            </w:r>
          </w:p>
        </w:tc>
        <w:tc>
          <w:tcPr>
            <w:tcW w:w="50" w:type="pct"/>
            <w:shd w:val="clear" w:color="auto" w:fill="FFFFFF"/>
            <w:noWrap/>
            <w:tcMar>
              <w:top w:w="15" w:type="dxa"/>
              <w:left w:w="0" w:type="dxa"/>
              <w:bottom w:w="0" w:type="dxa"/>
              <w:right w:w="15" w:type="dxa"/>
            </w:tcMar>
            <w:vAlign w:val="bottom"/>
            <w:hideMark/>
          </w:tcPr>
          <w:p w14:paraId="7526BA21"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7167B2C1" w14:textId="77777777" w:rsidR="00000000" w:rsidRDefault="00B8284C">
      <w:pPr>
        <w:pStyle w:val="a3"/>
        <w:spacing w:before="0" w:beforeAutospacing="0" w:after="0" w:afterAutospacing="0"/>
        <w:ind w:firstLine="556"/>
        <w:rPr>
          <w:sz w:val="20"/>
          <w:szCs w:val="20"/>
        </w:rPr>
      </w:pPr>
      <w:r>
        <w:rPr>
          <w:sz w:val="20"/>
          <w:szCs w:val="20"/>
        </w:rPr>
        <w:t> </w:t>
      </w:r>
    </w:p>
    <w:p w14:paraId="32418E26"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Three month change </w:t>
      </w:r>
    </w:p>
    <w:p w14:paraId="17F72159" w14:textId="77777777" w:rsidR="00000000" w:rsidRDefault="00B8284C">
      <w:pPr>
        <w:pStyle w:val="a3"/>
        <w:spacing w:before="0" w:beforeAutospacing="0" w:after="0" w:afterAutospacing="0"/>
        <w:rPr>
          <w:sz w:val="12"/>
          <w:szCs w:val="12"/>
        </w:rPr>
      </w:pPr>
      <w:r>
        <w:rPr>
          <w:sz w:val="12"/>
          <w:szCs w:val="12"/>
        </w:rPr>
        <w:t> </w:t>
      </w:r>
    </w:p>
    <w:p w14:paraId="7EC70921" w14:textId="77777777" w:rsidR="00000000" w:rsidRDefault="00B8284C">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headcount as we continue to grow our business and require additional personnel to support our expanded operations. Customer credit card fees increased due to increased customer</w:t>
      </w:r>
      <w:r>
        <w:rPr>
          <w:color w:val="000000"/>
          <w:sz w:val="20"/>
          <w:szCs w:val="20"/>
        </w:rPr>
        <w:t xml:space="preserve"> transactions as we continue to grow our business. Allocated overhead expenses increased due to expanding our leased space and infrastructure as we continue to grow our business and expand headcount. </w:t>
      </w:r>
    </w:p>
    <w:p w14:paraId="34B620DD" w14:textId="77777777" w:rsidR="00000000" w:rsidRDefault="00B8284C">
      <w:pPr>
        <w:pStyle w:val="a3"/>
        <w:spacing w:before="0" w:beforeAutospacing="0" w:after="0" w:afterAutospacing="0"/>
        <w:ind w:firstLine="556"/>
        <w:rPr>
          <w:sz w:val="20"/>
          <w:szCs w:val="20"/>
        </w:rPr>
      </w:pPr>
      <w:r>
        <w:rPr>
          <w:sz w:val="20"/>
          <w:szCs w:val="20"/>
        </w:rPr>
        <w:t> </w:t>
      </w:r>
    </w:p>
    <w:p w14:paraId="4A178B16" w14:textId="77777777" w:rsidR="00000000" w:rsidRDefault="00B8284C">
      <w:pPr>
        <w:pStyle w:val="a3"/>
        <w:spacing w:before="160" w:beforeAutospacing="0" w:after="0" w:afterAutospacing="0"/>
        <w:ind w:firstLine="556"/>
        <w:rPr>
          <w:i/>
          <w:iCs/>
          <w:sz w:val="20"/>
          <w:szCs w:val="20"/>
        </w:rPr>
      </w:pPr>
      <w:r>
        <w:rPr>
          <w:i/>
          <w:iCs/>
          <w:sz w:val="20"/>
          <w:szCs w:val="20"/>
          <w:u w:val="single"/>
        </w:rPr>
        <w:t xml:space="preserve">Nine month change </w:t>
      </w:r>
    </w:p>
    <w:p w14:paraId="043FABCE" w14:textId="77777777" w:rsidR="00000000" w:rsidRDefault="00B8284C">
      <w:pPr>
        <w:pStyle w:val="a3"/>
        <w:spacing w:before="0" w:beforeAutospacing="0" w:after="0" w:afterAutospacing="0"/>
        <w:rPr>
          <w:sz w:val="12"/>
          <w:szCs w:val="12"/>
        </w:rPr>
      </w:pPr>
      <w:r>
        <w:rPr>
          <w:sz w:val="12"/>
          <w:szCs w:val="12"/>
        </w:rPr>
        <w:t> </w:t>
      </w:r>
    </w:p>
    <w:p w14:paraId="19AEA507" w14:textId="77777777" w:rsidR="00000000" w:rsidRDefault="00B8284C">
      <w:pPr>
        <w:pStyle w:val="a3"/>
        <w:spacing w:before="0" w:beforeAutospacing="0" w:after="0" w:afterAutospacing="0"/>
        <w:ind w:firstLine="556"/>
        <w:rPr>
          <w:color w:val="000000"/>
          <w:sz w:val="20"/>
          <w:szCs w:val="20"/>
        </w:rPr>
      </w:pPr>
      <w:r>
        <w:rPr>
          <w:color w:val="000000"/>
          <w:sz w:val="20"/>
          <w:szCs w:val="20"/>
        </w:rPr>
        <w:t>Employee-related costs increased</w:t>
      </w:r>
      <w:r>
        <w:rPr>
          <w:color w:val="000000"/>
          <w:sz w:val="20"/>
          <w:szCs w:val="20"/>
        </w:rPr>
        <w:t xml:space="preserve"> as a result of increased headcount as we continue to grow our business and require additional personnel to support our expanded operations. Customer credit card fees increased due to increased customer transactions as we continue to grow our business. All</w:t>
      </w:r>
      <w:r>
        <w:rPr>
          <w:color w:val="000000"/>
          <w:sz w:val="20"/>
          <w:szCs w:val="20"/>
        </w:rPr>
        <w:t xml:space="preserve">ocated overhead expenses increased due to expanding our leased space and infrastructure as we continue to grow our business and expand headcount. </w:t>
      </w:r>
    </w:p>
    <w:p w14:paraId="5BFDB0F1" w14:textId="77777777" w:rsidR="00000000" w:rsidRDefault="00B8284C">
      <w:pPr>
        <w:pStyle w:val="a3"/>
        <w:spacing w:before="0" w:beforeAutospacing="0" w:after="0" w:afterAutospacing="0"/>
        <w:ind w:firstLine="556"/>
        <w:rPr>
          <w:sz w:val="18"/>
          <w:szCs w:val="18"/>
        </w:rPr>
      </w:pPr>
      <w:r>
        <w:rPr>
          <w:sz w:val="18"/>
          <w:szCs w:val="18"/>
        </w:rPr>
        <w:t> </w:t>
      </w:r>
    </w:p>
    <w:p w14:paraId="2E79FE9E" w14:textId="77777777" w:rsidR="00000000" w:rsidRDefault="00B8284C">
      <w:pPr>
        <w:pStyle w:val="a3"/>
        <w:spacing w:before="0" w:beforeAutospacing="0" w:after="0" w:afterAutospacing="0"/>
        <w:ind w:firstLine="556"/>
        <w:rPr>
          <w:b/>
          <w:bCs/>
          <w:sz w:val="18"/>
          <w:szCs w:val="18"/>
        </w:rPr>
      </w:pPr>
      <w:r>
        <w:rPr>
          <w:b/>
          <w:bCs/>
          <w:sz w:val="18"/>
          <w:szCs w:val="18"/>
        </w:rPr>
        <w:t> </w:t>
      </w:r>
    </w:p>
    <w:p w14:paraId="1929D0E9" w14:textId="77777777" w:rsidR="00000000" w:rsidRDefault="00B8284C">
      <w:pPr>
        <w:pStyle w:val="a3"/>
        <w:spacing w:before="0" w:beforeAutospacing="0" w:after="0" w:afterAutospacing="0"/>
        <w:ind w:firstLine="556"/>
        <w:rPr>
          <w:b/>
          <w:bCs/>
          <w:i/>
          <w:iCs/>
          <w:sz w:val="20"/>
          <w:szCs w:val="20"/>
        </w:rPr>
      </w:pPr>
      <w:r>
        <w:rPr>
          <w:b/>
          <w:bCs/>
          <w:i/>
          <w:iCs/>
          <w:sz w:val="20"/>
          <w:szCs w:val="20"/>
        </w:rPr>
        <w:t>Other expense</w:t>
      </w:r>
    </w:p>
    <w:p w14:paraId="7440487E"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7"/>
        <w:gridCol w:w="480"/>
        <w:gridCol w:w="36"/>
        <w:gridCol w:w="65"/>
        <w:gridCol w:w="115"/>
        <w:gridCol w:w="532"/>
        <w:gridCol w:w="249"/>
        <w:gridCol w:w="65"/>
        <w:gridCol w:w="115"/>
        <w:gridCol w:w="532"/>
        <w:gridCol w:w="249"/>
        <w:gridCol w:w="65"/>
        <w:gridCol w:w="116"/>
        <w:gridCol w:w="560"/>
        <w:gridCol w:w="82"/>
        <w:gridCol w:w="65"/>
        <w:gridCol w:w="111"/>
        <w:gridCol w:w="625"/>
        <w:gridCol w:w="182"/>
        <w:gridCol w:w="65"/>
        <w:gridCol w:w="115"/>
        <w:gridCol w:w="632"/>
        <w:gridCol w:w="249"/>
        <w:gridCol w:w="65"/>
        <w:gridCol w:w="115"/>
        <w:gridCol w:w="632"/>
        <w:gridCol w:w="249"/>
        <w:gridCol w:w="65"/>
        <w:gridCol w:w="116"/>
        <w:gridCol w:w="560"/>
        <w:gridCol w:w="82"/>
        <w:gridCol w:w="65"/>
        <w:gridCol w:w="111"/>
        <w:gridCol w:w="625"/>
        <w:gridCol w:w="249"/>
      </w:tblGrid>
      <w:tr w:rsidR="00000000" w14:paraId="3B326361" w14:textId="77777777">
        <w:trPr>
          <w:divId w:val="2075617467"/>
        </w:trPr>
        <w:tc>
          <w:tcPr>
            <w:tcW w:w="1526" w:type="pct"/>
            <w:gridSpan w:val="3"/>
            <w:shd w:val="clear" w:color="auto" w:fill="FFFFFF"/>
            <w:tcMar>
              <w:top w:w="15" w:type="dxa"/>
              <w:left w:w="0" w:type="dxa"/>
              <w:bottom w:w="0" w:type="dxa"/>
              <w:right w:w="15" w:type="dxa"/>
            </w:tcMar>
            <w:vAlign w:val="bottom"/>
            <w:hideMark/>
          </w:tcPr>
          <w:p w14:paraId="6129FF69" w14:textId="77777777" w:rsidR="00000000" w:rsidRDefault="00B8284C">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23383FE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FF7615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105D64A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69EC0B2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F759E6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E49D1B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70FE671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AC4C31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97CB04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F828D4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2E7374B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E51CE6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368F0AF"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2BE62F2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38ACEE1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w:t>
            </w: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14:paraId="5D370E9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438C5E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10DD89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7B3BA56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A4513E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71909F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69F1C8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0116F0F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826FFDB"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13309BB" w14:textId="77777777">
        <w:trPr>
          <w:divId w:val="2075617467"/>
        </w:trPr>
        <w:tc>
          <w:tcPr>
            <w:tcW w:w="1526" w:type="pct"/>
            <w:gridSpan w:val="3"/>
            <w:tcBorders>
              <w:bottom w:val="single" w:sz="6" w:space="0" w:color="000000"/>
            </w:tcBorders>
            <w:shd w:val="clear" w:color="auto" w:fill="FFFFFF"/>
            <w:tcMar>
              <w:top w:w="15" w:type="dxa"/>
              <w:left w:w="0" w:type="dxa"/>
              <w:bottom w:w="0" w:type="dxa"/>
              <w:right w:w="15" w:type="dxa"/>
            </w:tcMar>
            <w:vAlign w:val="bottom"/>
            <w:hideMark/>
          </w:tcPr>
          <w:p w14:paraId="171B57FB" w14:textId="77777777" w:rsidR="00000000" w:rsidRDefault="00B8284C">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0F0B069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0775A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A38D84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71CF56B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3DB83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CD0EFD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68D1CF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E9CE2E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33B9BA7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7326AE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643CD2D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0C70C27F"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5CE22D72" w14:textId="77777777" w:rsidR="00000000" w:rsidRDefault="00B8284C">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F647C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22D780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0563C99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388BA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452668C"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83503B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4DD65A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7C921C3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C50AA8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DAA69A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5DA36A54"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B8284C" w14:paraId="2FBCEF01" w14:textId="77777777">
        <w:trPr>
          <w:divId w:val="2075617467"/>
        </w:trPr>
        <w:tc>
          <w:tcPr>
            <w:tcW w:w="1526" w:type="pct"/>
            <w:gridSpan w:val="3"/>
            <w:tcBorders>
              <w:top w:val="single" w:sz="6" w:space="0" w:color="000000"/>
            </w:tcBorders>
            <w:shd w:val="clear" w:color="auto" w:fill="CFF0FC"/>
            <w:tcMar>
              <w:top w:w="15" w:type="dxa"/>
              <w:left w:w="0" w:type="dxa"/>
              <w:bottom w:w="0" w:type="dxa"/>
              <w:right w:w="15" w:type="dxa"/>
            </w:tcMar>
            <w:vAlign w:val="bottom"/>
            <w:hideMark/>
          </w:tcPr>
          <w:p w14:paraId="7E093661" w14:textId="77777777" w:rsidR="00000000" w:rsidRDefault="00B8284C">
            <w:pPr>
              <w:pStyle w:val="a3"/>
              <w:spacing w:before="0" w:beforeAutospacing="0" w:after="0" w:afterAutospacing="0"/>
              <w:rPr>
                <w:color w:val="000000"/>
                <w:sz w:val="20"/>
                <w:szCs w:val="20"/>
              </w:rPr>
            </w:pPr>
            <w:r>
              <w:rPr>
                <w:color w:val="000000"/>
                <w:sz w:val="20"/>
                <w:szCs w:val="20"/>
              </w:rPr>
              <w:t>Interest income</w:t>
            </w:r>
          </w:p>
        </w:tc>
        <w:tc>
          <w:tcPr>
            <w:tcW w:w="51" w:type="pct"/>
            <w:shd w:val="clear" w:color="auto" w:fill="CFF0FC"/>
            <w:tcMar>
              <w:top w:w="15" w:type="dxa"/>
              <w:left w:w="0" w:type="dxa"/>
              <w:bottom w:w="0" w:type="dxa"/>
              <w:right w:w="15" w:type="dxa"/>
            </w:tcMar>
            <w:vAlign w:val="bottom"/>
            <w:hideMark/>
          </w:tcPr>
          <w:p w14:paraId="4278133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385CEB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F5822FE" w14:textId="77777777" w:rsidR="00000000" w:rsidRDefault="00B8284C">
            <w:pPr>
              <w:pStyle w:val="a3"/>
              <w:spacing w:before="0" w:beforeAutospacing="0" w:after="0" w:afterAutospacing="0"/>
              <w:jc w:val="right"/>
              <w:rPr>
                <w:color w:val="000000"/>
                <w:sz w:val="20"/>
                <w:szCs w:val="20"/>
              </w:rPr>
            </w:pPr>
            <w:r>
              <w:rPr>
                <w:color w:val="000000"/>
                <w:sz w:val="20"/>
                <w:szCs w:val="20"/>
              </w:rPr>
              <w:t>5,185</w:t>
            </w:r>
          </w:p>
        </w:tc>
        <w:tc>
          <w:tcPr>
            <w:tcW w:w="50" w:type="pct"/>
            <w:shd w:val="clear" w:color="auto" w:fill="CFF0FC"/>
            <w:noWrap/>
            <w:tcMar>
              <w:top w:w="15" w:type="dxa"/>
              <w:left w:w="0" w:type="dxa"/>
              <w:bottom w:w="0" w:type="dxa"/>
              <w:right w:w="15" w:type="dxa"/>
            </w:tcMar>
            <w:vAlign w:val="bottom"/>
            <w:hideMark/>
          </w:tcPr>
          <w:p w14:paraId="43431BF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094238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23BB3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BD34B7C" w14:textId="77777777" w:rsidR="00000000" w:rsidRDefault="00B8284C">
            <w:pPr>
              <w:pStyle w:val="a3"/>
              <w:spacing w:before="0" w:beforeAutospacing="0" w:after="0" w:afterAutospacing="0"/>
              <w:jc w:val="right"/>
              <w:rPr>
                <w:color w:val="000000"/>
                <w:sz w:val="20"/>
                <w:szCs w:val="20"/>
              </w:rPr>
            </w:pPr>
            <w:r>
              <w:rPr>
                <w:color w:val="000000"/>
                <w:sz w:val="20"/>
                <w:szCs w:val="20"/>
              </w:rPr>
              <w:t>2,416</w:t>
            </w:r>
          </w:p>
        </w:tc>
        <w:tc>
          <w:tcPr>
            <w:tcW w:w="50" w:type="pct"/>
            <w:shd w:val="clear" w:color="auto" w:fill="CFF0FC"/>
            <w:noWrap/>
            <w:tcMar>
              <w:top w:w="15" w:type="dxa"/>
              <w:left w:w="0" w:type="dxa"/>
              <w:bottom w:w="0" w:type="dxa"/>
              <w:right w:w="15" w:type="dxa"/>
            </w:tcMar>
            <w:vAlign w:val="bottom"/>
            <w:hideMark/>
          </w:tcPr>
          <w:p w14:paraId="0403B30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CF9063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870359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3C39707" w14:textId="77777777" w:rsidR="00000000" w:rsidRDefault="00B8284C">
            <w:pPr>
              <w:pStyle w:val="a3"/>
              <w:spacing w:before="0" w:beforeAutospacing="0" w:after="0" w:afterAutospacing="0"/>
              <w:jc w:val="right"/>
              <w:rPr>
                <w:color w:val="000000"/>
                <w:sz w:val="20"/>
                <w:szCs w:val="20"/>
              </w:rPr>
            </w:pPr>
            <w:r>
              <w:rPr>
                <w:color w:val="000000"/>
                <w:sz w:val="20"/>
                <w:szCs w:val="20"/>
              </w:rPr>
              <w:t>2,769</w:t>
            </w:r>
          </w:p>
        </w:tc>
        <w:tc>
          <w:tcPr>
            <w:tcW w:w="50" w:type="pct"/>
            <w:shd w:val="clear" w:color="auto" w:fill="CFF0FC"/>
            <w:noWrap/>
            <w:tcMar>
              <w:top w:w="15" w:type="dxa"/>
              <w:left w:w="0" w:type="dxa"/>
              <w:bottom w:w="0" w:type="dxa"/>
              <w:right w:w="15" w:type="dxa"/>
            </w:tcMar>
            <w:vAlign w:val="bottom"/>
            <w:hideMark/>
          </w:tcPr>
          <w:p w14:paraId="2185A67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F50ACB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4FE3E1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8A019B8" w14:textId="77777777" w:rsidR="00000000" w:rsidRDefault="00B8284C">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14:paraId="11079850"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B6B013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197D4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3E71955" w14:textId="77777777" w:rsidR="00000000" w:rsidRDefault="00B8284C">
            <w:pPr>
              <w:pStyle w:val="a3"/>
              <w:spacing w:before="0" w:beforeAutospacing="0" w:after="0" w:afterAutospacing="0"/>
              <w:jc w:val="right"/>
              <w:rPr>
                <w:color w:val="000000"/>
                <w:sz w:val="20"/>
                <w:szCs w:val="20"/>
              </w:rPr>
            </w:pPr>
            <w:r>
              <w:rPr>
                <w:color w:val="000000"/>
                <w:sz w:val="20"/>
                <w:szCs w:val="20"/>
              </w:rPr>
              <w:t>14,783</w:t>
            </w:r>
          </w:p>
        </w:tc>
        <w:tc>
          <w:tcPr>
            <w:tcW w:w="50" w:type="pct"/>
            <w:shd w:val="clear" w:color="auto" w:fill="CFF0FC"/>
            <w:noWrap/>
            <w:tcMar>
              <w:top w:w="15" w:type="dxa"/>
              <w:left w:w="0" w:type="dxa"/>
              <w:bottom w:w="0" w:type="dxa"/>
              <w:right w:w="15" w:type="dxa"/>
            </w:tcMar>
            <w:vAlign w:val="bottom"/>
            <w:hideMark/>
          </w:tcPr>
          <w:p w14:paraId="53C388E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F66F6A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10FD7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2D8C328" w14:textId="77777777" w:rsidR="00000000" w:rsidRDefault="00B8284C">
            <w:pPr>
              <w:pStyle w:val="a3"/>
              <w:spacing w:before="0" w:beforeAutospacing="0" w:after="0" w:afterAutospacing="0"/>
              <w:jc w:val="right"/>
              <w:rPr>
                <w:color w:val="000000"/>
                <w:sz w:val="20"/>
                <w:szCs w:val="20"/>
              </w:rPr>
            </w:pPr>
            <w:r>
              <w:rPr>
                <w:color w:val="000000"/>
                <w:sz w:val="20"/>
                <w:szCs w:val="20"/>
              </w:rPr>
              <w:t>6,332</w:t>
            </w:r>
          </w:p>
        </w:tc>
        <w:tc>
          <w:tcPr>
            <w:tcW w:w="50" w:type="pct"/>
            <w:shd w:val="clear" w:color="auto" w:fill="CFF0FC"/>
            <w:noWrap/>
            <w:tcMar>
              <w:top w:w="15" w:type="dxa"/>
              <w:left w:w="0" w:type="dxa"/>
              <w:bottom w:w="0" w:type="dxa"/>
              <w:right w:w="15" w:type="dxa"/>
            </w:tcMar>
            <w:vAlign w:val="bottom"/>
            <w:hideMark/>
          </w:tcPr>
          <w:p w14:paraId="40C392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9C4D3E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013C5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D7410F8" w14:textId="77777777" w:rsidR="00000000" w:rsidRDefault="00B8284C">
            <w:pPr>
              <w:pStyle w:val="a3"/>
              <w:spacing w:before="0" w:beforeAutospacing="0" w:after="0" w:afterAutospacing="0"/>
              <w:jc w:val="right"/>
              <w:rPr>
                <w:color w:val="000000"/>
                <w:sz w:val="20"/>
                <w:szCs w:val="20"/>
              </w:rPr>
            </w:pPr>
            <w:r>
              <w:rPr>
                <w:color w:val="000000"/>
                <w:sz w:val="20"/>
                <w:szCs w:val="20"/>
              </w:rPr>
              <w:t>8,451</w:t>
            </w:r>
          </w:p>
        </w:tc>
        <w:tc>
          <w:tcPr>
            <w:tcW w:w="50" w:type="pct"/>
            <w:shd w:val="clear" w:color="auto" w:fill="CFF0FC"/>
            <w:noWrap/>
            <w:tcMar>
              <w:top w:w="15" w:type="dxa"/>
              <w:left w:w="0" w:type="dxa"/>
              <w:bottom w:w="0" w:type="dxa"/>
              <w:right w:w="15" w:type="dxa"/>
            </w:tcMar>
            <w:vAlign w:val="bottom"/>
            <w:hideMark/>
          </w:tcPr>
          <w:p w14:paraId="18BBEB9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C4AA0B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03FBD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1E18161" w14:textId="77777777" w:rsidR="00000000" w:rsidRDefault="00B8284C">
            <w:pPr>
              <w:pStyle w:val="a3"/>
              <w:spacing w:before="0" w:beforeAutospacing="0" w:after="0" w:afterAutospacing="0"/>
              <w:jc w:val="right"/>
              <w:rPr>
                <w:color w:val="000000"/>
                <w:sz w:val="20"/>
                <w:szCs w:val="20"/>
              </w:rPr>
            </w:pPr>
            <w:r>
              <w:rPr>
                <w:color w:val="000000"/>
                <w:sz w:val="20"/>
                <w:szCs w:val="20"/>
              </w:rPr>
              <w:t>133</w:t>
            </w:r>
          </w:p>
        </w:tc>
        <w:tc>
          <w:tcPr>
            <w:tcW w:w="50" w:type="pct"/>
            <w:shd w:val="clear" w:color="auto" w:fill="CFF0FC"/>
            <w:noWrap/>
            <w:tcMar>
              <w:top w:w="15" w:type="dxa"/>
              <w:left w:w="0" w:type="dxa"/>
              <w:bottom w:w="0" w:type="dxa"/>
              <w:right w:w="15" w:type="dxa"/>
            </w:tcMar>
            <w:vAlign w:val="bottom"/>
            <w:hideMark/>
          </w:tcPr>
          <w:p w14:paraId="732D665D"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5D1DACB5" w14:textId="77777777">
        <w:trPr>
          <w:divId w:val="2075617467"/>
        </w:trPr>
        <w:tc>
          <w:tcPr>
            <w:tcW w:w="1526" w:type="pct"/>
            <w:gridSpan w:val="3"/>
            <w:shd w:val="clear" w:color="auto" w:fill="FFFFFF"/>
            <w:tcMar>
              <w:top w:w="15" w:type="dxa"/>
              <w:left w:w="0" w:type="dxa"/>
              <w:bottom w:w="0" w:type="dxa"/>
              <w:right w:w="15" w:type="dxa"/>
            </w:tcMar>
            <w:vAlign w:val="bottom"/>
            <w:hideMark/>
          </w:tcPr>
          <w:p w14:paraId="7E29BE85" w14:textId="77777777" w:rsidR="00000000" w:rsidRDefault="00B8284C">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227EE74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7A9B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F9A4364" w14:textId="77777777" w:rsidR="00000000" w:rsidRDefault="00B8284C">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0C184A3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AE4EA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F9201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250AE02" w14:textId="77777777" w:rsidR="00000000" w:rsidRDefault="00B8284C">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0C30372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0C198E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12E04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532FD4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2A6AF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655B8E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A4555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86A73AB"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E466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33D0E4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5867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27DA5FD" w14:textId="77777777" w:rsidR="00000000" w:rsidRDefault="00B8284C">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5955CD7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BB890D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98976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2F59028" w14:textId="77777777" w:rsidR="00000000" w:rsidRDefault="00B8284C">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11A80F6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7647840" w14:textId="77777777" w:rsidR="00000000" w:rsidRDefault="00B8284C">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661D2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C79E67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8A658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764C1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57C2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4D02598"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3F07D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B8284C" w14:paraId="5EA7A774" w14:textId="77777777">
        <w:trPr>
          <w:divId w:val="2075617467"/>
        </w:trPr>
        <w:tc>
          <w:tcPr>
            <w:tcW w:w="1526" w:type="pct"/>
            <w:gridSpan w:val="3"/>
            <w:shd w:val="clear" w:color="auto" w:fill="CFF0FC"/>
            <w:tcMar>
              <w:top w:w="15" w:type="dxa"/>
              <w:left w:w="0" w:type="dxa"/>
              <w:bottom w:w="0" w:type="dxa"/>
              <w:right w:w="15" w:type="dxa"/>
            </w:tcMar>
            <w:vAlign w:val="bottom"/>
            <w:hideMark/>
          </w:tcPr>
          <w:p w14:paraId="56778C85" w14:textId="77777777" w:rsidR="00000000" w:rsidRDefault="00B8284C">
            <w:pPr>
              <w:pStyle w:val="a3"/>
              <w:spacing w:before="0" w:beforeAutospacing="0" w:after="0" w:afterAutospacing="0"/>
              <w:rPr>
                <w:color w:val="000000"/>
                <w:sz w:val="20"/>
                <w:szCs w:val="20"/>
              </w:rPr>
            </w:pPr>
            <w:r>
              <w:rPr>
                <w:color w:val="000000"/>
                <w:sz w:val="20"/>
                <w:szCs w:val="20"/>
              </w:rPr>
              <w:t>Interest expense</w:t>
            </w:r>
          </w:p>
        </w:tc>
        <w:tc>
          <w:tcPr>
            <w:tcW w:w="51" w:type="pct"/>
            <w:shd w:val="clear" w:color="auto" w:fill="CFF0FC"/>
            <w:tcMar>
              <w:top w:w="15" w:type="dxa"/>
              <w:left w:w="0" w:type="dxa"/>
              <w:bottom w:w="0" w:type="dxa"/>
              <w:right w:w="15" w:type="dxa"/>
            </w:tcMar>
            <w:vAlign w:val="bottom"/>
            <w:hideMark/>
          </w:tcPr>
          <w:p w14:paraId="4356B25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03ABC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57E1259D" w14:textId="77777777" w:rsidR="00000000" w:rsidRDefault="00B8284C">
            <w:pPr>
              <w:pStyle w:val="a3"/>
              <w:spacing w:before="0" w:beforeAutospacing="0" w:after="0" w:afterAutospacing="0"/>
              <w:jc w:val="right"/>
              <w:rPr>
                <w:color w:val="000000"/>
                <w:sz w:val="20"/>
                <w:szCs w:val="20"/>
              </w:rPr>
            </w:pPr>
            <w:r>
              <w:rPr>
                <w:color w:val="000000"/>
                <w:sz w:val="20"/>
                <w:szCs w:val="20"/>
              </w:rPr>
              <w:t>(5,760</w:t>
            </w:r>
          </w:p>
        </w:tc>
        <w:tc>
          <w:tcPr>
            <w:tcW w:w="50" w:type="pct"/>
            <w:shd w:val="clear" w:color="auto" w:fill="CFF0FC"/>
            <w:noWrap/>
            <w:tcMar>
              <w:top w:w="15" w:type="dxa"/>
              <w:left w:w="0" w:type="dxa"/>
              <w:bottom w:w="0" w:type="dxa"/>
              <w:right w:w="15" w:type="dxa"/>
            </w:tcMar>
            <w:vAlign w:val="bottom"/>
            <w:hideMark/>
          </w:tcPr>
          <w:p w14:paraId="736CE6D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3E12BD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5B874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3261CD7E" w14:textId="77777777" w:rsidR="00000000" w:rsidRDefault="00B8284C">
            <w:pPr>
              <w:pStyle w:val="a3"/>
              <w:spacing w:before="0" w:beforeAutospacing="0" w:after="0" w:afterAutospacing="0"/>
              <w:jc w:val="right"/>
              <w:rPr>
                <w:color w:val="000000"/>
                <w:sz w:val="20"/>
                <w:szCs w:val="20"/>
              </w:rPr>
            </w:pPr>
            <w:r>
              <w:rPr>
                <w:color w:val="000000"/>
                <w:sz w:val="20"/>
                <w:szCs w:val="20"/>
              </w:rPr>
              <w:t>(5,393</w:t>
            </w:r>
          </w:p>
        </w:tc>
        <w:tc>
          <w:tcPr>
            <w:tcW w:w="50" w:type="pct"/>
            <w:shd w:val="clear" w:color="auto" w:fill="CFF0FC"/>
            <w:noWrap/>
            <w:tcMar>
              <w:top w:w="15" w:type="dxa"/>
              <w:left w:w="0" w:type="dxa"/>
              <w:bottom w:w="0" w:type="dxa"/>
              <w:right w:w="15" w:type="dxa"/>
            </w:tcMar>
            <w:vAlign w:val="bottom"/>
            <w:hideMark/>
          </w:tcPr>
          <w:p w14:paraId="6D1529A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5FEC8F9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4D611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60932D10" w14:textId="77777777" w:rsidR="00000000" w:rsidRDefault="00B8284C">
            <w:pPr>
              <w:pStyle w:val="a3"/>
              <w:spacing w:before="0" w:beforeAutospacing="0" w:after="0" w:afterAutospacing="0"/>
              <w:jc w:val="right"/>
              <w:rPr>
                <w:color w:val="000000"/>
                <w:sz w:val="20"/>
                <w:szCs w:val="20"/>
              </w:rPr>
            </w:pPr>
            <w:r>
              <w:rPr>
                <w:color w:val="000000"/>
                <w:sz w:val="20"/>
                <w:szCs w:val="20"/>
              </w:rPr>
              <w:t>(367</w:t>
            </w:r>
          </w:p>
        </w:tc>
        <w:tc>
          <w:tcPr>
            <w:tcW w:w="50" w:type="pct"/>
            <w:shd w:val="clear" w:color="auto" w:fill="CFF0FC"/>
            <w:noWrap/>
            <w:tcMar>
              <w:top w:w="15" w:type="dxa"/>
              <w:left w:w="0" w:type="dxa"/>
              <w:bottom w:w="0" w:type="dxa"/>
              <w:right w:w="15" w:type="dxa"/>
            </w:tcMar>
            <w:vAlign w:val="bottom"/>
            <w:hideMark/>
          </w:tcPr>
          <w:p w14:paraId="09349A0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204CE0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6025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7C795282" w14:textId="77777777" w:rsidR="00000000" w:rsidRDefault="00B8284C">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555F44A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2DAA0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39033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1E3CCE9D" w14:textId="77777777" w:rsidR="00000000" w:rsidRDefault="00B8284C">
            <w:pPr>
              <w:pStyle w:val="a3"/>
              <w:spacing w:before="0" w:beforeAutospacing="0" w:after="0" w:afterAutospacing="0"/>
              <w:jc w:val="right"/>
              <w:rPr>
                <w:color w:val="000000"/>
                <w:sz w:val="20"/>
                <w:szCs w:val="20"/>
              </w:rPr>
            </w:pPr>
            <w:r>
              <w:rPr>
                <w:color w:val="000000"/>
                <w:sz w:val="20"/>
                <w:szCs w:val="20"/>
              </w:rPr>
              <w:t>(16,946</w:t>
            </w:r>
          </w:p>
        </w:tc>
        <w:tc>
          <w:tcPr>
            <w:tcW w:w="50" w:type="pct"/>
            <w:shd w:val="clear" w:color="auto" w:fill="CFF0FC"/>
            <w:noWrap/>
            <w:tcMar>
              <w:top w:w="15" w:type="dxa"/>
              <w:left w:w="0" w:type="dxa"/>
              <w:bottom w:w="0" w:type="dxa"/>
              <w:right w:w="15" w:type="dxa"/>
            </w:tcMar>
            <w:vAlign w:val="bottom"/>
            <w:hideMark/>
          </w:tcPr>
          <w:p w14:paraId="1DCF260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EF23E2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46F15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22A5D05B" w14:textId="77777777" w:rsidR="00000000" w:rsidRDefault="00B8284C">
            <w:pPr>
              <w:pStyle w:val="a3"/>
              <w:spacing w:before="0" w:beforeAutospacing="0" w:after="0" w:afterAutospacing="0"/>
              <w:jc w:val="right"/>
              <w:rPr>
                <w:color w:val="000000"/>
                <w:sz w:val="20"/>
                <w:szCs w:val="20"/>
              </w:rPr>
            </w:pPr>
            <w:r>
              <w:rPr>
                <w:color w:val="000000"/>
                <w:sz w:val="20"/>
                <w:szCs w:val="20"/>
              </w:rPr>
              <w:t>(15,893</w:t>
            </w:r>
          </w:p>
        </w:tc>
        <w:tc>
          <w:tcPr>
            <w:tcW w:w="50" w:type="pct"/>
            <w:shd w:val="clear" w:color="auto" w:fill="CFF0FC"/>
            <w:noWrap/>
            <w:tcMar>
              <w:top w:w="15" w:type="dxa"/>
              <w:left w:w="0" w:type="dxa"/>
              <w:bottom w:w="0" w:type="dxa"/>
              <w:right w:w="15" w:type="dxa"/>
            </w:tcMar>
            <w:vAlign w:val="bottom"/>
            <w:hideMark/>
          </w:tcPr>
          <w:p w14:paraId="4E36F18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CDD746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C8815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1517D216" w14:textId="77777777" w:rsidR="00000000" w:rsidRDefault="00B8284C">
            <w:pPr>
              <w:pStyle w:val="a3"/>
              <w:spacing w:before="0" w:beforeAutospacing="0" w:after="0" w:afterAutospacing="0"/>
              <w:jc w:val="right"/>
              <w:rPr>
                <w:color w:val="000000"/>
                <w:sz w:val="20"/>
                <w:szCs w:val="20"/>
              </w:rPr>
            </w:pPr>
            <w:r>
              <w:rPr>
                <w:color w:val="000000"/>
                <w:sz w:val="20"/>
                <w:szCs w:val="20"/>
              </w:rPr>
              <w:t>(1,053</w:t>
            </w:r>
          </w:p>
        </w:tc>
        <w:tc>
          <w:tcPr>
            <w:tcW w:w="50" w:type="pct"/>
            <w:shd w:val="clear" w:color="auto" w:fill="CFF0FC"/>
            <w:noWrap/>
            <w:tcMar>
              <w:top w:w="15" w:type="dxa"/>
              <w:left w:w="0" w:type="dxa"/>
              <w:bottom w:w="0" w:type="dxa"/>
              <w:right w:w="15" w:type="dxa"/>
            </w:tcMar>
            <w:vAlign w:val="bottom"/>
            <w:hideMark/>
          </w:tcPr>
          <w:p w14:paraId="4DE34EC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45269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9632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0515A958" w14:textId="77777777" w:rsidR="00000000" w:rsidRDefault="00B8284C">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2B0E4CDE"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31D29AC4" w14:textId="77777777">
        <w:trPr>
          <w:divId w:val="2075617467"/>
        </w:trPr>
        <w:tc>
          <w:tcPr>
            <w:tcW w:w="1526" w:type="pct"/>
            <w:gridSpan w:val="3"/>
            <w:shd w:val="clear" w:color="auto" w:fill="FFFFFF"/>
            <w:tcMar>
              <w:top w:w="15" w:type="dxa"/>
              <w:left w:w="0" w:type="dxa"/>
              <w:bottom w:w="0" w:type="dxa"/>
              <w:right w:w="15" w:type="dxa"/>
            </w:tcMar>
            <w:vAlign w:val="bottom"/>
            <w:hideMark/>
          </w:tcPr>
          <w:p w14:paraId="60CFFFEE" w14:textId="77777777" w:rsidR="00000000" w:rsidRDefault="00B8284C">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269A31C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74F48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5D62A07" w14:textId="77777777" w:rsidR="00000000" w:rsidRDefault="00B8284C">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5417047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2142739"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317A3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7298464" w14:textId="77777777" w:rsidR="00000000" w:rsidRDefault="00B8284C">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1EC8BAF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5B91F8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FC0FD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5F82D4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EDE0F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CDC84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DAC0F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D2A38BF"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CFD0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A6C71D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5707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EBA9E7D" w14:textId="77777777" w:rsidR="00000000" w:rsidRDefault="00B8284C">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485EFF2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F6F1131"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F3947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5926E78" w14:textId="77777777" w:rsidR="00000000" w:rsidRDefault="00B8284C">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4DA4CD0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6599048" w14:textId="77777777" w:rsidR="00000000" w:rsidRDefault="00B8284C">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00E9B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F13810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49B8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92A2BA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DA433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D519E1A"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2B0E5A"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B8284C" w14:paraId="193B7710" w14:textId="77777777">
        <w:trPr>
          <w:divId w:val="2075617467"/>
        </w:trPr>
        <w:tc>
          <w:tcPr>
            <w:tcW w:w="1526" w:type="pct"/>
            <w:gridSpan w:val="3"/>
            <w:shd w:val="clear" w:color="auto" w:fill="CFF0FC"/>
            <w:tcMar>
              <w:top w:w="15" w:type="dxa"/>
              <w:left w:w="0" w:type="dxa"/>
              <w:bottom w:w="0" w:type="dxa"/>
              <w:right w:w="15" w:type="dxa"/>
            </w:tcMar>
            <w:vAlign w:val="bottom"/>
            <w:hideMark/>
          </w:tcPr>
          <w:p w14:paraId="778825A5" w14:textId="77777777" w:rsidR="00000000" w:rsidRDefault="00B8284C">
            <w:pPr>
              <w:pStyle w:val="a3"/>
              <w:spacing w:before="0" w:beforeAutospacing="0" w:after="0" w:afterAutospacing="0"/>
              <w:rPr>
                <w:color w:val="000000"/>
                <w:sz w:val="20"/>
                <w:szCs w:val="20"/>
              </w:rPr>
            </w:pPr>
            <w:r>
              <w:rPr>
                <w:color w:val="000000"/>
                <w:sz w:val="20"/>
                <w:szCs w:val="20"/>
              </w:rPr>
              <w:t>Other expense</w:t>
            </w:r>
          </w:p>
        </w:tc>
        <w:tc>
          <w:tcPr>
            <w:tcW w:w="51" w:type="pct"/>
            <w:shd w:val="clear" w:color="auto" w:fill="CFF0FC"/>
            <w:tcMar>
              <w:top w:w="15" w:type="dxa"/>
              <w:left w:w="0" w:type="dxa"/>
              <w:bottom w:w="0" w:type="dxa"/>
              <w:right w:w="15" w:type="dxa"/>
            </w:tcMar>
            <w:vAlign w:val="bottom"/>
            <w:hideMark/>
          </w:tcPr>
          <w:p w14:paraId="3D191FF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ECAF89"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1E16DBF6" w14:textId="77777777" w:rsidR="00000000" w:rsidRDefault="00B8284C">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14:paraId="6E0120E4"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C57B15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3ACFF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6A47FDA8" w14:textId="77777777" w:rsidR="00000000" w:rsidRDefault="00B8284C">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14:paraId="66DAFD3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7A30B8A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29268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57B6E71F" w14:textId="77777777" w:rsidR="00000000" w:rsidRDefault="00B8284C">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CFF0FC"/>
            <w:noWrap/>
            <w:tcMar>
              <w:top w:w="15" w:type="dxa"/>
              <w:left w:w="0" w:type="dxa"/>
              <w:bottom w:w="0" w:type="dxa"/>
              <w:right w:w="15" w:type="dxa"/>
            </w:tcMar>
            <w:vAlign w:val="bottom"/>
            <w:hideMark/>
          </w:tcPr>
          <w:p w14:paraId="1ECD7C5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C26B9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AE90B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37F2BF62" w14:textId="77777777" w:rsidR="00000000" w:rsidRDefault="00B8284C">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CFF0FC"/>
            <w:noWrap/>
            <w:tcMar>
              <w:top w:w="15" w:type="dxa"/>
              <w:left w:w="0" w:type="dxa"/>
              <w:bottom w:w="0" w:type="dxa"/>
              <w:right w:w="15" w:type="dxa"/>
            </w:tcMar>
            <w:vAlign w:val="bottom"/>
            <w:hideMark/>
          </w:tcPr>
          <w:p w14:paraId="76A4D29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C2FC95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4BEA6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3B6BEBB9" w14:textId="77777777" w:rsidR="00000000" w:rsidRDefault="00B8284C">
            <w:pPr>
              <w:pStyle w:val="a3"/>
              <w:spacing w:before="0" w:beforeAutospacing="0" w:after="0" w:afterAutospacing="0"/>
              <w:jc w:val="right"/>
              <w:rPr>
                <w:color w:val="000000"/>
                <w:sz w:val="20"/>
                <w:szCs w:val="20"/>
              </w:rPr>
            </w:pPr>
            <w:r>
              <w:rPr>
                <w:color w:val="000000"/>
                <w:sz w:val="20"/>
                <w:szCs w:val="20"/>
              </w:rPr>
              <w:t>(773</w:t>
            </w:r>
          </w:p>
        </w:tc>
        <w:tc>
          <w:tcPr>
            <w:tcW w:w="50" w:type="pct"/>
            <w:shd w:val="clear" w:color="auto" w:fill="CFF0FC"/>
            <w:noWrap/>
            <w:tcMar>
              <w:top w:w="15" w:type="dxa"/>
              <w:left w:w="0" w:type="dxa"/>
              <w:bottom w:w="0" w:type="dxa"/>
              <w:right w:w="15" w:type="dxa"/>
            </w:tcMar>
            <w:vAlign w:val="bottom"/>
            <w:hideMark/>
          </w:tcPr>
          <w:p w14:paraId="363EF98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8F7FB1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68D15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6C34AA1C" w14:textId="77777777" w:rsidR="00000000" w:rsidRDefault="00B8284C">
            <w:pPr>
              <w:pStyle w:val="a3"/>
              <w:spacing w:before="0" w:beforeAutospacing="0" w:after="0" w:afterAutospacing="0"/>
              <w:jc w:val="right"/>
              <w:rPr>
                <w:color w:val="000000"/>
                <w:sz w:val="20"/>
                <w:szCs w:val="20"/>
              </w:rPr>
            </w:pPr>
            <w:r>
              <w:rPr>
                <w:color w:val="000000"/>
                <w:sz w:val="20"/>
                <w:szCs w:val="20"/>
              </w:rPr>
              <w:t>(1,087</w:t>
            </w:r>
          </w:p>
        </w:tc>
        <w:tc>
          <w:tcPr>
            <w:tcW w:w="50" w:type="pct"/>
            <w:shd w:val="clear" w:color="auto" w:fill="CFF0FC"/>
            <w:noWrap/>
            <w:tcMar>
              <w:top w:w="15" w:type="dxa"/>
              <w:left w:w="0" w:type="dxa"/>
              <w:bottom w:w="0" w:type="dxa"/>
              <w:right w:w="15" w:type="dxa"/>
            </w:tcMar>
            <w:vAlign w:val="bottom"/>
            <w:hideMark/>
          </w:tcPr>
          <w:p w14:paraId="3B6EDF6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77CFCD6"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FC5AB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6C31B297" w14:textId="77777777" w:rsidR="00000000" w:rsidRDefault="00B8284C">
            <w:pPr>
              <w:pStyle w:val="a3"/>
              <w:spacing w:before="0" w:beforeAutospacing="0" w:after="0" w:afterAutospacing="0"/>
              <w:jc w:val="right"/>
              <w:rPr>
                <w:color w:val="000000"/>
                <w:sz w:val="20"/>
                <w:szCs w:val="20"/>
              </w:rPr>
            </w:pPr>
            <w:r>
              <w:rPr>
                <w:color w:val="000000"/>
                <w:sz w:val="20"/>
                <w:szCs w:val="20"/>
              </w:rPr>
              <w:t>314</w:t>
            </w:r>
          </w:p>
        </w:tc>
        <w:tc>
          <w:tcPr>
            <w:tcW w:w="50" w:type="pct"/>
            <w:shd w:val="clear" w:color="auto" w:fill="CFF0FC"/>
            <w:noWrap/>
            <w:tcMar>
              <w:top w:w="15" w:type="dxa"/>
              <w:left w:w="0" w:type="dxa"/>
              <w:bottom w:w="0" w:type="dxa"/>
              <w:right w:w="15" w:type="dxa"/>
            </w:tcMar>
            <w:vAlign w:val="bottom"/>
            <w:hideMark/>
          </w:tcPr>
          <w:p w14:paraId="499D31F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E9266F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85A95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3FBF2A21" w14:textId="77777777" w:rsidR="00000000" w:rsidRDefault="00B8284C">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23C0098F"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4DD40F4B" w14:textId="77777777">
        <w:trPr>
          <w:divId w:val="2075617467"/>
        </w:trPr>
        <w:tc>
          <w:tcPr>
            <w:tcW w:w="1526" w:type="pct"/>
            <w:gridSpan w:val="3"/>
            <w:shd w:val="clear" w:color="auto" w:fill="FFFFFF"/>
            <w:tcMar>
              <w:top w:w="15" w:type="dxa"/>
              <w:left w:w="0" w:type="dxa"/>
              <w:bottom w:w="0" w:type="dxa"/>
              <w:right w:w="15" w:type="dxa"/>
            </w:tcMar>
            <w:vAlign w:val="bottom"/>
            <w:hideMark/>
          </w:tcPr>
          <w:p w14:paraId="19535890" w14:textId="77777777" w:rsidR="00000000" w:rsidRDefault="00B8284C">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2D79452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32" w:type="pct"/>
            <w:gridSpan w:val="2"/>
            <w:shd w:val="clear" w:color="auto" w:fill="FFFFFF"/>
            <w:tcMar>
              <w:top w:w="15" w:type="dxa"/>
              <w:left w:w="0" w:type="dxa"/>
              <w:bottom w:w="0" w:type="dxa"/>
              <w:right w:w="15" w:type="dxa"/>
            </w:tcMar>
            <w:vAlign w:val="bottom"/>
            <w:hideMark/>
          </w:tcPr>
          <w:p w14:paraId="205FF0BF" w14:textId="77777777" w:rsidR="00000000" w:rsidRDefault="00B8284C">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BA38C9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C55D9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32" w:type="pct"/>
            <w:gridSpan w:val="2"/>
            <w:shd w:val="clear" w:color="auto" w:fill="FFFFFF"/>
            <w:tcMar>
              <w:top w:w="15" w:type="dxa"/>
              <w:left w:w="0" w:type="dxa"/>
              <w:bottom w:w="0" w:type="dxa"/>
              <w:right w:w="15" w:type="dxa"/>
            </w:tcMar>
            <w:vAlign w:val="bottom"/>
            <w:hideMark/>
          </w:tcPr>
          <w:p w14:paraId="34783B2E" w14:textId="77777777" w:rsidR="00000000" w:rsidRDefault="00B8284C">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3832C5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A494DF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40CB5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5C5441C"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D2C3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FB27E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9A088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9469E34"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30055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E4982E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32" w:type="pct"/>
            <w:gridSpan w:val="2"/>
            <w:shd w:val="clear" w:color="auto" w:fill="FFFFFF"/>
            <w:tcMar>
              <w:top w:w="15" w:type="dxa"/>
              <w:left w:w="0" w:type="dxa"/>
              <w:bottom w:w="0" w:type="dxa"/>
              <w:right w:w="15" w:type="dxa"/>
            </w:tcMar>
            <w:vAlign w:val="bottom"/>
            <w:hideMark/>
          </w:tcPr>
          <w:p w14:paraId="35304092" w14:textId="77777777" w:rsidR="00000000" w:rsidRDefault="00B8284C">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729FAA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081BBC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32" w:type="pct"/>
            <w:gridSpan w:val="2"/>
            <w:shd w:val="clear" w:color="auto" w:fill="FFFFFF"/>
            <w:tcMar>
              <w:top w:w="15" w:type="dxa"/>
              <w:left w:w="0" w:type="dxa"/>
              <w:bottom w:w="0" w:type="dxa"/>
              <w:right w:w="15" w:type="dxa"/>
            </w:tcMar>
            <w:vAlign w:val="bottom"/>
            <w:hideMark/>
          </w:tcPr>
          <w:p w14:paraId="4C0E66DD" w14:textId="77777777" w:rsidR="00000000" w:rsidRDefault="00B8284C">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F8CF96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E482148" w14:textId="77777777" w:rsidR="00000000" w:rsidRDefault="00B8284C">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31AA95"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C6A17C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1E2A3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9477247"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F7DAE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395598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97B3A8" w14:textId="77777777" w:rsidR="00000000" w:rsidRDefault="00B8284C">
            <w:pPr>
              <w:pStyle w:val="a3"/>
              <w:spacing w:before="0" w:beforeAutospacing="0" w:after="0" w:afterAutospacing="0"/>
              <w:rPr>
                <w:color w:val="000000"/>
                <w:sz w:val="2"/>
                <w:szCs w:val="2"/>
              </w:rPr>
            </w:pPr>
            <w:r>
              <w:rPr>
                <w:color w:val="000000"/>
                <w:sz w:val="2"/>
                <w:szCs w:val="2"/>
              </w:rPr>
              <w:t> </w:t>
            </w:r>
          </w:p>
        </w:tc>
      </w:tr>
      <w:tr w:rsidR="00000000" w14:paraId="279EACCF" w14:textId="77777777">
        <w:tblPrEx>
          <w:tblW w:w="5000" w:type="pct"/>
        </w:tblPrEx>
        <w:trPr>
          <w:gridAfter w:val="33"/>
        </w:trPr>
        <w:tc>
          <w:tcPr>
            <w:tcW w:w="227" w:type="pct"/>
            <w:noWrap/>
            <w:hideMark/>
          </w:tcPr>
          <w:p w14:paraId="5B5B933A" w14:textId="77777777" w:rsidR="00000000" w:rsidRDefault="00B8284C">
            <w:pPr>
              <w:pStyle w:val="a3"/>
              <w:spacing w:before="40" w:beforeAutospacing="0" w:after="0" w:afterAutospacing="0"/>
              <w:rPr>
                <w:sz w:val="20"/>
                <w:szCs w:val="20"/>
              </w:rPr>
            </w:pPr>
            <w:r>
              <w:rPr>
                <w:sz w:val="20"/>
                <w:szCs w:val="20"/>
              </w:rPr>
              <w:t>*</w:t>
            </w:r>
          </w:p>
        </w:tc>
        <w:tc>
          <w:tcPr>
            <w:tcW w:w="0" w:type="auto"/>
            <w:hideMark/>
          </w:tcPr>
          <w:p w14:paraId="632BEFE2" w14:textId="77777777" w:rsidR="00000000" w:rsidRDefault="00B8284C">
            <w:pPr>
              <w:pStyle w:val="a3"/>
              <w:spacing w:before="40" w:beforeAutospacing="0" w:after="0" w:afterAutospacing="0"/>
              <w:rPr>
                <w:sz w:val="20"/>
                <w:szCs w:val="20"/>
              </w:rPr>
            </w:pPr>
            <w:r>
              <w:rPr>
                <w:sz w:val="20"/>
                <w:szCs w:val="20"/>
              </w:rPr>
              <w:t>not meaningful</w:t>
            </w:r>
          </w:p>
        </w:tc>
      </w:tr>
    </w:tbl>
    <w:p w14:paraId="0D5856C5" w14:textId="77777777" w:rsidR="00000000" w:rsidRDefault="00B8284C">
      <w:pPr>
        <w:pStyle w:val="a3"/>
        <w:spacing w:before="240" w:beforeAutospacing="0" w:after="0" w:afterAutospacing="0"/>
        <w:ind w:firstLine="556"/>
        <w:rPr>
          <w:sz w:val="20"/>
          <w:szCs w:val="20"/>
        </w:rPr>
      </w:pPr>
      <w:r>
        <w:rPr>
          <w:sz w:val="20"/>
          <w:szCs w:val="20"/>
        </w:rPr>
        <w:t xml:space="preserve">Interest income primarily consists of interest earned on invested cash and cash equivalents balances and investments. The increase during the three and nine months ended </w:t>
      </w:r>
      <w:r>
        <w:rPr>
          <w:color w:val="000000"/>
          <w:sz w:val="20"/>
          <w:szCs w:val="20"/>
        </w:rPr>
        <w:t>September 30, 2019</w:t>
      </w:r>
      <w:r>
        <w:rPr>
          <w:sz w:val="20"/>
          <w:szCs w:val="20"/>
        </w:rPr>
        <w:t xml:space="preserve"> is primarily due to the increase in the amount of investment holdin</w:t>
      </w:r>
      <w:r>
        <w:rPr>
          <w:sz w:val="20"/>
          <w:szCs w:val="20"/>
        </w:rPr>
        <w:t xml:space="preserve">gs from the proceeds received from the common stock offering that occurred during the first quarter of 2019 and an increase in yields on our investment balances. </w:t>
      </w:r>
    </w:p>
    <w:p w14:paraId="110587AE" w14:textId="77777777" w:rsidR="00000000" w:rsidRDefault="00B8284C">
      <w:pPr>
        <w:pStyle w:val="a3"/>
        <w:spacing w:before="240" w:beforeAutospacing="0" w:after="0" w:afterAutospacing="0"/>
        <w:ind w:firstLine="556"/>
        <w:rPr>
          <w:sz w:val="20"/>
          <w:szCs w:val="20"/>
        </w:rPr>
      </w:pPr>
      <w:r>
        <w:rPr>
          <w:sz w:val="20"/>
          <w:szCs w:val="20"/>
        </w:rPr>
        <w:t>Interest expense primarily consists of amortization of the debt discount and issuance costs r</w:t>
      </w:r>
      <w:r>
        <w:rPr>
          <w:sz w:val="20"/>
          <w:szCs w:val="20"/>
        </w:rPr>
        <w:t xml:space="preserve">elated to the 2022 Notes that is recorded as interest expense, contractual interest expense on the 2022 Notes, and interest on capital leases. The increase during the three and nine months ended </w:t>
      </w:r>
      <w:r>
        <w:rPr>
          <w:color w:val="000000"/>
          <w:sz w:val="20"/>
          <w:szCs w:val="20"/>
        </w:rPr>
        <w:t>September 30, 2019</w:t>
      </w:r>
      <w:r>
        <w:rPr>
          <w:sz w:val="20"/>
          <w:szCs w:val="20"/>
        </w:rPr>
        <w:t xml:space="preserve"> was primarily due to the use of the effect</w:t>
      </w:r>
      <w:r>
        <w:rPr>
          <w:sz w:val="20"/>
          <w:szCs w:val="20"/>
        </w:rPr>
        <w:t>ive-interest method to amortize the debt discount and issuance costs related to the 2022 Notes.  </w:t>
      </w:r>
    </w:p>
    <w:p w14:paraId="1C32D5F6" w14:textId="77777777" w:rsidR="00000000" w:rsidRDefault="00B8284C">
      <w:pPr>
        <w:pStyle w:val="a3"/>
        <w:spacing w:before="240" w:beforeAutospacing="0" w:after="0" w:afterAutospacing="0"/>
        <w:ind w:firstLine="556"/>
        <w:rPr>
          <w:sz w:val="20"/>
          <w:szCs w:val="20"/>
        </w:rPr>
      </w:pPr>
      <w:r>
        <w:rPr>
          <w:sz w:val="20"/>
          <w:szCs w:val="20"/>
        </w:rPr>
        <w:t xml:space="preserve">Other expense primarily consists of the impact of foreign currency transaction gains and losses associated with monetary assets and liabilities. The decrease </w:t>
      </w:r>
      <w:r>
        <w:rPr>
          <w:sz w:val="20"/>
          <w:szCs w:val="20"/>
        </w:rPr>
        <w:t xml:space="preserve">during the three and nine months ended </w:t>
      </w:r>
      <w:r>
        <w:rPr>
          <w:color w:val="000000"/>
          <w:sz w:val="20"/>
          <w:szCs w:val="20"/>
        </w:rPr>
        <w:t>September 30, 2019</w:t>
      </w:r>
      <w:r>
        <w:rPr>
          <w:sz w:val="20"/>
          <w:szCs w:val="20"/>
        </w:rPr>
        <w:t xml:space="preserve"> was primarily due to foreign currency exchange rate fluctuations.  </w:t>
      </w:r>
    </w:p>
    <w:p w14:paraId="6546F73C" w14:textId="77777777" w:rsidR="00000000" w:rsidRDefault="00B8284C">
      <w:pPr>
        <w:pStyle w:val="a3"/>
        <w:spacing w:before="240" w:beforeAutospacing="0" w:after="0" w:afterAutospacing="0"/>
        <w:jc w:val="center"/>
        <w:rPr>
          <w:sz w:val="20"/>
          <w:szCs w:val="20"/>
        </w:rPr>
      </w:pPr>
      <w:r>
        <w:rPr>
          <w:sz w:val="20"/>
          <w:szCs w:val="20"/>
        </w:rPr>
        <w:t>27</w:t>
      </w:r>
    </w:p>
    <w:p w14:paraId="6E87B3D4" w14:textId="77777777" w:rsidR="00000000" w:rsidRDefault="00B8284C">
      <w:pPr>
        <w:rPr>
          <w:rFonts w:eastAsia="Times New Roman"/>
        </w:rPr>
      </w:pPr>
      <w:r>
        <w:rPr>
          <w:rFonts w:eastAsia="Times New Roman"/>
        </w:rPr>
        <w:pict w14:anchorId="3D466E7E">
          <v:rect id="_x0000_i1051" style="width:0;height:1.5pt" o:hralign="center" o:hrstd="t" o:hr="t" fillcolor="#a0a0a0" stroked="f"/>
        </w:pict>
      </w:r>
    </w:p>
    <w:p w14:paraId="670AAF98" w14:textId="77777777" w:rsidR="00000000" w:rsidRDefault="00B8284C">
      <w:pPr>
        <w:pStyle w:val="a3"/>
        <w:spacing w:before="0" w:beforeAutospacing="0" w:after="0" w:afterAutospacing="0"/>
        <w:rPr>
          <w:sz w:val="20"/>
          <w:szCs w:val="20"/>
        </w:rPr>
      </w:pPr>
      <w:r>
        <w:rPr>
          <w:sz w:val="20"/>
          <w:szCs w:val="20"/>
        </w:rPr>
        <w:t> </w:t>
      </w:r>
    </w:p>
    <w:p w14:paraId="1FFF437F" w14:textId="77777777" w:rsidR="00000000" w:rsidRDefault="00B8284C">
      <w:pPr>
        <w:pStyle w:val="a3"/>
        <w:spacing w:before="360" w:beforeAutospacing="0" w:after="0" w:afterAutospacing="0"/>
        <w:rPr>
          <w:b/>
          <w:bCs/>
          <w:i/>
          <w:iCs/>
          <w:sz w:val="20"/>
          <w:szCs w:val="20"/>
        </w:rPr>
      </w:pPr>
      <w:r>
        <w:rPr>
          <w:b/>
          <w:bCs/>
          <w:i/>
          <w:iCs/>
          <w:sz w:val="20"/>
          <w:szCs w:val="20"/>
        </w:rPr>
        <w:t>Income tax expense</w:t>
      </w:r>
    </w:p>
    <w:p w14:paraId="1ECD1A7B" w14:textId="77777777" w:rsidR="00000000" w:rsidRDefault="00B8284C">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604"/>
        <w:gridCol w:w="65"/>
        <w:gridCol w:w="115"/>
        <w:gridCol w:w="382"/>
        <w:gridCol w:w="182"/>
        <w:gridCol w:w="65"/>
        <w:gridCol w:w="115"/>
        <w:gridCol w:w="382"/>
        <w:gridCol w:w="182"/>
        <w:gridCol w:w="65"/>
        <w:gridCol w:w="116"/>
        <w:gridCol w:w="560"/>
        <w:gridCol w:w="65"/>
        <w:gridCol w:w="65"/>
        <w:gridCol w:w="111"/>
        <w:gridCol w:w="625"/>
        <w:gridCol w:w="182"/>
        <w:gridCol w:w="65"/>
        <w:gridCol w:w="115"/>
        <w:gridCol w:w="532"/>
        <w:gridCol w:w="182"/>
        <w:gridCol w:w="65"/>
        <w:gridCol w:w="115"/>
        <w:gridCol w:w="532"/>
        <w:gridCol w:w="182"/>
        <w:gridCol w:w="65"/>
        <w:gridCol w:w="116"/>
        <w:gridCol w:w="560"/>
        <w:gridCol w:w="82"/>
        <w:gridCol w:w="65"/>
        <w:gridCol w:w="111"/>
        <w:gridCol w:w="625"/>
        <w:gridCol w:w="182"/>
      </w:tblGrid>
      <w:tr w:rsidR="00000000" w14:paraId="467B94D7" w14:textId="77777777">
        <w:trPr>
          <w:divId w:val="101264411"/>
        </w:trPr>
        <w:tc>
          <w:tcPr>
            <w:tcW w:w="1526" w:type="pct"/>
            <w:shd w:val="clear" w:color="auto" w:fill="FFFFFF"/>
            <w:tcMar>
              <w:top w:w="15" w:type="dxa"/>
              <w:left w:w="0" w:type="dxa"/>
              <w:bottom w:w="0" w:type="dxa"/>
              <w:right w:w="15" w:type="dxa"/>
            </w:tcMar>
            <w:vAlign w:val="bottom"/>
            <w:hideMark/>
          </w:tcPr>
          <w:p w14:paraId="3D7DB521" w14:textId="77777777" w:rsidR="00000000" w:rsidRDefault="00B8284C">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1A9A81A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46D25F5"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Three Months</w:t>
            </w:r>
          </w:p>
          <w:p w14:paraId="5A56019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3088ED8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00D39C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66F143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E6731EF"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F3814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3B275E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060F55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52B17BE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DEA15B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850096A"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5185EBC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w:t>
            </w:r>
          </w:p>
          <w:p w14:paraId="19B2AA4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Ended September 30,</w:t>
            </w:r>
          </w:p>
        </w:tc>
        <w:tc>
          <w:tcPr>
            <w:tcW w:w="50" w:type="pct"/>
            <w:shd w:val="clear" w:color="auto" w:fill="FFFFFF"/>
            <w:noWrap/>
            <w:tcMar>
              <w:top w:w="15" w:type="dxa"/>
              <w:left w:w="0" w:type="dxa"/>
              <w:bottom w:w="0" w:type="dxa"/>
              <w:right w:w="15" w:type="dxa"/>
            </w:tcMar>
            <w:vAlign w:val="bottom"/>
            <w:hideMark/>
          </w:tcPr>
          <w:p w14:paraId="763A303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1598FF1"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3F3ED1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FDB4B5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AE64D7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03636D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AE32FA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8A6CC3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1F53192"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EC744EB" w14:textId="77777777">
        <w:trPr>
          <w:divId w:val="101264411"/>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0E09DE0A" w14:textId="77777777" w:rsidR="00000000" w:rsidRDefault="00B8284C">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2B97E89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C3DE12"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E2B4F3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3E8B331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34F7F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4189D8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F615C0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51453B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77DD0904"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5AFE7B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7859750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1AEC73A1"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7C1C9D5C"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0CDC34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0C8D076"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52F200BA"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912D2D0"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22E36F9"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1FFDE4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5FFE1763"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31D41E8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1A3507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6153E7DC"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6AF2C6F3"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B8284C" w14:paraId="557B2DE9" w14:textId="77777777">
        <w:trPr>
          <w:divId w:val="101264411"/>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3DABFA43" w14:textId="77777777" w:rsidR="00000000" w:rsidRDefault="00B8284C">
            <w:pPr>
              <w:pStyle w:val="a3"/>
              <w:spacing w:before="0" w:beforeAutospacing="0" w:after="0" w:afterAutospacing="0"/>
              <w:rPr>
                <w:color w:val="000000"/>
                <w:sz w:val="20"/>
                <w:szCs w:val="20"/>
              </w:rPr>
            </w:pPr>
            <w:r>
              <w:rPr>
                <w:color w:val="000000"/>
                <w:sz w:val="20"/>
                <w:szCs w:val="20"/>
              </w:rPr>
              <w:t>Income tax expense</w:t>
            </w:r>
          </w:p>
        </w:tc>
        <w:tc>
          <w:tcPr>
            <w:tcW w:w="51" w:type="pct"/>
            <w:shd w:val="clear" w:color="auto" w:fill="CFF0FC"/>
            <w:tcMar>
              <w:top w:w="15" w:type="dxa"/>
              <w:left w:w="0" w:type="dxa"/>
              <w:bottom w:w="0" w:type="dxa"/>
              <w:right w:w="15" w:type="dxa"/>
            </w:tcMar>
            <w:vAlign w:val="bottom"/>
            <w:hideMark/>
          </w:tcPr>
          <w:p w14:paraId="09AC9EC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54FCB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D707F1A" w14:textId="77777777" w:rsidR="00000000" w:rsidRDefault="00B8284C">
            <w:pPr>
              <w:pStyle w:val="a3"/>
              <w:spacing w:before="0" w:beforeAutospacing="0" w:after="0" w:afterAutospacing="0"/>
              <w:jc w:val="right"/>
              <w:rPr>
                <w:color w:val="000000"/>
                <w:sz w:val="20"/>
                <w:szCs w:val="20"/>
              </w:rPr>
            </w:pPr>
            <w:r>
              <w:rPr>
                <w:color w:val="000000"/>
                <w:sz w:val="20"/>
                <w:szCs w:val="20"/>
              </w:rPr>
              <w:t>(251</w:t>
            </w:r>
          </w:p>
        </w:tc>
        <w:tc>
          <w:tcPr>
            <w:tcW w:w="50" w:type="pct"/>
            <w:shd w:val="clear" w:color="auto" w:fill="CFF0FC"/>
            <w:noWrap/>
            <w:tcMar>
              <w:top w:w="15" w:type="dxa"/>
              <w:left w:w="0" w:type="dxa"/>
              <w:bottom w:w="0" w:type="dxa"/>
              <w:right w:w="15" w:type="dxa"/>
            </w:tcMar>
            <w:vAlign w:val="bottom"/>
            <w:hideMark/>
          </w:tcPr>
          <w:p w14:paraId="3FC8FB3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1C5B112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ACDAC7"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E52028C" w14:textId="77777777" w:rsidR="00000000" w:rsidRDefault="00B8284C">
            <w:pPr>
              <w:pStyle w:val="a3"/>
              <w:spacing w:before="0" w:beforeAutospacing="0" w:after="0" w:afterAutospacing="0"/>
              <w:jc w:val="right"/>
              <w:rPr>
                <w:color w:val="000000"/>
                <w:sz w:val="20"/>
                <w:szCs w:val="20"/>
              </w:rPr>
            </w:pPr>
            <w:r>
              <w:rPr>
                <w:color w:val="000000"/>
                <w:sz w:val="20"/>
                <w:szCs w:val="20"/>
              </w:rPr>
              <w:t>(359</w:t>
            </w:r>
          </w:p>
        </w:tc>
        <w:tc>
          <w:tcPr>
            <w:tcW w:w="50" w:type="pct"/>
            <w:shd w:val="clear" w:color="auto" w:fill="CFF0FC"/>
            <w:noWrap/>
            <w:tcMar>
              <w:top w:w="15" w:type="dxa"/>
              <w:left w:w="0" w:type="dxa"/>
              <w:bottom w:w="0" w:type="dxa"/>
              <w:right w:w="15" w:type="dxa"/>
            </w:tcMar>
            <w:vAlign w:val="bottom"/>
            <w:hideMark/>
          </w:tcPr>
          <w:p w14:paraId="6B38913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7428F6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7DCEB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F6F8412" w14:textId="77777777" w:rsidR="00000000" w:rsidRDefault="00B8284C">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bottom"/>
            <w:hideMark/>
          </w:tcPr>
          <w:p w14:paraId="442A4E4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608D16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573D2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CD2EDD9" w14:textId="77777777" w:rsidR="00000000" w:rsidRDefault="00B8284C">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14:paraId="62FB530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5EAD3265"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733A6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093BECF" w14:textId="77777777" w:rsidR="00000000" w:rsidRDefault="00B8284C">
            <w:pPr>
              <w:pStyle w:val="a3"/>
              <w:spacing w:before="0" w:beforeAutospacing="0" w:after="0" w:afterAutospacing="0"/>
              <w:jc w:val="right"/>
              <w:rPr>
                <w:color w:val="000000"/>
                <w:sz w:val="20"/>
                <w:szCs w:val="20"/>
              </w:rPr>
            </w:pPr>
            <w:r>
              <w:rPr>
                <w:color w:val="000000"/>
                <w:sz w:val="20"/>
                <w:szCs w:val="20"/>
              </w:rPr>
              <w:t>(1,675</w:t>
            </w:r>
          </w:p>
        </w:tc>
        <w:tc>
          <w:tcPr>
            <w:tcW w:w="50" w:type="pct"/>
            <w:shd w:val="clear" w:color="auto" w:fill="CFF0FC"/>
            <w:noWrap/>
            <w:tcMar>
              <w:top w:w="15" w:type="dxa"/>
              <w:left w:w="0" w:type="dxa"/>
              <w:bottom w:w="0" w:type="dxa"/>
              <w:right w:w="15" w:type="dxa"/>
            </w:tcMar>
            <w:vAlign w:val="bottom"/>
            <w:hideMark/>
          </w:tcPr>
          <w:p w14:paraId="5F0BD2A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39E41F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566C8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38DC31F" w14:textId="77777777" w:rsidR="00000000" w:rsidRDefault="00B8284C">
            <w:pPr>
              <w:pStyle w:val="a3"/>
              <w:spacing w:before="0" w:beforeAutospacing="0" w:after="0" w:afterAutospacing="0"/>
              <w:jc w:val="right"/>
              <w:rPr>
                <w:color w:val="000000"/>
                <w:sz w:val="20"/>
                <w:szCs w:val="20"/>
              </w:rPr>
            </w:pPr>
            <w:r>
              <w:rPr>
                <w:color w:val="000000"/>
                <w:sz w:val="20"/>
                <w:szCs w:val="20"/>
              </w:rPr>
              <w:t>(1,262</w:t>
            </w:r>
          </w:p>
        </w:tc>
        <w:tc>
          <w:tcPr>
            <w:tcW w:w="50" w:type="pct"/>
            <w:shd w:val="clear" w:color="auto" w:fill="CFF0FC"/>
            <w:noWrap/>
            <w:tcMar>
              <w:top w:w="15" w:type="dxa"/>
              <w:left w:w="0" w:type="dxa"/>
              <w:bottom w:w="0" w:type="dxa"/>
              <w:right w:w="15" w:type="dxa"/>
            </w:tcMar>
            <w:vAlign w:val="bottom"/>
            <w:hideMark/>
          </w:tcPr>
          <w:p w14:paraId="4083347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04804F3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6AA06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A978F12" w14:textId="77777777" w:rsidR="00000000" w:rsidRDefault="00B8284C">
            <w:pPr>
              <w:pStyle w:val="a3"/>
              <w:spacing w:before="0" w:beforeAutospacing="0" w:after="0" w:afterAutospacing="0"/>
              <w:jc w:val="right"/>
              <w:rPr>
                <w:color w:val="000000"/>
                <w:sz w:val="20"/>
                <w:szCs w:val="20"/>
              </w:rPr>
            </w:pPr>
            <w:r>
              <w:rPr>
                <w:color w:val="000000"/>
                <w:sz w:val="20"/>
                <w:szCs w:val="20"/>
              </w:rPr>
              <w:t>(413</w:t>
            </w:r>
          </w:p>
        </w:tc>
        <w:tc>
          <w:tcPr>
            <w:tcW w:w="50" w:type="pct"/>
            <w:shd w:val="clear" w:color="auto" w:fill="CFF0FC"/>
            <w:noWrap/>
            <w:tcMar>
              <w:top w:w="15" w:type="dxa"/>
              <w:left w:w="0" w:type="dxa"/>
              <w:bottom w:w="0" w:type="dxa"/>
              <w:right w:w="15" w:type="dxa"/>
            </w:tcMar>
            <w:vAlign w:val="bottom"/>
            <w:hideMark/>
          </w:tcPr>
          <w:p w14:paraId="4358533F"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E7E6A1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B88B6F"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CC9F911" w14:textId="77777777" w:rsidR="00000000" w:rsidRDefault="00B8284C">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14:paraId="2B64CF8D"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B8284C" w14:paraId="560BB0CC" w14:textId="77777777">
        <w:trPr>
          <w:divId w:val="101264411"/>
        </w:trPr>
        <w:tc>
          <w:tcPr>
            <w:tcW w:w="1526" w:type="pct"/>
            <w:shd w:val="clear" w:color="auto" w:fill="FFFFFF"/>
            <w:tcMar>
              <w:top w:w="15" w:type="dxa"/>
              <w:left w:w="0" w:type="dxa"/>
              <w:bottom w:w="0" w:type="dxa"/>
              <w:right w:w="15" w:type="dxa"/>
            </w:tcMar>
            <w:vAlign w:val="bottom"/>
            <w:hideMark/>
          </w:tcPr>
          <w:p w14:paraId="719D2DBE" w14:textId="77777777" w:rsidR="00000000" w:rsidRDefault="00B8284C">
            <w:pPr>
              <w:pStyle w:val="a3"/>
              <w:spacing w:before="0" w:beforeAutospacing="0" w:after="0" w:afterAutospacing="0"/>
              <w:rPr>
                <w:color w:val="000000"/>
                <w:sz w:val="20"/>
                <w:szCs w:val="20"/>
              </w:rPr>
            </w:pPr>
            <w:r>
              <w:rPr>
                <w:color w:val="000000"/>
                <w:sz w:val="20"/>
                <w:szCs w:val="20"/>
              </w:rPr>
              <w:t>Effective tax rate</w:t>
            </w:r>
          </w:p>
        </w:tc>
        <w:tc>
          <w:tcPr>
            <w:tcW w:w="51" w:type="pct"/>
            <w:shd w:val="clear" w:color="auto" w:fill="FFFFFF"/>
            <w:tcMar>
              <w:top w:w="15" w:type="dxa"/>
              <w:left w:w="0" w:type="dxa"/>
              <w:bottom w:w="0" w:type="dxa"/>
              <w:right w:w="15" w:type="dxa"/>
            </w:tcMar>
            <w:vAlign w:val="bottom"/>
            <w:hideMark/>
          </w:tcPr>
          <w:p w14:paraId="35F0B3A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29019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62E8AE5" w14:textId="77777777" w:rsidR="00000000" w:rsidRDefault="00B8284C">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32933E0C"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5C0177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50360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1355434" w14:textId="77777777" w:rsidR="00000000" w:rsidRDefault="00B8284C">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65EC286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2FD7E02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BDEF2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C8BDE7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E16EE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F67F28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CEF1E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B2286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7D92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A770E16" w14:textId="77777777" w:rsidR="00000000" w:rsidRDefault="00B8284C">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641C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FA6A21B" w14:textId="77777777" w:rsidR="00000000" w:rsidRDefault="00B8284C">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16A5E1D1"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4D4DA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BC325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2E48660" w14:textId="77777777" w:rsidR="00000000" w:rsidRDefault="00B8284C">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74040F5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ACDE0E9"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3A362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F3CDC32"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D85C6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35EC1F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4366E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5CEE39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FECD02"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198A71AE" w14:textId="77777777" w:rsidR="00000000" w:rsidRDefault="00B8284C">
      <w:pPr>
        <w:pStyle w:val="a3"/>
        <w:spacing w:before="0" w:beforeAutospacing="0" w:after="0" w:afterAutospacing="0"/>
        <w:rPr>
          <w:sz w:val="20"/>
          <w:szCs w:val="20"/>
        </w:rPr>
      </w:pPr>
      <w:r>
        <w:rPr>
          <w:sz w:val="20"/>
          <w:szCs w:val="20"/>
        </w:rPr>
        <w:t> </w:t>
      </w:r>
    </w:p>
    <w:p w14:paraId="6F37E571" w14:textId="77777777" w:rsidR="00000000" w:rsidRDefault="00B8284C">
      <w:pPr>
        <w:pStyle w:val="a3"/>
        <w:spacing w:before="40" w:beforeAutospacing="0" w:after="0" w:afterAutospacing="0"/>
        <w:ind w:firstLine="556"/>
        <w:rPr>
          <w:sz w:val="20"/>
          <w:szCs w:val="20"/>
        </w:rPr>
      </w:pPr>
      <w:r>
        <w:rPr>
          <w:sz w:val="20"/>
          <w:szCs w:val="20"/>
        </w:rPr>
        <w:t>Inco</w:t>
      </w:r>
      <w:r>
        <w:rPr>
          <w:sz w:val="20"/>
          <w:szCs w:val="20"/>
        </w:rPr>
        <w:t xml:space="preserve">me tax expense consists of current and deferred taxes for U.S. and foreign income. </w:t>
      </w:r>
    </w:p>
    <w:p w14:paraId="4E6A19F5" w14:textId="77777777" w:rsidR="00000000" w:rsidRDefault="00B8284C">
      <w:pPr>
        <w:pStyle w:val="a3"/>
        <w:spacing w:before="0" w:beforeAutospacing="0" w:after="0" w:afterAutospacing="0"/>
        <w:rPr>
          <w:sz w:val="20"/>
          <w:szCs w:val="20"/>
        </w:rPr>
      </w:pPr>
      <w:r>
        <w:rPr>
          <w:sz w:val="20"/>
          <w:szCs w:val="20"/>
        </w:rPr>
        <w:t> </w:t>
      </w:r>
    </w:p>
    <w:p w14:paraId="5772BA39" w14:textId="77777777" w:rsidR="00000000" w:rsidRDefault="00B8284C">
      <w:pPr>
        <w:pStyle w:val="a3"/>
        <w:spacing w:before="160" w:beforeAutospacing="0" w:after="0" w:afterAutospacing="0"/>
        <w:rPr>
          <w:b/>
          <w:bCs/>
          <w:sz w:val="20"/>
          <w:szCs w:val="20"/>
        </w:rPr>
      </w:pPr>
      <w:r>
        <w:rPr>
          <w:b/>
          <w:bCs/>
          <w:sz w:val="20"/>
          <w:szCs w:val="20"/>
        </w:rPr>
        <w:t>Liquidity and Capital Resources</w:t>
      </w:r>
    </w:p>
    <w:p w14:paraId="675EFDF6" w14:textId="77777777" w:rsidR="00000000" w:rsidRDefault="00B8284C">
      <w:pPr>
        <w:pStyle w:val="a3"/>
        <w:spacing w:before="0" w:beforeAutospacing="0" w:after="0" w:afterAutospacing="0"/>
        <w:ind w:firstLine="556"/>
        <w:rPr>
          <w:sz w:val="12"/>
          <w:szCs w:val="12"/>
        </w:rPr>
      </w:pPr>
      <w:r>
        <w:rPr>
          <w:sz w:val="12"/>
          <w:szCs w:val="12"/>
        </w:rPr>
        <w:t> </w:t>
      </w:r>
    </w:p>
    <w:p w14:paraId="4241BDBA" w14:textId="77777777" w:rsidR="00000000" w:rsidRDefault="00B8284C">
      <w:pPr>
        <w:pStyle w:val="a3"/>
        <w:spacing w:before="0" w:beforeAutospacing="0" w:after="0" w:afterAutospacing="0"/>
        <w:ind w:firstLine="556"/>
        <w:rPr>
          <w:sz w:val="20"/>
          <w:szCs w:val="20"/>
        </w:rPr>
      </w:pPr>
      <w:r>
        <w:rPr>
          <w:sz w:val="20"/>
          <w:szCs w:val="20"/>
        </w:rPr>
        <w:t xml:space="preserve">Our principal sources of liquidity to date have been cash and cash equivalents, net accounts receivable, our common stock offerings, and our convertible notes offering. </w:t>
      </w:r>
    </w:p>
    <w:p w14:paraId="6F186FF8" w14:textId="77777777" w:rsidR="00000000" w:rsidRDefault="00B8284C">
      <w:pPr>
        <w:pStyle w:val="a3"/>
        <w:spacing w:before="0" w:beforeAutospacing="0" w:after="0" w:afterAutospacing="0"/>
        <w:ind w:firstLine="556"/>
      </w:pPr>
      <w:r>
        <w:t> </w:t>
      </w:r>
    </w:p>
    <w:p w14:paraId="178C7069" w14:textId="77777777" w:rsidR="00000000" w:rsidRDefault="00B8284C">
      <w:pPr>
        <w:pStyle w:val="a3"/>
        <w:spacing w:before="0" w:beforeAutospacing="0" w:after="0" w:afterAutospacing="0"/>
        <w:ind w:firstLine="556"/>
        <w:rPr>
          <w:sz w:val="20"/>
          <w:szCs w:val="20"/>
        </w:rPr>
      </w:pPr>
      <w:r>
        <w:rPr>
          <w:sz w:val="20"/>
          <w:szCs w:val="20"/>
        </w:rPr>
        <w:t>The following table shows cash and cash equivalents, working capital, net cash and c</w:t>
      </w:r>
      <w:r>
        <w:rPr>
          <w:sz w:val="20"/>
          <w:szCs w:val="20"/>
        </w:rPr>
        <w:t xml:space="preserve">ash equivalents provided by operating activities, net cash and cash equivalents used in investing activities, and net cash and cash equivalents provided by financing activities for the nine months ended September 30, 2019 and 2018. </w:t>
      </w:r>
    </w:p>
    <w:p w14:paraId="01C1349B" w14:textId="77777777" w:rsidR="00000000" w:rsidRDefault="00B8284C">
      <w:pPr>
        <w:pStyle w:val="a3"/>
        <w:spacing w:before="0" w:beforeAutospacing="0" w:after="0" w:afterAutospacing="0"/>
        <w:ind w:firstLine="556"/>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579"/>
        <w:gridCol w:w="65"/>
        <w:gridCol w:w="115"/>
        <w:gridCol w:w="855"/>
        <w:gridCol w:w="82"/>
        <w:gridCol w:w="65"/>
        <w:gridCol w:w="115"/>
        <w:gridCol w:w="856"/>
        <w:gridCol w:w="82"/>
      </w:tblGrid>
      <w:tr w:rsidR="00000000" w14:paraId="1BBB2972" w14:textId="77777777">
        <w:trPr>
          <w:divId w:val="2122260758"/>
        </w:trPr>
        <w:tc>
          <w:tcPr>
            <w:tcW w:w="3105" w:type="pct"/>
            <w:shd w:val="clear" w:color="auto" w:fill="FFFFFF"/>
            <w:tcMar>
              <w:top w:w="15" w:type="dxa"/>
              <w:left w:w="0" w:type="dxa"/>
              <w:bottom w:w="0" w:type="dxa"/>
              <w:right w:w="15" w:type="dxa"/>
            </w:tcMar>
            <w:vAlign w:val="bottom"/>
            <w:hideMark/>
          </w:tcPr>
          <w:p w14:paraId="6C0BC438" w14:textId="77777777" w:rsidR="00000000" w:rsidRDefault="00B8284C">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1A73951B"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764" w:type="pct"/>
            <w:gridSpan w:val="6"/>
            <w:tcBorders>
              <w:bottom w:val="single" w:sz="6" w:space="0" w:color="000000"/>
            </w:tcBorders>
            <w:shd w:val="clear" w:color="auto" w:fill="FFFFFF"/>
            <w:tcMar>
              <w:top w:w="15" w:type="dxa"/>
              <w:left w:w="0" w:type="dxa"/>
              <w:bottom w:w="0" w:type="dxa"/>
              <w:right w:w="15" w:type="dxa"/>
            </w:tcMar>
            <w:vAlign w:val="bottom"/>
            <w:hideMark/>
          </w:tcPr>
          <w:p w14:paraId="5F2BE17B"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Nine Months ended</w:t>
            </w:r>
            <w:r>
              <w:rPr>
                <w:b/>
                <w:bCs/>
                <w:color w:val="000000"/>
                <w:sz w:val="16"/>
                <w:szCs w:val="16"/>
              </w:rPr>
              <w:t xml:space="preserve"> September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1762020"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2334A2EF" w14:textId="77777777">
        <w:trPr>
          <w:divId w:val="2122260758"/>
        </w:trPr>
        <w:tc>
          <w:tcPr>
            <w:tcW w:w="3105" w:type="pct"/>
            <w:shd w:val="clear" w:color="auto" w:fill="FFFFFF"/>
            <w:tcMar>
              <w:top w:w="15" w:type="dxa"/>
              <w:left w:w="0" w:type="dxa"/>
              <w:bottom w:w="0" w:type="dxa"/>
              <w:right w:w="15" w:type="dxa"/>
            </w:tcMar>
            <w:vAlign w:val="bottom"/>
            <w:hideMark/>
          </w:tcPr>
          <w:p w14:paraId="7631A844"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6A113F32"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8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2B2632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09321B8"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2781530E"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5C174E"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2018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2F6DACD"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75CB0435" w14:textId="77777777">
        <w:trPr>
          <w:divId w:val="2122260758"/>
        </w:trPr>
        <w:tc>
          <w:tcPr>
            <w:tcW w:w="3105" w:type="pct"/>
            <w:shd w:val="clear" w:color="auto" w:fill="FFFFFF"/>
            <w:tcMar>
              <w:top w:w="15" w:type="dxa"/>
              <w:left w:w="0" w:type="dxa"/>
              <w:bottom w:w="0" w:type="dxa"/>
              <w:right w:w="15" w:type="dxa"/>
            </w:tcMar>
            <w:vAlign w:val="bottom"/>
            <w:hideMark/>
          </w:tcPr>
          <w:p w14:paraId="355B6C5A"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0F587966" w14:textId="77777777" w:rsidR="00000000" w:rsidRDefault="00B8284C">
            <w:pPr>
              <w:pStyle w:val="a3"/>
              <w:spacing w:before="0" w:beforeAutospacing="0" w:after="0" w:afterAutospacing="0"/>
              <w:rPr>
                <w:color w:val="000000"/>
                <w:sz w:val="16"/>
                <w:szCs w:val="16"/>
              </w:rPr>
            </w:pPr>
            <w:r>
              <w:rPr>
                <w:color w:val="000000"/>
                <w:sz w:val="16"/>
                <w:szCs w:val="16"/>
              </w:rPr>
              <w:t> </w:t>
            </w:r>
          </w:p>
        </w:tc>
        <w:tc>
          <w:tcPr>
            <w:tcW w:w="1764" w:type="pct"/>
            <w:gridSpan w:val="6"/>
            <w:shd w:val="clear" w:color="auto" w:fill="FFFFFF"/>
            <w:tcMar>
              <w:top w:w="15" w:type="dxa"/>
              <w:left w:w="0" w:type="dxa"/>
              <w:bottom w:w="0" w:type="dxa"/>
              <w:right w:w="15" w:type="dxa"/>
            </w:tcMar>
            <w:vAlign w:val="bottom"/>
            <w:hideMark/>
          </w:tcPr>
          <w:p w14:paraId="5035FED4"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27DF91F"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6B7DA881" w14:textId="77777777">
        <w:trPr>
          <w:divId w:val="2122260758"/>
        </w:trPr>
        <w:tc>
          <w:tcPr>
            <w:tcW w:w="3105" w:type="pct"/>
            <w:shd w:val="clear" w:color="auto" w:fill="CFF0FC"/>
            <w:tcMar>
              <w:top w:w="15" w:type="dxa"/>
              <w:left w:w="0" w:type="dxa"/>
              <w:bottom w:w="0" w:type="dxa"/>
              <w:right w:w="15" w:type="dxa"/>
            </w:tcMar>
            <w:vAlign w:val="bottom"/>
            <w:hideMark/>
          </w:tcPr>
          <w:p w14:paraId="086D5F51" w14:textId="77777777" w:rsidR="00000000" w:rsidRDefault="00B8284C">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14:paraId="66EE55D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608B92"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67" w:type="pct"/>
            <w:shd w:val="clear" w:color="auto" w:fill="CFF0FC"/>
            <w:noWrap/>
            <w:tcMar>
              <w:top w:w="15" w:type="dxa"/>
              <w:left w:w="0" w:type="dxa"/>
              <w:bottom w:w="0" w:type="dxa"/>
              <w:right w:w="15" w:type="dxa"/>
            </w:tcMar>
            <w:vAlign w:val="bottom"/>
            <w:hideMark/>
          </w:tcPr>
          <w:p w14:paraId="72D75825" w14:textId="77777777" w:rsidR="00000000" w:rsidRDefault="00B8284C">
            <w:pPr>
              <w:pStyle w:val="a3"/>
              <w:spacing w:before="0" w:beforeAutospacing="0" w:after="0" w:afterAutospacing="0"/>
              <w:jc w:val="right"/>
              <w:rPr>
                <w:color w:val="000000"/>
                <w:sz w:val="20"/>
                <w:szCs w:val="20"/>
              </w:rPr>
            </w:pPr>
            <w:r>
              <w:rPr>
                <w:color w:val="000000"/>
                <w:sz w:val="20"/>
                <w:szCs w:val="20"/>
              </w:rPr>
              <w:t>225,770</w:t>
            </w:r>
          </w:p>
        </w:tc>
        <w:tc>
          <w:tcPr>
            <w:tcW w:w="50" w:type="pct"/>
            <w:shd w:val="clear" w:color="auto" w:fill="CFF0FC"/>
            <w:noWrap/>
            <w:tcMar>
              <w:top w:w="15" w:type="dxa"/>
              <w:left w:w="0" w:type="dxa"/>
              <w:bottom w:w="0" w:type="dxa"/>
              <w:right w:w="15" w:type="dxa"/>
            </w:tcMar>
            <w:vAlign w:val="bottom"/>
            <w:hideMark/>
          </w:tcPr>
          <w:p w14:paraId="4A5D8A2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18A378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8076A8"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67" w:type="pct"/>
            <w:shd w:val="clear" w:color="auto" w:fill="CFF0FC"/>
            <w:noWrap/>
            <w:tcMar>
              <w:top w:w="15" w:type="dxa"/>
              <w:left w:w="0" w:type="dxa"/>
              <w:bottom w:w="0" w:type="dxa"/>
              <w:right w:w="15" w:type="dxa"/>
            </w:tcMar>
            <w:vAlign w:val="bottom"/>
            <w:hideMark/>
          </w:tcPr>
          <w:p w14:paraId="1154CB40" w14:textId="77777777" w:rsidR="00000000" w:rsidRDefault="00B8284C">
            <w:pPr>
              <w:pStyle w:val="a3"/>
              <w:spacing w:before="0" w:beforeAutospacing="0" w:after="0" w:afterAutospacing="0"/>
              <w:jc w:val="right"/>
              <w:rPr>
                <w:color w:val="000000"/>
                <w:sz w:val="20"/>
                <w:szCs w:val="20"/>
              </w:rPr>
            </w:pPr>
            <w:r>
              <w:rPr>
                <w:color w:val="000000"/>
                <w:sz w:val="20"/>
                <w:szCs w:val="20"/>
              </w:rPr>
              <w:t>96,112</w:t>
            </w:r>
          </w:p>
        </w:tc>
        <w:tc>
          <w:tcPr>
            <w:tcW w:w="50" w:type="pct"/>
            <w:shd w:val="clear" w:color="auto" w:fill="CFF0FC"/>
            <w:noWrap/>
            <w:tcMar>
              <w:top w:w="15" w:type="dxa"/>
              <w:left w:w="0" w:type="dxa"/>
              <w:bottom w:w="0" w:type="dxa"/>
              <w:right w:w="15" w:type="dxa"/>
            </w:tcMar>
            <w:vAlign w:val="bottom"/>
            <w:hideMark/>
          </w:tcPr>
          <w:p w14:paraId="7D060869"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7CC92B0" w14:textId="77777777">
        <w:trPr>
          <w:divId w:val="2122260758"/>
        </w:trPr>
        <w:tc>
          <w:tcPr>
            <w:tcW w:w="3105" w:type="pct"/>
            <w:shd w:val="clear" w:color="auto" w:fill="FFFFFF"/>
            <w:tcMar>
              <w:top w:w="15" w:type="dxa"/>
              <w:left w:w="0" w:type="dxa"/>
              <w:bottom w:w="0" w:type="dxa"/>
              <w:right w:w="15" w:type="dxa"/>
            </w:tcMar>
            <w:vAlign w:val="bottom"/>
            <w:hideMark/>
          </w:tcPr>
          <w:p w14:paraId="4EB644F0" w14:textId="77777777" w:rsidR="00000000" w:rsidRDefault="00B8284C">
            <w:pPr>
              <w:pStyle w:val="a3"/>
              <w:spacing w:before="0" w:beforeAutospacing="0" w:after="0" w:afterAutospacing="0"/>
              <w:rPr>
                <w:color w:val="000000"/>
                <w:sz w:val="20"/>
                <w:szCs w:val="20"/>
              </w:rPr>
            </w:pPr>
            <w:r>
              <w:rPr>
                <w:color w:val="000000"/>
                <w:sz w:val="20"/>
                <w:szCs w:val="20"/>
              </w:rPr>
              <w:t>Working capital</w:t>
            </w:r>
          </w:p>
        </w:tc>
        <w:tc>
          <w:tcPr>
            <w:tcW w:w="79" w:type="pct"/>
            <w:shd w:val="clear" w:color="auto" w:fill="FFFFFF"/>
            <w:tcMar>
              <w:top w:w="15" w:type="dxa"/>
              <w:left w:w="0" w:type="dxa"/>
              <w:bottom w:w="0" w:type="dxa"/>
              <w:right w:w="15" w:type="dxa"/>
            </w:tcMar>
            <w:vAlign w:val="bottom"/>
            <w:hideMark/>
          </w:tcPr>
          <w:p w14:paraId="417F909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D9DB4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21BEDD89" w14:textId="77777777" w:rsidR="00000000" w:rsidRDefault="00B8284C">
            <w:pPr>
              <w:pStyle w:val="a3"/>
              <w:spacing w:before="0" w:beforeAutospacing="0" w:after="0" w:afterAutospacing="0"/>
              <w:jc w:val="right"/>
              <w:rPr>
                <w:color w:val="000000"/>
                <w:sz w:val="20"/>
                <w:szCs w:val="20"/>
              </w:rPr>
            </w:pPr>
            <w:r>
              <w:rPr>
                <w:color w:val="000000"/>
                <w:sz w:val="20"/>
                <w:szCs w:val="20"/>
              </w:rPr>
              <w:t>800,321</w:t>
            </w:r>
          </w:p>
        </w:tc>
        <w:tc>
          <w:tcPr>
            <w:tcW w:w="50" w:type="pct"/>
            <w:shd w:val="clear" w:color="auto" w:fill="FFFFFF"/>
            <w:noWrap/>
            <w:tcMar>
              <w:top w:w="15" w:type="dxa"/>
              <w:left w:w="0" w:type="dxa"/>
              <w:bottom w:w="0" w:type="dxa"/>
              <w:right w:w="15" w:type="dxa"/>
            </w:tcMar>
            <w:vAlign w:val="bottom"/>
            <w:hideMark/>
          </w:tcPr>
          <w:p w14:paraId="32458B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117493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61801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687B4DB7" w14:textId="77777777" w:rsidR="00000000" w:rsidRDefault="00B8284C">
            <w:pPr>
              <w:pStyle w:val="a3"/>
              <w:spacing w:before="0" w:beforeAutospacing="0" w:after="0" w:afterAutospacing="0"/>
              <w:jc w:val="right"/>
              <w:rPr>
                <w:color w:val="000000"/>
                <w:sz w:val="20"/>
                <w:szCs w:val="20"/>
              </w:rPr>
            </w:pPr>
            <w:r>
              <w:rPr>
                <w:color w:val="000000"/>
                <w:sz w:val="20"/>
                <w:szCs w:val="20"/>
              </w:rPr>
              <w:t>455,172</w:t>
            </w:r>
          </w:p>
        </w:tc>
        <w:tc>
          <w:tcPr>
            <w:tcW w:w="50" w:type="pct"/>
            <w:shd w:val="clear" w:color="auto" w:fill="FFFFFF"/>
            <w:noWrap/>
            <w:tcMar>
              <w:top w:w="15" w:type="dxa"/>
              <w:left w:w="0" w:type="dxa"/>
              <w:bottom w:w="0" w:type="dxa"/>
              <w:right w:w="15" w:type="dxa"/>
            </w:tcMar>
            <w:vAlign w:val="bottom"/>
            <w:hideMark/>
          </w:tcPr>
          <w:p w14:paraId="5D614623"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35DC780" w14:textId="77777777">
        <w:trPr>
          <w:divId w:val="2122260758"/>
        </w:trPr>
        <w:tc>
          <w:tcPr>
            <w:tcW w:w="3105" w:type="pct"/>
            <w:shd w:val="clear" w:color="auto" w:fill="CFF0FC"/>
            <w:tcMar>
              <w:top w:w="15" w:type="dxa"/>
              <w:left w:w="0" w:type="dxa"/>
              <w:bottom w:w="0" w:type="dxa"/>
              <w:right w:w="15" w:type="dxa"/>
            </w:tcMar>
            <w:vAlign w:val="bottom"/>
            <w:hideMark/>
          </w:tcPr>
          <w:p w14:paraId="7E24724E" w14:textId="77777777" w:rsidR="00000000" w:rsidRDefault="00B8284C">
            <w:pPr>
              <w:pStyle w:val="a3"/>
              <w:spacing w:before="0" w:beforeAutospacing="0" w:after="0" w:afterAutospacing="0"/>
              <w:rPr>
                <w:color w:val="000000"/>
                <w:sz w:val="20"/>
                <w:szCs w:val="20"/>
              </w:rPr>
            </w:pPr>
            <w:r>
              <w:rPr>
                <w:color w:val="000000"/>
                <w:sz w:val="20"/>
                <w:szCs w:val="20"/>
              </w:rPr>
              <w:t>Net cash and cash equivalents provided by operating</w:t>
            </w:r>
          </w:p>
          <w:p w14:paraId="57420AA7" w14:textId="77777777" w:rsidR="00000000" w:rsidRDefault="00B8284C">
            <w:pPr>
              <w:pStyle w:val="a3"/>
              <w:spacing w:before="0" w:beforeAutospacing="0" w:after="0" w:afterAutospacing="0"/>
              <w:rPr>
                <w:color w:val="000000"/>
                <w:sz w:val="20"/>
                <w:szCs w:val="20"/>
              </w:rPr>
            </w:pPr>
            <w:r>
              <w:rPr>
                <w:color w:val="000000"/>
                <w:sz w:val="20"/>
                <w:szCs w:val="20"/>
              </w:rPr>
              <w:t>   activities</w:t>
            </w:r>
          </w:p>
        </w:tc>
        <w:tc>
          <w:tcPr>
            <w:tcW w:w="79" w:type="pct"/>
            <w:shd w:val="clear" w:color="auto" w:fill="CFF0FC"/>
            <w:tcMar>
              <w:top w:w="15" w:type="dxa"/>
              <w:left w:w="0" w:type="dxa"/>
              <w:bottom w:w="0" w:type="dxa"/>
              <w:right w:w="15" w:type="dxa"/>
            </w:tcMar>
            <w:vAlign w:val="bottom"/>
            <w:hideMark/>
          </w:tcPr>
          <w:p w14:paraId="1B9F8D4D"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FC744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3A058F33" w14:textId="77777777" w:rsidR="00000000" w:rsidRDefault="00B8284C">
            <w:pPr>
              <w:pStyle w:val="a3"/>
              <w:spacing w:before="0" w:beforeAutospacing="0" w:after="0" w:afterAutospacing="0"/>
              <w:jc w:val="right"/>
              <w:rPr>
                <w:color w:val="000000"/>
                <w:sz w:val="20"/>
                <w:szCs w:val="20"/>
              </w:rPr>
            </w:pPr>
            <w:r>
              <w:rPr>
                <w:color w:val="000000"/>
                <w:sz w:val="20"/>
                <w:szCs w:val="20"/>
              </w:rPr>
              <w:t>71,082</w:t>
            </w:r>
          </w:p>
        </w:tc>
        <w:tc>
          <w:tcPr>
            <w:tcW w:w="50" w:type="pct"/>
            <w:shd w:val="clear" w:color="auto" w:fill="CFF0FC"/>
            <w:noWrap/>
            <w:tcMar>
              <w:top w:w="15" w:type="dxa"/>
              <w:left w:w="0" w:type="dxa"/>
              <w:bottom w:w="0" w:type="dxa"/>
              <w:right w:w="15" w:type="dxa"/>
            </w:tcMar>
            <w:vAlign w:val="bottom"/>
            <w:hideMark/>
          </w:tcPr>
          <w:p w14:paraId="0253755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56C94D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C0E1E4"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19A69430" w14:textId="77777777" w:rsidR="00000000" w:rsidRDefault="00B8284C">
            <w:pPr>
              <w:pStyle w:val="a3"/>
              <w:spacing w:before="0" w:beforeAutospacing="0" w:after="0" w:afterAutospacing="0"/>
              <w:jc w:val="right"/>
              <w:rPr>
                <w:color w:val="000000"/>
                <w:sz w:val="20"/>
                <w:szCs w:val="20"/>
              </w:rPr>
            </w:pPr>
            <w:r>
              <w:rPr>
                <w:color w:val="000000"/>
                <w:sz w:val="20"/>
                <w:szCs w:val="20"/>
              </w:rPr>
              <w:t>51,740</w:t>
            </w:r>
          </w:p>
        </w:tc>
        <w:tc>
          <w:tcPr>
            <w:tcW w:w="50" w:type="pct"/>
            <w:shd w:val="clear" w:color="auto" w:fill="CFF0FC"/>
            <w:noWrap/>
            <w:tcMar>
              <w:top w:w="15" w:type="dxa"/>
              <w:left w:w="0" w:type="dxa"/>
              <w:bottom w:w="0" w:type="dxa"/>
              <w:right w:w="15" w:type="dxa"/>
            </w:tcMar>
            <w:vAlign w:val="bottom"/>
            <w:hideMark/>
          </w:tcPr>
          <w:p w14:paraId="268FBD4C"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7EC3F42F" w14:textId="77777777">
        <w:trPr>
          <w:divId w:val="2122260758"/>
        </w:trPr>
        <w:tc>
          <w:tcPr>
            <w:tcW w:w="3105" w:type="pct"/>
            <w:shd w:val="clear" w:color="auto" w:fill="FFFFFF"/>
            <w:tcMar>
              <w:top w:w="15" w:type="dxa"/>
              <w:left w:w="0" w:type="dxa"/>
              <w:bottom w:w="0" w:type="dxa"/>
              <w:right w:w="15" w:type="dxa"/>
            </w:tcMar>
            <w:vAlign w:val="bottom"/>
            <w:hideMark/>
          </w:tcPr>
          <w:p w14:paraId="6FBB70DC" w14:textId="77777777" w:rsidR="00000000" w:rsidRDefault="00B8284C">
            <w:pPr>
              <w:pStyle w:val="a3"/>
              <w:spacing w:before="0" w:beforeAutospacing="0" w:after="0" w:afterAutospacing="0"/>
              <w:rPr>
                <w:color w:val="000000"/>
                <w:sz w:val="20"/>
                <w:szCs w:val="20"/>
              </w:rPr>
            </w:pPr>
            <w:r>
              <w:rPr>
                <w:color w:val="000000"/>
                <w:sz w:val="20"/>
                <w:szCs w:val="20"/>
              </w:rPr>
              <w:t>Net cash and cash equivalents used in investing activities</w:t>
            </w:r>
          </w:p>
        </w:tc>
        <w:tc>
          <w:tcPr>
            <w:tcW w:w="79" w:type="pct"/>
            <w:shd w:val="clear" w:color="auto" w:fill="FFFFFF"/>
            <w:tcMar>
              <w:top w:w="15" w:type="dxa"/>
              <w:left w:w="0" w:type="dxa"/>
              <w:bottom w:w="0" w:type="dxa"/>
              <w:right w:w="15" w:type="dxa"/>
            </w:tcMar>
            <w:vAlign w:val="bottom"/>
            <w:hideMark/>
          </w:tcPr>
          <w:p w14:paraId="04E58F6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BB100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24638DF4" w14:textId="77777777" w:rsidR="00000000" w:rsidRDefault="00B8284C">
            <w:pPr>
              <w:pStyle w:val="a3"/>
              <w:spacing w:before="0" w:beforeAutospacing="0" w:after="0" w:afterAutospacing="0"/>
              <w:jc w:val="right"/>
              <w:rPr>
                <w:color w:val="000000"/>
                <w:sz w:val="20"/>
                <w:szCs w:val="20"/>
              </w:rPr>
            </w:pPr>
            <w:r>
              <w:rPr>
                <w:color w:val="000000"/>
                <w:sz w:val="20"/>
                <w:szCs w:val="20"/>
              </w:rPr>
              <w:t>(309,269</w:t>
            </w:r>
          </w:p>
        </w:tc>
        <w:tc>
          <w:tcPr>
            <w:tcW w:w="50" w:type="pct"/>
            <w:shd w:val="clear" w:color="auto" w:fill="FFFFFF"/>
            <w:noWrap/>
            <w:tcMar>
              <w:top w:w="15" w:type="dxa"/>
              <w:left w:w="0" w:type="dxa"/>
              <w:bottom w:w="0" w:type="dxa"/>
              <w:right w:w="15" w:type="dxa"/>
            </w:tcMar>
            <w:vAlign w:val="bottom"/>
            <w:hideMark/>
          </w:tcPr>
          <w:p w14:paraId="1A498B3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126E214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FEB2E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3721034F" w14:textId="77777777" w:rsidR="00000000" w:rsidRDefault="00B8284C">
            <w:pPr>
              <w:pStyle w:val="a3"/>
              <w:spacing w:before="0" w:beforeAutospacing="0" w:after="0" w:afterAutospacing="0"/>
              <w:jc w:val="right"/>
              <w:rPr>
                <w:color w:val="000000"/>
                <w:sz w:val="20"/>
                <w:szCs w:val="20"/>
              </w:rPr>
            </w:pPr>
            <w:r>
              <w:rPr>
                <w:color w:val="000000"/>
                <w:sz w:val="20"/>
                <w:szCs w:val="20"/>
              </w:rPr>
              <w:t>(51,702</w:t>
            </w:r>
          </w:p>
        </w:tc>
        <w:tc>
          <w:tcPr>
            <w:tcW w:w="50" w:type="pct"/>
            <w:shd w:val="clear" w:color="auto" w:fill="FFFFFF"/>
            <w:noWrap/>
            <w:tcMar>
              <w:top w:w="15" w:type="dxa"/>
              <w:left w:w="0" w:type="dxa"/>
              <w:bottom w:w="0" w:type="dxa"/>
              <w:right w:w="15" w:type="dxa"/>
            </w:tcMar>
            <w:vAlign w:val="bottom"/>
            <w:hideMark/>
          </w:tcPr>
          <w:p w14:paraId="0888AF91"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5F677A78" w14:textId="77777777">
        <w:trPr>
          <w:divId w:val="2122260758"/>
        </w:trPr>
        <w:tc>
          <w:tcPr>
            <w:tcW w:w="3105" w:type="pct"/>
            <w:shd w:val="clear" w:color="auto" w:fill="CFF0FC"/>
            <w:tcMar>
              <w:top w:w="15" w:type="dxa"/>
              <w:left w:w="0" w:type="dxa"/>
              <w:bottom w:w="0" w:type="dxa"/>
              <w:right w:w="15" w:type="dxa"/>
            </w:tcMar>
            <w:vAlign w:val="bottom"/>
            <w:hideMark/>
          </w:tcPr>
          <w:p w14:paraId="3E7BBD37" w14:textId="77777777" w:rsidR="00000000" w:rsidRDefault="00B8284C">
            <w:pPr>
              <w:pStyle w:val="a3"/>
              <w:spacing w:before="0" w:beforeAutospacing="0" w:after="0" w:afterAutospacing="0"/>
              <w:rPr>
                <w:color w:val="000000"/>
                <w:sz w:val="20"/>
                <w:szCs w:val="20"/>
              </w:rPr>
            </w:pPr>
            <w:r>
              <w:rPr>
                <w:color w:val="000000"/>
                <w:sz w:val="20"/>
                <w:szCs w:val="20"/>
              </w:rPr>
              <w:t>Net cash and cash equivalents provided by</w:t>
            </w:r>
          </w:p>
          <w:p w14:paraId="2C16B07D" w14:textId="77777777" w:rsidR="00000000" w:rsidRDefault="00B8284C">
            <w:pPr>
              <w:pStyle w:val="a3"/>
              <w:spacing w:before="0" w:beforeAutospacing="0" w:after="0" w:afterAutospacing="0"/>
              <w:rPr>
                <w:color w:val="000000"/>
                <w:sz w:val="20"/>
                <w:szCs w:val="20"/>
              </w:rPr>
            </w:pPr>
            <w:r>
              <w:rPr>
                <w:color w:val="000000"/>
                <w:sz w:val="20"/>
                <w:szCs w:val="20"/>
              </w:rPr>
              <w:t>   financing activities</w:t>
            </w:r>
          </w:p>
        </w:tc>
        <w:tc>
          <w:tcPr>
            <w:tcW w:w="79" w:type="pct"/>
            <w:shd w:val="clear" w:color="auto" w:fill="CFF0FC"/>
            <w:tcMar>
              <w:top w:w="15" w:type="dxa"/>
              <w:left w:w="0" w:type="dxa"/>
              <w:bottom w:w="0" w:type="dxa"/>
              <w:right w:w="15" w:type="dxa"/>
            </w:tcMar>
            <w:vAlign w:val="bottom"/>
            <w:hideMark/>
          </w:tcPr>
          <w:p w14:paraId="7D7D662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C4CF9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6F5CC392" w14:textId="77777777" w:rsidR="00000000" w:rsidRDefault="00B8284C">
            <w:pPr>
              <w:pStyle w:val="a3"/>
              <w:spacing w:before="0" w:beforeAutospacing="0" w:after="0" w:afterAutospacing="0"/>
              <w:jc w:val="right"/>
              <w:rPr>
                <w:color w:val="000000"/>
                <w:sz w:val="20"/>
                <w:szCs w:val="20"/>
              </w:rPr>
            </w:pPr>
            <w:r>
              <w:rPr>
                <w:color w:val="000000"/>
                <w:sz w:val="20"/>
                <w:szCs w:val="20"/>
              </w:rPr>
              <w:t>356,538</w:t>
            </w:r>
          </w:p>
        </w:tc>
        <w:tc>
          <w:tcPr>
            <w:tcW w:w="50" w:type="pct"/>
            <w:shd w:val="clear" w:color="auto" w:fill="CFF0FC"/>
            <w:noWrap/>
            <w:tcMar>
              <w:top w:w="15" w:type="dxa"/>
              <w:left w:w="0" w:type="dxa"/>
              <w:bottom w:w="0" w:type="dxa"/>
              <w:right w:w="15" w:type="dxa"/>
            </w:tcMar>
            <w:vAlign w:val="bottom"/>
            <w:hideMark/>
          </w:tcPr>
          <w:p w14:paraId="54C7B19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BF41FD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76EB0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0023368D" w14:textId="77777777" w:rsidR="00000000" w:rsidRDefault="00B8284C">
            <w:pPr>
              <w:pStyle w:val="a3"/>
              <w:spacing w:before="0" w:beforeAutospacing="0" w:after="0" w:afterAutospacing="0"/>
              <w:jc w:val="right"/>
              <w:rPr>
                <w:color w:val="000000"/>
                <w:sz w:val="20"/>
                <w:szCs w:val="20"/>
              </w:rPr>
            </w:pPr>
            <w:r>
              <w:rPr>
                <w:color w:val="000000"/>
                <w:sz w:val="20"/>
                <w:szCs w:val="20"/>
              </w:rPr>
              <w:t>10,244</w:t>
            </w:r>
          </w:p>
        </w:tc>
        <w:tc>
          <w:tcPr>
            <w:tcW w:w="50" w:type="pct"/>
            <w:shd w:val="clear" w:color="auto" w:fill="CFF0FC"/>
            <w:noWrap/>
            <w:tcMar>
              <w:top w:w="15" w:type="dxa"/>
              <w:left w:w="0" w:type="dxa"/>
              <w:bottom w:w="0" w:type="dxa"/>
              <w:right w:w="15" w:type="dxa"/>
            </w:tcMar>
            <w:vAlign w:val="bottom"/>
            <w:hideMark/>
          </w:tcPr>
          <w:p w14:paraId="61F06BE1" w14:textId="77777777" w:rsidR="00000000" w:rsidRDefault="00B8284C">
            <w:pPr>
              <w:pStyle w:val="a3"/>
              <w:spacing w:before="0" w:beforeAutospacing="0" w:after="0" w:afterAutospacing="0"/>
              <w:rPr>
                <w:color w:val="000000"/>
                <w:sz w:val="2"/>
                <w:szCs w:val="2"/>
              </w:rPr>
            </w:pPr>
            <w:r>
              <w:rPr>
                <w:color w:val="000000"/>
                <w:sz w:val="2"/>
                <w:szCs w:val="2"/>
              </w:rPr>
              <w:t> </w:t>
            </w:r>
          </w:p>
        </w:tc>
      </w:tr>
    </w:tbl>
    <w:p w14:paraId="1FD22CC1" w14:textId="77777777" w:rsidR="00000000" w:rsidRDefault="00B8284C">
      <w:pPr>
        <w:pStyle w:val="a3"/>
        <w:spacing w:before="0" w:beforeAutospacing="0" w:after="0" w:afterAutospacing="0"/>
        <w:ind w:firstLine="556"/>
      </w:pPr>
      <w:r>
        <w:t> </w:t>
      </w:r>
    </w:p>
    <w:p w14:paraId="5D0BB5D0" w14:textId="77777777" w:rsidR="00000000" w:rsidRDefault="00B8284C">
      <w:pPr>
        <w:pStyle w:val="a3"/>
        <w:spacing w:before="0" w:beforeAutospacing="0" w:after="0" w:afterAutospacing="0"/>
        <w:ind w:firstLine="556"/>
        <w:rPr>
          <w:sz w:val="20"/>
          <w:szCs w:val="20"/>
        </w:rPr>
      </w:pPr>
      <w:r>
        <w:rPr>
          <w:sz w:val="20"/>
          <w:szCs w:val="20"/>
        </w:rPr>
        <w:t>Our cash and cash equivalents at September 30, 2019 were held for working capital purposes. We believe our working capital is sufficient to support our operations for at least the next 12 months. At September 30, 2019, $</w:t>
      </w:r>
      <w:r>
        <w:rPr>
          <w:color w:val="000000"/>
          <w:sz w:val="20"/>
          <w:szCs w:val="20"/>
        </w:rPr>
        <w:t xml:space="preserve">51.1 million </w:t>
      </w:r>
      <w:r>
        <w:rPr>
          <w:sz w:val="20"/>
          <w:szCs w:val="20"/>
        </w:rPr>
        <w:t>of our cash and cash eq</w:t>
      </w:r>
      <w:r>
        <w:rPr>
          <w:sz w:val="20"/>
          <w:szCs w:val="20"/>
        </w:rPr>
        <w:t xml:space="preserve">uivalents was held in accounts outside the United States. Under the </w:t>
      </w:r>
      <w:r>
        <w:rPr>
          <w:color w:val="222222"/>
          <w:sz w:val="20"/>
          <w:szCs w:val="20"/>
        </w:rPr>
        <w:t>U.S. tax reform legislation that occurred in 2018, we determined that we do not assert indefinite reinvestment of our foreign earnings because these earnings are subject to United States F</w:t>
      </w:r>
      <w:r>
        <w:rPr>
          <w:color w:val="222222"/>
          <w:sz w:val="20"/>
          <w:szCs w:val="20"/>
        </w:rPr>
        <w:t>ederal tax. While we have concluded that any incremental tax incurred upon ultimate distribution of these earnings to be immaterial, our current plans do not demonstrate a need to repatriate undistributed earnings to fund our U.S. operations.</w:t>
      </w:r>
    </w:p>
    <w:p w14:paraId="254AD444" w14:textId="77777777" w:rsidR="00000000" w:rsidRDefault="00B8284C">
      <w:pPr>
        <w:pStyle w:val="a3"/>
        <w:spacing w:before="360" w:beforeAutospacing="0" w:after="0" w:afterAutospacing="0"/>
        <w:rPr>
          <w:i/>
          <w:iCs/>
          <w:sz w:val="20"/>
          <w:szCs w:val="20"/>
        </w:rPr>
      </w:pPr>
      <w:r>
        <w:rPr>
          <w:i/>
          <w:iCs/>
          <w:sz w:val="20"/>
          <w:szCs w:val="20"/>
        </w:rPr>
        <w:t xml:space="preserve">Net Cash and </w:t>
      </w:r>
      <w:r>
        <w:rPr>
          <w:i/>
          <w:iCs/>
          <w:sz w:val="20"/>
          <w:szCs w:val="20"/>
        </w:rPr>
        <w:t>Cash Equivalents Provided by Operating Activities</w:t>
      </w:r>
    </w:p>
    <w:p w14:paraId="42BDF72A" w14:textId="77777777" w:rsidR="00000000" w:rsidRDefault="00B8284C">
      <w:pPr>
        <w:pStyle w:val="a3"/>
        <w:spacing w:before="120" w:beforeAutospacing="0" w:after="0" w:afterAutospacing="0"/>
        <w:ind w:firstLine="556"/>
        <w:rPr>
          <w:sz w:val="20"/>
          <w:szCs w:val="20"/>
        </w:rPr>
      </w:pPr>
      <w:r>
        <w:rPr>
          <w:sz w:val="20"/>
          <w:szCs w:val="20"/>
        </w:rPr>
        <w:t>Net cash and cash equivalents provided by operating activities consists primarily of net loss adjusted for certain non-cash items, including stock-based compensation, depreciation and amortization and other</w:t>
      </w:r>
      <w:r>
        <w:rPr>
          <w:sz w:val="20"/>
          <w:szCs w:val="20"/>
        </w:rPr>
        <w:t xml:space="preserve"> non-cash charges, net.</w:t>
      </w:r>
    </w:p>
    <w:p w14:paraId="0CBFE485" w14:textId="77777777" w:rsidR="00000000" w:rsidRDefault="00B8284C">
      <w:pPr>
        <w:pStyle w:val="a3"/>
        <w:spacing w:before="240" w:beforeAutospacing="0" w:after="0" w:afterAutospacing="0"/>
        <w:ind w:firstLine="556"/>
        <w:rPr>
          <w:sz w:val="20"/>
          <w:szCs w:val="20"/>
        </w:rPr>
      </w:pPr>
      <w:r>
        <w:rPr>
          <w:sz w:val="20"/>
          <w:szCs w:val="20"/>
        </w:rPr>
        <w:t>Net cash and cash equivalents provided by operating activities during the nine months ended September 30, 2019 primarily reflected our net loss of $43.4 million and accretion of bond discounts of $10.9 million offset by non-cash exp</w:t>
      </w:r>
      <w:r>
        <w:rPr>
          <w:sz w:val="20"/>
          <w:szCs w:val="20"/>
        </w:rPr>
        <w:t>enses that included $21.2 million of depreciation and amortization, $73.7 million in stock-based compensation and $16.2 million of amortization of debt discount and issuance costs. Working capital sources of cash and cash equivalents included a $20.9 milli</w:t>
      </w:r>
      <w:r>
        <w:rPr>
          <w:sz w:val="20"/>
          <w:szCs w:val="20"/>
        </w:rPr>
        <w:t>on increase in deferred revenue primarily resulting from the growth in the number of customers invoiced during the period, a $14.3 million increase in right-of-use asset, a $6.2 million increase in accounts payable related to timing of bill payments, and a</w:t>
      </w:r>
      <w:r>
        <w:rPr>
          <w:sz w:val="20"/>
          <w:szCs w:val="20"/>
        </w:rPr>
        <w:t xml:space="preserve"> $1.0 million decrease in accrued expenses and other liabilities. These sources of cash and cash equivalents were offset by a $1.3 million increase in accounts receivable, a $6.2 million increase in prepaid expenses and other assets, a $5.6 million increas</w:t>
      </w:r>
      <w:r>
        <w:rPr>
          <w:sz w:val="20"/>
          <w:szCs w:val="20"/>
        </w:rPr>
        <w:t>e in deferred commissions, and a $14.8 million decrease in lease liabilities.</w:t>
      </w:r>
    </w:p>
    <w:p w14:paraId="38AE8920" w14:textId="77777777" w:rsidR="00000000" w:rsidRDefault="00B8284C">
      <w:pPr>
        <w:pStyle w:val="a3"/>
        <w:spacing w:before="240" w:beforeAutospacing="0" w:after="0" w:afterAutospacing="0"/>
        <w:ind w:firstLine="556"/>
        <w:rPr>
          <w:sz w:val="20"/>
          <w:szCs w:val="20"/>
        </w:rPr>
      </w:pPr>
      <w:r>
        <w:rPr>
          <w:sz w:val="20"/>
          <w:szCs w:val="20"/>
        </w:rPr>
        <w:t xml:space="preserve">Net cash and cash equivalents provided by operating activities during the nine months ended September 30, 2018 primarily reflected our net loss of $52.3 million and accretion of </w:t>
      </w:r>
      <w:r>
        <w:rPr>
          <w:sz w:val="20"/>
          <w:szCs w:val="20"/>
        </w:rPr>
        <w:t>bond discount premium of $4.5 million offset by non-cash expenses that included $16.5 million of depreciation and amortization, $55.3 million in stock-based compensation, $2.0 million of non-cash rent expense and $15.1 million of amortization of debt disco</w:t>
      </w:r>
      <w:r>
        <w:rPr>
          <w:sz w:val="20"/>
          <w:szCs w:val="20"/>
        </w:rPr>
        <w:t xml:space="preserve">unt and issuance costs. Working capital sources of cash and cash equivalents included a $25.7 million increase in deferred revenue primarily resulting from the growth in the number of customers invoiced during the period, $4.0 million increase in deferred </w:t>
      </w:r>
      <w:r>
        <w:rPr>
          <w:sz w:val="20"/>
          <w:szCs w:val="20"/>
        </w:rPr>
        <w:t xml:space="preserve">rent related to tenant improvement allowance received, a $3.8 million increase in accrued expenses, a $4.3 million increase in accounts payable related to timing of bill payments, and a $0.8 million decrease in prepaid </w:t>
      </w:r>
    </w:p>
    <w:p w14:paraId="1ACF5D0E" w14:textId="77777777" w:rsidR="00000000" w:rsidRDefault="00B8284C">
      <w:pPr>
        <w:pStyle w:val="a3"/>
        <w:spacing w:before="240" w:beforeAutospacing="0" w:after="0" w:afterAutospacing="0"/>
        <w:jc w:val="center"/>
        <w:rPr>
          <w:sz w:val="20"/>
          <w:szCs w:val="20"/>
        </w:rPr>
      </w:pPr>
      <w:r>
        <w:rPr>
          <w:sz w:val="20"/>
          <w:szCs w:val="20"/>
        </w:rPr>
        <w:t>28</w:t>
      </w:r>
    </w:p>
    <w:p w14:paraId="2031A00E" w14:textId="77777777" w:rsidR="00000000" w:rsidRDefault="00B8284C">
      <w:pPr>
        <w:rPr>
          <w:rFonts w:eastAsia="Times New Roman"/>
        </w:rPr>
      </w:pPr>
      <w:r>
        <w:rPr>
          <w:rFonts w:eastAsia="Times New Roman"/>
        </w:rPr>
        <w:pict w14:anchorId="5209AB3E">
          <v:rect id="_x0000_i1052" style="width:0;height:1.5pt" o:hralign="center" o:hrstd="t" o:hr="t" fillcolor="#a0a0a0" stroked="f"/>
        </w:pict>
      </w:r>
    </w:p>
    <w:p w14:paraId="2AD5F4E1" w14:textId="77777777" w:rsidR="00000000" w:rsidRDefault="00B8284C">
      <w:pPr>
        <w:pStyle w:val="a3"/>
        <w:spacing w:before="0" w:beforeAutospacing="0" w:after="0" w:afterAutospacing="0"/>
        <w:rPr>
          <w:sz w:val="20"/>
          <w:szCs w:val="20"/>
        </w:rPr>
      </w:pPr>
      <w:r>
        <w:rPr>
          <w:sz w:val="20"/>
          <w:szCs w:val="20"/>
        </w:rPr>
        <w:t> </w:t>
      </w:r>
    </w:p>
    <w:p w14:paraId="6D2033A0" w14:textId="77777777" w:rsidR="00000000" w:rsidRDefault="00B8284C">
      <w:pPr>
        <w:pStyle w:val="a3"/>
        <w:spacing w:before="240" w:beforeAutospacing="0" w:after="0" w:afterAutospacing="0"/>
        <w:rPr>
          <w:sz w:val="20"/>
          <w:szCs w:val="20"/>
        </w:rPr>
      </w:pPr>
      <w:r>
        <w:rPr>
          <w:sz w:val="20"/>
          <w:szCs w:val="20"/>
        </w:rPr>
        <w:t xml:space="preserve">expenses and other assets. These sources of cash and cash equivalents were offset by a $15.9 million increase in deferred commissions and a $3.3 million increase in accounts receivable related to increased billings. </w:t>
      </w:r>
    </w:p>
    <w:p w14:paraId="076983CE" w14:textId="77777777" w:rsidR="00000000" w:rsidRDefault="00B8284C">
      <w:pPr>
        <w:pStyle w:val="a3"/>
        <w:spacing w:before="360" w:beforeAutospacing="0" w:after="0" w:afterAutospacing="0"/>
        <w:rPr>
          <w:i/>
          <w:iCs/>
          <w:sz w:val="20"/>
          <w:szCs w:val="20"/>
        </w:rPr>
      </w:pPr>
      <w:r>
        <w:rPr>
          <w:i/>
          <w:iCs/>
          <w:sz w:val="20"/>
          <w:szCs w:val="20"/>
        </w:rPr>
        <w:t>Net Cash and Cash Equivalents Used in Investing Activities</w:t>
      </w:r>
    </w:p>
    <w:p w14:paraId="75F220EB" w14:textId="77777777" w:rsidR="00000000" w:rsidRDefault="00B8284C">
      <w:pPr>
        <w:pStyle w:val="a3"/>
        <w:spacing w:before="120" w:beforeAutospacing="0" w:after="0" w:afterAutospacing="0"/>
        <w:ind w:firstLine="556"/>
        <w:rPr>
          <w:sz w:val="20"/>
          <w:szCs w:val="20"/>
        </w:rPr>
      </w:pPr>
      <w:r>
        <w:rPr>
          <w:sz w:val="20"/>
          <w:szCs w:val="20"/>
        </w:rPr>
        <w:t>Our investing activities have consisted primarily of purchases and maturities of investments, property and equipment purchases, purchases of strategic investments, and capitalization of software de</w:t>
      </w:r>
      <w:r>
        <w:rPr>
          <w:sz w:val="20"/>
          <w:szCs w:val="20"/>
        </w:rPr>
        <w:t>velopment costs. Capitalized software development costs are related to new products or improvements to our existing software platform that expands the functionality for our customers.</w:t>
      </w:r>
    </w:p>
    <w:p w14:paraId="64E5C238" w14:textId="77777777" w:rsidR="00000000" w:rsidRDefault="00B8284C">
      <w:pPr>
        <w:pStyle w:val="a3"/>
        <w:spacing w:before="240" w:beforeAutospacing="0" w:after="0" w:afterAutospacing="0"/>
        <w:ind w:firstLine="556"/>
        <w:rPr>
          <w:sz w:val="20"/>
          <w:szCs w:val="20"/>
        </w:rPr>
      </w:pPr>
      <w:r>
        <w:rPr>
          <w:sz w:val="20"/>
          <w:szCs w:val="20"/>
        </w:rPr>
        <w:t>Net cash and cash equivalents used in investing activities during the ni</w:t>
      </w:r>
      <w:r>
        <w:rPr>
          <w:sz w:val="20"/>
          <w:szCs w:val="20"/>
        </w:rPr>
        <w:t>ne months ended September 30, 2019 consisted primarily of $968.0 million purchases of investments, $21.2 million of purchased property and equipment, $9.1 million of capitalized software development costs, and $0.6 million of purchases of strategic investm</w:t>
      </w:r>
      <w:r>
        <w:rPr>
          <w:sz w:val="20"/>
          <w:szCs w:val="20"/>
        </w:rPr>
        <w:t>ents. These uses of cash were offset by $689.6 million received related to the maturity of investments.</w:t>
      </w:r>
    </w:p>
    <w:p w14:paraId="5D58B915" w14:textId="77777777" w:rsidR="00000000" w:rsidRDefault="00B8284C">
      <w:pPr>
        <w:pStyle w:val="a3"/>
        <w:spacing w:before="240" w:beforeAutospacing="0" w:after="0" w:afterAutospacing="0"/>
        <w:ind w:firstLine="592"/>
        <w:rPr>
          <w:sz w:val="20"/>
          <w:szCs w:val="20"/>
        </w:rPr>
      </w:pPr>
      <w:r>
        <w:rPr>
          <w:sz w:val="20"/>
          <w:szCs w:val="20"/>
        </w:rPr>
        <w:t>Net cash and cash equivalents used in investing activities during the nine months ended September 30, 2018 consisted primarily of $524.8 million purchas</w:t>
      </w:r>
      <w:r>
        <w:rPr>
          <w:sz w:val="20"/>
          <w:szCs w:val="20"/>
        </w:rPr>
        <w:t>es of investments, $16.7 million of purchased property and equipment, $8.7 million of capitalized software development costs, and $0.3 million related to the purchase of strategic investments. These uses of cash were offset by $498.9 million received relat</w:t>
      </w:r>
      <w:r>
        <w:rPr>
          <w:sz w:val="20"/>
          <w:szCs w:val="20"/>
        </w:rPr>
        <w:t>ed to the maturity of investments.</w:t>
      </w:r>
    </w:p>
    <w:p w14:paraId="2FC13332" w14:textId="77777777" w:rsidR="00000000" w:rsidRDefault="00B8284C">
      <w:pPr>
        <w:pStyle w:val="a3"/>
        <w:spacing w:before="360" w:beforeAutospacing="0" w:after="0" w:afterAutospacing="0"/>
        <w:rPr>
          <w:i/>
          <w:iCs/>
          <w:sz w:val="20"/>
          <w:szCs w:val="20"/>
        </w:rPr>
      </w:pPr>
      <w:r>
        <w:rPr>
          <w:i/>
          <w:iCs/>
          <w:sz w:val="20"/>
          <w:szCs w:val="20"/>
        </w:rPr>
        <w:t>Net Cash and Cash Equivalents Provided by Financing Activities</w:t>
      </w:r>
    </w:p>
    <w:p w14:paraId="21D5D377" w14:textId="77777777" w:rsidR="00000000" w:rsidRDefault="00B8284C">
      <w:pPr>
        <w:pStyle w:val="a3"/>
        <w:spacing w:before="120" w:beforeAutospacing="0" w:after="0" w:afterAutospacing="0"/>
        <w:ind w:firstLine="556"/>
        <w:rPr>
          <w:sz w:val="20"/>
          <w:szCs w:val="20"/>
        </w:rPr>
      </w:pPr>
      <w:r>
        <w:rPr>
          <w:sz w:val="20"/>
          <w:szCs w:val="20"/>
        </w:rPr>
        <w:t>Our financing activities have consisted primarily of our stock offerings, the issuance of our common stock under our stock plans, payments of employee taxes r</w:t>
      </w:r>
      <w:r>
        <w:rPr>
          <w:sz w:val="20"/>
          <w:szCs w:val="20"/>
        </w:rPr>
        <w:t>elated to the net share settlement of stock-based awards, and repayments of our finance lease obligations.</w:t>
      </w:r>
    </w:p>
    <w:p w14:paraId="231E4EF4" w14:textId="77777777" w:rsidR="00000000" w:rsidRDefault="00B8284C">
      <w:pPr>
        <w:pStyle w:val="a3"/>
        <w:spacing w:before="240" w:beforeAutospacing="0" w:after="0" w:afterAutospacing="0"/>
        <w:ind w:firstLine="556"/>
        <w:rPr>
          <w:sz w:val="20"/>
          <w:szCs w:val="20"/>
        </w:rPr>
      </w:pPr>
      <w:r>
        <w:rPr>
          <w:sz w:val="20"/>
          <w:szCs w:val="20"/>
        </w:rPr>
        <w:t>For the nine months ended September 30, 2019 cash provided by financing activities consisted primarily of $342.6 million of net proceeds related to c</w:t>
      </w:r>
      <w:r>
        <w:rPr>
          <w:sz w:val="20"/>
          <w:szCs w:val="20"/>
        </w:rPr>
        <w:t>ommon stock offering and $18.9 million of proceeds related to issuance of common stock under stock plans. This source of cash was offset by $4.8 million used for payment of employee taxes related to the net share settlement of stock-based awards and $0.2 m</w:t>
      </w:r>
      <w:r>
        <w:rPr>
          <w:sz w:val="20"/>
          <w:szCs w:val="20"/>
        </w:rPr>
        <w:t xml:space="preserve">illion used for repayments of capital lease obligations. </w:t>
      </w:r>
    </w:p>
    <w:p w14:paraId="5CC7AE7F" w14:textId="77777777" w:rsidR="00000000" w:rsidRDefault="00B8284C">
      <w:pPr>
        <w:pStyle w:val="a3"/>
        <w:spacing w:before="240" w:beforeAutospacing="0" w:after="0" w:afterAutospacing="0"/>
        <w:ind w:firstLine="592"/>
        <w:rPr>
          <w:sz w:val="20"/>
          <w:szCs w:val="20"/>
        </w:rPr>
      </w:pPr>
      <w:r>
        <w:rPr>
          <w:sz w:val="20"/>
          <w:szCs w:val="20"/>
        </w:rPr>
        <w:t>For the nine months ended September 30, 2018, cash provided by financing activities consisted primarily of $16.8 million of proceeds related to issuance of common stock under stock plans. This sourc</w:t>
      </w:r>
      <w:r>
        <w:rPr>
          <w:sz w:val="20"/>
          <w:szCs w:val="20"/>
        </w:rPr>
        <w:t>e of cash was offset by $5.9 million used for payment of employee taxes related to the net share settlement of stock-based awards and $0.6 million used for repayments of capital lease obligations.  </w:t>
      </w:r>
    </w:p>
    <w:p w14:paraId="737E1F64" w14:textId="77777777" w:rsidR="00000000" w:rsidRDefault="00B8284C">
      <w:pPr>
        <w:pStyle w:val="a3"/>
        <w:spacing w:before="0" w:beforeAutospacing="0" w:after="0" w:afterAutospacing="0"/>
        <w:rPr>
          <w:b/>
          <w:bCs/>
          <w:sz w:val="20"/>
          <w:szCs w:val="20"/>
        </w:rPr>
      </w:pPr>
      <w:r>
        <w:rPr>
          <w:b/>
          <w:bCs/>
          <w:sz w:val="20"/>
          <w:szCs w:val="20"/>
        </w:rPr>
        <w:t> </w:t>
      </w:r>
    </w:p>
    <w:p w14:paraId="488736B0" w14:textId="77777777" w:rsidR="00000000" w:rsidRDefault="00B8284C">
      <w:pPr>
        <w:pStyle w:val="a3"/>
        <w:spacing w:before="160" w:beforeAutospacing="0" w:after="0" w:afterAutospacing="0"/>
        <w:rPr>
          <w:b/>
          <w:bCs/>
          <w:sz w:val="20"/>
          <w:szCs w:val="20"/>
        </w:rPr>
      </w:pPr>
      <w:r>
        <w:rPr>
          <w:b/>
          <w:bCs/>
          <w:sz w:val="20"/>
          <w:szCs w:val="20"/>
        </w:rPr>
        <w:t>Critical Accounting Policies and Estimates</w:t>
      </w:r>
    </w:p>
    <w:p w14:paraId="0649E56B" w14:textId="77777777" w:rsidR="00000000" w:rsidRDefault="00B8284C">
      <w:pPr>
        <w:pStyle w:val="a3"/>
        <w:spacing w:before="0" w:beforeAutospacing="0" w:after="0" w:afterAutospacing="0"/>
        <w:ind w:firstLine="556"/>
        <w:rPr>
          <w:sz w:val="12"/>
          <w:szCs w:val="12"/>
        </w:rPr>
      </w:pPr>
      <w:r>
        <w:rPr>
          <w:sz w:val="12"/>
          <w:szCs w:val="12"/>
        </w:rPr>
        <w:t> </w:t>
      </w:r>
    </w:p>
    <w:p w14:paraId="5BF2E76D" w14:textId="77777777" w:rsidR="00000000" w:rsidRDefault="00B8284C">
      <w:pPr>
        <w:pStyle w:val="a3"/>
        <w:spacing w:before="0" w:beforeAutospacing="0" w:after="0" w:afterAutospacing="0"/>
        <w:ind w:firstLine="556"/>
        <w:rPr>
          <w:sz w:val="20"/>
          <w:szCs w:val="20"/>
        </w:rPr>
      </w:pPr>
      <w:r>
        <w:rPr>
          <w:sz w:val="20"/>
          <w:szCs w:val="20"/>
        </w:rPr>
        <w:t>There have</w:t>
      </w:r>
      <w:r>
        <w:rPr>
          <w:sz w:val="20"/>
          <w:szCs w:val="20"/>
        </w:rPr>
        <w:t xml:space="preserve"> been no significant changes in our critical accounting policies and estimates during the nine months ended</w:t>
      </w:r>
      <w:r>
        <w:rPr>
          <w:color w:val="000000"/>
          <w:sz w:val="20"/>
          <w:szCs w:val="20"/>
        </w:rPr>
        <w:t xml:space="preserve"> September 30, </w:t>
      </w:r>
      <w:r>
        <w:rPr>
          <w:sz w:val="20"/>
          <w:szCs w:val="20"/>
        </w:rPr>
        <w:t>2019 as compared to the critical accounting policies and estimates disclosed in our Annual Report on Form 10-K for the year ended Dece</w:t>
      </w:r>
      <w:r>
        <w:rPr>
          <w:sz w:val="20"/>
          <w:szCs w:val="20"/>
        </w:rPr>
        <w:t>mber 31, 2018 except those disclosed below.</w:t>
      </w:r>
    </w:p>
    <w:p w14:paraId="10A52B39" w14:textId="77777777" w:rsidR="00000000" w:rsidRDefault="00B8284C">
      <w:pPr>
        <w:pStyle w:val="a3"/>
        <w:spacing w:before="0" w:beforeAutospacing="0" w:after="0" w:afterAutospacing="0"/>
        <w:rPr>
          <w:b/>
          <w:bCs/>
          <w:sz w:val="20"/>
          <w:szCs w:val="20"/>
        </w:rPr>
      </w:pPr>
      <w:r>
        <w:rPr>
          <w:b/>
          <w:bCs/>
          <w:sz w:val="20"/>
          <w:szCs w:val="20"/>
        </w:rPr>
        <w:t> </w:t>
      </w:r>
    </w:p>
    <w:p w14:paraId="2B77EF64" w14:textId="77777777" w:rsidR="00000000" w:rsidRDefault="00B8284C">
      <w:pPr>
        <w:pStyle w:val="a3"/>
        <w:spacing w:before="160" w:beforeAutospacing="0" w:after="0" w:afterAutospacing="0"/>
        <w:rPr>
          <w:b/>
          <w:bCs/>
          <w:i/>
          <w:iCs/>
          <w:sz w:val="20"/>
          <w:szCs w:val="20"/>
        </w:rPr>
      </w:pPr>
      <w:r>
        <w:rPr>
          <w:b/>
          <w:bCs/>
          <w:i/>
          <w:iCs/>
          <w:sz w:val="20"/>
          <w:szCs w:val="20"/>
        </w:rPr>
        <w:t xml:space="preserve">Leases </w:t>
      </w:r>
    </w:p>
    <w:p w14:paraId="3327A652" w14:textId="77777777" w:rsidR="00000000" w:rsidRDefault="00B8284C">
      <w:pPr>
        <w:pStyle w:val="a3"/>
        <w:spacing w:before="0" w:beforeAutospacing="0" w:after="0" w:afterAutospacing="0"/>
        <w:ind w:firstLine="556"/>
        <w:rPr>
          <w:b/>
          <w:bCs/>
          <w:sz w:val="12"/>
          <w:szCs w:val="12"/>
        </w:rPr>
      </w:pPr>
      <w:r>
        <w:rPr>
          <w:b/>
          <w:bCs/>
          <w:sz w:val="12"/>
          <w:szCs w:val="12"/>
        </w:rPr>
        <w:t> </w:t>
      </w:r>
    </w:p>
    <w:p w14:paraId="13246D36" w14:textId="77777777" w:rsidR="00000000" w:rsidRDefault="00B8284C">
      <w:pPr>
        <w:pStyle w:val="a3"/>
        <w:spacing w:before="0" w:beforeAutospacing="0" w:after="0" w:afterAutospacing="0"/>
        <w:ind w:firstLine="556"/>
        <w:rPr>
          <w:sz w:val="20"/>
          <w:szCs w:val="20"/>
        </w:rPr>
      </w:pPr>
      <w:r>
        <w:rPr>
          <w:sz w:val="20"/>
          <w:szCs w:val="20"/>
        </w:rPr>
        <w:t>On January 1, 2019, we adopted the new lease guidance using a modified retrospective transition method applied to those leases which were not completed as of January 1, 2019.</w:t>
      </w:r>
    </w:p>
    <w:p w14:paraId="777E66CA" w14:textId="77777777" w:rsidR="00000000" w:rsidRDefault="00B8284C">
      <w:pPr>
        <w:pStyle w:val="a3"/>
        <w:spacing w:before="240" w:beforeAutospacing="0" w:after="0" w:afterAutospacing="0"/>
        <w:ind w:firstLine="556"/>
        <w:rPr>
          <w:color w:val="000000"/>
          <w:sz w:val="20"/>
          <w:szCs w:val="20"/>
        </w:rPr>
      </w:pPr>
      <w:r>
        <w:rPr>
          <w:color w:val="000000"/>
          <w:sz w:val="20"/>
          <w:szCs w:val="20"/>
        </w:rPr>
        <w:t>We lease office facilitie</w:t>
      </w:r>
      <w:r>
        <w:rPr>
          <w:color w:val="000000"/>
          <w:sz w:val="20"/>
          <w:szCs w:val="20"/>
        </w:rPr>
        <w:t xml:space="preserve">s under non-cancelable operating leases that expire at various dates through May 2031. Certain leases contain optional termination dates. </w:t>
      </w:r>
    </w:p>
    <w:p w14:paraId="473A39BC" w14:textId="77777777" w:rsidR="00000000" w:rsidRDefault="00B8284C">
      <w:pPr>
        <w:pStyle w:val="a3"/>
        <w:spacing w:before="240" w:beforeAutospacing="0" w:after="0" w:afterAutospacing="0"/>
        <w:ind w:firstLine="556"/>
        <w:rPr>
          <w:color w:val="000000"/>
          <w:sz w:val="20"/>
          <w:szCs w:val="20"/>
        </w:rPr>
      </w:pPr>
      <w:r>
        <w:rPr>
          <w:color w:val="000000"/>
          <w:sz w:val="20"/>
          <w:szCs w:val="20"/>
        </w:rPr>
        <w:t xml:space="preserve">We determine if an arrangement contains a lease at inception and does not separate lease and non-lease components of </w:t>
      </w:r>
      <w:r>
        <w:rPr>
          <w:color w:val="000000"/>
          <w:sz w:val="20"/>
          <w:szCs w:val="20"/>
        </w:rPr>
        <w:t>an arrangement determined to contain a lease. Operating and finance leases with a duration of less than 12 months are excluded from right-of-use-assets and lease liabilities and related expense is recorded as incurred.</w:t>
      </w:r>
    </w:p>
    <w:p w14:paraId="1FC5BFEF" w14:textId="77777777" w:rsidR="00000000" w:rsidRDefault="00B8284C">
      <w:pPr>
        <w:pStyle w:val="a3"/>
        <w:spacing w:before="0" w:beforeAutospacing="0" w:after="0" w:afterAutospacing="0"/>
        <w:ind w:firstLine="816"/>
      </w:pPr>
      <w:r>
        <w:t> </w:t>
      </w:r>
    </w:p>
    <w:p w14:paraId="0060F71D" w14:textId="77777777" w:rsidR="00000000" w:rsidRDefault="00B8284C">
      <w:pPr>
        <w:pStyle w:val="a3"/>
        <w:spacing w:before="0" w:beforeAutospacing="0" w:after="0" w:afterAutospacing="0"/>
        <w:ind w:firstLine="556"/>
        <w:rPr>
          <w:color w:val="000000"/>
          <w:sz w:val="20"/>
          <w:szCs w:val="20"/>
        </w:rPr>
      </w:pPr>
      <w:r>
        <w:rPr>
          <w:color w:val="000000"/>
          <w:sz w:val="20"/>
          <w:szCs w:val="20"/>
        </w:rPr>
        <w:t>We use our estimated incremental borrowing rate, which is derived from information available at the lease commencement date, in determining the present value of operating lease payments. To determine the estimated incremental borrowing rate, we use publicl</w:t>
      </w:r>
      <w:r>
        <w:rPr>
          <w:color w:val="000000"/>
          <w:sz w:val="20"/>
          <w:szCs w:val="20"/>
        </w:rPr>
        <w:t>y available credit ratings for peer companies. The Company estimates the incremental borrowing rate using yields for maturities that are in line with the duration of the lease payments. A hypothetical 100 basis point decrease in our estimate of the increme</w:t>
      </w:r>
      <w:r>
        <w:rPr>
          <w:color w:val="000000"/>
          <w:sz w:val="20"/>
          <w:szCs w:val="20"/>
        </w:rPr>
        <w:t>ntal borrowing rate at January 1, 2019 (the date of our adoption) would increase our operating lease liability by approximately $7.4 million.</w:t>
      </w:r>
    </w:p>
    <w:p w14:paraId="22F4CB5C" w14:textId="77777777" w:rsidR="00000000" w:rsidRDefault="00B8284C">
      <w:pPr>
        <w:pStyle w:val="a3"/>
        <w:spacing w:before="240" w:beforeAutospacing="0" w:after="0" w:afterAutospacing="0"/>
        <w:jc w:val="center"/>
        <w:rPr>
          <w:sz w:val="20"/>
          <w:szCs w:val="20"/>
        </w:rPr>
      </w:pPr>
      <w:r>
        <w:rPr>
          <w:sz w:val="20"/>
          <w:szCs w:val="20"/>
        </w:rPr>
        <w:t>29</w:t>
      </w:r>
    </w:p>
    <w:p w14:paraId="242A4844" w14:textId="77777777" w:rsidR="00000000" w:rsidRDefault="00B8284C">
      <w:pPr>
        <w:rPr>
          <w:rFonts w:eastAsia="Times New Roman"/>
        </w:rPr>
      </w:pPr>
      <w:r>
        <w:rPr>
          <w:rFonts w:eastAsia="Times New Roman"/>
        </w:rPr>
        <w:pict w14:anchorId="57FB50B3">
          <v:rect id="_x0000_i1053" style="width:0;height:1.5pt" o:hralign="center" o:hrstd="t" o:hr="t" fillcolor="#a0a0a0" stroked="f"/>
        </w:pict>
      </w:r>
    </w:p>
    <w:p w14:paraId="05231147" w14:textId="77777777" w:rsidR="00000000" w:rsidRDefault="00B8284C">
      <w:pPr>
        <w:pStyle w:val="a3"/>
        <w:spacing w:before="0" w:beforeAutospacing="0" w:after="0" w:afterAutospacing="0"/>
        <w:rPr>
          <w:sz w:val="20"/>
          <w:szCs w:val="20"/>
        </w:rPr>
      </w:pPr>
      <w:r>
        <w:rPr>
          <w:sz w:val="20"/>
          <w:szCs w:val="20"/>
        </w:rPr>
        <w:t> </w:t>
      </w:r>
    </w:p>
    <w:p w14:paraId="2D5A8997" w14:textId="77777777" w:rsidR="00000000" w:rsidRDefault="00B8284C">
      <w:pPr>
        <w:pStyle w:val="a3"/>
        <w:spacing w:before="0" w:beforeAutospacing="0" w:after="0" w:afterAutospacing="0"/>
      </w:pPr>
      <w:r>
        <w:t> </w:t>
      </w:r>
    </w:p>
    <w:p w14:paraId="055D338F" w14:textId="77777777" w:rsidR="00000000" w:rsidRDefault="00B8284C">
      <w:pPr>
        <w:pStyle w:val="a3"/>
        <w:spacing w:before="120" w:beforeAutospacing="0" w:after="0" w:afterAutospacing="0"/>
        <w:rPr>
          <w:b/>
          <w:bCs/>
          <w:sz w:val="20"/>
          <w:szCs w:val="20"/>
        </w:rPr>
      </w:pPr>
      <w:r>
        <w:rPr>
          <w:b/>
          <w:bCs/>
          <w:sz w:val="20"/>
          <w:szCs w:val="20"/>
        </w:rPr>
        <w:t>Contractual Obligations and Commitments</w:t>
      </w:r>
    </w:p>
    <w:p w14:paraId="638FB649" w14:textId="77777777" w:rsidR="00000000" w:rsidRDefault="00B8284C">
      <w:pPr>
        <w:pStyle w:val="a3"/>
        <w:spacing w:before="120" w:beforeAutospacing="0" w:after="0" w:afterAutospacing="0"/>
        <w:ind w:firstLine="556"/>
        <w:rPr>
          <w:sz w:val="20"/>
          <w:szCs w:val="20"/>
        </w:rPr>
      </w:pPr>
      <w:r>
        <w:rPr>
          <w:sz w:val="20"/>
          <w:szCs w:val="20"/>
        </w:rPr>
        <w:t>As of September 30, 2019, there were no material changes in our contractual obligations and commitments from those disclosed in the Annual Report on Form 10-K filed with the SEC on February 12, 2019, other than those</w:t>
      </w:r>
      <w:r>
        <w:rPr>
          <w:sz w:val="20"/>
          <w:szCs w:val="20"/>
        </w:rPr>
        <w:t xml:space="preserve"> appearing in the notes to the consolidated financial statements appearing elsewhere in this Quarterly Report on Form 10-Q. </w:t>
      </w:r>
    </w:p>
    <w:p w14:paraId="1B50F759" w14:textId="77777777" w:rsidR="00000000" w:rsidRDefault="00B8284C">
      <w:pPr>
        <w:pStyle w:val="a3"/>
        <w:spacing w:before="360" w:beforeAutospacing="0" w:after="0" w:afterAutospacing="0"/>
        <w:rPr>
          <w:b/>
          <w:bCs/>
          <w:sz w:val="20"/>
          <w:szCs w:val="20"/>
        </w:rPr>
      </w:pPr>
      <w:r>
        <w:rPr>
          <w:b/>
          <w:bCs/>
          <w:sz w:val="20"/>
          <w:szCs w:val="20"/>
        </w:rPr>
        <w:t>Recent Accounting Pronouncements</w:t>
      </w:r>
    </w:p>
    <w:p w14:paraId="0C2DC93B" w14:textId="77777777" w:rsidR="00000000" w:rsidRDefault="00B8284C">
      <w:pPr>
        <w:pStyle w:val="a3"/>
        <w:spacing w:before="120" w:beforeAutospacing="0" w:after="0" w:afterAutospacing="0"/>
        <w:ind w:firstLine="556"/>
        <w:rPr>
          <w:sz w:val="20"/>
          <w:szCs w:val="20"/>
        </w:rPr>
      </w:pPr>
      <w:r>
        <w:rPr>
          <w:sz w:val="20"/>
          <w:szCs w:val="20"/>
        </w:rPr>
        <w:t xml:space="preserve">For information on recent accounting pronouncements, see </w:t>
      </w:r>
      <w:r>
        <w:rPr>
          <w:i/>
          <w:iCs/>
          <w:sz w:val="20"/>
          <w:szCs w:val="20"/>
        </w:rPr>
        <w:t>Recent Accounting Pronouncements</w:t>
      </w:r>
      <w:r>
        <w:rPr>
          <w:sz w:val="20"/>
          <w:szCs w:val="20"/>
        </w:rPr>
        <w:t xml:space="preserve"> in the n</w:t>
      </w:r>
      <w:r>
        <w:rPr>
          <w:sz w:val="20"/>
          <w:szCs w:val="20"/>
        </w:rPr>
        <w:t>otes to the consolidated financial statements appearing elsewhere in this Quarterly Report on Form 10-Q.</w:t>
      </w:r>
    </w:p>
    <w:p w14:paraId="538DA33D" w14:textId="77777777" w:rsidR="00000000" w:rsidRDefault="00B8284C">
      <w:pPr>
        <w:pStyle w:val="a3"/>
        <w:spacing w:before="360" w:beforeAutospacing="0" w:after="0" w:afterAutospacing="0"/>
        <w:rPr>
          <w:b/>
          <w:bCs/>
          <w:sz w:val="20"/>
          <w:szCs w:val="20"/>
        </w:rPr>
      </w:pPr>
      <w:r>
        <w:rPr>
          <w:b/>
          <w:bCs/>
          <w:sz w:val="20"/>
          <w:szCs w:val="20"/>
        </w:rPr>
        <w:t>Off-Balance Sheet Arrangements</w:t>
      </w:r>
    </w:p>
    <w:p w14:paraId="7BBC4DF2" w14:textId="77777777" w:rsidR="00000000" w:rsidRDefault="00B8284C">
      <w:pPr>
        <w:pStyle w:val="a3"/>
        <w:spacing w:before="120" w:beforeAutospacing="0" w:after="0" w:afterAutospacing="0"/>
        <w:ind w:firstLine="556"/>
        <w:rPr>
          <w:sz w:val="20"/>
          <w:szCs w:val="20"/>
        </w:rPr>
      </w:pPr>
      <w:r>
        <w:rPr>
          <w:sz w:val="20"/>
          <w:szCs w:val="20"/>
        </w:rPr>
        <w:t xml:space="preserve">During the three months ended </w:t>
      </w:r>
      <w:r>
        <w:rPr>
          <w:color w:val="000000"/>
          <w:sz w:val="20"/>
          <w:szCs w:val="20"/>
        </w:rPr>
        <w:t>September 30</w:t>
      </w:r>
      <w:r>
        <w:rPr>
          <w:sz w:val="20"/>
          <w:szCs w:val="20"/>
        </w:rPr>
        <w:t>, 2019, we had no material off-balance sheet arrangements, exclusive of operat</w:t>
      </w:r>
      <w:r>
        <w:rPr>
          <w:sz w:val="20"/>
          <w:szCs w:val="20"/>
        </w:rPr>
        <w:t>ing leases and indemnifications of officers, directors and employees for certain events or occurrences while the officer, director or employee is, or was, serving at our request in such capacity.</w:t>
      </w:r>
    </w:p>
    <w:p w14:paraId="0207479C" w14:textId="77777777" w:rsidR="00000000" w:rsidRDefault="00B8284C">
      <w:pPr>
        <w:pStyle w:val="a3"/>
        <w:spacing w:before="0" w:beforeAutospacing="0" w:after="0" w:afterAutospacing="0"/>
        <w:rPr>
          <w:sz w:val="18"/>
          <w:szCs w:val="18"/>
        </w:rPr>
      </w:pPr>
      <w:r>
        <w:rPr>
          <w:sz w:val="18"/>
          <w:szCs w:val="18"/>
        </w:rPr>
        <w:t> </w:t>
      </w:r>
    </w:p>
    <w:p w14:paraId="6C52E78A" w14:textId="77777777" w:rsidR="00000000" w:rsidRDefault="00B8284C">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5B4BB638" w14:textId="77777777">
        <w:trPr>
          <w:divId w:val="1564441923"/>
        </w:trPr>
        <w:tc>
          <w:tcPr>
            <w:tcW w:w="453" w:type="pct"/>
            <w:noWrap/>
            <w:hideMark/>
          </w:tcPr>
          <w:p w14:paraId="438977FF" w14:textId="77777777" w:rsidR="00000000" w:rsidRDefault="00B8284C">
            <w:pPr>
              <w:pStyle w:val="a3"/>
              <w:spacing w:before="0" w:beforeAutospacing="0" w:after="0" w:afterAutospacing="0"/>
              <w:rPr>
                <w:b/>
                <w:bCs/>
                <w:sz w:val="20"/>
                <w:szCs w:val="20"/>
              </w:rPr>
            </w:pPr>
            <w:r>
              <w:rPr>
                <w:b/>
                <w:bCs/>
                <w:sz w:val="20"/>
                <w:szCs w:val="20"/>
              </w:rPr>
              <w:t>Item 3.</w:t>
            </w:r>
          </w:p>
        </w:tc>
        <w:tc>
          <w:tcPr>
            <w:tcW w:w="0" w:type="auto"/>
            <w:hideMark/>
          </w:tcPr>
          <w:p w14:paraId="0BCD3A8C" w14:textId="77777777" w:rsidR="00000000" w:rsidRDefault="00B8284C">
            <w:pPr>
              <w:pStyle w:val="a3"/>
              <w:spacing w:before="0" w:beforeAutospacing="0" w:after="0" w:afterAutospacing="0"/>
              <w:rPr>
                <w:b/>
                <w:bCs/>
                <w:sz w:val="20"/>
                <w:szCs w:val="20"/>
              </w:rPr>
            </w:pPr>
            <w:r>
              <w:rPr>
                <w:b/>
                <w:bCs/>
                <w:sz w:val="20"/>
                <w:szCs w:val="20"/>
              </w:rPr>
              <w:t>Quantitative and Qualitative Disclosures About M</w:t>
            </w:r>
            <w:r>
              <w:rPr>
                <w:b/>
                <w:bCs/>
                <w:sz w:val="20"/>
                <w:szCs w:val="20"/>
              </w:rPr>
              <w:t>arket Risk</w:t>
            </w:r>
          </w:p>
        </w:tc>
      </w:tr>
    </w:tbl>
    <w:p w14:paraId="029A6661" w14:textId="77777777" w:rsidR="00000000" w:rsidRDefault="00B8284C">
      <w:pPr>
        <w:pStyle w:val="a3"/>
        <w:spacing w:before="120" w:beforeAutospacing="0" w:after="0" w:afterAutospacing="0"/>
        <w:ind w:left="476"/>
        <w:rPr>
          <w:b/>
          <w:bCs/>
          <w:i/>
          <w:iCs/>
          <w:sz w:val="20"/>
          <w:szCs w:val="20"/>
        </w:rPr>
      </w:pPr>
      <w:r>
        <w:rPr>
          <w:b/>
          <w:bCs/>
          <w:i/>
          <w:iCs/>
          <w:sz w:val="20"/>
          <w:szCs w:val="20"/>
        </w:rPr>
        <w:t>Foreign Currency Exchange Risk</w:t>
      </w:r>
    </w:p>
    <w:p w14:paraId="78563728" w14:textId="77777777" w:rsidR="00000000" w:rsidRDefault="00B8284C">
      <w:pPr>
        <w:pStyle w:val="a3"/>
        <w:spacing w:before="120" w:beforeAutospacing="0" w:after="0" w:afterAutospacing="0"/>
        <w:ind w:firstLine="556"/>
        <w:rPr>
          <w:sz w:val="20"/>
          <w:szCs w:val="20"/>
        </w:rPr>
      </w:pPr>
      <w:r>
        <w:rPr>
          <w:sz w:val="20"/>
          <w:szCs w:val="20"/>
        </w:rPr>
        <w:t>We have foreign currency risks related to our revenue and operating expenses denominated in currencies other than the U.S. dollar, primarily the Euro, British Pound Sterling, Australian dollar, Singaporean dollar, Japanese Yen, and Colombian Peso. Since we</w:t>
      </w:r>
      <w:r>
        <w:rPr>
          <w:sz w:val="20"/>
          <w:szCs w:val="20"/>
        </w:rPr>
        <w:t xml:space="preserve"> translate foreign currencies into U.S. dollars for financial reporting purposes, currency fluctuations can have an impact on our financial results.</w:t>
      </w:r>
    </w:p>
    <w:p w14:paraId="1E8EE1E9" w14:textId="77777777" w:rsidR="00000000" w:rsidRDefault="00B8284C">
      <w:pPr>
        <w:pStyle w:val="a3"/>
        <w:spacing w:before="240" w:beforeAutospacing="0" w:after="0" w:afterAutospacing="0"/>
        <w:ind w:firstLine="556"/>
        <w:rPr>
          <w:sz w:val="20"/>
          <w:szCs w:val="20"/>
        </w:rPr>
      </w:pPr>
      <w:r>
        <w:rPr>
          <w:sz w:val="20"/>
          <w:szCs w:val="20"/>
        </w:rPr>
        <w:t>We have experienced and will continue to experience fluctuations in our net loss as a result of transaction</w:t>
      </w:r>
      <w:r>
        <w:rPr>
          <w:sz w:val="20"/>
          <w:szCs w:val="20"/>
        </w:rPr>
        <w:t xml:space="preserve"> gains or losses related to revaluing certain current asset and current liability balances that are denominated in currencies other than the functional currency of the entities in which they are recorded. We recognized immaterial amounts of foreign currenc</w:t>
      </w:r>
      <w:r>
        <w:rPr>
          <w:sz w:val="20"/>
          <w:szCs w:val="20"/>
        </w:rPr>
        <w:t>y gains and losses in each of the periods presented. We have not engaged in the hedging of our foreign currency transactions to date, we are evaluating the costs and benefits of initiating such a program and may in the future hedge selected significant tra</w:t>
      </w:r>
      <w:r>
        <w:rPr>
          <w:sz w:val="20"/>
          <w:szCs w:val="20"/>
        </w:rPr>
        <w:t>nsactions denominated in currencies other than the U.S. dollar as we expand our international operation and our risk grows.</w:t>
      </w:r>
    </w:p>
    <w:p w14:paraId="6A7D7318" w14:textId="77777777" w:rsidR="00000000" w:rsidRDefault="00B8284C">
      <w:pPr>
        <w:pStyle w:val="a3"/>
        <w:spacing w:before="360" w:beforeAutospacing="0" w:after="0" w:afterAutospacing="0"/>
        <w:ind w:firstLine="556"/>
        <w:rPr>
          <w:b/>
          <w:bCs/>
          <w:i/>
          <w:iCs/>
          <w:sz w:val="20"/>
          <w:szCs w:val="20"/>
        </w:rPr>
      </w:pPr>
      <w:r>
        <w:rPr>
          <w:b/>
          <w:bCs/>
          <w:i/>
          <w:iCs/>
          <w:sz w:val="20"/>
          <w:szCs w:val="20"/>
        </w:rPr>
        <w:t>Interest Rate Sensitivity</w:t>
      </w:r>
    </w:p>
    <w:p w14:paraId="69B55C8C" w14:textId="77777777" w:rsidR="00000000" w:rsidRDefault="00B8284C">
      <w:pPr>
        <w:pStyle w:val="a3"/>
        <w:spacing w:before="120" w:beforeAutospacing="0" w:after="0" w:afterAutospacing="0"/>
        <w:ind w:firstLine="556"/>
        <w:rPr>
          <w:sz w:val="20"/>
          <w:szCs w:val="20"/>
        </w:rPr>
      </w:pPr>
      <w:r>
        <w:rPr>
          <w:sz w:val="20"/>
          <w:szCs w:val="20"/>
        </w:rPr>
        <w:t>Our portfolio of cash and cash equivalents and short- and long-term investments is maintained in a variety</w:t>
      </w:r>
      <w:r>
        <w:rPr>
          <w:sz w:val="20"/>
          <w:szCs w:val="20"/>
        </w:rPr>
        <w:t xml:space="preserve"> of securities, including government agency obligations, corporate bonds and money market funds. Investments are classified as available-for-sale securities and carried at their fair market value with cumulative unrealized gains or losses recorded as a com</w:t>
      </w:r>
      <w:r>
        <w:rPr>
          <w:sz w:val="20"/>
          <w:szCs w:val="20"/>
        </w:rPr>
        <w:t>ponent of accumulated other comprehensive loss within stockholders' equity. A sharp rise in interest rates could have an adverse impact on the fair market value of certain securities in our portfolio. We do not currently hedge our interest rate exposure an</w:t>
      </w:r>
      <w:r>
        <w:rPr>
          <w:sz w:val="20"/>
          <w:szCs w:val="20"/>
        </w:rPr>
        <w:t>d do not enter into financial instruments for trading or speculative purposes.</w:t>
      </w:r>
    </w:p>
    <w:p w14:paraId="6DAC5839" w14:textId="77777777" w:rsidR="00000000" w:rsidRDefault="00B8284C">
      <w:pPr>
        <w:pStyle w:val="a3"/>
        <w:spacing w:before="360" w:beforeAutospacing="0" w:after="0" w:afterAutospacing="0"/>
        <w:ind w:firstLine="556"/>
        <w:rPr>
          <w:b/>
          <w:bCs/>
          <w:i/>
          <w:iCs/>
          <w:sz w:val="20"/>
          <w:szCs w:val="20"/>
        </w:rPr>
      </w:pPr>
      <w:r>
        <w:rPr>
          <w:b/>
          <w:bCs/>
          <w:i/>
          <w:iCs/>
          <w:sz w:val="20"/>
          <w:szCs w:val="20"/>
        </w:rPr>
        <w:t>Inflation Risk</w:t>
      </w:r>
    </w:p>
    <w:p w14:paraId="07C17C18" w14:textId="77777777" w:rsidR="00000000" w:rsidRDefault="00B8284C">
      <w:pPr>
        <w:pStyle w:val="a3"/>
        <w:spacing w:before="120" w:beforeAutospacing="0" w:after="0" w:afterAutospacing="0"/>
        <w:ind w:firstLine="556"/>
        <w:rPr>
          <w:sz w:val="20"/>
          <w:szCs w:val="20"/>
        </w:rPr>
      </w:pPr>
      <w:r>
        <w:rPr>
          <w:sz w:val="20"/>
          <w:szCs w:val="20"/>
        </w:rPr>
        <w:t>We do not believe that inflation has had a material effect on our business. However, if our costs, in particular personnel, sales and marketing and hosting costs,</w:t>
      </w:r>
      <w:r>
        <w:rPr>
          <w:sz w:val="20"/>
          <w:szCs w:val="20"/>
        </w:rPr>
        <w:t xml:space="preserve"> were to become subject to significant inflationary pressures, we may not be able to fully offset such higher costs through price increases. Our inability or failure to do so could harm our business, operating results and financial condition.</w:t>
      </w:r>
    </w:p>
    <w:p w14:paraId="24C26216" w14:textId="77777777" w:rsidR="00000000" w:rsidRDefault="00B8284C">
      <w:pPr>
        <w:pStyle w:val="a3"/>
        <w:spacing w:before="360" w:beforeAutospacing="0" w:after="0" w:afterAutospacing="0"/>
        <w:ind w:firstLine="556"/>
        <w:rPr>
          <w:b/>
          <w:bCs/>
          <w:i/>
          <w:iCs/>
          <w:sz w:val="20"/>
          <w:szCs w:val="20"/>
        </w:rPr>
      </w:pPr>
      <w:r>
        <w:rPr>
          <w:b/>
          <w:bCs/>
          <w:i/>
          <w:iCs/>
          <w:sz w:val="20"/>
          <w:szCs w:val="20"/>
        </w:rPr>
        <w:t>Market Risk a</w:t>
      </w:r>
      <w:r>
        <w:rPr>
          <w:b/>
          <w:bCs/>
          <w:i/>
          <w:iCs/>
          <w:sz w:val="20"/>
          <w:szCs w:val="20"/>
        </w:rPr>
        <w:t>nd Market Interest Risk</w:t>
      </w:r>
    </w:p>
    <w:p w14:paraId="5039B6C4" w14:textId="77777777" w:rsidR="00000000" w:rsidRDefault="00B8284C">
      <w:pPr>
        <w:pStyle w:val="a3"/>
        <w:spacing w:before="120" w:beforeAutospacing="0" w:after="0" w:afterAutospacing="0"/>
        <w:ind w:firstLine="556"/>
        <w:rPr>
          <w:sz w:val="20"/>
          <w:szCs w:val="20"/>
        </w:rPr>
      </w:pPr>
      <w:r>
        <w:rPr>
          <w:sz w:val="20"/>
          <w:szCs w:val="20"/>
        </w:rPr>
        <w:t>In May 2017, we issued $400 million aggregate principal amount of 0.25% convertible senior notes due 2022. The fair value of our convertible senior notes is subject to interest rate risk, market risk and other factors due to the con</w:t>
      </w:r>
      <w:r>
        <w:rPr>
          <w:sz w:val="20"/>
          <w:szCs w:val="20"/>
        </w:rPr>
        <w:t>vertible feature.  The fair value of the convertible senior notes will generally increase as our common stock price increases and will generally decrease as our common stock price declines in value. The interest and market value changes affect the fair val</w:t>
      </w:r>
      <w:r>
        <w:rPr>
          <w:sz w:val="20"/>
          <w:szCs w:val="20"/>
        </w:rPr>
        <w:t xml:space="preserve">ue of our convertible senior notes but do not impact our financial position, cash flows or results of operations due to the fixed nature of the debt obligation. </w:t>
      </w:r>
      <w:r>
        <w:rPr>
          <w:color w:val="000000"/>
          <w:sz w:val="20"/>
          <w:szCs w:val="20"/>
        </w:rPr>
        <w:t>Generally, the fair value of 2022 Notes will increase as interest rates fall and decrease as in</w:t>
      </w:r>
      <w:r>
        <w:rPr>
          <w:color w:val="000000"/>
          <w:sz w:val="20"/>
          <w:szCs w:val="20"/>
        </w:rPr>
        <w:t xml:space="preserve">terest rates rise. </w:t>
      </w:r>
      <w:r>
        <w:rPr>
          <w:sz w:val="20"/>
          <w:szCs w:val="20"/>
        </w:rPr>
        <w:t>Additionally, we carry the convertible senior notes at face value less unamortized discount on our balance sheet, and we present the fair value for required disclosure purposes only.</w:t>
      </w:r>
    </w:p>
    <w:p w14:paraId="51254FB3" w14:textId="77777777" w:rsidR="00000000" w:rsidRDefault="00B8284C">
      <w:pPr>
        <w:pStyle w:val="a3"/>
        <w:spacing w:before="240" w:beforeAutospacing="0" w:after="0" w:afterAutospacing="0"/>
        <w:jc w:val="center"/>
        <w:rPr>
          <w:sz w:val="20"/>
          <w:szCs w:val="20"/>
        </w:rPr>
      </w:pPr>
      <w:r>
        <w:rPr>
          <w:sz w:val="20"/>
          <w:szCs w:val="20"/>
        </w:rPr>
        <w:t>30</w:t>
      </w:r>
    </w:p>
    <w:p w14:paraId="1F6F5F58" w14:textId="77777777" w:rsidR="00000000" w:rsidRDefault="00B8284C">
      <w:pPr>
        <w:rPr>
          <w:rFonts w:eastAsia="Times New Roman"/>
        </w:rPr>
      </w:pPr>
      <w:r>
        <w:rPr>
          <w:rFonts w:eastAsia="Times New Roman"/>
        </w:rPr>
        <w:pict w14:anchorId="5F53C16F">
          <v:rect id="_x0000_i1054" style="width:0;height:1.5pt" o:hralign="center" o:hrstd="t" o:hr="t" fillcolor="#a0a0a0" stroked="f"/>
        </w:pict>
      </w:r>
    </w:p>
    <w:p w14:paraId="0EA97A3B" w14:textId="77777777" w:rsidR="00000000" w:rsidRDefault="00B8284C">
      <w:pPr>
        <w:pStyle w:val="a3"/>
        <w:spacing w:before="0" w:beforeAutospacing="0" w:after="0" w:afterAutospacing="0"/>
        <w:rPr>
          <w:sz w:val="20"/>
          <w:szCs w:val="20"/>
        </w:rPr>
      </w:pPr>
      <w:r>
        <w:rPr>
          <w:sz w:val="20"/>
          <w:szCs w:val="20"/>
        </w:rPr>
        <w:t> </w:t>
      </w:r>
    </w:p>
    <w:p w14:paraId="16C2D2F2" w14:textId="77777777" w:rsidR="00000000" w:rsidRDefault="00B8284C">
      <w:pPr>
        <w:pStyle w:val="a3"/>
        <w:spacing w:before="40" w:beforeAutospacing="0" w:after="0" w:afterAutospacing="0"/>
        <w:rPr>
          <w:sz w:val="20"/>
          <w:szCs w:val="20"/>
        </w:rPr>
      </w:pPr>
      <w:r>
        <w:rPr>
          <w:sz w:val="20"/>
          <w:szCs w:val="20"/>
        </w:rPr>
        <w:t> </w:t>
      </w:r>
    </w:p>
    <w:p w14:paraId="4B235984" w14:textId="77777777" w:rsidR="00000000" w:rsidRDefault="00B8284C">
      <w:pPr>
        <w:pStyle w:val="a3"/>
        <w:shd w:val="clear" w:color="auto" w:fill="FFFFFF"/>
        <w:spacing w:before="0" w:beforeAutospacing="0" w:after="0" w:afterAutospacing="0"/>
        <w:ind w:firstLine="556"/>
        <w:rPr>
          <w:sz w:val="20"/>
          <w:szCs w:val="20"/>
        </w:rPr>
      </w:pPr>
      <w:r>
        <w:rPr>
          <w:sz w:val="20"/>
          <w:szCs w:val="20"/>
        </w:rPr>
        <w:t xml:space="preserve">The table </w:t>
      </w:r>
      <w:r>
        <w:rPr>
          <w:sz w:val="20"/>
          <w:szCs w:val="20"/>
        </w:rPr>
        <w:t>below provides a sensitivity analysis of hypothetical 10% changes of our stock price as of September 30, 2019 and the estimated impact on the fair value of the 2022 Notes. The selected scenarios are not predictions of future events, but rather are intended</w:t>
      </w:r>
      <w:r>
        <w:rPr>
          <w:sz w:val="20"/>
          <w:szCs w:val="20"/>
        </w:rPr>
        <w:t xml:space="preserve"> to illustrate the effect such event may have on the fair value of the 2022 Notes.</w:t>
      </w:r>
    </w:p>
    <w:p w14:paraId="262E015C" w14:textId="77777777" w:rsidR="00000000" w:rsidRDefault="00B8284C">
      <w:pPr>
        <w:pStyle w:val="a3"/>
        <w:shd w:val="clear" w:color="auto" w:fill="FFFFFF"/>
        <w:spacing w:before="0" w:beforeAutospacing="0" w:after="0" w:afterAutospacing="0"/>
        <w:ind w:firstLine="556"/>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687"/>
        <w:gridCol w:w="1821"/>
        <w:gridCol w:w="102"/>
        <w:gridCol w:w="115"/>
        <w:gridCol w:w="1069"/>
        <w:gridCol w:w="65"/>
        <w:gridCol w:w="65"/>
        <w:gridCol w:w="116"/>
        <w:gridCol w:w="1125"/>
        <w:gridCol w:w="82"/>
        <w:gridCol w:w="65"/>
        <w:gridCol w:w="66"/>
        <w:gridCol w:w="915"/>
        <w:gridCol w:w="182"/>
      </w:tblGrid>
      <w:tr w:rsidR="00000000" w14:paraId="7308A6A2" w14:textId="77777777">
        <w:trPr>
          <w:divId w:val="1833985104"/>
        </w:trPr>
        <w:tc>
          <w:tcPr>
            <w:tcW w:w="2430" w:type="pct"/>
            <w:gridSpan w:val="2"/>
            <w:tcBorders>
              <w:bottom w:val="single" w:sz="6" w:space="0" w:color="000000"/>
            </w:tcBorders>
            <w:shd w:val="clear" w:color="auto" w:fill="FFFFFF"/>
            <w:tcMar>
              <w:top w:w="15" w:type="dxa"/>
              <w:left w:w="0" w:type="dxa"/>
              <w:bottom w:w="0" w:type="dxa"/>
              <w:right w:w="15" w:type="dxa"/>
            </w:tcMar>
            <w:vAlign w:val="bottom"/>
            <w:hideMark/>
          </w:tcPr>
          <w:p w14:paraId="4DF6E92F" w14:textId="77777777" w:rsidR="00000000" w:rsidRDefault="00B8284C">
            <w:pPr>
              <w:pStyle w:val="a3"/>
              <w:spacing w:before="0" w:beforeAutospacing="0" w:after="0" w:afterAutospacing="0"/>
              <w:rPr>
                <w:b/>
                <w:bCs/>
                <w:color w:val="000000"/>
                <w:sz w:val="16"/>
                <w:szCs w:val="16"/>
              </w:rPr>
            </w:pPr>
            <w:r>
              <w:rPr>
                <w:b/>
                <w:bCs/>
                <w:color w:val="000000"/>
                <w:sz w:val="16"/>
                <w:szCs w:val="16"/>
              </w:rPr>
              <w:t>Hypothetical change in HubSpot stock price</w:t>
            </w:r>
          </w:p>
        </w:tc>
        <w:tc>
          <w:tcPr>
            <w:tcW w:w="111" w:type="pct"/>
            <w:shd w:val="clear" w:color="auto" w:fill="FFFFFF"/>
            <w:tcMar>
              <w:top w:w="15" w:type="dxa"/>
              <w:left w:w="0" w:type="dxa"/>
              <w:bottom w:w="0" w:type="dxa"/>
              <w:right w:w="15" w:type="dxa"/>
            </w:tcMar>
            <w:vAlign w:val="bottom"/>
            <w:hideMark/>
          </w:tcPr>
          <w:p w14:paraId="145C83D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 </w:t>
            </w:r>
          </w:p>
        </w:tc>
        <w:tc>
          <w:tcPr>
            <w:tcW w:w="808" w:type="pct"/>
            <w:gridSpan w:val="2"/>
            <w:tcBorders>
              <w:bottom w:val="single" w:sz="6" w:space="0" w:color="000000"/>
            </w:tcBorders>
            <w:shd w:val="clear" w:color="auto" w:fill="FFFFFF"/>
            <w:tcMar>
              <w:top w:w="15" w:type="dxa"/>
              <w:left w:w="0" w:type="dxa"/>
              <w:bottom w:w="0" w:type="dxa"/>
              <w:right w:w="15" w:type="dxa"/>
            </w:tcMar>
            <w:vAlign w:val="bottom"/>
            <w:hideMark/>
          </w:tcPr>
          <w:p w14:paraId="3C3AD228"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379D1675"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vAlign w:val="bottom"/>
            <w:hideMark/>
          </w:tcPr>
          <w:p w14:paraId="20735CC0"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96" w:type="pct"/>
            <w:gridSpan w:val="2"/>
            <w:tcBorders>
              <w:bottom w:val="single" w:sz="6" w:space="0" w:color="000000"/>
            </w:tcBorders>
            <w:shd w:val="clear" w:color="auto" w:fill="FFFFFF"/>
            <w:tcMar>
              <w:top w:w="15" w:type="dxa"/>
              <w:left w:w="0" w:type="dxa"/>
              <w:bottom w:w="0" w:type="dxa"/>
              <w:right w:w="15" w:type="dxa"/>
            </w:tcMar>
            <w:vAlign w:val="bottom"/>
            <w:hideMark/>
          </w:tcPr>
          <w:p w14:paraId="04B9E7DA"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Estimated change</w:t>
            </w:r>
          </w:p>
          <w:p w14:paraId="6B004F37"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in fair value</w:t>
            </w:r>
          </w:p>
        </w:tc>
        <w:tc>
          <w:tcPr>
            <w:tcW w:w="50" w:type="pct"/>
            <w:shd w:val="clear" w:color="auto" w:fill="FFFFFF"/>
            <w:noWrap/>
            <w:tcMar>
              <w:top w:w="15" w:type="dxa"/>
              <w:left w:w="0" w:type="dxa"/>
              <w:bottom w:w="0" w:type="dxa"/>
              <w:right w:w="15" w:type="dxa"/>
            </w:tcMar>
            <w:vAlign w:val="bottom"/>
            <w:hideMark/>
          </w:tcPr>
          <w:p w14:paraId="05EBD397"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c>
          <w:tcPr>
            <w:tcW w:w="39" w:type="pct"/>
            <w:shd w:val="clear" w:color="auto" w:fill="FFFFFF"/>
            <w:tcMar>
              <w:top w:w="15" w:type="dxa"/>
              <w:left w:w="0" w:type="dxa"/>
              <w:bottom w:w="0" w:type="dxa"/>
              <w:right w:w="15" w:type="dxa"/>
            </w:tcMar>
            <w:vAlign w:val="bottom"/>
            <w:hideMark/>
          </w:tcPr>
          <w:p w14:paraId="4320FCD4" w14:textId="77777777" w:rsidR="00000000" w:rsidRDefault="00B8284C">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80" w:type="pct"/>
            <w:gridSpan w:val="2"/>
            <w:tcBorders>
              <w:bottom w:val="single" w:sz="6" w:space="0" w:color="000000"/>
            </w:tcBorders>
            <w:shd w:val="clear" w:color="auto" w:fill="FFFFFF"/>
            <w:tcMar>
              <w:top w:w="15" w:type="dxa"/>
              <w:left w:w="0" w:type="dxa"/>
              <w:bottom w:w="0" w:type="dxa"/>
              <w:right w:w="15" w:type="dxa"/>
            </w:tcMar>
            <w:vAlign w:val="bottom"/>
            <w:hideMark/>
          </w:tcPr>
          <w:p w14:paraId="63903AF6"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Hypothetical</w:t>
            </w:r>
          </w:p>
          <w:p w14:paraId="2F32E96D"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percentage increase</w:t>
            </w:r>
          </w:p>
          <w:p w14:paraId="4F31D051"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(decrease) in fair</w:t>
            </w:r>
          </w:p>
          <w:p w14:paraId="45118579" w14:textId="77777777" w:rsidR="00000000" w:rsidRDefault="00B8284C">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14:paraId="4C3A48D3" w14:textId="77777777" w:rsidR="00000000" w:rsidRDefault="00B8284C">
            <w:pPr>
              <w:pStyle w:val="a3"/>
              <w:spacing w:before="0" w:beforeAutospacing="0" w:after="0" w:afterAutospacing="0"/>
              <w:rPr>
                <w:b/>
                <w:bCs/>
                <w:color w:val="000000"/>
                <w:sz w:val="16"/>
                <w:szCs w:val="16"/>
              </w:rPr>
            </w:pPr>
            <w:r>
              <w:rPr>
                <w:b/>
                <w:bCs/>
                <w:color w:val="000000"/>
                <w:sz w:val="16"/>
                <w:szCs w:val="16"/>
              </w:rPr>
              <w:t> </w:t>
            </w:r>
          </w:p>
        </w:tc>
      </w:tr>
      <w:tr w:rsidR="00000000" w14:paraId="590E2D5A" w14:textId="77777777">
        <w:trPr>
          <w:divId w:val="1833985104"/>
        </w:trPr>
        <w:tc>
          <w:tcPr>
            <w:tcW w:w="1170" w:type="pct"/>
            <w:tcBorders>
              <w:top w:val="single" w:sz="6" w:space="0" w:color="000000"/>
            </w:tcBorders>
            <w:shd w:val="clear" w:color="auto" w:fill="CCEEFF"/>
            <w:tcMar>
              <w:top w:w="15" w:type="dxa"/>
              <w:left w:w="0" w:type="dxa"/>
              <w:bottom w:w="0" w:type="dxa"/>
              <w:right w:w="15" w:type="dxa"/>
            </w:tcMar>
            <w:vAlign w:val="bottom"/>
            <w:hideMark/>
          </w:tcPr>
          <w:p w14:paraId="2DED88D8" w14:textId="77777777" w:rsidR="00000000" w:rsidRDefault="00B8284C">
            <w:pPr>
              <w:pStyle w:val="a3"/>
              <w:spacing w:before="0" w:beforeAutospacing="0" w:after="0" w:afterAutospacing="0"/>
              <w:rPr>
                <w:color w:val="000000"/>
                <w:sz w:val="20"/>
                <w:szCs w:val="20"/>
              </w:rPr>
            </w:pPr>
            <w:r>
              <w:rPr>
                <w:color w:val="000000"/>
                <w:sz w:val="20"/>
                <w:szCs w:val="20"/>
              </w:rPr>
              <w:t>10% increase</w:t>
            </w:r>
          </w:p>
        </w:tc>
        <w:tc>
          <w:tcPr>
            <w:tcW w:w="1259" w:type="pct"/>
            <w:tcBorders>
              <w:top w:val="single" w:sz="6" w:space="0" w:color="000000"/>
            </w:tcBorders>
            <w:shd w:val="clear" w:color="auto" w:fill="CCEEFF"/>
            <w:tcMar>
              <w:top w:w="15" w:type="dxa"/>
              <w:left w:w="0" w:type="dxa"/>
              <w:bottom w:w="0" w:type="dxa"/>
              <w:right w:w="15" w:type="dxa"/>
            </w:tcMar>
            <w:vAlign w:val="bottom"/>
            <w:hideMark/>
          </w:tcPr>
          <w:p w14:paraId="0CA780D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111" w:type="pct"/>
            <w:shd w:val="clear" w:color="auto" w:fill="CCEEFF"/>
            <w:tcMar>
              <w:top w:w="15" w:type="dxa"/>
              <w:left w:w="0" w:type="dxa"/>
              <w:bottom w:w="0" w:type="dxa"/>
              <w:right w:w="15" w:type="dxa"/>
            </w:tcMar>
            <w:vAlign w:val="bottom"/>
            <w:hideMark/>
          </w:tcPr>
          <w:p w14:paraId="11067E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14:paraId="413703D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58" w:type="pct"/>
            <w:tcBorders>
              <w:top w:val="single" w:sz="6" w:space="0" w:color="000000"/>
            </w:tcBorders>
            <w:shd w:val="clear" w:color="auto" w:fill="CCEEFF"/>
            <w:noWrap/>
            <w:tcMar>
              <w:top w:w="15" w:type="dxa"/>
              <w:left w:w="0" w:type="dxa"/>
              <w:bottom w:w="0" w:type="dxa"/>
              <w:right w:w="15" w:type="dxa"/>
            </w:tcMar>
            <w:vAlign w:val="bottom"/>
            <w:hideMark/>
          </w:tcPr>
          <w:p w14:paraId="769A7FFA" w14:textId="77777777" w:rsidR="00000000" w:rsidRDefault="00B8284C">
            <w:pPr>
              <w:pStyle w:val="a3"/>
              <w:spacing w:before="0" w:beforeAutospacing="0" w:after="0" w:afterAutospacing="0"/>
              <w:jc w:val="right"/>
              <w:rPr>
                <w:color w:val="000000"/>
                <w:sz w:val="20"/>
                <w:szCs w:val="20"/>
              </w:rPr>
            </w:pPr>
            <w:r>
              <w:rPr>
                <w:color w:val="000000"/>
                <w:sz w:val="20"/>
                <w:szCs w:val="20"/>
              </w:rPr>
              <w:t>716,048</w:t>
            </w:r>
          </w:p>
        </w:tc>
        <w:tc>
          <w:tcPr>
            <w:tcW w:w="50" w:type="pct"/>
            <w:shd w:val="clear" w:color="auto" w:fill="CCEEFF"/>
            <w:noWrap/>
            <w:tcMar>
              <w:top w:w="15" w:type="dxa"/>
              <w:left w:w="0" w:type="dxa"/>
              <w:bottom w:w="0" w:type="dxa"/>
              <w:right w:w="15" w:type="dxa"/>
            </w:tcMar>
            <w:vAlign w:val="bottom"/>
            <w:hideMark/>
          </w:tcPr>
          <w:p w14:paraId="202CA13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3" w:type="pct"/>
            <w:shd w:val="clear" w:color="auto" w:fill="CCEEFF"/>
            <w:tcMar>
              <w:top w:w="15" w:type="dxa"/>
              <w:left w:w="0" w:type="dxa"/>
              <w:bottom w:w="0" w:type="dxa"/>
              <w:right w:w="15" w:type="dxa"/>
            </w:tcMar>
            <w:vAlign w:val="bottom"/>
            <w:hideMark/>
          </w:tcPr>
          <w:p w14:paraId="6B319D8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14:paraId="69747EF5"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46" w:type="pct"/>
            <w:tcBorders>
              <w:top w:val="single" w:sz="6" w:space="0" w:color="000000"/>
            </w:tcBorders>
            <w:shd w:val="clear" w:color="auto" w:fill="CCEEFF"/>
            <w:noWrap/>
            <w:tcMar>
              <w:top w:w="15" w:type="dxa"/>
              <w:left w:w="0" w:type="dxa"/>
              <w:bottom w:w="0" w:type="dxa"/>
              <w:right w:w="15" w:type="dxa"/>
            </w:tcMar>
            <w:vAlign w:val="bottom"/>
            <w:hideMark/>
          </w:tcPr>
          <w:p w14:paraId="35376B39" w14:textId="77777777" w:rsidR="00000000" w:rsidRDefault="00B8284C">
            <w:pPr>
              <w:pStyle w:val="a3"/>
              <w:spacing w:before="0" w:beforeAutospacing="0" w:after="0" w:afterAutospacing="0"/>
              <w:jc w:val="right"/>
              <w:rPr>
                <w:color w:val="000000"/>
                <w:sz w:val="20"/>
                <w:szCs w:val="20"/>
              </w:rPr>
            </w:pPr>
            <w:r>
              <w:rPr>
                <w:color w:val="000000"/>
                <w:sz w:val="20"/>
                <w:szCs w:val="20"/>
              </w:rPr>
              <w:t>56,608</w:t>
            </w:r>
          </w:p>
        </w:tc>
        <w:tc>
          <w:tcPr>
            <w:tcW w:w="50" w:type="pct"/>
            <w:shd w:val="clear" w:color="auto" w:fill="CCEEFF"/>
            <w:noWrap/>
            <w:tcMar>
              <w:top w:w="15" w:type="dxa"/>
              <w:left w:w="0" w:type="dxa"/>
              <w:bottom w:w="0" w:type="dxa"/>
              <w:right w:w="15" w:type="dxa"/>
            </w:tcMar>
            <w:vAlign w:val="bottom"/>
            <w:hideMark/>
          </w:tcPr>
          <w:p w14:paraId="2A194AF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9" w:type="pct"/>
            <w:shd w:val="clear" w:color="auto" w:fill="CCEEFF"/>
            <w:tcMar>
              <w:top w:w="15" w:type="dxa"/>
              <w:left w:w="0" w:type="dxa"/>
              <w:bottom w:w="0" w:type="dxa"/>
              <w:right w:w="15" w:type="dxa"/>
            </w:tcMar>
            <w:vAlign w:val="bottom"/>
            <w:hideMark/>
          </w:tcPr>
          <w:p w14:paraId="275DB6BB"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14:paraId="5137E4F8"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30" w:type="pct"/>
            <w:tcBorders>
              <w:top w:val="single" w:sz="6" w:space="0" w:color="000000"/>
            </w:tcBorders>
            <w:shd w:val="clear" w:color="auto" w:fill="CCEEFF"/>
            <w:noWrap/>
            <w:tcMar>
              <w:top w:w="15" w:type="dxa"/>
              <w:left w:w="0" w:type="dxa"/>
              <w:bottom w:w="0" w:type="dxa"/>
              <w:right w:w="15" w:type="dxa"/>
            </w:tcMar>
            <w:vAlign w:val="bottom"/>
            <w:hideMark/>
          </w:tcPr>
          <w:p w14:paraId="6857F168" w14:textId="77777777" w:rsidR="00000000" w:rsidRDefault="00B8284C">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CCEEFF"/>
            <w:noWrap/>
            <w:tcMar>
              <w:top w:w="15" w:type="dxa"/>
              <w:left w:w="0" w:type="dxa"/>
              <w:bottom w:w="0" w:type="dxa"/>
              <w:right w:w="15" w:type="dxa"/>
            </w:tcMar>
            <w:vAlign w:val="bottom"/>
            <w:hideMark/>
          </w:tcPr>
          <w:p w14:paraId="10D51187" w14:textId="77777777" w:rsidR="00000000" w:rsidRDefault="00B8284C">
            <w:pPr>
              <w:pStyle w:val="a3"/>
              <w:spacing w:before="0" w:beforeAutospacing="0" w:after="0" w:afterAutospacing="0"/>
              <w:rPr>
                <w:color w:val="000000"/>
                <w:sz w:val="20"/>
                <w:szCs w:val="20"/>
              </w:rPr>
            </w:pPr>
            <w:r>
              <w:rPr>
                <w:color w:val="000000"/>
                <w:sz w:val="20"/>
                <w:szCs w:val="20"/>
              </w:rPr>
              <w:t>%</w:t>
            </w:r>
          </w:p>
        </w:tc>
      </w:tr>
      <w:tr w:rsidR="00000000" w14:paraId="61C873F7" w14:textId="77777777">
        <w:trPr>
          <w:divId w:val="1833985104"/>
        </w:trPr>
        <w:tc>
          <w:tcPr>
            <w:tcW w:w="1170" w:type="pct"/>
            <w:shd w:val="clear" w:color="auto" w:fill="FFFFFF"/>
            <w:tcMar>
              <w:top w:w="15" w:type="dxa"/>
              <w:left w:w="0" w:type="dxa"/>
              <w:bottom w:w="0" w:type="dxa"/>
              <w:right w:w="15" w:type="dxa"/>
            </w:tcMar>
            <w:vAlign w:val="bottom"/>
            <w:hideMark/>
          </w:tcPr>
          <w:p w14:paraId="0FEEB036" w14:textId="77777777" w:rsidR="00000000" w:rsidRDefault="00B8284C">
            <w:pPr>
              <w:pStyle w:val="a3"/>
              <w:spacing w:before="0" w:beforeAutospacing="0" w:after="0" w:afterAutospacing="0"/>
              <w:rPr>
                <w:color w:val="000000"/>
                <w:sz w:val="20"/>
                <w:szCs w:val="20"/>
              </w:rPr>
            </w:pPr>
            <w:r>
              <w:rPr>
                <w:color w:val="000000"/>
                <w:sz w:val="20"/>
                <w:szCs w:val="20"/>
              </w:rPr>
              <w:t>No change</w:t>
            </w:r>
          </w:p>
        </w:tc>
        <w:tc>
          <w:tcPr>
            <w:tcW w:w="1259" w:type="pct"/>
            <w:shd w:val="clear" w:color="auto" w:fill="FFFFFF"/>
            <w:tcMar>
              <w:top w:w="15" w:type="dxa"/>
              <w:left w:w="0" w:type="dxa"/>
              <w:bottom w:w="0" w:type="dxa"/>
              <w:right w:w="15" w:type="dxa"/>
            </w:tcMar>
            <w:vAlign w:val="bottom"/>
            <w:hideMark/>
          </w:tcPr>
          <w:p w14:paraId="52EACB4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111" w:type="pct"/>
            <w:shd w:val="clear" w:color="auto" w:fill="FFFFFF"/>
            <w:tcMar>
              <w:top w:w="15" w:type="dxa"/>
              <w:left w:w="0" w:type="dxa"/>
              <w:bottom w:w="0" w:type="dxa"/>
              <w:right w:w="15" w:type="dxa"/>
            </w:tcMar>
            <w:vAlign w:val="bottom"/>
            <w:hideMark/>
          </w:tcPr>
          <w:p w14:paraId="14853D7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93831A"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58" w:type="pct"/>
            <w:shd w:val="clear" w:color="auto" w:fill="FFFFFF"/>
            <w:noWrap/>
            <w:tcMar>
              <w:top w:w="15" w:type="dxa"/>
              <w:left w:w="0" w:type="dxa"/>
              <w:bottom w:w="0" w:type="dxa"/>
              <w:right w:w="15" w:type="dxa"/>
            </w:tcMar>
            <w:vAlign w:val="bottom"/>
            <w:hideMark/>
          </w:tcPr>
          <w:p w14:paraId="74194EDD" w14:textId="77777777" w:rsidR="00000000" w:rsidRDefault="00B8284C">
            <w:pPr>
              <w:pStyle w:val="a3"/>
              <w:spacing w:before="0" w:beforeAutospacing="0" w:after="0" w:afterAutospacing="0"/>
              <w:jc w:val="right"/>
              <w:rPr>
                <w:color w:val="000000"/>
                <w:sz w:val="20"/>
                <w:szCs w:val="20"/>
              </w:rPr>
            </w:pPr>
            <w:r>
              <w:rPr>
                <w:color w:val="000000"/>
                <w:sz w:val="20"/>
                <w:szCs w:val="20"/>
              </w:rPr>
              <w:t>659,440</w:t>
            </w:r>
          </w:p>
        </w:tc>
        <w:tc>
          <w:tcPr>
            <w:tcW w:w="50" w:type="pct"/>
            <w:shd w:val="clear" w:color="auto" w:fill="FFFFFF"/>
            <w:noWrap/>
            <w:tcMar>
              <w:top w:w="15" w:type="dxa"/>
              <w:left w:w="0" w:type="dxa"/>
              <w:bottom w:w="0" w:type="dxa"/>
              <w:right w:w="15" w:type="dxa"/>
            </w:tcMar>
            <w:vAlign w:val="bottom"/>
            <w:hideMark/>
          </w:tcPr>
          <w:p w14:paraId="09F36D00"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vAlign w:val="bottom"/>
            <w:hideMark/>
          </w:tcPr>
          <w:p w14:paraId="5AA93E17"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BFCED3"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46" w:type="pct"/>
            <w:shd w:val="clear" w:color="auto" w:fill="FFFFFF"/>
            <w:noWrap/>
            <w:tcMar>
              <w:top w:w="15" w:type="dxa"/>
              <w:left w:w="0" w:type="dxa"/>
              <w:bottom w:w="0" w:type="dxa"/>
              <w:right w:w="15" w:type="dxa"/>
            </w:tcMar>
            <w:vAlign w:val="bottom"/>
            <w:hideMark/>
          </w:tcPr>
          <w:p w14:paraId="3E6E3FA8"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68CE30E"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39" w:type="pct"/>
            <w:shd w:val="clear" w:color="auto" w:fill="FFFFFF"/>
            <w:tcMar>
              <w:top w:w="15" w:type="dxa"/>
              <w:left w:w="0" w:type="dxa"/>
              <w:bottom w:w="0" w:type="dxa"/>
              <w:right w:w="15" w:type="dxa"/>
            </w:tcMar>
            <w:vAlign w:val="bottom"/>
            <w:hideMark/>
          </w:tcPr>
          <w:p w14:paraId="05EF4D75" w14:textId="77777777" w:rsidR="00000000" w:rsidRDefault="00B8284C">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7B2BE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30" w:type="pct"/>
            <w:shd w:val="clear" w:color="auto" w:fill="FFFFFF"/>
            <w:noWrap/>
            <w:tcMar>
              <w:top w:w="15" w:type="dxa"/>
              <w:left w:w="0" w:type="dxa"/>
              <w:bottom w:w="0" w:type="dxa"/>
              <w:right w:w="15" w:type="dxa"/>
            </w:tcMar>
            <w:vAlign w:val="bottom"/>
            <w:hideMark/>
          </w:tcPr>
          <w:p w14:paraId="38508281" w14:textId="77777777" w:rsidR="00000000" w:rsidRDefault="00B8284C">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3AB682F" w14:textId="77777777" w:rsidR="00000000" w:rsidRDefault="00B8284C">
            <w:pPr>
              <w:pStyle w:val="a3"/>
              <w:spacing w:before="0" w:beforeAutospacing="0" w:after="0" w:afterAutospacing="0"/>
              <w:rPr>
                <w:color w:val="000000"/>
                <w:sz w:val="20"/>
                <w:szCs w:val="20"/>
              </w:rPr>
            </w:pPr>
            <w:r>
              <w:rPr>
                <w:color w:val="000000"/>
                <w:sz w:val="20"/>
                <w:szCs w:val="20"/>
              </w:rPr>
              <w:t> </w:t>
            </w:r>
          </w:p>
        </w:tc>
      </w:tr>
      <w:tr w:rsidR="00000000" w14:paraId="0455B3A9" w14:textId="77777777">
        <w:trPr>
          <w:divId w:val="1833985104"/>
        </w:trPr>
        <w:tc>
          <w:tcPr>
            <w:tcW w:w="1170" w:type="pct"/>
            <w:shd w:val="clear" w:color="auto" w:fill="CCEEFF"/>
            <w:tcMar>
              <w:top w:w="15" w:type="dxa"/>
              <w:left w:w="0" w:type="dxa"/>
              <w:bottom w:w="0" w:type="dxa"/>
              <w:right w:w="15" w:type="dxa"/>
            </w:tcMar>
            <w:vAlign w:val="bottom"/>
            <w:hideMark/>
          </w:tcPr>
          <w:p w14:paraId="6215C0F7" w14:textId="77777777" w:rsidR="00000000" w:rsidRDefault="00B8284C">
            <w:pPr>
              <w:pStyle w:val="a3"/>
              <w:spacing w:before="0" w:beforeAutospacing="0" w:after="0" w:afterAutospacing="0"/>
              <w:rPr>
                <w:color w:val="000000"/>
                <w:sz w:val="20"/>
                <w:szCs w:val="20"/>
              </w:rPr>
            </w:pPr>
            <w:r>
              <w:rPr>
                <w:color w:val="000000"/>
                <w:sz w:val="20"/>
                <w:szCs w:val="20"/>
              </w:rPr>
              <w:t>10% decrease</w:t>
            </w:r>
          </w:p>
        </w:tc>
        <w:tc>
          <w:tcPr>
            <w:tcW w:w="1259" w:type="pct"/>
            <w:shd w:val="clear" w:color="auto" w:fill="CCEEFF"/>
            <w:tcMar>
              <w:top w:w="15" w:type="dxa"/>
              <w:left w:w="0" w:type="dxa"/>
              <w:bottom w:w="0" w:type="dxa"/>
              <w:right w:w="15" w:type="dxa"/>
            </w:tcMar>
            <w:vAlign w:val="bottom"/>
            <w:hideMark/>
          </w:tcPr>
          <w:p w14:paraId="7798B5B1"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111" w:type="pct"/>
            <w:shd w:val="clear" w:color="auto" w:fill="CCEEFF"/>
            <w:tcMar>
              <w:top w:w="15" w:type="dxa"/>
              <w:left w:w="0" w:type="dxa"/>
              <w:bottom w:w="0" w:type="dxa"/>
              <w:right w:w="15" w:type="dxa"/>
            </w:tcMar>
            <w:vAlign w:val="bottom"/>
            <w:hideMark/>
          </w:tcPr>
          <w:p w14:paraId="387F5212"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14:paraId="077C3F4E"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758" w:type="pct"/>
            <w:shd w:val="clear" w:color="auto" w:fill="CCEEFF"/>
            <w:noWrap/>
            <w:tcMar>
              <w:top w:w="15" w:type="dxa"/>
              <w:left w:w="0" w:type="dxa"/>
              <w:bottom w:w="0" w:type="dxa"/>
              <w:right w:w="15" w:type="dxa"/>
            </w:tcMar>
            <w:vAlign w:val="bottom"/>
            <w:hideMark/>
          </w:tcPr>
          <w:p w14:paraId="449540BE" w14:textId="77777777" w:rsidR="00000000" w:rsidRDefault="00B8284C">
            <w:pPr>
              <w:pStyle w:val="a3"/>
              <w:spacing w:before="0" w:beforeAutospacing="0" w:after="0" w:afterAutospacing="0"/>
              <w:jc w:val="right"/>
              <w:rPr>
                <w:color w:val="000000"/>
                <w:sz w:val="20"/>
                <w:szCs w:val="20"/>
              </w:rPr>
            </w:pPr>
            <w:r>
              <w:rPr>
                <w:color w:val="000000"/>
                <w:sz w:val="20"/>
                <w:szCs w:val="20"/>
              </w:rPr>
              <w:t>602,824</w:t>
            </w:r>
          </w:p>
        </w:tc>
        <w:tc>
          <w:tcPr>
            <w:tcW w:w="50" w:type="pct"/>
            <w:shd w:val="clear" w:color="auto" w:fill="CCEEFF"/>
            <w:noWrap/>
            <w:tcMar>
              <w:top w:w="15" w:type="dxa"/>
              <w:left w:w="0" w:type="dxa"/>
              <w:bottom w:w="0" w:type="dxa"/>
              <w:right w:w="15" w:type="dxa"/>
            </w:tcMar>
            <w:vAlign w:val="bottom"/>
            <w:hideMark/>
          </w:tcPr>
          <w:p w14:paraId="2CE195B6"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83" w:type="pct"/>
            <w:shd w:val="clear" w:color="auto" w:fill="CCEEFF"/>
            <w:tcMar>
              <w:top w:w="15" w:type="dxa"/>
              <w:left w:w="0" w:type="dxa"/>
              <w:bottom w:w="0" w:type="dxa"/>
              <w:right w:w="15" w:type="dxa"/>
            </w:tcMar>
            <w:vAlign w:val="bottom"/>
            <w:hideMark/>
          </w:tcPr>
          <w:p w14:paraId="6539350A"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14:paraId="5EB4BD3D"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546" w:type="pct"/>
            <w:shd w:val="clear" w:color="auto" w:fill="CCEEFF"/>
            <w:noWrap/>
            <w:tcMar>
              <w:top w:w="15" w:type="dxa"/>
              <w:left w:w="0" w:type="dxa"/>
              <w:bottom w:w="0" w:type="dxa"/>
              <w:right w:w="15" w:type="dxa"/>
            </w:tcMar>
            <w:vAlign w:val="bottom"/>
            <w:hideMark/>
          </w:tcPr>
          <w:p w14:paraId="56CCA99F" w14:textId="77777777" w:rsidR="00000000" w:rsidRDefault="00B8284C">
            <w:pPr>
              <w:pStyle w:val="a3"/>
              <w:spacing w:before="0" w:beforeAutospacing="0" w:after="0" w:afterAutospacing="0"/>
              <w:jc w:val="right"/>
              <w:rPr>
                <w:color w:val="000000"/>
                <w:sz w:val="20"/>
                <w:szCs w:val="20"/>
              </w:rPr>
            </w:pPr>
            <w:r>
              <w:rPr>
                <w:color w:val="000000"/>
                <w:sz w:val="20"/>
                <w:szCs w:val="20"/>
              </w:rPr>
              <w:t>(56,616</w:t>
            </w:r>
          </w:p>
        </w:tc>
        <w:tc>
          <w:tcPr>
            <w:tcW w:w="50" w:type="pct"/>
            <w:shd w:val="clear" w:color="auto" w:fill="CCEEFF"/>
            <w:noWrap/>
            <w:tcMar>
              <w:top w:w="15" w:type="dxa"/>
              <w:left w:w="0" w:type="dxa"/>
              <w:bottom w:w="0" w:type="dxa"/>
              <w:right w:w="15" w:type="dxa"/>
            </w:tcMar>
            <w:vAlign w:val="bottom"/>
            <w:hideMark/>
          </w:tcPr>
          <w:p w14:paraId="04941826" w14:textId="77777777" w:rsidR="00000000" w:rsidRDefault="00B8284C">
            <w:pPr>
              <w:pStyle w:val="a3"/>
              <w:spacing w:before="0" w:beforeAutospacing="0" w:after="0" w:afterAutospacing="0"/>
              <w:rPr>
                <w:color w:val="000000"/>
                <w:sz w:val="20"/>
                <w:szCs w:val="20"/>
              </w:rPr>
            </w:pPr>
            <w:r>
              <w:rPr>
                <w:color w:val="000000"/>
                <w:sz w:val="20"/>
                <w:szCs w:val="20"/>
              </w:rPr>
              <w:t>)</w:t>
            </w:r>
          </w:p>
        </w:tc>
        <w:tc>
          <w:tcPr>
            <w:tcW w:w="39" w:type="pct"/>
            <w:shd w:val="clear" w:color="auto" w:fill="CCEEFF"/>
            <w:tcMar>
              <w:top w:w="15" w:type="dxa"/>
              <w:left w:w="0" w:type="dxa"/>
              <w:bottom w:w="0" w:type="dxa"/>
              <w:right w:w="15" w:type="dxa"/>
            </w:tcMar>
            <w:vAlign w:val="bottom"/>
            <w:hideMark/>
          </w:tcPr>
          <w:p w14:paraId="406F260C"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14:paraId="031375B3" w14:textId="77777777" w:rsidR="00000000" w:rsidRDefault="00B8284C">
            <w:pPr>
              <w:pStyle w:val="a3"/>
              <w:spacing w:before="0" w:beforeAutospacing="0" w:after="0" w:afterAutospacing="0"/>
              <w:rPr>
                <w:color w:val="000000"/>
                <w:sz w:val="20"/>
                <w:szCs w:val="20"/>
              </w:rPr>
            </w:pPr>
            <w:r>
              <w:rPr>
                <w:color w:val="000000"/>
                <w:sz w:val="20"/>
                <w:szCs w:val="20"/>
              </w:rPr>
              <w:t> </w:t>
            </w:r>
          </w:p>
        </w:tc>
        <w:tc>
          <w:tcPr>
            <w:tcW w:w="730" w:type="pct"/>
            <w:shd w:val="clear" w:color="auto" w:fill="CCEEFF"/>
            <w:noWrap/>
            <w:tcMar>
              <w:top w:w="15" w:type="dxa"/>
              <w:left w:w="0" w:type="dxa"/>
              <w:bottom w:w="0" w:type="dxa"/>
              <w:right w:w="15" w:type="dxa"/>
            </w:tcMar>
            <w:vAlign w:val="bottom"/>
            <w:hideMark/>
          </w:tcPr>
          <w:p w14:paraId="1C97179D" w14:textId="77777777" w:rsidR="00000000" w:rsidRDefault="00B8284C">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CCEEFF"/>
            <w:noWrap/>
            <w:tcMar>
              <w:top w:w="15" w:type="dxa"/>
              <w:left w:w="0" w:type="dxa"/>
              <w:bottom w:w="0" w:type="dxa"/>
              <w:right w:w="15" w:type="dxa"/>
            </w:tcMar>
            <w:vAlign w:val="bottom"/>
            <w:hideMark/>
          </w:tcPr>
          <w:p w14:paraId="6B71B5BB" w14:textId="77777777" w:rsidR="00000000" w:rsidRDefault="00B8284C">
            <w:pPr>
              <w:pStyle w:val="a3"/>
              <w:spacing w:before="0" w:beforeAutospacing="0" w:after="0" w:afterAutospacing="0"/>
              <w:rPr>
                <w:color w:val="000000"/>
                <w:sz w:val="20"/>
                <w:szCs w:val="20"/>
              </w:rPr>
            </w:pPr>
            <w:r>
              <w:rPr>
                <w:color w:val="000000"/>
                <w:sz w:val="20"/>
                <w:szCs w:val="20"/>
              </w:rPr>
              <w:t>%</w:t>
            </w:r>
          </w:p>
        </w:tc>
      </w:tr>
    </w:tbl>
    <w:p w14:paraId="66D9FD16" w14:textId="77777777" w:rsidR="00000000" w:rsidRDefault="00B8284C">
      <w:pPr>
        <w:pStyle w:val="a3"/>
        <w:spacing w:before="0" w:beforeAutospacing="0" w:after="0" w:afterAutospacing="0"/>
        <w:rPr>
          <w:sz w:val="18"/>
          <w:szCs w:val="18"/>
        </w:rPr>
      </w:pPr>
      <w:r>
        <w:rPr>
          <w:sz w:val="18"/>
          <w:szCs w:val="18"/>
        </w:rPr>
        <w:t> </w:t>
      </w:r>
    </w:p>
    <w:p w14:paraId="53CF12A7" w14:textId="77777777" w:rsidR="00000000" w:rsidRDefault="00B8284C">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1A91E81B" w14:textId="77777777">
        <w:trPr>
          <w:divId w:val="662009366"/>
        </w:trPr>
        <w:tc>
          <w:tcPr>
            <w:tcW w:w="453" w:type="pct"/>
            <w:noWrap/>
            <w:hideMark/>
          </w:tcPr>
          <w:p w14:paraId="4A0B6C74" w14:textId="77777777" w:rsidR="00000000" w:rsidRDefault="00B8284C">
            <w:pPr>
              <w:pStyle w:val="a3"/>
              <w:spacing w:before="0" w:beforeAutospacing="0" w:after="0" w:afterAutospacing="0"/>
              <w:rPr>
                <w:b/>
                <w:bCs/>
                <w:sz w:val="20"/>
                <w:szCs w:val="20"/>
              </w:rPr>
            </w:pPr>
            <w:r>
              <w:rPr>
                <w:b/>
                <w:bCs/>
                <w:sz w:val="20"/>
                <w:szCs w:val="20"/>
              </w:rPr>
              <w:t>Item 4.</w:t>
            </w:r>
          </w:p>
        </w:tc>
        <w:tc>
          <w:tcPr>
            <w:tcW w:w="0" w:type="auto"/>
            <w:hideMark/>
          </w:tcPr>
          <w:p w14:paraId="334C8B89" w14:textId="77777777" w:rsidR="00000000" w:rsidRDefault="00B8284C">
            <w:pPr>
              <w:pStyle w:val="a3"/>
              <w:spacing w:before="0" w:beforeAutospacing="0" w:after="0" w:afterAutospacing="0"/>
              <w:rPr>
                <w:b/>
                <w:bCs/>
                <w:sz w:val="20"/>
                <w:szCs w:val="20"/>
              </w:rPr>
            </w:pPr>
            <w:r>
              <w:rPr>
                <w:b/>
                <w:bCs/>
                <w:sz w:val="20"/>
                <w:szCs w:val="20"/>
              </w:rPr>
              <w:t>Controls and Procedures</w:t>
            </w:r>
          </w:p>
        </w:tc>
      </w:tr>
    </w:tbl>
    <w:p w14:paraId="6A820569" w14:textId="77777777" w:rsidR="00000000" w:rsidRDefault="00B8284C">
      <w:pPr>
        <w:pStyle w:val="a3"/>
        <w:spacing w:before="120" w:beforeAutospacing="0" w:after="0" w:afterAutospacing="0"/>
        <w:ind w:firstLine="556"/>
        <w:rPr>
          <w:sz w:val="20"/>
          <w:szCs w:val="20"/>
        </w:rPr>
      </w:pPr>
      <w:r>
        <w:rPr>
          <w:sz w:val="20"/>
          <w:szCs w:val="20"/>
          <w:u w:val="single"/>
        </w:rPr>
        <w:t>Evaluation of Disclosure Controls and Procedures</w:t>
      </w:r>
      <w:r>
        <w:rPr>
          <w:sz w:val="20"/>
          <w:szCs w:val="20"/>
        </w:rPr>
        <w:t>. Our management, with the participation of our principal executive officer and principal financial officer, has evaluated the effectiveness of our disclosure controls and procedures (as defined in Rules 13a-</w:t>
      </w:r>
      <w:r>
        <w:rPr>
          <w:sz w:val="20"/>
          <w:szCs w:val="20"/>
        </w:rPr>
        <w:t>15(e) and 15d-15(e) under the Securities Exchange Act of 1934, as amended (the “Exchange Act”)), as of the end of the period covered by this Quarterly Report on Form 10-Q. Based on such evaluation, our principal executive officer and principal financial of</w:t>
      </w:r>
      <w:r>
        <w:rPr>
          <w:sz w:val="20"/>
          <w:szCs w:val="20"/>
        </w:rPr>
        <w:t>ficer have concluded that as of such date, our disclosure controls and procedures were effective.</w:t>
      </w:r>
    </w:p>
    <w:p w14:paraId="1916706D" w14:textId="77777777" w:rsidR="00000000" w:rsidRDefault="00B8284C">
      <w:pPr>
        <w:pStyle w:val="a3"/>
        <w:spacing w:before="240" w:beforeAutospacing="0" w:after="0" w:afterAutospacing="0"/>
        <w:ind w:firstLine="556"/>
        <w:rPr>
          <w:sz w:val="20"/>
          <w:szCs w:val="20"/>
        </w:rPr>
      </w:pPr>
      <w:r>
        <w:rPr>
          <w:sz w:val="20"/>
          <w:szCs w:val="20"/>
          <w:u w:val="single"/>
        </w:rPr>
        <w:t>Changes in Internal Control Over Financial Reporting</w:t>
      </w:r>
      <w:r>
        <w:rPr>
          <w:sz w:val="20"/>
          <w:szCs w:val="20"/>
        </w:rPr>
        <w:t xml:space="preserve">. There was no change in our internal control over financial reporting (as defined in Rules 13a-15(f) and </w:t>
      </w:r>
      <w:r>
        <w:rPr>
          <w:sz w:val="20"/>
          <w:szCs w:val="20"/>
        </w:rPr>
        <w:t xml:space="preserve">15d-15(f) under the Exchange Act) that occurred during the period covered by this Quarterly Report on Form 10-Q that has materially affected, or is reasonably likely to materially affect, our internal control over financial reporting. </w:t>
      </w:r>
    </w:p>
    <w:p w14:paraId="0CE3D2ED" w14:textId="77777777" w:rsidR="00000000" w:rsidRDefault="00B8284C">
      <w:pPr>
        <w:pStyle w:val="a3"/>
        <w:spacing w:before="240" w:beforeAutospacing="0" w:after="0" w:afterAutospacing="0"/>
        <w:ind w:firstLine="556"/>
        <w:rPr>
          <w:sz w:val="20"/>
          <w:szCs w:val="20"/>
        </w:rPr>
      </w:pPr>
      <w:r>
        <w:rPr>
          <w:sz w:val="20"/>
          <w:szCs w:val="20"/>
          <w:u w:val="single"/>
        </w:rPr>
        <w:t>Inherent Limitations</w:t>
      </w:r>
      <w:r>
        <w:rPr>
          <w:sz w:val="20"/>
          <w:szCs w:val="20"/>
          <w:u w:val="single"/>
        </w:rPr>
        <w:t xml:space="preserve"> of Internal Controls</w:t>
      </w:r>
      <w:r>
        <w:rPr>
          <w:sz w:val="20"/>
          <w:szCs w:val="20"/>
        </w:rPr>
        <w:t>. Our management, including our Chief Executive Officer and Chief Financial Officer, does not expect that our disclosure controls and procedures or our internal controls will prevent all errors and all fraud. A control system, no matte</w:t>
      </w:r>
      <w:r>
        <w:rPr>
          <w:sz w:val="20"/>
          <w:szCs w:val="20"/>
        </w:rPr>
        <w:t xml:space="preserve">r how well conceived and operated, can provide only reasonable, not absolute, assurance that the objectives of the control system are met. Because of the inherent limitations in all control systems, no evaluation of controls can provide absolute assurance </w:t>
      </w:r>
      <w:r>
        <w:rPr>
          <w:sz w:val="20"/>
          <w:szCs w:val="20"/>
        </w:rPr>
        <w:t>that all control issues and instances of fraud, if any, within the Company have been detected. These inherent limitations include the realities that judgments in decision-making can be faulty, and that breakdowns can occur because of a simple error or mist</w:t>
      </w:r>
      <w:r>
        <w:rPr>
          <w:sz w:val="20"/>
          <w:szCs w:val="20"/>
        </w:rPr>
        <w:t xml:space="preserve">ake. Additionally, controls can be circumvented by the individual acts of some persons, by collusion of two or more people, or by management override of the control. The design of any system of controls also is based in part upon certain assumptions about </w:t>
      </w:r>
      <w:r>
        <w:rPr>
          <w:sz w:val="20"/>
          <w:szCs w:val="20"/>
        </w:rPr>
        <w:t>the likelihood of future events, and there can be no assurance that any design will succeed in achieving its stated goals under all potential future conditions. Over time, controls may become inadequate because of changes in conditions, or the degree of co</w:t>
      </w:r>
      <w:r>
        <w:rPr>
          <w:sz w:val="20"/>
          <w:szCs w:val="20"/>
        </w:rPr>
        <w:t>mpliance with the policies or procedures may deteriorate. Because of the inherent limitations in a cost-effective control system, misstatements due to error or fraud may occur and not be detected.</w:t>
      </w:r>
    </w:p>
    <w:p w14:paraId="1B1F92F6" w14:textId="77777777" w:rsidR="00000000" w:rsidRDefault="00B8284C">
      <w:pPr>
        <w:pStyle w:val="a3"/>
        <w:spacing w:before="240" w:beforeAutospacing="0" w:after="0" w:afterAutospacing="0"/>
        <w:jc w:val="center"/>
        <w:rPr>
          <w:sz w:val="20"/>
          <w:szCs w:val="20"/>
        </w:rPr>
      </w:pPr>
      <w:r>
        <w:rPr>
          <w:sz w:val="20"/>
          <w:szCs w:val="20"/>
        </w:rPr>
        <w:t>31</w:t>
      </w:r>
    </w:p>
    <w:p w14:paraId="25559813" w14:textId="77777777" w:rsidR="00000000" w:rsidRDefault="00B8284C">
      <w:pPr>
        <w:rPr>
          <w:rFonts w:eastAsia="Times New Roman"/>
        </w:rPr>
      </w:pPr>
      <w:r>
        <w:rPr>
          <w:rFonts w:eastAsia="Times New Roman"/>
        </w:rPr>
        <w:pict w14:anchorId="2B30BA6F">
          <v:rect id="_x0000_i1055" style="width:0;height:1.5pt" o:hralign="center" o:hrstd="t" o:hr="t" fillcolor="#a0a0a0" stroked="f"/>
        </w:pict>
      </w:r>
    </w:p>
    <w:p w14:paraId="5FB7C6ED" w14:textId="77777777" w:rsidR="00000000" w:rsidRDefault="00B8284C">
      <w:pPr>
        <w:pStyle w:val="a3"/>
        <w:spacing w:before="0" w:beforeAutospacing="0" w:after="0" w:afterAutospacing="0"/>
        <w:rPr>
          <w:sz w:val="20"/>
          <w:szCs w:val="20"/>
        </w:rPr>
      </w:pPr>
      <w:r>
        <w:rPr>
          <w:sz w:val="20"/>
          <w:szCs w:val="20"/>
        </w:rPr>
        <w:t> </w:t>
      </w:r>
    </w:p>
    <w:p w14:paraId="28574A84" w14:textId="77777777" w:rsidR="00000000" w:rsidRDefault="00B8284C">
      <w:pPr>
        <w:pStyle w:val="a3"/>
        <w:spacing w:before="0" w:beforeAutospacing="0" w:after="0" w:afterAutospacing="0"/>
        <w:jc w:val="center"/>
        <w:rPr>
          <w:b/>
          <w:bCs/>
          <w:sz w:val="20"/>
          <w:szCs w:val="20"/>
        </w:rPr>
      </w:pPr>
      <w:r>
        <w:rPr>
          <w:b/>
          <w:bCs/>
          <w:sz w:val="20"/>
          <w:szCs w:val="20"/>
        </w:rPr>
        <w:t>PART II</w:t>
      </w:r>
    </w:p>
    <w:p w14:paraId="37D26A51" w14:textId="77777777" w:rsidR="00000000" w:rsidRDefault="00B8284C">
      <w:pPr>
        <w:pStyle w:val="a3"/>
        <w:spacing w:before="0" w:beforeAutospacing="0" w:after="0" w:afterAutospacing="0"/>
        <w:jc w:val="center"/>
        <w:rPr>
          <w:b/>
          <w:bCs/>
          <w:sz w:val="20"/>
          <w:szCs w:val="20"/>
        </w:rPr>
      </w:pPr>
      <w:r>
        <w:rPr>
          <w:b/>
          <w:bCs/>
          <w:sz w:val="20"/>
          <w:szCs w:val="20"/>
        </w:rPr>
        <w:t>Other Info</w:t>
      </w:r>
      <w:r>
        <w:rPr>
          <w:b/>
          <w:bCs/>
          <w:sz w:val="20"/>
          <w:szCs w:val="20"/>
        </w:rPr>
        <w:t>rmation</w:t>
      </w:r>
    </w:p>
    <w:p w14:paraId="1E458064" w14:textId="77777777" w:rsidR="00000000" w:rsidRDefault="00B8284C">
      <w:pPr>
        <w:pStyle w:val="a3"/>
        <w:spacing w:before="0" w:beforeAutospacing="0" w:after="0" w:afterAutospacing="0"/>
        <w:rPr>
          <w:sz w:val="12"/>
          <w:szCs w:val="12"/>
        </w:rPr>
      </w:pPr>
      <w:r>
        <w:rPr>
          <w:sz w:val="12"/>
          <w:szCs w:val="12"/>
        </w:rPr>
        <w:t> </w:t>
      </w:r>
    </w:p>
    <w:p w14:paraId="6B5B436F" w14:textId="77777777" w:rsidR="00000000" w:rsidRDefault="00B8284C">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1B322FC0" w14:textId="77777777">
        <w:trPr>
          <w:divId w:val="2059819213"/>
        </w:trPr>
        <w:tc>
          <w:tcPr>
            <w:tcW w:w="453" w:type="pct"/>
            <w:noWrap/>
            <w:hideMark/>
          </w:tcPr>
          <w:p w14:paraId="2736E1A0" w14:textId="77777777" w:rsidR="00000000" w:rsidRDefault="00B8284C">
            <w:pPr>
              <w:pStyle w:val="a3"/>
              <w:spacing w:before="0" w:beforeAutospacing="0" w:after="0" w:afterAutospacing="0"/>
              <w:rPr>
                <w:b/>
                <w:bCs/>
                <w:sz w:val="20"/>
                <w:szCs w:val="20"/>
              </w:rPr>
            </w:pPr>
            <w:r>
              <w:rPr>
                <w:b/>
                <w:bCs/>
                <w:sz w:val="20"/>
                <w:szCs w:val="20"/>
              </w:rPr>
              <w:t>Item 1.</w:t>
            </w:r>
          </w:p>
        </w:tc>
        <w:tc>
          <w:tcPr>
            <w:tcW w:w="0" w:type="auto"/>
            <w:hideMark/>
          </w:tcPr>
          <w:p w14:paraId="7F7A8AF7" w14:textId="77777777" w:rsidR="00000000" w:rsidRDefault="00B8284C">
            <w:pPr>
              <w:pStyle w:val="a3"/>
              <w:spacing w:before="0" w:beforeAutospacing="0" w:after="0" w:afterAutospacing="0"/>
              <w:rPr>
                <w:b/>
                <w:bCs/>
                <w:sz w:val="20"/>
                <w:szCs w:val="20"/>
              </w:rPr>
            </w:pPr>
            <w:r>
              <w:rPr>
                <w:b/>
                <w:bCs/>
                <w:sz w:val="20"/>
                <w:szCs w:val="20"/>
              </w:rPr>
              <w:t>Legal Proceedings</w:t>
            </w:r>
          </w:p>
        </w:tc>
      </w:tr>
    </w:tbl>
    <w:p w14:paraId="6F5EA2B4" w14:textId="77777777" w:rsidR="00000000" w:rsidRDefault="00B8284C">
      <w:pPr>
        <w:pStyle w:val="a3"/>
        <w:spacing w:before="120" w:beforeAutospacing="0" w:after="0" w:afterAutospacing="0"/>
        <w:ind w:firstLine="556"/>
        <w:rPr>
          <w:sz w:val="20"/>
          <w:szCs w:val="20"/>
        </w:rPr>
      </w:pPr>
      <w:r>
        <w:rPr>
          <w:sz w:val="20"/>
          <w:szCs w:val="20"/>
        </w:rPr>
        <w:t>From time to time we may become involved in legal proceedings or be subject to claims arising in the ordinary course of our business. Although the results of litigation and claims cannot be predicted with certainty, we currently believe that the final outc</w:t>
      </w:r>
      <w:r>
        <w:rPr>
          <w:sz w:val="20"/>
          <w:szCs w:val="20"/>
        </w:rPr>
        <w:t>ome of these ordinary course matters will not have a material adverse effect on our business, operating results, financial condition or cash flows. Regardless of the outcome, litigation can have an adverse impact on us because of defense and settlement cos</w:t>
      </w:r>
      <w:r>
        <w:rPr>
          <w:sz w:val="20"/>
          <w:szCs w:val="20"/>
        </w:rPr>
        <w:t>ts, diversion of management resources and other factors.</w:t>
      </w:r>
    </w:p>
    <w:p w14:paraId="1C94B7F2" w14:textId="77777777" w:rsidR="00000000" w:rsidRDefault="00B8284C">
      <w:pPr>
        <w:pStyle w:val="a3"/>
        <w:spacing w:before="0" w:beforeAutospacing="0" w:after="0" w:afterAutospacing="0"/>
        <w:rPr>
          <w:sz w:val="18"/>
          <w:szCs w:val="18"/>
        </w:rPr>
      </w:pPr>
      <w:r>
        <w:rPr>
          <w:sz w:val="18"/>
          <w:szCs w:val="18"/>
        </w:rPr>
        <w:t> </w:t>
      </w:r>
    </w:p>
    <w:p w14:paraId="10618FC4" w14:textId="77777777" w:rsidR="00000000" w:rsidRDefault="00B8284C">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4EB9670A" w14:textId="77777777">
        <w:trPr>
          <w:divId w:val="1660233820"/>
        </w:trPr>
        <w:tc>
          <w:tcPr>
            <w:tcW w:w="453" w:type="pct"/>
            <w:noWrap/>
            <w:hideMark/>
          </w:tcPr>
          <w:p w14:paraId="09D5054F" w14:textId="77777777" w:rsidR="00000000" w:rsidRDefault="00B8284C">
            <w:pPr>
              <w:pStyle w:val="a3"/>
              <w:spacing w:before="0" w:beforeAutospacing="0" w:after="0" w:afterAutospacing="0"/>
              <w:rPr>
                <w:b/>
                <w:bCs/>
                <w:color w:val="000000"/>
                <w:sz w:val="20"/>
                <w:szCs w:val="20"/>
              </w:rPr>
            </w:pPr>
            <w:r>
              <w:rPr>
                <w:b/>
                <w:bCs/>
                <w:color w:val="000000"/>
                <w:sz w:val="20"/>
                <w:szCs w:val="20"/>
              </w:rPr>
              <w:t>Item 1A.</w:t>
            </w:r>
          </w:p>
        </w:tc>
        <w:tc>
          <w:tcPr>
            <w:tcW w:w="0" w:type="auto"/>
            <w:hideMark/>
          </w:tcPr>
          <w:p w14:paraId="4C395687" w14:textId="77777777" w:rsidR="00000000" w:rsidRDefault="00B8284C">
            <w:pPr>
              <w:pStyle w:val="a3"/>
              <w:spacing w:before="0" w:beforeAutospacing="0" w:after="0" w:afterAutospacing="0"/>
              <w:rPr>
                <w:b/>
                <w:bCs/>
                <w:color w:val="000000"/>
                <w:sz w:val="20"/>
                <w:szCs w:val="20"/>
              </w:rPr>
            </w:pPr>
            <w:r>
              <w:rPr>
                <w:b/>
                <w:bCs/>
                <w:color w:val="000000"/>
                <w:sz w:val="20"/>
                <w:szCs w:val="20"/>
              </w:rPr>
              <w:t>RISK FACTORS</w:t>
            </w:r>
          </w:p>
        </w:tc>
      </w:tr>
    </w:tbl>
    <w:p w14:paraId="39B2B6FC" w14:textId="77777777" w:rsidR="00000000" w:rsidRDefault="00B8284C">
      <w:pPr>
        <w:pStyle w:val="a3"/>
        <w:spacing w:before="120" w:beforeAutospacing="0" w:after="0" w:afterAutospacing="0"/>
        <w:ind w:firstLine="556"/>
        <w:rPr>
          <w:i/>
          <w:iCs/>
          <w:sz w:val="20"/>
          <w:szCs w:val="20"/>
        </w:rPr>
      </w:pPr>
      <w:r>
        <w:rPr>
          <w:i/>
          <w:iCs/>
          <w:sz w:val="20"/>
          <w:szCs w:val="20"/>
        </w:rPr>
        <w:t xml:space="preserve">An investment in our common stock involves a high degree of risk. You should carefully consider the risks described below and the other information in this Quarterly Report on Form 10-Q and in our other public filings before making an investment decision. </w:t>
      </w:r>
      <w:r>
        <w:rPr>
          <w:i/>
          <w:iCs/>
          <w:sz w:val="20"/>
          <w:szCs w:val="20"/>
        </w:rPr>
        <w:t>Our business, prospects, financial condition, or operating results could be harmed by any of these risks, as well as other risks not currently known to us or that we currently consider immaterial. If any of such risks and uncertainties actually occurs, our</w:t>
      </w:r>
      <w:r>
        <w:rPr>
          <w:i/>
          <w:iCs/>
          <w:sz w:val="20"/>
          <w:szCs w:val="20"/>
        </w:rPr>
        <w:t xml:space="preserve"> business, financial condition or operating results could differ materially from the plans, projections and other forward-looking statements included in the section titled “Management’s Discussion and Analysis of Financial Condition and Results of Operatio</w:t>
      </w:r>
      <w:r>
        <w:rPr>
          <w:i/>
          <w:iCs/>
          <w:sz w:val="20"/>
          <w:szCs w:val="20"/>
        </w:rPr>
        <w:t>ns” and elsewhere in this report and in our other public filings. The trading price of our common stock could decline due to any of these risks, and, as a result, you may lose all or part of your investment.</w:t>
      </w:r>
    </w:p>
    <w:p w14:paraId="1822BEE9" w14:textId="77777777" w:rsidR="00000000" w:rsidRDefault="00B8284C">
      <w:pPr>
        <w:pStyle w:val="a3"/>
        <w:spacing w:before="360" w:beforeAutospacing="0" w:after="0" w:afterAutospacing="0"/>
        <w:rPr>
          <w:b/>
          <w:bCs/>
          <w:sz w:val="20"/>
          <w:szCs w:val="20"/>
        </w:rPr>
      </w:pPr>
      <w:r>
        <w:rPr>
          <w:b/>
          <w:bCs/>
          <w:sz w:val="20"/>
          <w:szCs w:val="20"/>
        </w:rPr>
        <w:t>Risks Related to Our Business and Strategy</w:t>
      </w:r>
    </w:p>
    <w:p w14:paraId="0802B090" w14:textId="77777777" w:rsidR="00000000" w:rsidRDefault="00B8284C">
      <w:pPr>
        <w:pStyle w:val="a3"/>
        <w:spacing w:before="120" w:beforeAutospacing="0" w:after="0" w:afterAutospacing="0"/>
        <w:rPr>
          <w:b/>
          <w:bCs/>
          <w:i/>
          <w:iCs/>
          <w:sz w:val="20"/>
          <w:szCs w:val="20"/>
        </w:rPr>
      </w:pPr>
      <w:r>
        <w:rPr>
          <w:b/>
          <w:bCs/>
          <w:i/>
          <w:iCs/>
          <w:sz w:val="20"/>
          <w:szCs w:val="20"/>
        </w:rPr>
        <w:t>We ha</w:t>
      </w:r>
      <w:r>
        <w:rPr>
          <w:b/>
          <w:bCs/>
          <w:i/>
          <w:iCs/>
          <w:sz w:val="20"/>
          <w:szCs w:val="20"/>
        </w:rPr>
        <w:t>ve a history of losses and may not achieve profitability in the future.</w:t>
      </w:r>
    </w:p>
    <w:p w14:paraId="6A3C3577" w14:textId="77777777" w:rsidR="00000000" w:rsidRDefault="00B8284C">
      <w:pPr>
        <w:pStyle w:val="a3"/>
        <w:spacing w:before="120" w:beforeAutospacing="0" w:after="0" w:afterAutospacing="0"/>
        <w:ind w:firstLine="556"/>
        <w:rPr>
          <w:sz w:val="20"/>
          <w:szCs w:val="20"/>
        </w:rPr>
      </w:pPr>
      <w:r>
        <w:rPr>
          <w:sz w:val="20"/>
          <w:szCs w:val="20"/>
        </w:rPr>
        <w:t xml:space="preserve">We generated net losses of $43.4 million and $52.3 million for the nine months ended September 30, 2019 and 2018, respectively. As of September 30, 2019, we had an accumulated deficit </w:t>
      </w:r>
      <w:r>
        <w:rPr>
          <w:sz w:val="20"/>
          <w:szCs w:val="20"/>
        </w:rPr>
        <w:t xml:space="preserve">of $387.8 million. We will need to generate and sustain increased revenue levels in future periods to become profitable, and, even if we do, we may not be able to maintain or increase our level of profitability. We intend to continue to expend significant </w:t>
      </w:r>
      <w:r>
        <w:rPr>
          <w:sz w:val="20"/>
          <w:szCs w:val="20"/>
        </w:rPr>
        <w:t>funds to grow our marketing, sales and customer service operations, develop and enhance our Growth Platform, scale our data center infrastructure and services capabilities and expand into new markets. Our efforts to grow our business may be more costly tha</w:t>
      </w:r>
      <w:r>
        <w:rPr>
          <w:sz w:val="20"/>
          <w:szCs w:val="20"/>
        </w:rPr>
        <w:t>n we expect, and we may not be able to increase our revenue enough to offset our higher operating expenses. We may incur significant losses in the future for a number of reasons, including the other risks described in this Quarterly Report on Form 10-Q, an</w:t>
      </w:r>
      <w:r>
        <w:rPr>
          <w:sz w:val="20"/>
          <w:szCs w:val="20"/>
        </w:rPr>
        <w:t>d unforeseen expenses, difficulties, complications and delays and other unknown events. If we are unable to achieve and sustain profitability, the market price of our common stock may significantly decrease.</w:t>
      </w:r>
    </w:p>
    <w:p w14:paraId="22DBF611" w14:textId="77777777" w:rsidR="00000000" w:rsidRDefault="00B8284C">
      <w:pPr>
        <w:pStyle w:val="a3"/>
        <w:spacing w:before="360" w:beforeAutospacing="0" w:after="0" w:afterAutospacing="0"/>
        <w:rPr>
          <w:b/>
          <w:bCs/>
          <w:i/>
          <w:iCs/>
          <w:sz w:val="20"/>
          <w:szCs w:val="20"/>
        </w:rPr>
      </w:pPr>
      <w:r>
        <w:rPr>
          <w:b/>
          <w:bCs/>
          <w:i/>
          <w:iCs/>
          <w:sz w:val="20"/>
          <w:szCs w:val="20"/>
        </w:rPr>
        <w:t>We are dependent upon customer renewals, the add</w:t>
      </w:r>
      <w:r>
        <w:rPr>
          <w:b/>
          <w:bCs/>
          <w:i/>
          <w:iCs/>
          <w:sz w:val="20"/>
          <w:szCs w:val="20"/>
        </w:rPr>
        <w:t>ition of new customers, increased revenue from existing customers and the continued growth of the market for a Growth Platform.</w:t>
      </w:r>
    </w:p>
    <w:p w14:paraId="6B7BA9DD" w14:textId="77777777" w:rsidR="00000000" w:rsidRDefault="00B8284C">
      <w:pPr>
        <w:pStyle w:val="a3"/>
        <w:spacing w:before="120" w:beforeAutospacing="0" w:after="0" w:afterAutospacing="0"/>
        <w:ind w:firstLine="556"/>
        <w:rPr>
          <w:color w:val="000000"/>
          <w:sz w:val="20"/>
          <w:szCs w:val="20"/>
        </w:rPr>
      </w:pPr>
      <w:r>
        <w:rPr>
          <w:color w:val="000000"/>
          <w:sz w:val="20"/>
          <w:szCs w:val="20"/>
        </w:rPr>
        <w:t>We derive, and expect to continue to derive, a substantial portion of our revenue from the sale of subscriptions to our Growth P</w:t>
      </w:r>
      <w:r>
        <w:rPr>
          <w:color w:val="000000"/>
          <w:sz w:val="20"/>
          <w:szCs w:val="20"/>
        </w:rPr>
        <w:t>latform. The market for inbound marketing, sales and customer service products is still evolving, and competitive dynamics may cause pricing levels to change as the market matures and as existing and new market participants introduce new types of point app</w:t>
      </w:r>
      <w:r>
        <w:rPr>
          <w:color w:val="000000"/>
          <w:sz w:val="20"/>
          <w:szCs w:val="20"/>
        </w:rPr>
        <w:t>lications and different approaches to enable businesses to address their respective needs. As a result, we may be forced to reduce the prices we charge for our platform and may be unable to renew existing customer agreements or enter into new customer agre</w:t>
      </w:r>
      <w:r>
        <w:rPr>
          <w:color w:val="000000"/>
          <w:sz w:val="20"/>
          <w:szCs w:val="20"/>
        </w:rPr>
        <w:t>ements at the same prices and upon the same terms that we have historically. In addition, our growth strategy involves a scalable pricing model (including freemium versions of our products) intended to provide us with an opportunity to increase the value o</w:t>
      </w:r>
      <w:r>
        <w:rPr>
          <w:color w:val="000000"/>
          <w:sz w:val="20"/>
          <w:szCs w:val="20"/>
        </w:rPr>
        <w:t>f our customer relationships over time as we expand their use of our platform, sell to other parts of their organizations, cross-sell our sales products to existing marketing product customers and vice versa through touchless or low touch in product purcha</w:t>
      </w:r>
      <w:r>
        <w:rPr>
          <w:color w:val="000000"/>
          <w:sz w:val="20"/>
          <w:szCs w:val="20"/>
        </w:rPr>
        <w:t>ses, and upsell additional offerings and features. If our cross-selling efforts are unsuccessful or if our existing customers do not expand their use of our platform or adopt additional offerings and features, our operating results may suffer.</w:t>
      </w:r>
    </w:p>
    <w:p w14:paraId="02306C44" w14:textId="77777777" w:rsidR="00000000" w:rsidRDefault="00B8284C">
      <w:pPr>
        <w:pStyle w:val="a3"/>
        <w:spacing w:before="240" w:beforeAutospacing="0" w:after="0" w:afterAutospacing="0"/>
        <w:jc w:val="center"/>
        <w:rPr>
          <w:sz w:val="20"/>
          <w:szCs w:val="20"/>
        </w:rPr>
      </w:pPr>
      <w:r>
        <w:rPr>
          <w:sz w:val="20"/>
          <w:szCs w:val="20"/>
        </w:rPr>
        <w:t>32</w:t>
      </w:r>
    </w:p>
    <w:p w14:paraId="16B60C40" w14:textId="77777777" w:rsidR="00000000" w:rsidRDefault="00B8284C">
      <w:pPr>
        <w:rPr>
          <w:rFonts w:eastAsia="Times New Roman"/>
        </w:rPr>
      </w:pPr>
      <w:r>
        <w:rPr>
          <w:rFonts w:eastAsia="Times New Roman"/>
        </w:rPr>
        <w:pict w14:anchorId="076CF883">
          <v:rect id="_x0000_i1056" style="width:0;height:1.5pt" o:hralign="center" o:hrstd="t" o:hr="t" fillcolor="#a0a0a0" stroked="f"/>
        </w:pict>
      </w:r>
    </w:p>
    <w:p w14:paraId="6100B8C9" w14:textId="77777777" w:rsidR="00000000" w:rsidRDefault="00B8284C">
      <w:pPr>
        <w:pStyle w:val="a3"/>
        <w:spacing w:before="0" w:beforeAutospacing="0" w:after="0" w:afterAutospacing="0"/>
        <w:rPr>
          <w:sz w:val="20"/>
          <w:szCs w:val="20"/>
        </w:rPr>
      </w:pPr>
      <w:r>
        <w:rPr>
          <w:sz w:val="20"/>
          <w:szCs w:val="20"/>
        </w:rPr>
        <w:t> </w:t>
      </w:r>
    </w:p>
    <w:p w14:paraId="73BDD713"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Our subscription renewal rates may decrease, and any decrease could harm our future revenue and operating results.</w:t>
      </w:r>
    </w:p>
    <w:p w14:paraId="54F0EEDC"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customers have no obligation to renew their subscriptions for our platform after the expiration of their su</w:t>
      </w:r>
      <w:r>
        <w:rPr>
          <w:color w:val="000000"/>
          <w:sz w:val="20"/>
          <w:szCs w:val="20"/>
        </w:rPr>
        <w:t>bscription periods, substantially all of which are one year or less. In addition, our customers may seek to renew for lower subscription amounts or for shorter contract lengths. Also, customers may choose not to renew their subscriptions for a variety of r</w:t>
      </w:r>
      <w:r>
        <w:rPr>
          <w:color w:val="000000"/>
          <w:sz w:val="20"/>
          <w:szCs w:val="20"/>
        </w:rPr>
        <w:t>easons. Our renewal rates may decline or fluctuate as a result of a number of factors, including limited customer resources, pricing changes, the prices of services offered by our competitors,</w:t>
      </w:r>
      <w:r>
        <w:rPr>
          <w:color w:val="000000"/>
          <w:sz w:val="19"/>
          <w:szCs w:val="19"/>
        </w:rPr>
        <w:t xml:space="preserve"> </w:t>
      </w:r>
      <w:r>
        <w:rPr>
          <w:color w:val="000000"/>
          <w:sz w:val="20"/>
          <w:szCs w:val="20"/>
        </w:rPr>
        <w:t>adoption and utilization of our platform and add-on application</w:t>
      </w:r>
      <w:r>
        <w:rPr>
          <w:color w:val="000000"/>
          <w:sz w:val="20"/>
          <w:szCs w:val="20"/>
        </w:rPr>
        <w:t>s by our customers, adoption of our new products, customer satisfaction with our platform, mergers and acquisitions affecting our customer base, reductions in our customers’ spending levels or declines in customer activity as a result of economic downturns</w:t>
      </w:r>
      <w:r>
        <w:rPr>
          <w:color w:val="000000"/>
          <w:sz w:val="20"/>
          <w:szCs w:val="20"/>
        </w:rPr>
        <w:t xml:space="preserve"> or uncertainty in financial markets. If our customers do not renew their subscriptions for our platform or decrease the amount they spend with us, our revenue will decline and our business will suffer. In addition, a subscription model creates certain ris</w:t>
      </w:r>
      <w:r>
        <w:rPr>
          <w:color w:val="000000"/>
          <w:sz w:val="20"/>
          <w:szCs w:val="20"/>
        </w:rPr>
        <w:t>ks related to the timing of revenue recognition and potential reductions in cash flows. A portion of the subscription-based revenue we report each quarter results from the recognition of deferred revenue relating to subscription agreements entered into dur</w:t>
      </w:r>
      <w:r>
        <w:rPr>
          <w:color w:val="000000"/>
          <w:sz w:val="20"/>
          <w:szCs w:val="20"/>
        </w:rPr>
        <w:t>ing previous quarters. A decline in new or renewed subscriptions in any period may not be immediately reflected in our reported financial results for that period, but may result in a decline in our revenue in future quarters. If we were to experience signi</w:t>
      </w:r>
      <w:r>
        <w:rPr>
          <w:color w:val="000000"/>
          <w:sz w:val="20"/>
          <w:szCs w:val="20"/>
        </w:rPr>
        <w:t xml:space="preserve">ficant downturns in subscription sales and renewal rates, our reported financial results might not reflect such downturns until future periods. </w:t>
      </w:r>
    </w:p>
    <w:p w14:paraId="3A084A9C"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 xml:space="preserve">We face significant competition from both established and new companies offering marketing, sales and customer </w:t>
      </w:r>
      <w:r>
        <w:rPr>
          <w:b/>
          <w:bCs/>
          <w:i/>
          <w:iCs/>
          <w:color w:val="000000"/>
          <w:sz w:val="20"/>
          <w:szCs w:val="20"/>
        </w:rPr>
        <w:t>service software and other related applications, as well as internally developed software, which may harm our ability to add new customers, retain existing customers and grow our business.</w:t>
      </w:r>
    </w:p>
    <w:p w14:paraId="6B231098" w14:textId="77777777" w:rsidR="00000000" w:rsidRDefault="00B8284C">
      <w:pPr>
        <w:pStyle w:val="a3"/>
        <w:spacing w:before="120" w:beforeAutospacing="0" w:after="0" w:afterAutospacing="0"/>
        <w:ind w:firstLine="556"/>
        <w:rPr>
          <w:color w:val="000000"/>
          <w:sz w:val="20"/>
          <w:szCs w:val="20"/>
        </w:rPr>
      </w:pPr>
      <w:r>
        <w:rPr>
          <w:color w:val="000000"/>
          <w:sz w:val="20"/>
          <w:szCs w:val="20"/>
        </w:rPr>
        <w:t>The marketing, sales and customer service software market is evolvi</w:t>
      </w:r>
      <w:r>
        <w:rPr>
          <w:color w:val="000000"/>
          <w:sz w:val="20"/>
          <w:szCs w:val="20"/>
        </w:rPr>
        <w:t>ng, highly competitive and significantly fragmented. With the introduction of new technologies and the potential entry of new competitors into the market, we expect competition to persist and intensify in the future, which could harm our ability to increas</w:t>
      </w:r>
      <w:r>
        <w:rPr>
          <w:color w:val="000000"/>
          <w:sz w:val="20"/>
          <w:szCs w:val="20"/>
        </w:rPr>
        <w:t>e sales, maintain or increase renewals and maintain our prices.</w:t>
      </w:r>
    </w:p>
    <w:p w14:paraId="3B4093D3" w14:textId="77777777" w:rsidR="00000000" w:rsidRDefault="00B8284C">
      <w:pPr>
        <w:pStyle w:val="a3"/>
        <w:spacing w:before="240" w:beforeAutospacing="0" w:after="0" w:afterAutospacing="0"/>
        <w:ind w:firstLine="556"/>
        <w:rPr>
          <w:color w:val="000000"/>
          <w:sz w:val="20"/>
          <w:szCs w:val="20"/>
        </w:rPr>
      </w:pPr>
      <w:r>
        <w:rPr>
          <w:color w:val="000000"/>
          <w:sz w:val="20"/>
          <w:szCs w:val="20"/>
        </w:rPr>
        <w:t>We face intense competition from other software companies that develop marketing, sales and customer service software and from marketing services companies that provide interactive marketing s</w:t>
      </w:r>
      <w:r>
        <w:rPr>
          <w:color w:val="000000"/>
          <w:sz w:val="20"/>
          <w:szCs w:val="20"/>
        </w:rPr>
        <w:t>ervices. Competition could significantly impede our ability to sell subscriptions to our Growth Platform on terms favorable to us. Our current and potential competitors may develop and market new technologies that render our existing or future products les</w:t>
      </w:r>
      <w:r>
        <w:rPr>
          <w:color w:val="000000"/>
          <w:sz w:val="20"/>
          <w:szCs w:val="20"/>
        </w:rPr>
        <w:t>s competitive, or obsolete. In addition, if these competitors develop products with similar or superior functionality to our platform, we may need to decrease the prices or accept less favorable terms for our platform subscriptions in order to remain compe</w:t>
      </w:r>
      <w:r>
        <w:rPr>
          <w:color w:val="000000"/>
          <w:sz w:val="20"/>
          <w:szCs w:val="20"/>
        </w:rPr>
        <w:t>titive. If we are unable to maintain our pricing due to competitive pressures, our margins will be reduced and our operating results will be negatively affected.</w:t>
      </w:r>
    </w:p>
    <w:p w14:paraId="3773E231" w14:textId="77777777" w:rsidR="00000000" w:rsidRDefault="00B8284C">
      <w:pPr>
        <w:pStyle w:val="a3"/>
        <w:spacing w:before="240" w:beforeAutospacing="0" w:after="0" w:afterAutospacing="0"/>
        <w:ind w:firstLine="556"/>
        <w:rPr>
          <w:color w:val="000000"/>
          <w:sz w:val="20"/>
          <w:szCs w:val="20"/>
        </w:rPr>
      </w:pPr>
      <w:r>
        <w:rPr>
          <w:color w:val="000000"/>
          <w:sz w:val="20"/>
          <w:szCs w:val="20"/>
        </w:rPr>
        <w:t>Our competitors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23A9FB7" w14:textId="77777777">
        <w:trPr>
          <w:divId w:val="1236866003"/>
        </w:trPr>
        <w:tc>
          <w:tcPr>
            <w:tcW w:w="227" w:type="pct"/>
            <w:noWrap/>
            <w:hideMark/>
          </w:tcPr>
          <w:p w14:paraId="73B931C9"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2B7F0DF"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05A05071" w14:textId="77777777" w:rsidR="00000000" w:rsidRDefault="00B8284C">
            <w:pPr>
              <w:pStyle w:val="a3"/>
              <w:spacing w:before="120" w:beforeAutospacing="0" w:after="0" w:afterAutospacing="0"/>
              <w:rPr>
                <w:color w:val="000000"/>
                <w:sz w:val="20"/>
                <w:szCs w:val="20"/>
              </w:rPr>
            </w:pPr>
            <w:r>
              <w:rPr>
                <w:color w:val="000000"/>
                <w:sz w:val="20"/>
                <w:szCs w:val="20"/>
              </w:rPr>
              <w:t>cloud-based marketing automation providers;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B07A030" w14:textId="77777777">
        <w:tc>
          <w:tcPr>
            <w:tcW w:w="227" w:type="pct"/>
            <w:noWrap/>
            <w:hideMark/>
          </w:tcPr>
          <w:p w14:paraId="4E0E372D"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2679164"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A416D37" w14:textId="77777777" w:rsidR="00000000" w:rsidRDefault="00B8284C">
            <w:pPr>
              <w:pStyle w:val="a3"/>
              <w:spacing w:before="120" w:beforeAutospacing="0" w:after="0" w:afterAutospacing="0"/>
              <w:rPr>
                <w:color w:val="000000"/>
                <w:sz w:val="20"/>
                <w:szCs w:val="20"/>
              </w:rPr>
            </w:pPr>
            <w:r>
              <w:rPr>
                <w:color w:val="000000"/>
                <w:sz w:val="20"/>
                <w:szCs w:val="20"/>
              </w:rPr>
              <w:t>email marketing software vendors;</w:t>
            </w:r>
          </w:p>
        </w:tc>
      </w:tr>
    </w:tbl>
    <w:p w14:paraId="5E9916AB" w14:textId="77777777" w:rsidR="00000000" w:rsidRDefault="00B8284C">
      <w:pPr>
        <w:divId w:val="144876827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162DA31" w14:textId="77777777">
        <w:trPr>
          <w:divId w:val="1448768270"/>
        </w:trPr>
        <w:tc>
          <w:tcPr>
            <w:tcW w:w="227" w:type="pct"/>
            <w:noWrap/>
            <w:hideMark/>
          </w:tcPr>
          <w:p w14:paraId="32079808"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86032AF"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4D85643A" w14:textId="77777777" w:rsidR="00000000" w:rsidRDefault="00B8284C">
            <w:pPr>
              <w:pStyle w:val="a3"/>
              <w:spacing w:before="120" w:beforeAutospacing="0" w:after="0" w:afterAutospacing="0"/>
              <w:rPr>
                <w:color w:val="000000"/>
                <w:sz w:val="20"/>
                <w:szCs w:val="20"/>
              </w:rPr>
            </w:pPr>
            <w:r>
              <w:rPr>
                <w:color w:val="000000"/>
                <w:sz w:val="20"/>
                <w:szCs w:val="20"/>
              </w:rPr>
              <w:t>sales force automation and CRM software vendors;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1C709AD" w14:textId="77777777">
        <w:tc>
          <w:tcPr>
            <w:tcW w:w="227" w:type="pct"/>
            <w:noWrap/>
            <w:hideMark/>
          </w:tcPr>
          <w:p w14:paraId="18594A77"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48A87B4"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4184E160" w14:textId="77777777" w:rsidR="00000000" w:rsidRDefault="00B8284C">
            <w:pPr>
              <w:pStyle w:val="a3"/>
              <w:spacing w:before="120" w:beforeAutospacing="0" w:after="0" w:afterAutospacing="0"/>
              <w:rPr>
                <w:color w:val="000000"/>
                <w:sz w:val="20"/>
                <w:szCs w:val="20"/>
              </w:rPr>
            </w:pPr>
            <w:r>
              <w:rPr>
                <w:color w:val="000000"/>
                <w:sz w:val="20"/>
                <w:szCs w:val="20"/>
              </w:rPr>
              <w:t xml:space="preserve">large-scale enterprise suites; </w:t>
            </w:r>
          </w:p>
        </w:tc>
      </w:tr>
    </w:tbl>
    <w:p w14:paraId="6BCAF79B" w14:textId="77777777" w:rsidR="00000000" w:rsidRDefault="00B8284C">
      <w:pPr>
        <w:divId w:val="187866083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CF80647" w14:textId="77777777">
        <w:trPr>
          <w:divId w:val="1878660830"/>
        </w:trPr>
        <w:tc>
          <w:tcPr>
            <w:tcW w:w="227" w:type="pct"/>
            <w:noWrap/>
            <w:hideMark/>
          </w:tcPr>
          <w:p w14:paraId="6489D344"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67ACF84"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0077BF71" w14:textId="77777777" w:rsidR="00000000" w:rsidRDefault="00B8284C">
            <w:pPr>
              <w:pStyle w:val="a3"/>
              <w:spacing w:before="120" w:beforeAutospacing="0" w:after="0" w:afterAutospacing="0"/>
              <w:rPr>
                <w:color w:val="000000"/>
                <w:sz w:val="20"/>
                <w:szCs w:val="20"/>
              </w:rPr>
            </w:pPr>
            <w:r>
              <w:rPr>
                <w:color w:val="000000"/>
                <w:sz w:val="20"/>
                <w:szCs w:val="20"/>
              </w:rPr>
              <w:t>customer service software providers;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EEB0AD1" w14:textId="77777777">
        <w:tc>
          <w:tcPr>
            <w:tcW w:w="227" w:type="pct"/>
            <w:noWrap/>
            <w:hideMark/>
          </w:tcPr>
          <w:p w14:paraId="22159C6D"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21EBD47"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60502D69" w14:textId="77777777" w:rsidR="00000000" w:rsidRDefault="00B8284C">
            <w:pPr>
              <w:pStyle w:val="a3"/>
              <w:spacing w:before="120" w:beforeAutospacing="0" w:after="0" w:afterAutospacing="0"/>
              <w:rPr>
                <w:color w:val="000000"/>
                <w:sz w:val="20"/>
                <w:szCs w:val="20"/>
              </w:rPr>
            </w:pPr>
            <w:r>
              <w:rPr>
                <w:color w:val="000000"/>
                <w:sz w:val="20"/>
                <w:szCs w:val="20"/>
              </w:rPr>
              <w:t>content management systems (CMS).</w:t>
            </w:r>
          </w:p>
        </w:tc>
      </w:tr>
    </w:tbl>
    <w:p w14:paraId="1A0AEB37"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instead of using our platform, some prospective customers may elect to combine disparate point applications, such as content management, marketing automation, CRM, analytics and social media management. We ex</w:t>
      </w:r>
      <w:r>
        <w:rPr>
          <w:color w:val="000000"/>
          <w:sz w:val="20"/>
          <w:szCs w:val="20"/>
        </w:rPr>
        <w:t>pect that new competitors, such as enterprise software vendors that have traditionally focused on enterprise resource planning or other applications supporting back office functions, will develop and introduce applications serving customer-facing and other</w:t>
      </w:r>
      <w:r>
        <w:rPr>
          <w:color w:val="000000"/>
          <w:sz w:val="20"/>
          <w:szCs w:val="20"/>
        </w:rPr>
        <w:t xml:space="preserve"> front office functions. This development could have an adverse effect on our business, operating results and financial condition. In addition, sales force automation and CRM system vendors could acquire or develop applications that compete with our market</w:t>
      </w:r>
      <w:r>
        <w:rPr>
          <w:color w:val="000000"/>
          <w:sz w:val="20"/>
          <w:szCs w:val="20"/>
        </w:rPr>
        <w:t>ing software offerings. Some of these companies have acquired social media marketing and other marketing software providers to integrate with their broader offerings.</w:t>
      </w:r>
    </w:p>
    <w:p w14:paraId="2FEE570D" w14:textId="77777777" w:rsidR="00000000" w:rsidRDefault="00B8284C">
      <w:pPr>
        <w:pStyle w:val="a3"/>
        <w:spacing w:before="240" w:beforeAutospacing="0" w:after="0" w:afterAutospacing="0"/>
        <w:ind w:firstLine="556"/>
        <w:rPr>
          <w:color w:val="000000"/>
          <w:sz w:val="20"/>
          <w:szCs w:val="20"/>
        </w:rPr>
      </w:pPr>
      <w:r>
        <w:rPr>
          <w:color w:val="000000"/>
          <w:sz w:val="20"/>
          <w:szCs w:val="20"/>
        </w:rPr>
        <w:t>Our current and potential competitors may have significantly more financial, technical, m</w:t>
      </w:r>
      <w:r>
        <w:rPr>
          <w:color w:val="000000"/>
          <w:sz w:val="20"/>
          <w:szCs w:val="20"/>
        </w:rPr>
        <w:t>arketing and other resources than we have, be able to devote greater resources to the development, promotion, sale and support of their products and services, may have more extensive customer bases and broader customer relationships than we have, and may h</w:t>
      </w:r>
      <w:r>
        <w:rPr>
          <w:color w:val="000000"/>
          <w:sz w:val="20"/>
          <w:szCs w:val="20"/>
        </w:rPr>
        <w:t>ave longer operating histories and greater name recognition than we have. As a result, these competitors may respond faster to new technologies and undertake more extensive marketing campaigns for their products. In a few cases, these vendors may also be a</w:t>
      </w:r>
      <w:r>
        <w:rPr>
          <w:color w:val="000000"/>
          <w:sz w:val="20"/>
          <w:szCs w:val="20"/>
        </w:rPr>
        <w:t>ble to offer marketing, sales and customer service software at little or no additional cost by bundling it with their existing suite of applications. To the extent any of our competitors has existing relationships with potential customers for either market</w:t>
      </w:r>
      <w:r>
        <w:rPr>
          <w:color w:val="000000"/>
          <w:sz w:val="20"/>
          <w:szCs w:val="20"/>
        </w:rPr>
        <w:t xml:space="preserve">ing software or other applications, those customers may be unwilling </w:t>
      </w:r>
    </w:p>
    <w:p w14:paraId="658E5ECB" w14:textId="77777777" w:rsidR="00000000" w:rsidRDefault="00B8284C">
      <w:pPr>
        <w:pStyle w:val="a3"/>
        <w:spacing w:before="240" w:beforeAutospacing="0" w:after="0" w:afterAutospacing="0"/>
        <w:jc w:val="center"/>
        <w:rPr>
          <w:sz w:val="20"/>
          <w:szCs w:val="20"/>
        </w:rPr>
      </w:pPr>
      <w:r>
        <w:rPr>
          <w:sz w:val="20"/>
          <w:szCs w:val="20"/>
        </w:rPr>
        <w:t>33</w:t>
      </w:r>
    </w:p>
    <w:p w14:paraId="21D7801E" w14:textId="77777777" w:rsidR="00000000" w:rsidRDefault="00B8284C">
      <w:pPr>
        <w:rPr>
          <w:rFonts w:eastAsia="Times New Roman"/>
        </w:rPr>
      </w:pPr>
      <w:r>
        <w:rPr>
          <w:rFonts w:eastAsia="Times New Roman"/>
        </w:rPr>
        <w:pict w14:anchorId="7A86784D">
          <v:rect id="_x0000_i1057" style="width:0;height:1.5pt" o:hralign="center" o:hrstd="t" o:hr="t" fillcolor="#a0a0a0" stroked="f"/>
        </w:pict>
      </w:r>
    </w:p>
    <w:p w14:paraId="635AC7BA" w14:textId="77777777" w:rsidR="00000000" w:rsidRDefault="00B8284C">
      <w:pPr>
        <w:pStyle w:val="a3"/>
        <w:spacing w:before="0" w:beforeAutospacing="0" w:after="0" w:afterAutospacing="0"/>
        <w:rPr>
          <w:sz w:val="20"/>
          <w:szCs w:val="20"/>
        </w:rPr>
      </w:pPr>
      <w:r>
        <w:rPr>
          <w:sz w:val="20"/>
          <w:szCs w:val="20"/>
        </w:rPr>
        <w:t> </w:t>
      </w:r>
    </w:p>
    <w:p w14:paraId="2CAD19B1" w14:textId="77777777" w:rsidR="00000000" w:rsidRDefault="00B8284C">
      <w:pPr>
        <w:pStyle w:val="a3"/>
        <w:spacing w:before="240" w:beforeAutospacing="0" w:after="0" w:afterAutospacing="0"/>
        <w:rPr>
          <w:color w:val="000000"/>
          <w:sz w:val="20"/>
          <w:szCs w:val="20"/>
        </w:rPr>
      </w:pPr>
      <w:r>
        <w:rPr>
          <w:color w:val="000000"/>
          <w:sz w:val="20"/>
          <w:szCs w:val="20"/>
        </w:rPr>
        <w:t>to purchase our platform because of their existing relationships with our competitor. If we are unable to compete with such companies, the deman</w:t>
      </w:r>
      <w:r>
        <w:rPr>
          <w:color w:val="000000"/>
          <w:sz w:val="20"/>
          <w:szCs w:val="20"/>
        </w:rPr>
        <w:t>d for our Growth Platform could substantially decline.</w:t>
      </w:r>
    </w:p>
    <w:p w14:paraId="07BF5D17"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if one or more of our competitors were to merge or partner with another of our competitors, our ability to compete effectively could be adversely affected. Our competitors may also establi</w:t>
      </w:r>
      <w:r>
        <w:rPr>
          <w:color w:val="000000"/>
          <w:sz w:val="20"/>
          <w:szCs w:val="20"/>
        </w:rPr>
        <w:t>sh or strengthen cooperative relationships with our current or future strategic distribution and technology partners or other parties with whom we have relationships, thereby limiting our ability to promote and implement our platform. We may not be able to</w:t>
      </w:r>
      <w:r>
        <w:rPr>
          <w:color w:val="000000"/>
          <w:sz w:val="20"/>
          <w:szCs w:val="20"/>
        </w:rPr>
        <w:t xml:space="preserve"> compete successfully against current or future competitors, and competitive pressures may harm our business, operating results and financial condition.</w:t>
      </w:r>
    </w:p>
    <w:p w14:paraId="53630143" w14:textId="77777777" w:rsidR="00000000" w:rsidRDefault="00B8284C">
      <w:pPr>
        <w:pStyle w:val="a3"/>
        <w:spacing w:before="360" w:beforeAutospacing="0" w:after="0" w:afterAutospacing="0"/>
        <w:rPr>
          <w:b/>
          <w:bCs/>
          <w:i/>
          <w:iCs/>
          <w:sz w:val="20"/>
          <w:szCs w:val="20"/>
        </w:rPr>
      </w:pPr>
      <w:r>
        <w:rPr>
          <w:b/>
          <w:bCs/>
          <w:i/>
          <w:iCs/>
          <w:sz w:val="20"/>
          <w:szCs w:val="20"/>
        </w:rPr>
        <w:t>We have experienced rapid growth and organizational change in recent periods and expect continued futur</w:t>
      </w:r>
      <w:r>
        <w:rPr>
          <w:b/>
          <w:bCs/>
          <w:i/>
          <w:iCs/>
          <w:sz w:val="20"/>
          <w:szCs w:val="20"/>
        </w:rPr>
        <w:t>e growth. If we fail to manage our growth effectively, we may be unable to execute our business plan, maintain high levels of service or address competitive challenges adequately.</w:t>
      </w:r>
    </w:p>
    <w:p w14:paraId="1834533D"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Our head count and operations have grown substantially. For example, we had </w:t>
      </w:r>
      <w:r>
        <w:rPr>
          <w:color w:val="000000"/>
          <w:sz w:val="20"/>
          <w:szCs w:val="20"/>
        </w:rPr>
        <w:t xml:space="preserve">3,204 full-time employees as of September 30, 2019, as compared with 2,638 as of December 31, 2018 and we have opened 7 international offices since 2013. We also plan to open additional international offices in the future. This growth has placed, and will </w:t>
      </w:r>
      <w:r>
        <w:rPr>
          <w:color w:val="000000"/>
          <w:sz w:val="20"/>
          <w:szCs w:val="20"/>
        </w:rPr>
        <w:t>continue to place, a significant strain on our management, administrative, operational and financial infrastructure. We anticipate further growth will be required to address increases in our product offerings and continued expansion. Our success will depen</w:t>
      </w:r>
      <w:r>
        <w:rPr>
          <w:color w:val="000000"/>
          <w:sz w:val="20"/>
          <w:szCs w:val="20"/>
        </w:rPr>
        <w:t>d in part upon our ability to recruit, hire, train, manage and integrate a significant number of qualified managers, technical personnel and employees in specialized roles within our company, including in technology, sales and marketing. If our new employe</w:t>
      </w:r>
      <w:r>
        <w:rPr>
          <w:color w:val="000000"/>
          <w:sz w:val="20"/>
          <w:szCs w:val="20"/>
        </w:rPr>
        <w:t>es perform poorly, or if we are unsuccessful in recruiting, hiring, training, managing and integrating these new employees, or retaining these or our existing employees, our business may suffer.</w:t>
      </w:r>
    </w:p>
    <w:p w14:paraId="2A6A1438"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to manage the expected continued growth of our head count, operations and geographic expansion, we will need to continue to improve our information technology infrastructure, operational, financial and management systems and procedures. Our an</w:t>
      </w:r>
      <w:r>
        <w:rPr>
          <w:color w:val="000000"/>
          <w:sz w:val="20"/>
          <w:szCs w:val="20"/>
        </w:rPr>
        <w:t>ticipated additional head count and capital investments will increase our costs, which will make it more difficult for us to address any future revenue shortfalls by reducing expenses in the short term. If we fail to successfully manage our growth, we will</w:t>
      </w:r>
      <w:r>
        <w:rPr>
          <w:color w:val="000000"/>
          <w:sz w:val="20"/>
          <w:szCs w:val="20"/>
        </w:rPr>
        <w:t xml:space="preserve"> be unable to successfully execute our business plan, which could have a negative impact on our business, results of operations or financial condition.</w:t>
      </w:r>
    </w:p>
    <w:p w14:paraId="42965FA4"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Failure to effectively develop and expand our marketing, sales and customer service capabilities could h</w:t>
      </w:r>
      <w:r>
        <w:rPr>
          <w:b/>
          <w:bCs/>
          <w:i/>
          <w:iCs/>
          <w:color w:val="000000"/>
          <w:sz w:val="20"/>
          <w:szCs w:val="20"/>
        </w:rPr>
        <w:t>arm our ability to increase our customer base and achieve broader market acceptance of our platform.</w:t>
      </w:r>
    </w:p>
    <w:p w14:paraId="1DDFF25E"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To increase Total Customers and achieve broader market acceptance of our Growth Platform, we will need to expand our marketing, sales and customer service </w:t>
      </w:r>
      <w:r>
        <w:rPr>
          <w:color w:val="000000"/>
          <w:sz w:val="20"/>
          <w:szCs w:val="20"/>
        </w:rPr>
        <w:t>operations, including our sales force and third-party channel partners. We will continue to dedicate significant resources to inbound sales and marketing programs. The effectiveness of our inbound sales and marketing and third-party channel partners has va</w:t>
      </w:r>
      <w:r>
        <w:rPr>
          <w:color w:val="000000"/>
          <w:sz w:val="20"/>
          <w:szCs w:val="20"/>
        </w:rPr>
        <w:t>ried over time and may vary in the future and depends on our ability to maintain and improve our Growth Platform. All of these efforts will require us to invest significant financial and other resources. Our business will be seriously harmed if our efforts</w:t>
      </w:r>
      <w:r>
        <w:rPr>
          <w:color w:val="000000"/>
          <w:sz w:val="20"/>
          <w:szCs w:val="20"/>
        </w:rPr>
        <w:t xml:space="preserve"> do not generate a correspondingly significant increase in revenue. We may not achieve anticipated revenue growth from expanding our sales force if we are unable to hire, develop and retain talented sales personnel, if our new sales personnel are unable to</w:t>
      </w:r>
      <w:r>
        <w:rPr>
          <w:color w:val="000000"/>
          <w:sz w:val="20"/>
          <w:szCs w:val="20"/>
        </w:rPr>
        <w:t xml:space="preserve"> achieve desired productivity levels in a reasonable period of time or if our sales and marketing programs are not effective.</w:t>
      </w:r>
    </w:p>
    <w:p w14:paraId="3361C72E" w14:textId="77777777" w:rsidR="00000000" w:rsidRDefault="00B8284C">
      <w:pPr>
        <w:pStyle w:val="a3"/>
        <w:spacing w:before="360" w:beforeAutospacing="0" w:after="0" w:afterAutospacing="0"/>
        <w:rPr>
          <w:b/>
          <w:bCs/>
          <w:i/>
          <w:iCs/>
          <w:sz w:val="20"/>
          <w:szCs w:val="20"/>
        </w:rPr>
      </w:pPr>
      <w:r>
        <w:rPr>
          <w:b/>
          <w:bCs/>
          <w:i/>
          <w:iCs/>
          <w:sz w:val="20"/>
          <w:szCs w:val="20"/>
        </w:rPr>
        <w:t>The rate of growth of our business depends on the continued participation and level of service of our Solutions Partners.</w:t>
      </w:r>
    </w:p>
    <w:p w14:paraId="4923110B" w14:textId="77777777" w:rsidR="00000000" w:rsidRDefault="00B8284C">
      <w:pPr>
        <w:pStyle w:val="a3"/>
        <w:spacing w:before="120" w:beforeAutospacing="0" w:after="0" w:afterAutospacing="0"/>
        <w:ind w:firstLine="556"/>
        <w:rPr>
          <w:sz w:val="20"/>
          <w:szCs w:val="20"/>
        </w:rPr>
      </w:pPr>
      <w:r>
        <w:rPr>
          <w:sz w:val="20"/>
          <w:szCs w:val="20"/>
        </w:rPr>
        <w:t xml:space="preserve">We rely </w:t>
      </w:r>
      <w:r>
        <w:rPr>
          <w:sz w:val="20"/>
          <w:szCs w:val="20"/>
        </w:rPr>
        <w:t>on our Solutions Partners to provide certain services to our customers, as well as pursue sales of our Growth Platform to customers. To the extent we do not attract new Solutions Partners, or existing or new Solutions partners do not refer a growing number</w:t>
      </w:r>
      <w:r>
        <w:rPr>
          <w:sz w:val="20"/>
          <w:szCs w:val="20"/>
        </w:rPr>
        <w:t xml:space="preserve"> of customers to us, our revenue and operating results would be harmed. In addition, if our Solutions Partners do not continue to provide services to our customers, we would be required to provide such services ourselves either by expanding our internal te</w:t>
      </w:r>
      <w:r>
        <w:rPr>
          <w:sz w:val="20"/>
          <w:szCs w:val="20"/>
        </w:rPr>
        <w:t>am or engaging other third-party providers, which would increase our operating costs.</w:t>
      </w:r>
    </w:p>
    <w:p w14:paraId="6151AAF6"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If we cannot maintain our company culture as we grow, we could lose the innovation, teamwork, passion and focus on execution that we believe contribute to our success and</w:t>
      </w:r>
      <w:r>
        <w:rPr>
          <w:b/>
          <w:bCs/>
          <w:i/>
          <w:iCs/>
          <w:color w:val="000000"/>
          <w:sz w:val="20"/>
          <w:szCs w:val="20"/>
        </w:rPr>
        <w:t xml:space="preserve"> our business may be harmed.</w:t>
      </w:r>
    </w:p>
    <w:p w14:paraId="151882A6" w14:textId="77777777" w:rsidR="00000000" w:rsidRDefault="00B8284C">
      <w:pPr>
        <w:pStyle w:val="a3"/>
        <w:spacing w:before="120" w:beforeAutospacing="0" w:after="0" w:afterAutospacing="0"/>
        <w:ind w:firstLine="556"/>
        <w:rPr>
          <w:color w:val="000000"/>
          <w:sz w:val="20"/>
          <w:szCs w:val="20"/>
        </w:rPr>
      </w:pPr>
      <w:r>
        <w:rPr>
          <w:color w:val="000000"/>
          <w:sz w:val="20"/>
          <w:szCs w:val="20"/>
        </w:rPr>
        <w:t>We believe that a critical component to our success has been our company culture, which is based on transparency and personal autonomy. We have invested substantial time and resources in building our team within this company cu</w:t>
      </w:r>
      <w:r>
        <w:rPr>
          <w:color w:val="000000"/>
          <w:sz w:val="20"/>
          <w:szCs w:val="20"/>
        </w:rPr>
        <w:t>lture. Any failure to preserve our culture could negatively affect our ability to retain and recruit personnel and to effectively focus on and pursue our corporate objectives. As we grow as and continue to develop the infrastructure of a public company, we</w:t>
      </w:r>
      <w:r>
        <w:rPr>
          <w:color w:val="000000"/>
          <w:sz w:val="20"/>
          <w:szCs w:val="20"/>
        </w:rPr>
        <w:t xml:space="preserve"> may find it difficult to maintain these important aspects of our company culture. If we fail to maintain our company culture, our business may be adversely impacted.</w:t>
      </w:r>
    </w:p>
    <w:p w14:paraId="6858E7A1" w14:textId="77777777" w:rsidR="00000000" w:rsidRDefault="00B8284C">
      <w:pPr>
        <w:pStyle w:val="a3"/>
        <w:spacing w:before="240" w:beforeAutospacing="0" w:after="0" w:afterAutospacing="0"/>
        <w:jc w:val="center"/>
        <w:rPr>
          <w:sz w:val="20"/>
          <w:szCs w:val="20"/>
        </w:rPr>
      </w:pPr>
      <w:r>
        <w:rPr>
          <w:sz w:val="20"/>
          <w:szCs w:val="20"/>
        </w:rPr>
        <w:t>34</w:t>
      </w:r>
    </w:p>
    <w:p w14:paraId="35BAF6B6" w14:textId="77777777" w:rsidR="00000000" w:rsidRDefault="00B8284C">
      <w:pPr>
        <w:rPr>
          <w:rFonts w:eastAsia="Times New Roman"/>
        </w:rPr>
      </w:pPr>
      <w:r>
        <w:rPr>
          <w:rFonts w:eastAsia="Times New Roman"/>
        </w:rPr>
        <w:pict w14:anchorId="13C22374">
          <v:rect id="_x0000_i1058" style="width:0;height:1.5pt" o:hralign="center" o:hrstd="t" o:hr="t" fillcolor="#a0a0a0" stroked="f"/>
        </w:pict>
      </w:r>
    </w:p>
    <w:p w14:paraId="60977B2F" w14:textId="77777777" w:rsidR="00000000" w:rsidRDefault="00B8284C">
      <w:pPr>
        <w:pStyle w:val="a3"/>
        <w:spacing w:before="0" w:beforeAutospacing="0" w:after="0" w:afterAutospacing="0"/>
        <w:rPr>
          <w:sz w:val="20"/>
          <w:szCs w:val="20"/>
        </w:rPr>
      </w:pPr>
      <w:r>
        <w:rPr>
          <w:sz w:val="20"/>
          <w:szCs w:val="20"/>
        </w:rPr>
        <w:t> </w:t>
      </w:r>
    </w:p>
    <w:p w14:paraId="2E5D9676"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If we fail to maintain our inbound thought leadership position, our business may suffer.</w:t>
      </w:r>
    </w:p>
    <w:p w14:paraId="57620548" w14:textId="77777777" w:rsidR="00000000" w:rsidRDefault="00B8284C">
      <w:pPr>
        <w:pStyle w:val="a3"/>
        <w:spacing w:before="120" w:beforeAutospacing="0" w:after="0" w:afterAutospacing="0"/>
        <w:ind w:firstLine="556"/>
        <w:rPr>
          <w:color w:val="000000"/>
          <w:sz w:val="20"/>
          <w:szCs w:val="20"/>
        </w:rPr>
      </w:pPr>
      <w:r>
        <w:rPr>
          <w:color w:val="000000"/>
          <w:sz w:val="20"/>
          <w:szCs w:val="20"/>
        </w:rPr>
        <w:t>We believe that maintaining our thought leadership position in inbound marketing, sales and services is an important element in attracting new customers. We devote sig</w:t>
      </w:r>
      <w:r>
        <w:rPr>
          <w:color w:val="000000"/>
          <w:sz w:val="20"/>
          <w:szCs w:val="20"/>
        </w:rPr>
        <w:t>nificant resources to develop and maintain our thought leadership position, with a focus on identifying and interpreting emerging trends in the inbound experience, shaping and guiding industry dialog and creating and sharing the best inbound practices. Our</w:t>
      </w:r>
      <w:r>
        <w:rPr>
          <w:color w:val="000000"/>
          <w:sz w:val="20"/>
          <w:szCs w:val="20"/>
        </w:rPr>
        <w:t xml:space="preserve"> activities related to developing and maintaining our thought leadership may not yield increased revenue, and even if they do, any increased revenue may not offset the expenses we incurred in such effort. We rely upon the continued services of our manageme</w:t>
      </w:r>
      <w:r>
        <w:rPr>
          <w:color w:val="000000"/>
          <w:sz w:val="20"/>
          <w:szCs w:val="20"/>
        </w:rPr>
        <w:t>nt and employees with domain expertise with inbound marketing, sales and services, and the loss of any key employees in this area could harm our competitive position and reputation. If we fail to successfully grow and maintain our thought leadership positi</w:t>
      </w:r>
      <w:r>
        <w:rPr>
          <w:color w:val="000000"/>
          <w:sz w:val="20"/>
          <w:szCs w:val="20"/>
        </w:rPr>
        <w:t>on, we may not attract enough new customers or retain our existing customers, and our business could suffer.</w:t>
      </w:r>
    </w:p>
    <w:p w14:paraId="667181E2"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 xml:space="preserve">If we fail to further enhance our brand and maintain our existing strong brand awareness, our ability to expand our customer base will be impaired </w:t>
      </w:r>
      <w:r>
        <w:rPr>
          <w:b/>
          <w:bCs/>
          <w:i/>
          <w:iCs/>
          <w:color w:val="000000"/>
          <w:sz w:val="20"/>
          <w:szCs w:val="20"/>
        </w:rPr>
        <w:t>and our financial condition may suffer.</w:t>
      </w:r>
    </w:p>
    <w:p w14:paraId="2B909611" w14:textId="77777777" w:rsidR="00000000" w:rsidRDefault="00B8284C">
      <w:pPr>
        <w:pStyle w:val="a3"/>
        <w:spacing w:before="120" w:beforeAutospacing="0" w:after="0" w:afterAutospacing="0"/>
        <w:ind w:firstLine="556"/>
        <w:rPr>
          <w:color w:val="000000"/>
          <w:sz w:val="20"/>
          <w:szCs w:val="20"/>
        </w:rPr>
      </w:pPr>
      <w:r>
        <w:rPr>
          <w:color w:val="000000"/>
          <w:sz w:val="20"/>
          <w:szCs w:val="20"/>
        </w:rPr>
        <w:t>We believe that our development of the HubSpot brand is critical to achieving widespread awareness of our existing and future inbound experience solutions, and, as a result, is important to attracting new customers a</w:t>
      </w:r>
      <w:r>
        <w:rPr>
          <w:color w:val="000000"/>
          <w:sz w:val="20"/>
          <w:szCs w:val="20"/>
        </w:rPr>
        <w:t>nd maintaining existing customers. In the past, our efforts to build our brand have involved significant expenses, and we believe that this investment has resulted in strong brand recognition in the B2B market. Successful promotion and maintenance of our b</w:t>
      </w:r>
      <w:r>
        <w:rPr>
          <w:color w:val="000000"/>
          <w:sz w:val="20"/>
          <w:szCs w:val="20"/>
        </w:rPr>
        <w:t>rands will depend largely on the effectiveness of our marketing efforts and on our ability to provide a reliable and useful Growth Platform at competitive prices. Brand promotion activities may not yield increased revenue, and even if they do, any increase</w:t>
      </w:r>
      <w:r>
        <w:rPr>
          <w:color w:val="000000"/>
          <w:sz w:val="20"/>
          <w:szCs w:val="20"/>
        </w:rPr>
        <w:t>d revenue may not offset the expenses we incurred in building our brand. If we fail to successfully promote and maintain our brand, our business could suffer.</w:t>
      </w:r>
    </w:p>
    <w:p w14:paraId="64D9D148"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If we fail to adapt and respond effectively to rapidly changing technology, evolving industry sta</w:t>
      </w:r>
      <w:r>
        <w:rPr>
          <w:b/>
          <w:bCs/>
          <w:i/>
          <w:iCs/>
          <w:color w:val="000000"/>
          <w:sz w:val="20"/>
          <w:szCs w:val="20"/>
        </w:rPr>
        <w:t>ndards and changing customer needs or requirements, our Growth Platform may become less competitive.</w:t>
      </w:r>
    </w:p>
    <w:p w14:paraId="133E9F76"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future success depends on our ability to adapt and innovate our Growth Platform. To attract new customers and increase revenue from existing customers,</w:t>
      </w:r>
      <w:r>
        <w:rPr>
          <w:color w:val="000000"/>
          <w:sz w:val="20"/>
          <w:szCs w:val="20"/>
        </w:rPr>
        <w:t xml:space="preserve"> we need to continue to enhance and improve our offerings to meet customer needs at prices that our customers are willing to pay. Such efforts will require adding new functionality and responding to technological advancements, which will increase our resea</w:t>
      </w:r>
      <w:r>
        <w:rPr>
          <w:color w:val="000000"/>
          <w:sz w:val="20"/>
          <w:szCs w:val="20"/>
        </w:rPr>
        <w:t xml:space="preserve">rch and development costs. If we are unable to develop new applications that address our customers’ needs, or to enhance and improve our platform in a timely manner, we may not be able to maintain or increase market acceptance of our platform. Our ability </w:t>
      </w:r>
      <w:r>
        <w:rPr>
          <w:color w:val="000000"/>
          <w:sz w:val="20"/>
          <w:szCs w:val="20"/>
        </w:rPr>
        <w:t>to grow is also subject to the risk of future disruptive technologies. Access and use of our Growth Platform is provided via the cloud, which, itself, was disruptive to the previous enterprise software model. If new technologies emerge that are able to del</w:t>
      </w:r>
      <w:r>
        <w:rPr>
          <w:color w:val="000000"/>
          <w:sz w:val="20"/>
          <w:szCs w:val="20"/>
        </w:rPr>
        <w:t>iver inbound marketing software and related applications at lower prices, more efficiently, more conveniently or more securely, such technologies could adversely affect our ability to compete.</w:t>
      </w:r>
    </w:p>
    <w:p w14:paraId="64781F59"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rely on our management team and other key employees, and the</w:t>
      </w:r>
      <w:r>
        <w:rPr>
          <w:b/>
          <w:bCs/>
          <w:i/>
          <w:iCs/>
          <w:color w:val="000000"/>
          <w:sz w:val="20"/>
          <w:szCs w:val="20"/>
        </w:rPr>
        <w:t xml:space="preserve"> loss of one or more key employees could harm our business.</w:t>
      </w:r>
    </w:p>
    <w:p w14:paraId="6F577CFC"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success and future growth depend upon the continued services of our management team, including our co-founders, Brian Halligan and Dharmesh Shah, and other key employees in the areas of resear</w:t>
      </w:r>
      <w:r>
        <w:rPr>
          <w:color w:val="000000"/>
          <w:sz w:val="20"/>
          <w:szCs w:val="20"/>
        </w:rPr>
        <w:t>ch and development, marketing, sales, services and general and administrative functions. From time to time, there may be changes in our management team resulting from the hiring or departure of executives, which could disrupt our business. We also are depe</w:t>
      </w:r>
      <w:r>
        <w:rPr>
          <w:color w:val="000000"/>
          <w:sz w:val="20"/>
          <w:szCs w:val="20"/>
        </w:rPr>
        <w:t>ndent on the continued service of our existing software engineers and information technology personnel because of the complexity of our platform, technologies and infrastructure. We may terminate any employee’s employment at any time, with or without cause</w:t>
      </w:r>
      <w:r>
        <w:rPr>
          <w:color w:val="000000"/>
          <w:sz w:val="20"/>
          <w:szCs w:val="20"/>
        </w:rPr>
        <w:t>, and any employee may resign at any time, with or without cause. We do not have employment agreements with any of our key personnel. The loss of one or more of our key employees could harm our business.</w:t>
      </w:r>
    </w:p>
    <w:p w14:paraId="0A62BFB8"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The failure to attract and retain additional qualifi</w:t>
      </w:r>
      <w:r>
        <w:rPr>
          <w:b/>
          <w:bCs/>
          <w:i/>
          <w:iCs/>
          <w:color w:val="000000"/>
          <w:sz w:val="20"/>
          <w:szCs w:val="20"/>
        </w:rPr>
        <w:t>ed personnel could prevent us from executing our business strategy.</w:t>
      </w:r>
    </w:p>
    <w:p w14:paraId="0961A62D" w14:textId="77777777" w:rsidR="00000000" w:rsidRDefault="00B8284C">
      <w:pPr>
        <w:pStyle w:val="a3"/>
        <w:spacing w:before="120" w:beforeAutospacing="0" w:after="0" w:afterAutospacing="0"/>
        <w:ind w:firstLine="556"/>
        <w:rPr>
          <w:color w:val="000000"/>
          <w:sz w:val="20"/>
          <w:szCs w:val="20"/>
        </w:rPr>
      </w:pPr>
      <w:r>
        <w:rPr>
          <w:color w:val="000000"/>
          <w:sz w:val="20"/>
          <w:szCs w:val="20"/>
        </w:rPr>
        <w:t>To execute our business strategy, we must attract and retain highly qualified personnel. In particular, we compete with many other companies for software developers with high levels of exp</w:t>
      </w:r>
      <w:r>
        <w:rPr>
          <w:color w:val="000000"/>
          <w:sz w:val="20"/>
          <w:szCs w:val="20"/>
        </w:rPr>
        <w:t>erience in designing, developing and managing cloud-based software, as well as for skilled information technology, marketing, sales and operations professionals, and we may not be successful in attracting and retaining the professionals we need. Also, inbo</w:t>
      </w:r>
      <w:r>
        <w:rPr>
          <w:color w:val="000000"/>
          <w:sz w:val="20"/>
          <w:szCs w:val="20"/>
        </w:rPr>
        <w:t>und sales, marketing and services domain experts are very important to our success and are difficult to replace. We have from time to time in the past experienced, and we expect to continue to experience in the future, difficulty in hiring and difficulty i</w:t>
      </w:r>
      <w:r>
        <w:rPr>
          <w:color w:val="000000"/>
          <w:sz w:val="20"/>
          <w:szCs w:val="20"/>
        </w:rPr>
        <w:t>n retaining highly skilled employees with appropriate qualifications. In particular, we have experienced a competitive hiring environment in the Greater Boston area, where we are headquartered. Many of the companies with which we compete for experienced pe</w:t>
      </w:r>
      <w:r>
        <w:rPr>
          <w:color w:val="000000"/>
          <w:sz w:val="20"/>
          <w:szCs w:val="20"/>
        </w:rPr>
        <w:t>rsonnel have greater resources than we do. In addition, in making employment decisions, particularly in the software industry, job candidates often consider the value of the stock options or other equity incentives they are to receive in connection with th</w:t>
      </w:r>
      <w:r>
        <w:rPr>
          <w:color w:val="000000"/>
          <w:sz w:val="20"/>
          <w:szCs w:val="20"/>
        </w:rPr>
        <w:t xml:space="preserve">eir employment. If the price of our stock declines, or experiences significant volatility, our ability to attract or retain key employees will be adversely affected. If we fail to attract new personnel or fail to retain and motivate our current personnel, </w:t>
      </w:r>
      <w:r>
        <w:rPr>
          <w:color w:val="000000"/>
          <w:sz w:val="20"/>
          <w:szCs w:val="20"/>
        </w:rPr>
        <w:t>our growth prospects could be severely harmed.</w:t>
      </w:r>
    </w:p>
    <w:p w14:paraId="0230C5E6" w14:textId="77777777" w:rsidR="00000000" w:rsidRDefault="00B8284C">
      <w:pPr>
        <w:pStyle w:val="a3"/>
        <w:spacing w:before="240" w:beforeAutospacing="0" w:after="0" w:afterAutospacing="0"/>
        <w:jc w:val="center"/>
        <w:rPr>
          <w:sz w:val="20"/>
          <w:szCs w:val="20"/>
        </w:rPr>
      </w:pPr>
      <w:r>
        <w:rPr>
          <w:sz w:val="20"/>
          <w:szCs w:val="20"/>
        </w:rPr>
        <w:t>35</w:t>
      </w:r>
    </w:p>
    <w:p w14:paraId="2424A8DA" w14:textId="77777777" w:rsidR="00000000" w:rsidRDefault="00B8284C">
      <w:pPr>
        <w:rPr>
          <w:rFonts w:eastAsia="Times New Roman"/>
        </w:rPr>
      </w:pPr>
      <w:r>
        <w:rPr>
          <w:rFonts w:eastAsia="Times New Roman"/>
        </w:rPr>
        <w:pict w14:anchorId="19D6C7D3">
          <v:rect id="_x0000_i1059" style="width:0;height:1.5pt" o:hralign="center" o:hrstd="t" o:hr="t" fillcolor="#a0a0a0" stroked="f"/>
        </w:pict>
      </w:r>
    </w:p>
    <w:p w14:paraId="2D6E71B0" w14:textId="77777777" w:rsidR="00000000" w:rsidRDefault="00B8284C">
      <w:pPr>
        <w:pStyle w:val="a3"/>
        <w:spacing w:before="0" w:beforeAutospacing="0" w:after="0" w:afterAutospacing="0"/>
        <w:rPr>
          <w:sz w:val="20"/>
          <w:szCs w:val="20"/>
        </w:rPr>
      </w:pPr>
      <w:r>
        <w:rPr>
          <w:sz w:val="20"/>
          <w:szCs w:val="20"/>
        </w:rPr>
        <w:t> </w:t>
      </w:r>
    </w:p>
    <w:p w14:paraId="010C4A27"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If we fail to offer high-quality customer support, our business and reputation may suffer.</w:t>
      </w:r>
    </w:p>
    <w:p w14:paraId="4F856C25" w14:textId="77777777" w:rsidR="00000000" w:rsidRDefault="00B8284C">
      <w:pPr>
        <w:pStyle w:val="a3"/>
        <w:spacing w:before="120" w:beforeAutospacing="0" w:after="0" w:afterAutospacing="0"/>
        <w:ind w:firstLine="556"/>
        <w:rPr>
          <w:color w:val="000000"/>
          <w:spacing w:val="-2"/>
          <w:sz w:val="20"/>
          <w:szCs w:val="20"/>
        </w:rPr>
      </w:pPr>
      <w:r>
        <w:rPr>
          <w:color w:val="000000"/>
          <w:spacing w:val="-2"/>
          <w:sz w:val="20"/>
          <w:szCs w:val="20"/>
        </w:rPr>
        <w:t>High-quality education, training and customer support are important for the successful marketing, sale and use of our Growth Platform and for the renewal of existing</w:t>
      </w:r>
      <w:r>
        <w:rPr>
          <w:color w:val="000000"/>
          <w:spacing w:val="-2"/>
          <w:sz w:val="20"/>
          <w:szCs w:val="20"/>
        </w:rPr>
        <w:t xml:space="preserve"> customers. Providing this education, training and support requires that our personnel who manage our online training resource, HubSpot Academy, or provide customer support have specific inbound experience domain knowledge and expertise, making it more dif</w:t>
      </w:r>
      <w:r>
        <w:rPr>
          <w:color w:val="000000"/>
          <w:spacing w:val="-2"/>
          <w:sz w:val="20"/>
          <w:szCs w:val="20"/>
        </w:rPr>
        <w:t>ficult for us to hire qualified personnel and to scale up our support operations. The importance of high-quality customer support will increase as we expand our business and pursue new customers. If we do not help our customers use multiple applications wi</w:t>
      </w:r>
      <w:r>
        <w:rPr>
          <w:color w:val="000000"/>
          <w:spacing w:val="-2"/>
          <w:sz w:val="20"/>
          <w:szCs w:val="20"/>
        </w:rPr>
        <w:t>thin our Growth Platform and provide effective ongoing support, our ability to sell additional functionality and services to, or to retain, existing customers may suffer and our reputation with existing or potential customers may be harmed.</w:t>
      </w:r>
    </w:p>
    <w:p w14:paraId="4C92A733"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may not be a</w:t>
      </w:r>
      <w:r>
        <w:rPr>
          <w:b/>
          <w:bCs/>
          <w:i/>
          <w:iCs/>
          <w:color w:val="000000"/>
          <w:sz w:val="20"/>
          <w:szCs w:val="20"/>
        </w:rPr>
        <w:t>ble to scale our business quickly enough to meet our customers’ growing needs and if we are not able to grow efficiently, our operating results could be harmed.</w:t>
      </w:r>
    </w:p>
    <w:p w14:paraId="31253A14"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As usage of our Growth Platform grows and as customers use our platform for additional inbound </w:t>
      </w:r>
      <w:r>
        <w:rPr>
          <w:color w:val="000000"/>
          <w:sz w:val="20"/>
          <w:szCs w:val="20"/>
        </w:rPr>
        <w:t>applications, such as sales and services, we will need to devote additional resources to improving our application architecture, integrating with third-party systems and maintaining infrastructure performance. In addition, we will need to appropriately sca</w:t>
      </w:r>
      <w:r>
        <w:rPr>
          <w:color w:val="000000"/>
          <w:sz w:val="20"/>
          <w:szCs w:val="20"/>
        </w:rPr>
        <w:t>le our internal business systems and our services organization, including customer support and professional services, to serve our growing customer base, particularly as our customer demographics change over time. Any failure of or delay in these efforts c</w:t>
      </w:r>
      <w:r>
        <w:rPr>
          <w:color w:val="000000"/>
          <w:sz w:val="20"/>
          <w:szCs w:val="20"/>
        </w:rPr>
        <w:t>ould cause impaired system performance and reduced customer satisfaction. These issues could reduce the attractiveness of our Growth Platform to customers, resulting in decreased sales to new customers, lower renewal rates by existing customers, the issuan</w:t>
      </w:r>
      <w:r>
        <w:rPr>
          <w:color w:val="000000"/>
          <w:sz w:val="20"/>
          <w:szCs w:val="20"/>
        </w:rPr>
        <w:t>ce of service credits, or requested refunds, which could impede our revenue growth and harm our reputation. Even if we are able to upgrade our systems and expand our staff, any such expansion will be expensive and complex, requiring management’s time and a</w:t>
      </w:r>
      <w:r>
        <w:rPr>
          <w:color w:val="000000"/>
          <w:sz w:val="20"/>
          <w:szCs w:val="20"/>
        </w:rPr>
        <w:t xml:space="preserve">ttention. We could also face inefficiencies or operational failures as a result of our efforts to scale our infrastructure. Moreover, there are inherent risks associated with upgrading, improving and expanding our information technology systems. We cannot </w:t>
      </w:r>
      <w:r>
        <w:rPr>
          <w:color w:val="000000"/>
          <w:sz w:val="20"/>
          <w:szCs w:val="20"/>
        </w:rPr>
        <w:t>be sure that the expansion and improvements to our infrastructure and systems will be fully or effectively implemented on a timely basis, if at all. These efforts may reduce revenue and our margins and adversely affect our financial results.</w:t>
      </w:r>
    </w:p>
    <w:p w14:paraId="7C31CFFA"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Our ability to</w:t>
      </w:r>
      <w:r>
        <w:rPr>
          <w:b/>
          <w:bCs/>
          <w:i/>
          <w:iCs/>
          <w:color w:val="000000"/>
          <w:sz w:val="20"/>
          <w:szCs w:val="20"/>
        </w:rPr>
        <w:t xml:space="preserve"> introduce new products and features is dependent on adequate research and development resources. If we do not adequately fund our research and development efforts, we may not be able to compete effectively and our business and operating results may be har</w:t>
      </w:r>
      <w:r>
        <w:rPr>
          <w:b/>
          <w:bCs/>
          <w:i/>
          <w:iCs/>
          <w:color w:val="000000"/>
          <w:sz w:val="20"/>
          <w:szCs w:val="20"/>
        </w:rPr>
        <w:t>med.</w:t>
      </w:r>
    </w:p>
    <w:p w14:paraId="1E04AB4C"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To remain competitive, we must continue to develop new product offerings, applications, features and enhancements to our existing Growth Platform. Maintaining adequate research and development personnel and resources to meet the demands of the market </w:t>
      </w:r>
      <w:r>
        <w:rPr>
          <w:color w:val="000000"/>
          <w:sz w:val="20"/>
          <w:szCs w:val="20"/>
        </w:rPr>
        <w:t xml:space="preserve">is essential. If we are unable to develop our platform internally due to certain constraints, such as high employee turnover, lack of management ability or a lack of other research and development resources, we may miss market opportunities. Further, many </w:t>
      </w:r>
      <w:r>
        <w:rPr>
          <w:color w:val="000000"/>
          <w:sz w:val="20"/>
          <w:szCs w:val="20"/>
        </w:rPr>
        <w:t>of our competitors expend a considerably greater amount of funds on their research and development programs, and those that do not may be acquired by larger companies that would allocate greater resources to our competitors’ research and development progra</w:t>
      </w:r>
      <w:r>
        <w:rPr>
          <w:color w:val="000000"/>
          <w:sz w:val="20"/>
          <w:szCs w:val="20"/>
        </w:rPr>
        <w:t>ms. Our failure to maintain adequate research and development resources or to compete effectively with the research and development programs of our competitors could materially adversely affect our business.</w:t>
      </w:r>
    </w:p>
    <w:p w14:paraId="342C57A7"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Changes in the sizes or types of businesses that</w:t>
      </w:r>
      <w:r>
        <w:rPr>
          <w:b/>
          <w:bCs/>
          <w:i/>
          <w:iCs/>
          <w:color w:val="000000"/>
          <w:sz w:val="20"/>
          <w:szCs w:val="20"/>
        </w:rPr>
        <w:t xml:space="preserve"> purchase our platform or in the applications within our Growth Platform purchased or used by our customers could negatively affect our operating results.</w:t>
      </w:r>
    </w:p>
    <w:p w14:paraId="242B81BA"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strategy is to sell subscriptions to our Growth Platform to mid-sized businesses, but we have sol</w:t>
      </w:r>
      <w:r>
        <w:rPr>
          <w:color w:val="000000"/>
          <w:sz w:val="20"/>
          <w:szCs w:val="20"/>
        </w:rPr>
        <w:t xml:space="preserve">d and will continue to sell to organizations ranging from small businesses to enterprises. Our gross margins can vary depending on numerous factors related to the implementation and use of our Growth Platform, including the sophistication and intensity of </w:t>
      </w:r>
      <w:r>
        <w:rPr>
          <w:color w:val="000000"/>
          <w:sz w:val="20"/>
          <w:szCs w:val="20"/>
        </w:rPr>
        <w:t>our customers’ use of our platform and the level of professional services and support required by a customer. Sales to enterprise customers may entail longer sales cycles and more significant selling efforts. Selling to small businesses may involve greater</w:t>
      </w:r>
      <w:r>
        <w:rPr>
          <w:color w:val="000000"/>
          <w:sz w:val="20"/>
          <w:szCs w:val="20"/>
        </w:rPr>
        <w:t xml:space="preserve"> credit risk and uncertainty. If there are changes in the mix of businesses that purchase our platform or the mix of the product plans purchased by our customers, our gross margins could decrease and our operating results could be adversely affected.</w:t>
      </w:r>
    </w:p>
    <w:p w14:paraId="341C912A"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ha</w:t>
      </w:r>
      <w:r>
        <w:rPr>
          <w:b/>
          <w:bCs/>
          <w:i/>
          <w:iCs/>
          <w:color w:val="000000"/>
          <w:sz w:val="20"/>
          <w:szCs w:val="20"/>
        </w:rPr>
        <w:t>ve in the past completed acquisitions and may acquire or invest in other companies or technologies in the future, which could divert management’s attention, fail to meet our expectations, result in additional dilution to our stockholders, increase expenses</w:t>
      </w:r>
      <w:r>
        <w:rPr>
          <w:b/>
          <w:bCs/>
          <w:i/>
          <w:iCs/>
          <w:color w:val="000000"/>
          <w:sz w:val="20"/>
          <w:szCs w:val="20"/>
        </w:rPr>
        <w:t>, disrupt our operations or harm our operating results.</w:t>
      </w:r>
    </w:p>
    <w:p w14:paraId="46F9D4DE" w14:textId="77777777" w:rsidR="00000000" w:rsidRDefault="00B8284C">
      <w:pPr>
        <w:pStyle w:val="a3"/>
        <w:spacing w:before="120" w:beforeAutospacing="0" w:after="0" w:afterAutospacing="0"/>
        <w:ind w:firstLine="556"/>
        <w:rPr>
          <w:color w:val="000000"/>
          <w:sz w:val="20"/>
          <w:szCs w:val="20"/>
        </w:rPr>
      </w:pPr>
      <w:r>
        <w:rPr>
          <w:color w:val="000000"/>
          <w:sz w:val="20"/>
          <w:szCs w:val="20"/>
        </w:rPr>
        <w:t>We have in the past acquired, and we may in the future acquire or invest in, businesses, products or technologies that we believe could complement or expand our platform, enhance our technical capabil</w:t>
      </w:r>
      <w:r>
        <w:rPr>
          <w:color w:val="000000"/>
          <w:sz w:val="20"/>
          <w:szCs w:val="20"/>
        </w:rPr>
        <w:t>ities or otherwise offer growth opportunities. We may not be able to fully realize the anticipated benefits of these or any future acquisitions. The pursuit of potential acquisitions may divert the attention of management and cause us to incur various expe</w:t>
      </w:r>
      <w:r>
        <w:rPr>
          <w:color w:val="000000"/>
          <w:sz w:val="20"/>
          <w:szCs w:val="20"/>
        </w:rPr>
        <w:t>nses related to identifying, investigating and pursuing suitable acquisitions, whether or not they are consummated.</w:t>
      </w:r>
    </w:p>
    <w:p w14:paraId="796835F7" w14:textId="77777777" w:rsidR="00000000" w:rsidRDefault="00B8284C">
      <w:pPr>
        <w:pStyle w:val="a3"/>
        <w:spacing w:before="240" w:beforeAutospacing="0" w:after="0" w:afterAutospacing="0"/>
        <w:jc w:val="center"/>
        <w:rPr>
          <w:sz w:val="20"/>
          <w:szCs w:val="20"/>
        </w:rPr>
      </w:pPr>
      <w:r>
        <w:rPr>
          <w:sz w:val="20"/>
          <w:szCs w:val="20"/>
        </w:rPr>
        <w:t>36</w:t>
      </w:r>
    </w:p>
    <w:p w14:paraId="2DEB4575" w14:textId="77777777" w:rsidR="00000000" w:rsidRDefault="00B8284C">
      <w:pPr>
        <w:rPr>
          <w:rFonts w:eastAsia="Times New Roman"/>
        </w:rPr>
      </w:pPr>
      <w:r>
        <w:rPr>
          <w:rFonts w:eastAsia="Times New Roman"/>
        </w:rPr>
        <w:pict w14:anchorId="5FBCA358">
          <v:rect id="_x0000_i1060" style="width:0;height:1.5pt" o:hralign="center" o:hrstd="t" o:hr="t" fillcolor="#a0a0a0" stroked="f"/>
        </w:pict>
      </w:r>
    </w:p>
    <w:p w14:paraId="35D475BE" w14:textId="77777777" w:rsidR="00000000" w:rsidRDefault="00B8284C">
      <w:pPr>
        <w:pStyle w:val="a3"/>
        <w:spacing w:before="0" w:beforeAutospacing="0" w:after="0" w:afterAutospacing="0"/>
        <w:rPr>
          <w:sz w:val="20"/>
          <w:szCs w:val="20"/>
        </w:rPr>
      </w:pPr>
      <w:r>
        <w:rPr>
          <w:sz w:val="20"/>
          <w:szCs w:val="20"/>
        </w:rPr>
        <w:t> </w:t>
      </w:r>
    </w:p>
    <w:p w14:paraId="32B5C481" w14:textId="77777777" w:rsidR="00000000" w:rsidRDefault="00B8284C">
      <w:pPr>
        <w:pStyle w:val="a3"/>
        <w:spacing w:before="240" w:beforeAutospacing="0" w:after="0" w:afterAutospacing="0"/>
        <w:ind w:firstLine="556"/>
        <w:rPr>
          <w:color w:val="000000"/>
          <w:sz w:val="20"/>
          <w:szCs w:val="20"/>
        </w:rPr>
      </w:pPr>
      <w:r>
        <w:rPr>
          <w:color w:val="000000"/>
          <w:sz w:val="20"/>
          <w:szCs w:val="20"/>
        </w:rPr>
        <w:t>There are inherent risks in integrating and managing acquisitions. If we acquire additional busine</w:t>
      </w:r>
      <w:r>
        <w:rPr>
          <w:color w:val="000000"/>
          <w:sz w:val="20"/>
          <w:szCs w:val="20"/>
        </w:rPr>
        <w:t xml:space="preserve">sses, we may not be able to assimilate or integrate the acquired personnel, operations and technologies successfully or effectively manage the combined business following the acquisition and our management may be distracted from operating our business. We </w:t>
      </w:r>
      <w:r>
        <w:rPr>
          <w:color w:val="000000"/>
          <w:sz w:val="20"/>
          <w:szCs w:val="20"/>
        </w:rPr>
        <w:t>also may not achieve the anticipated benefits from the acquired business due to a number of factors, including: unanticipated costs or liabilities associated with the acquisition; incurrence of acquisition-related costs, which would be recognized as a curr</w:t>
      </w:r>
      <w:r>
        <w:rPr>
          <w:color w:val="000000"/>
          <w:sz w:val="20"/>
          <w:szCs w:val="20"/>
        </w:rPr>
        <w:t>ent period expense; inability to generate sufficient revenue to offset acquisition or investment costs; the inability to maintain relationships with customers and partners of the acquired business; the difficulty of incorporating acquired technology and ri</w:t>
      </w:r>
      <w:r>
        <w:rPr>
          <w:color w:val="000000"/>
          <w:sz w:val="20"/>
          <w:szCs w:val="20"/>
        </w:rPr>
        <w:t>ghts into our platform and of maintaining quality and security standards consistent with our brand; delays in customer purchases due to uncertainty related to any acquisition; the need to integrate or implement additional controls, procedures and policies;</w:t>
      </w:r>
      <w:r>
        <w:rPr>
          <w:color w:val="000000"/>
          <w:sz w:val="20"/>
          <w:szCs w:val="20"/>
        </w:rPr>
        <w:t xml:space="preserve"> challenges caused by distance, language and cultural differences; harm to our existing business relationships with business partners and customers as a result of the acquisition; the potential loss of key employees; use of resources that are needed in oth</w:t>
      </w:r>
      <w:r>
        <w:rPr>
          <w:color w:val="000000"/>
          <w:sz w:val="20"/>
          <w:szCs w:val="20"/>
        </w:rPr>
        <w:t>er parts of our business and diversion of management and employee resources; the inability to recognize acquired deferred revenue in accordance with our revenue recognition policies; and use of substantial portions of our available cash or the incurrence o</w:t>
      </w:r>
      <w:r>
        <w:rPr>
          <w:color w:val="000000"/>
          <w:sz w:val="20"/>
          <w:szCs w:val="20"/>
        </w:rPr>
        <w:t>f debt to consummate the acquisition. Acquisitions also increase the risk of unforeseen legal liability, including for potential violations of applicable law or industry rules and regulations, arising from prior or ongoing acts or omissions by the acquired</w:t>
      </w:r>
      <w:r>
        <w:rPr>
          <w:color w:val="000000"/>
          <w:sz w:val="20"/>
          <w:szCs w:val="20"/>
        </w:rPr>
        <w:t xml:space="preserve"> businesses which are not discovered by due diligence during the acquisition process. Generally, if an acquired business fails to meet our expectations, our operating results, business and financial condition may suffer. Acquisitions could also result in d</w:t>
      </w:r>
      <w:r>
        <w:rPr>
          <w:color w:val="000000"/>
          <w:sz w:val="20"/>
          <w:szCs w:val="20"/>
        </w:rPr>
        <w:t>ilutive issuances of equity securities or the incurrence of debt, which could adversely affect our business, results of operations or financial condition.</w:t>
      </w:r>
    </w:p>
    <w:p w14:paraId="02405179" w14:textId="77777777" w:rsidR="00000000" w:rsidRDefault="00B8284C">
      <w:pPr>
        <w:pStyle w:val="a3"/>
        <w:spacing w:before="240" w:beforeAutospacing="0" w:after="0" w:afterAutospacing="0"/>
        <w:ind w:firstLine="556"/>
        <w:rPr>
          <w:color w:val="000000"/>
          <w:sz w:val="20"/>
          <w:szCs w:val="20"/>
        </w:rPr>
      </w:pPr>
      <w:r>
        <w:rPr>
          <w:color w:val="000000"/>
          <w:sz w:val="20"/>
          <w:szCs w:val="20"/>
        </w:rPr>
        <w:t xml:space="preserve">In addition, a significant portion of the purchase price of companies we acquire may be allocated to </w:t>
      </w:r>
      <w:r>
        <w:rPr>
          <w:color w:val="000000"/>
          <w:sz w:val="20"/>
          <w:szCs w:val="20"/>
        </w:rPr>
        <w:t>goodwill and other intangible assets, which must be assessed for impairment at least annually. If our acquisitions do not ultimately yield expected returns, we may be required to make charges to our operating results based on our impairment assessment proc</w:t>
      </w:r>
      <w:r>
        <w:rPr>
          <w:color w:val="000000"/>
          <w:sz w:val="20"/>
          <w:szCs w:val="20"/>
        </w:rPr>
        <w:t>ess, which could harm our results of operations.</w:t>
      </w:r>
    </w:p>
    <w:p w14:paraId="788242CE" w14:textId="77777777" w:rsidR="00000000" w:rsidRDefault="00B8284C">
      <w:pPr>
        <w:pStyle w:val="a3"/>
        <w:spacing w:before="360" w:beforeAutospacing="0" w:after="0" w:afterAutospacing="0"/>
        <w:rPr>
          <w:b/>
          <w:bCs/>
          <w:i/>
          <w:iCs/>
          <w:sz w:val="20"/>
          <w:szCs w:val="20"/>
        </w:rPr>
      </w:pPr>
      <w:r>
        <w:rPr>
          <w:b/>
          <w:bCs/>
          <w:i/>
          <w:iCs/>
          <w:sz w:val="20"/>
          <w:szCs w:val="20"/>
        </w:rPr>
        <w:t>Because our long-term growth strategy involves further expansion of our sales to customers outside the United States, our business will be susceptible to risks associated with international operations.</w:t>
      </w:r>
    </w:p>
    <w:p w14:paraId="3849CD5A" w14:textId="77777777" w:rsidR="00000000" w:rsidRDefault="00B8284C">
      <w:pPr>
        <w:pStyle w:val="a3"/>
        <w:spacing w:before="120" w:beforeAutospacing="0" w:after="0" w:afterAutospacing="0"/>
        <w:ind w:firstLine="556"/>
        <w:rPr>
          <w:color w:val="000000"/>
          <w:sz w:val="20"/>
          <w:szCs w:val="20"/>
        </w:rPr>
      </w:pPr>
      <w:r>
        <w:rPr>
          <w:color w:val="000000"/>
          <w:sz w:val="20"/>
          <w:szCs w:val="20"/>
        </w:rPr>
        <w:t>A com</w:t>
      </w:r>
      <w:r>
        <w:rPr>
          <w:color w:val="000000"/>
          <w:sz w:val="20"/>
          <w:szCs w:val="20"/>
        </w:rPr>
        <w:t>ponent of our growth strategy involves the further expansion of our operations and customer base internationally. We have opened 7 international offices since 2013. We also plan to open additional offices in the future. These international offices focus pr</w:t>
      </w:r>
      <w:r>
        <w:rPr>
          <w:color w:val="000000"/>
          <w:sz w:val="20"/>
          <w:szCs w:val="20"/>
        </w:rPr>
        <w:t>imarily on sales, professional services and support. We also have a development team in Dublin, Ireland. Our current international operations and future initiatives will involve a variety of risks,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BB28D8D" w14:textId="77777777">
        <w:trPr>
          <w:divId w:val="1952280888"/>
        </w:trPr>
        <w:tc>
          <w:tcPr>
            <w:tcW w:w="227" w:type="pct"/>
            <w:noWrap/>
            <w:hideMark/>
          </w:tcPr>
          <w:p w14:paraId="0257D17D"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E0C4913"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385C659A" w14:textId="77777777" w:rsidR="00000000" w:rsidRDefault="00B8284C">
            <w:pPr>
              <w:pStyle w:val="a3"/>
              <w:spacing w:before="120" w:beforeAutospacing="0" w:after="0" w:afterAutospacing="0"/>
              <w:rPr>
                <w:color w:val="000000"/>
                <w:sz w:val="20"/>
                <w:szCs w:val="20"/>
              </w:rPr>
            </w:pPr>
            <w:r>
              <w:rPr>
                <w:color w:val="000000"/>
                <w:sz w:val="20"/>
                <w:szCs w:val="20"/>
              </w:rPr>
              <w:t>difficulties in maintaining our company cul</w:t>
            </w:r>
            <w:r>
              <w:rPr>
                <w:color w:val="000000"/>
                <w:sz w:val="20"/>
                <w:szCs w:val="20"/>
              </w:rPr>
              <w:t>ture with a dispersed and distant workforce;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C295113" w14:textId="77777777">
        <w:tc>
          <w:tcPr>
            <w:tcW w:w="227" w:type="pct"/>
            <w:noWrap/>
            <w:hideMark/>
          </w:tcPr>
          <w:p w14:paraId="1BED3470"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6017AD6"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31D24EE4" w14:textId="77777777" w:rsidR="00000000" w:rsidRDefault="00B8284C">
            <w:pPr>
              <w:pStyle w:val="a3"/>
              <w:spacing w:before="120" w:beforeAutospacing="0" w:after="0" w:afterAutospacing="0"/>
              <w:rPr>
                <w:color w:val="000000"/>
                <w:sz w:val="20"/>
                <w:szCs w:val="20"/>
              </w:rPr>
            </w:pPr>
            <w:r>
              <w:rPr>
                <w:color w:val="000000"/>
                <w:sz w:val="20"/>
                <w:szCs w:val="20"/>
              </w:rPr>
              <w:t>more stringent regulations relating to data security and the unauthorized use of, or access to, commercial and personal information, particularly in the European Union;</w:t>
            </w:r>
          </w:p>
        </w:tc>
      </w:tr>
    </w:tbl>
    <w:p w14:paraId="0818345A" w14:textId="77777777" w:rsidR="00000000" w:rsidRDefault="00B8284C">
      <w:pPr>
        <w:divId w:val="37928332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CEBA5B2" w14:textId="77777777">
        <w:trPr>
          <w:divId w:val="379283321"/>
        </w:trPr>
        <w:tc>
          <w:tcPr>
            <w:tcW w:w="227" w:type="pct"/>
            <w:noWrap/>
            <w:hideMark/>
          </w:tcPr>
          <w:p w14:paraId="239D0A48"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AA03EBA"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09345DA" w14:textId="77777777" w:rsidR="00000000" w:rsidRDefault="00B8284C">
            <w:pPr>
              <w:pStyle w:val="a3"/>
              <w:spacing w:before="120" w:beforeAutospacing="0" w:after="0" w:afterAutospacing="0"/>
              <w:rPr>
                <w:color w:val="000000"/>
                <w:sz w:val="20"/>
                <w:szCs w:val="20"/>
              </w:rPr>
            </w:pPr>
            <w:r>
              <w:rPr>
                <w:color w:val="000000"/>
                <w:sz w:val="20"/>
                <w:szCs w:val="20"/>
              </w:rPr>
              <w:t>unexpected changes in regulatory requirements, taxes or trade laws;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CF73F2B" w14:textId="77777777">
        <w:tc>
          <w:tcPr>
            <w:tcW w:w="227" w:type="pct"/>
            <w:noWrap/>
            <w:hideMark/>
          </w:tcPr>
          <w:p w14:paraId="37406DEA"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DC57217"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AB6AC27" w14:textId="77777777" w:rsidR="00000000" w:rsidRDefault="00B8284C">
            <w:pPr>
              <w:pStyle w:val="a3"/>
              <w:spacing w:before="120" w:beforeAutospacing="0" w:after="0" w:afterAutospacing="0"/>
              <w:rPr>
                <w:color w:val="000000"/>
                <w:sz w:val="20"/>
                <w:szCs w:val="20"/>
              </w:rPr>
            </w:pPr>
            <w:r>
              <w:rPr>
                <w:color w:val="000000"/>
                <w:sz w:val="20"/>
                <w:szCs w:val="20"/>
              </w:rPr>
              <w:t>differi</w:t>
            </w:r>
            <w:r>
              <w:rPr>
                <w:color w:val="000000"/>
                <w:sz w:val="20"/>
                <w:szCs w:val="20"/>
              </w:rPr>
              <w:t>ng labor regulations, especially in the European Union, where labor laws are generally more advantageous to employees as compared to the United States, including deemed hourly wage and overtime regulations in these locations;</w:t>
            </w:r>
          </w:p>
        </w:tc>
      </w:tr>
    </w:tbl>
    <w:p w14:paraId="243F16C9" w14:textId="77777777" w:rsidR="00000000" w:rsidRDefault="00B8284C">
      <w:pPr>
        <w:divId w:val="84046624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ED0DE6F" w14:textId="77777777">
        <w:trPr>
          <w:divId w:val="840466244"/>
        </w:trPr>
        <w:tc>
          <w:tcPr>
            <w:tcW w:w="227" w:type="pct"/>
            <w:noWrap/>
            <w:hideMark/>
          </w:tcPr>
          <w:p w14:paraId="2359DF68"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9DC7013"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8C453D5" w14:textId="77777777" w:rsidR="00000000" w:rsidRDefault="00B8284C">
            <w:pPr>
              <w:pStyle w:val="a3"/>
              <w:spacing w:before="120" w:beforeAutospacing="0" w:after="0" w:afterAutospacing="0"/>
              <w:rPr>
                <w:color w:val="000000"/>
                <w:sz w:val="20"/>
                <w:szCs w:val="20"/>
              </w:rPr>
            </w:pPr>
            <w:r>
              <w:rPr>
                <w:color w:val="000000"/>
                <w:sz w:val="20"/>
                <w:szCs w:val="20"/>
              </w:rPr>
              <w:t>challenges inherent in e</w:t>
            </w:r>
            <w:r>
              <w:rPr>
                <w:color w:val="000000"/>
                <w:sz w:val="20"/>
                <w:szCs w:val="20"/>
              </w:rPr>
              <w:t>fficiently managing an increased number of employees over large geographic distances, including the need to implement appropriate systems, policies, benefits and compliance programs;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757C464" w14:textId="77777777">
        <w:tc>
          <w:tcPr>
            <w:tcW w:w="227" w:type="pct"/>
            <w:noWrap/>
            <w:hideMark/>
          </w:tcPr>
          <w:p w14:paraId="7DF209CF"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96F40F6"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4C1BF376" w14:textId="77777777" w:rsidR="00000000" w:rsidRDefault="00B8284C">
            <w:pPr>
              <w:pStyle w:val="a3"/>
              <w:spacing w:before="120" w:beforeAutospacing="0" w:after="0" w:afterAutospacing="0"/>
              <w:rPr>
                <w:color w:val="000000"/>
                <w:sz w:val="20"/>
                <w:szCs w:val="20"/>
              </w:rPr>
            </w:pPr>
            <w:r>
              <w:rPr>
                <w:color w:val="000000"/>
                <w:sz w:val="20"/>
                <w:szCs w:val="20"/>
              </w:rPr>
              <w:t>difficulties in managing a business in new markets with diverse cultures, languages, customs, legal systems, alternative dispute systems and regulatory systems;</w:t>
            </w:r>
          </w:p>
        </w:tc>
      </w:tr>
    </w:tbl>
    <w:p w14:paraId="2D1617F5" w14:textId="77777777" w:rsidR="00000000" w:rsidRDefault="00B8284C">
      <w:pPr>
        <w:divId w:val="191223426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3E4B4B2" w14:textId="77777777">
        <w:trPr>
          <w:divId w:val="1912234266"/>
        </w:trPr>
        <w:tc>
          <w:tcPr>
            <w:tcW w:w="227" w:type="pct"/>
            <w:noWrap/>
            <w:hideMark/>
          </w:tcPr>
          <w:p w14:paraId="43A1CD7F"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1556385"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33D7ABC0" w14:textId="77777777" w:rsidR="00000000" w:rsidRDefault="00B8284C">
            <w:pPr>
              <w:pStyle w:val="a3"/>
              <w:spacing w:before="120" w:beforeAutospacing="0" w:after="0" w:afterAutospacing="0"/>
              <w:rPr>
                <w:color w:val="000000"/>
                <w:sz w:val="20"/>
                <w:szCs w:val="20"/>
              </w:rPr>
            </w:pPr>
            <w:r>
              <w:rPr>
                <w:color w:val="000000"/>
                <w:sz w:val="20"/>
                <w:szCs w:val="20"/>
              </w:rPr>
              <w:t>currency exchange rate fluctuations and the resulting effect on our revenue and expenses,</w:t>
            </w:r>
            <w:r>
              <w:rPr>
                <w:color w:val="000000"/>
                <w:sz w:val="20"/>
                <w:szCs w:val="20"/>
              </w:rPr>
              <w:t xml:space="preserve"> and the cost and risk of entering into hedging transactions if we chose to do so in the future;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EC07032" w14:textId="77777777">
        <w:tc>
          <w:tcPr>
            <w:tcW w:w="227" w:type="pct"/>
            <w:noWrap/>
            <w:hideMark/>
          </w:tcPr>
          <w:p w14:paraId="27F5099A"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E7E1303"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45AC5187" w14:textId="77777777" w:rsidR="00000000" w:rsidRDefault="00B8284C">
            <w:pPr>
              <w:pStyle w:val="a3"/>
              <w:spacing w:before="120" w:beforeAutospacing="0" w:after="0" w:afterAutospacing="0"/>
              <w:rPr>
                <w:color w:val="000000"/>
                <w:sz w:val="20"/>
                <w:szCs w:val="20"/>
              </w:rPr>
            </w:pPr>
            <w:r>
              <w:rPr>
                <w:color w:val="000000"/>
                <w:sz w:val="20"/>
                <w:szCs w:val="20"/>
              </w:rPr>
              <w:t>global economic uncertainty caused by global political events, including the United Kingdom's vote in favor of existing the European Union, or Brexit, an</w:t>
            </w:r>
            <w:r>
              <w:rPr>
                <w:color w:val="000000"/>
                <w:sz w:val="20"/>
                <w:szCs w:val="20"/>
              </w:rPr>
              <w:t>d similar geopolitical developments;</w:t>
            </w:r>
          </w:p>
        </w:tc>
      </w:tr>
    </w:tbl>
    <w:p w14:paraId="379D2B4C" w14:textId="77777777" w:rsidR="00000000" w:rsidRDefault="00B8284C">
      <w:pPr>
        <w:divId w:val="6222173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6E51DB8" w14:textId="77777777">
        <w:trPr>
          <w:divId w:val="62221739"/>
        </w:trPr>
        <w:tc>
          <w:tcPr>
            <w:tcW w:w="227" w:type="pct"/>
            <w:noWrap/>
            <w:hideMark/>
          </w:tcPr>
          <w:p w14:paraId="2392C346"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05A24E7"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D468EE8" w14:textId="77777777" w:rsidR="00000000" w:rsidRDefault="00B8284C">
            <w:pPr>
              <w:pStyle w:val="a3"/>
              <w:spacing w:before="120" w:beforeAutospacing="0" w:after="0" w:afterAutospacing="0"/>
              <w:rPr>
                <w:color w:val="000000"/>
                <w:sz w:val="20"/>
                <w:szCs w:val="20"/>
              </w:rPr>
            </w:pPr>
            <w:r>
              <w:rPr>
                <w:color w:val="000000"/>
                <w:sz w:val="20"/>
                <w:szCs w:val="20"/>
              </w:rPr>
              <w:t>limitations on our ability to reinvest earnings from operations in one country to fund the capital needs of our operations in other countries;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36F0C9AD" w14:textId="77777777">
        <w:tc>
          <w:tcPr>
            <w:tcW w:w="227" w:type="pct"/>
            <w:noWrap/>
            <w:hideMark/>
          </w:tcPr>
          <w:p w14:paraId="1EB1E19B"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928AEE8"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18CACB95" w14:textId="77777777" w:rsidR="00000000" w:rsidRDefault="00B8284C">
            <w:pPr>
              <w:pStyle w:val="a3"/>
              <w:spacing w:before="120" w:beforeAutospacing="0" w:after="0" w:afterAutospacing="0"/>
              <w:rPr>
                <w:color w:val="000000"/>
                <w:sz w:val="20"/>
                <w:szCs w:val="20"/>
              </w:rPr>
            </w:pPr>
            <w:r>
              <w:rPr>
                <w:color w:val="000000"/>
                <w:sz w:val="20"/>
                <w:szCs w:val="20"/>
              </w:rPr>
              <w:t>limited or insufficient intellectual property protection;</w:t>
            </w:r>
          </w:p>
        </w:tc>
      </w:tr>
    </w:tbl>
    <w:p w14:paraId="4E75D4AD" w14:textId="77777777" w:rsidR="00000000" w:rsidRDefault="00B8284C">
      <w:pPr>
        <w:divId w:val="49322593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CD85DAA" w14:textId="77777777">
        <w:trPr>
          <w:divId w:val="493225935"/>
        </w:trPr>
        <w:tc>
          <w:tcPr>
            <w:tcW w:w="227" w:type="pct"/>
            <w:noWrap/>
            <w:hideMark/>
          </w:tcPr>
          <w:p w14:paraId="196CE118"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1040CF2"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13714E5F" w14:textId="77777777" w:rsidR="00000000" w:rsidRDefault="00B8284C">
            <w:pPr>
              <w:pStyle w:val="a3"/>
              <w:spacing w:before="120" w:beforeAutospacing="0" w:after="0" w:afterAutospacing="0"/>
              <w:rPr>
                <w:color w:val="000000"/>
                <w:sz w:val="20"/>
                <w:szCs w:val="20"/>
              </w:rPr>
            </w:pPr>
            <w:r>
              <w:rPr>
                <w:color w:val="000000"/>
                <w:sz w:val="20"/>
                <w:szCs w:val="20"/>
              </w:rPr>
              <w:t>political instability or terrorist activities;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71D61EC" w14:textId="77777777">
        <w:tc>
          <w:tcPr>
            <w:tcW w:w="227" w:type="pct"/>
            <w:noWrap/>
            <w:hideMark/>
          </w:tcPr>
          <w:p w14:paraId="138E2F38"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0B63B27"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7A082FC4" w14:textId="77777777" w:rsidR="00000000" w:rsidRDefault="00B8284C">
            <w:pPr>
              <w:pStyle w:val="a3"/>
              <w:spacing w:before="120" w:beforeAutospacing="0" w:after="0" w:afterAutospacing="0"/>
              <w:rPr>
                <w:color w:val="000000"/>
                <w:sz w:val="20"/>
                <w:szCs w:val="20"/>
              </w:rPr>
            </w:pPr>
            <w:r>
              <w:rPr>
                <w:color w:val="000000"/>
                <w:sz w:val="20"/>
                <w:szCs w:val="20"/>
              </w:rPr>
              <w:t>likelihood of potential or actual violations of domestic and international anticorruption laws, such as the U.S. Foreign Corrupt Practices Act and the U.K. Bribery Act, or of U.S. and international expo</w:t>
            </w:r>
            <w:r>
              <w:rPr>
                <w:color w:val="000000"/>
                <w:sz w:val="20"/>
                <w:szCs w:val="20"/>
              </w:rPr>
              <w:t>rt control and sanctions regulations, which likelihood may increase with an increase of sales or operations in foreign jurisdictions and operations in certain industries; and</w:t>
            </w:r>
          </w:p>
        </w:tc>
      </w:tr>
    </w:tbl>
    <w:p w14:paraId="2D426DFB" w14:textId="77777777" w:rsidR="00000000" w:rsidRDefault="00B8284C">
      <w:pPr>
        <w:divId w:val="56283196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D12973D" w14:textId="77777777">
        <w:trPr>
          <w:divId w:val="562831964"/>
        </w:trPr>
        <w:tc>
          <w:tcPr>
            <w:tcW w:w="227" w:type="pct"/>
            <w:noWrap/>
            <w:hideMark/>
          </w:tcPr>
          <w:p w14:paraId="68820874"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F8B34E9"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7A79C8A0" w14:textId="77777777" w:rsidR="00000000" w:rsidRDefault="00B8284C">
            <w:pPr>
              <w:pStyle w:val="a3"/>
              <w:spacing w:before="120" w:beforeAutospacing="0" w:after="0" w:afterAutospacing="0"/>
              <w:rPr>
                <w:color w:val="000000"/>
                <w:sz w:val="20"/>
                <w:szCs w:val="20"/>
              </w:rPr>
            </w:pPr>
            <w:r>
              <w:rPr>
                <w:color w:val="000000"/>
                <w:sz w:val="20"/>
                <w:szCs w:val="20"/>
              </w:rPr>
              <w:t>adverse tax burdens and foreign exchange controls that could make it difficult to repatriate earnings and cash.</w:t>
            </w:r>
          </w:p>
        </w:tc>
      </w:tr>
    </w:tbl>
    <w:p w14:paraId="3D40D567" w14:textId="77777777" w:rsidR="00000000" w:rsidRDefault="00B8284C">
      <w:pPr>
        <w:pStyle w:val="a3"/>
        <w:spacing w:before="240" w:beforeAutospacing="0" w:after="0" w:afterAutospacing="0"/>
        <w:jc w:val="center"/>
        <w:rPr>
          <w:sz w:val="20"/>
          <w:szCs w:val="20"/>
        </w:rPr>
      </w:pPr>
      <w:r>
        <w:rPr>
          <w:sz w:val="20"/>
          <w:szCs w:val="20"/>
        </w:rPr>
        <w:t>37</w:t>
      </w:r>
    </w:p>
    <w:p w14:paraId="7B47ACE0" w14:textId="77777777" w:rsidR="00000000" w:rsidRDefault="00B8284C">
      <w:pPr>
        <w:rPr>
          <w:rFonts w:eastAsia="Times New Roman"/>
        </w:rPr>
      </w:pPr>
      <w:r>
        <w:rPr>
          <w:rFonts w:eastAsia="Times New Roman"/>
        </w:rPr>
        <w:pict w14:anchorId="62D361ED">
          <v:rect id="_x0000_i1061" style="width:0;height:1.5pt" o:hralign="center" o:hrstd="t" o:hr="t" fillcolor="#a0a0a0" stroked="f"/>
        </w:pict>
      </w:r>
    </w:p>
    <w:p w14:paraId="07C01320" w14:textId="77777777" w:rsidR="00000000" w:rsidRDefault="00B8284C">
      <w:pPr>
        <w:pStyle w:val="a3"/>
        <w:spacing w:before="0" w:beforeAutospacing="0" w:after="0" w:afterAutospacing="0"/>
        <w:rPr>
          <w:sz w:val="20"/>
          <w:szCs w:val="20"/>
        </w:rPr>
      </w:pPr>
      <w:r>
        <w:rPr>
          <w:sz w:val="20"/>
          <w:szCs w:val="20"/>
        </w:rPr>
        <w:t> </w:t>
      </w:r>
    </w:p>
    <w:p w14:paraId="6EAA6EF1" w14:textId="77777777" w:rsidR="00000000" w:rsidRDefault="00B8284C">
      <w:pPr>
        <w:pStyle w:val="a3"/>
        <w:spacing w:before="240" w:beforeAutospacing="0" w:after="0" w:afterAutospacing="0"/>
        <w:ind w:firstLine="556"/>
        <w:rPr>
          <w:color w:val="000000"/>
          <w:sz w:val="20"/>
          <w:szCs w:val="20"/>
        </w:rPr>
      </w:pPr>
      <w:r>
        <w:rPr>
          <w:color w:val="000000"/>
          <w:sz w:val="20"/>
          <w:szCs w:val="20"/>
        </w:rPr>
        <w:t>Our limited experience in operating our business internationally increases the risk that any potential</w:t>
      </w:r>
      <w:r>
        <w:rPr>
          <w:color w:val="000000"/>
          <w:sz w:val="20"/>
          <w:szCs w:val="20"/>
        </w:rPr>
        <w:t xml:space="preserve"> future expansion efforts that we may undertake will not be successful. If we invest substantial time and resources to expand our international operations and are unable to do so successfully and in a timely manner, our business and operating results will </w:t>
      </w:r>
      <w:r>
        <w:rPr>
          <w:color w:val="000000"/>
          <w:sz w:val="20"/>
          <w:szCs w:val="20"/>
        </w:rPr>
        <w:t>suffer. We continue to implement policies and procedures to facilitate our compliance with U.S. laws and regulations applicable to or arising from our international business. Inadequacies in our past or current compliance practices may increase the risk of</w:t>
      </w:r>
      <w:r>
        <w:rPr>
          <w:color w:val="000000"/>
          <w:sz w:val="20"/>
          <w:szCs w:val="20"/>
        </w:rPr>
        <w:t xml:space="preserve"> inadvertent violations of such laws and regulations, which could lead to financial and other penalties that could damage our reputation and impose costs on us.</w:t>
      </w:r>
    </w:p>
    <w:p w14:paraId="1B6EF5DC"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Interruptions or delays in service from our third-party data center providers could impair our ability to deliver our platform to our customers, resulting in customer dissatisfaction, damage to our reputation, loss of customers, limited growth and reductio</w:t>
      </w:r>
      <w:r>
        <w:rPr>
          <w:b/>
          <w:bCs/>
          <w:i/>
          <w:iCs/>
          <w:color w:val="000000"/>
          <w:sz w:val="20"/>
          <w:szCs w:val="20"/>
        </w:rPr>
        <w:t>n in revenue.</w:t>
      </w:r>
    </w:p>
    <w:p w14:paraId="0ADAB864" w14:textId="77777777" w:rsidR="00000000" w:rsidRDefault="00B8284C">
      <w:pPr>
        <w:pStyle w:val="a3"/>
        <w:spacing w:before="120" w:beforeAutospacing="0" w:after="0" w:afterAutospacing="0"/>
        <w:ind w:firstLine="556"/>
        <w:rPr>
          <w:color w:val="000000"/>
          <w:sz w:val="20"/>
          <w:szCs w:val="20"/>
        </w:rPr>
      </w:pPr>
      <w:r>
        <w:rPr>
          <w:color w:val="000000"/>
          <w:sz w:val="20"/>
          <w:szCs w:val="20"/>
        </w:rPr>
        <w:t>We currently serve the majority of our platform functions from third-party data center hosting facilities operated by Amazon Web Services located in northern Virginia and Google Cloud Platform located in Frankfurt, Germany. Our operations dep</w:t>
      </w:r>
      <w:r>
        <w:rPr>
          <w:color w:val="000000"/>
          <w:sz w:val="20"/>
          <w:szCs w:val="20"/>
        </w:rPr>
        <w:t>end, in part, on our third-party facility providers’ abilities to protect these facilities against damage or interruption from natural disasters, such as earthquakes and hurricanes, power or telecommunications failures, criminal acts and similar events. In</w:t>
      </w:r>
      <w:r>
        <w:rPr>
          <w:color w:val="000000"/>
          <w:sz w:val="20"/>
          <w:szCs w:val="20"/>
        </w:rPr>
        <w:t xml:space="preserve"> the event that any of our third-party facilities arrangements is terminated, or if there is a lapse of service or damage to a facility, we could experience interruptions in our platform as well as delays and additional expenses in arranging new facilities</w:t>
      </w:r>
      <w:r>
        <w:rPr>
          <w:color w:val="000000"/>
          <w:sz w:val="20"/>
          <w:szCs w:val="20"/>
        </w:rPr>
        <w:t xml:space="preserve"> and services.</w:t>
      </w:r>
    </w:p>
    <w:p w14:paraId="03E0820A" w14:textId="77777777" w:rsidR="00000000" w:rsidRDefault="00B8284C">
      <w:pPr>
        <w:pStyle w:val="a3"/>
        <w:spacing w:before="240" w:beforeAutospacing="0" w:after="0" w:afterAutospacing="0"/>
        <w:ind w:firstLine="556"/>
        <w:rPr>
          <w:color w:val="000000"/>
          <w:sz w:val="20"/>
          <w:szCs w:val="20"/>
        </w:rPr>
      </w:pPr>
      <w:r>
        <w:rPr>
          <w:color w:val="000000"/>
          <w:sz w:val="20"/>
          <w:szCs w:val="20"/>
        </w:rPr>
        <w:t>Any damage to, or failure of, the systems of our third-party providers could result in interruptions to our platform. Despite precautions taken at our data centers, the occurrence of spikes in usage volume, a natural disaster, such as earthq</w:t>
      </w:r>
      <w:r>
        <w:rPr>
          <w:color w:val="000000"/>
          <w:sz w:val="20"/>
          <w:szCs w:val="20"/>
        </w:rPr>
        <w:t xml:space="preserve">uakes or hurricane, an act of terrorism, vandalism or sabotage, a decision to close a facility without adequate notice, or other unanticipated problems at a facility could result in lengthy interruptions in the availability of our on-demand software. Even </w:t>
      </w:r>
      <w:r>
        <w:rPr>
          <w:color w:val="000000"/>
          <w:sz w:val="20"/>
          <w:szCs w:val="20"/>
        </w:rPr>
        <w:t>with current and planned disaster recovery arrangements, our business could be harmed. Also, in the event of damage or interruption, our insurance policies may not adequately compensate us for any losses that we may incur. These factors in turn could furth</w:t>
      </w:r>
      <w:r>
        <w:rPr>
          <w:color w:val="000000"/>
          <w:sz w:val="20"/>
          <w:szCs w:val="20"/>
        </w:rPr>
        <w:t>er reduce our revenue, subject us to liability and cause us to issue credits or cause customers to fail to renew their subscriptions, any of which could materially adversely affect our business.</w:t>
      </w:r>
    </w:p>
    <w:p w14:paraId="56E96577" w14:textId="77777777" w:rsidR="00000000" w:rsidRDefault="00B8284C">
      <w:pPr>
        <w:pStyle w:val="a3"/>
        <w:spacing w:before="0" w:beforeAutospacing="0" w:after="0" w:afterAutospacing="0"/>
        <w:rPr>
          <w:sz w:val="18"/>
          <w:szCs w:val="18"/>
        </w:rPr>
      </w:pPr>
      <w:r>
        <w:rPr>
          <w:sz w:val="18"/>
          <w:szCs w:val="18"/>
        </w:rPr>
        <w:t> </w:t>
      </w:r>
    </w:p>
    <w:p w14:paraId="52E66A09" w14:textId="77777777" w:rsidR="00000000" w:rsidRDefault="00B8284C">
      <w:pPr>
        <w:pStyle w:val="a3"/>
        <w:spacing w:before="0" w:beforeAutospacing="0" w:after="0" w:afterAutospacing="0"/>
        <w:rPr>
          <w:sz w:val="18"/>
          <w:szCs w:val="18"/>
        </w:rPr>
      </w:pPr>
      <w:r>
        <w:rPr>
          <w:sz w:val="18"/>
          <w:szCs w:val="18"/>
        </w:rPr>
        <w:t> </w:t>
      </w:r>
    </w:p>
    <w:p w14:paraId="6C7EB302" w14:textId="77777777" w:rsidR="00000000" w:rsidRDefault="00B8284C">
      <w:pPr>
        <w:pStyle w:val="a3"/>
        <w:spacing w:before="0" w:beforeAutospacing="0" w:after="0" w:afterAutospacing="0"/>
        <w:rPr>
          <w:b/>
          <w:bCs/>
          <w:i/>
          <w:iCs/>
          <w:color w:val="000000"/>
          <w:sz w:val="20"/>
          <w:szCs w:val="20"/>
        </w:rPr>
      </w:pPr>
      <w:r>
        <w:rPr>
          <w:b/>
          <w:bCs/>
          <w:i/>
          <w:iCs/>
          <w:color w:val="000000"/>
          <w:sz w:val="20"/>
          <w:szCs w:val="20"/>
        </w:rPr>
        <w:t>If our Growth Platform has outages or fails due to defect</w:t>
      </w:r>
      <w:r>
        <w:rPr>
          <w:b/>
          <w:bCs/>
          <w:i/>
          <w:iCs/>
          <w:color w:val="000000"/>
          <w:sz w:val="20"/>
          <w:szCs w:val="20"/>
        </w:rPr>
        <w:t>s or similar problems, and if we fail to correct any defect or other software problems, we could lose customers, become subject to service performance or warranty claims or incur significant costs.</w:t>
      </w:r>
    </w:p>
    <w:p w14:paraId="53A64877"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platform and its underlying infrastructure are inheren</w:t>
      </w:r>
      <w:r>
        <w:rPr>
          <w:color w:val="000000"/>
          <w:sz w:val="20"/>
          <w:szCs w:val="20"/>
        </w:rPr>
        <w:t>tly complex and may contain material defects or errors. We release modifications, updates, bug fixes and other changes to our software several times per day, without traditional human-performed quality control reviews for each release. We have from time to</w:t>
      </w:r>
      <w:r>
        <w:rPr>
          <w:color w:val="000000"/>
          <w:sz w:val="20"/>
          <w:szCs w:val="20"/>
        </w:rPr>
        <w:t xml:space="preserve"> time found defects in our software and may discover additional defects in the future. We may not be able to detect and correct defects or errors before customers begin to use our platform or its applications. Consequently, we or our customers may discover</w:t>
      </w:r>
      <w:r>
        <w:rPr>
          <w:color w:val="000000"/>
          <w:sz w:val="20"/>
          <w:szCs w:val="20"/>
        </w:rPr>
        <w:t xml:space="preserve"> defects or errors after our platform has been implemented. For example, we recently had a product outage due to the failure of one of the infrastructure systems that supports multiple parts of our platform.  Although no data from prior to the outage was l</w:t>
      </w:r>
      <w:r>
        <w:rPr>
          <w:color w:val="000000"/>
          <w:sz w:val="20"/>
          <w:szCs w:val="20"/>
        </w:rPr>
        <w:t>ost, our customers experienced disruptions in using our platform during the outage.  Defects or errors could result in product outages and could also cause inaccuracies in the data we collect and process for our customers, or even the loss, damage or inadv</w:t>
      </w:r>
      <w:r>
        <w:rPr>
          <w:color w:val="000000"/>
          <w:sz w:val="20"/>
          <w:szCs w:val="20"/>
        </w:rPr>
        <w:t>ertent release of such confidential data. We implement bug fixes and upgrades as part of our regular system maintenance, which may lead to system downtime. Even if we are able to implement the bug fixes and upgrades in a timely manner, any history of produ</w:t>
      </w:r>
      <w:r>
        <w:rPr>
          <w:color w:val="000000"/>
          <w:sz w:val="20"/>
          <w:szCs w:val="20"/>
        </w:rPr>
        <w:t>ct outages, defects or inaccuracies in the data we collect for our customers, or the loss, damage or inadvertent release of confidential data could cause our reputation to be harmed, and customers may elect not to purchase or renew their agreements with us</w:t>
      </w:r>
      <w:r>
        <w:rPr>
          <w:color w:val="000000"/>
          <w:sz w:val="20"/>
          <w:szCs w:val="20"/>
        </w:rPr>
        <w:t>. Furthermore, these issues could subject us to service performance credits (whether offered by us or required by contract), warranty claims or increased insurance costs. The costs associated with product outages, any material defects or errors in our plat</w:t>
      </w:r>
      <w:r>
        <w:rPr>
          <w:color w:val="000000"/>
          <w:sz w:val="20"/>
          <w:szCs w:val="20"/>
        </w:rPr>
        <w:t>form or other performance problems may be substantial and could materially adversely affect our operating results.</w:t>
      </w:r>
    </w:p>
    <w:p w14:paraId="2D36D712"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third-party apps and features on our Growth Platform may not meet the same quality standards that we apply to our own developmen</w:t>
      </w:r>
      <w:r>
        <w:rPr>
          <w:color w:val="000000"/>
          <w:sz w:val="20"/>
          <w:szCs w:val="20"/>
        </w:rPr>
        <w:t>t efforts and, to the extent they contain bugs, vulnerabilities or defects, they may create disruptions in our customers’ use of our products, lead to data loss, unauthorized access to customer data, damage our brand and reputation and affect the continued</w:t>
      </w:r>
      <w:r>
        <w:rPr>
          <w:color w:val="000000"/>
          <w:sz w:val="20"/>
          <w:szCs w:val="20"/>
        </w:rPr>
        <w:t xml:space="preserve"> use of our products, any of which could harm our business, results of operations and financial condition.</w:t>
      </w:r>
    </w:p>
    <w:p w14:paraId="2BE59F36"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are dependent on the continued availability of third-party data hosting and transmission services.</w:t>
      </w:r>
    </w:p>
    <w:p w14:paraId="2319B402"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A significant portion of our operating cost is </w:t>
      </w:r>
      <w:r>
        <w:rPr>
          <w:color w:val="000000"/>
          <w:sz w:val="20"/>
          <w:szCs w:val="20"/>
        </w:rPr>
        <w:t xml:space="preserve">from our third-party data hosting and transmission services. If the costs for such services increase due to vendor consolidation, regulation, contract renegotiation, or otherwise, we may not be able to increase the fees for our Growth Platform or services </w:t>
      </w:r>
      <w:r>
        <w:rPr>
          <w:color w:val="000000"/>
          <w:sz w:val="20"/>
          <w:szCs w:val="20"/>
        </w:rPr>
        <w:t>to cover the changes. As a result, our operating results may be significantly worse than forecasted.</w:t>
      </w:r>
    </w:p>
    <w:p w14:paraId="2C1B7EF4" w14:textId="77777777" w:rsidR="00000000" w:rsidRDefault="00B8284C">
      <w:pPr>
        <w:pStyle w:val="a3"/>
        <w:spacing w:before="240" w:beforeAutospacing="0" w:after="0" w:afterAutospacing="0"/>
        <w:jc w:val="center"/>
        <w:rPr>
          <w:sz w:val="20"/>
          <w:szCs w:val="20"/>
        </w:rPr>
      </w:pPr>
      <w:r>
        <w:rPr>
          <w:sz w:val="20"/>
          <w:szCs w:val="20"/>
        </w:rPr>
        <w:t>38</w:t>
      </w:r>
    </w:p>
    <w:p w14:paraId="35E22265" w14:textId="77777777" w:rsidR="00000000" w:rsidRDefault="00B8284C">
      <w:pPr>
        <w:rPr>
          <w:rFonts w:eastAsia="Times New Roman"/>
        </w:rPr>
      </w:pPr>
      <w:r>
        <w:rPr>
          <w:rFonts w:eastAsia="Times New Roman"/>
        </w:rPr>
        <w:pict w14:anchorId="62609DB5">
          <v:rect id="_x0000_i1062" style="width:0;height:1.5pt" o:hralign="center" o:hrstd="t" o:hr="t" fillcolor="#a0a0a0" stroked="f"/>
        </w:pict>
      </w:r>
    </w:p>
    <w:p w14:paraId="3F4E48AB" w14:textId="77777777" w:rsidR="00000000" w:rsidRDefault="00B8284C">
      <w:pPr>
        <w:pStyle w:val="a3"/>
        <w:spacing w:before="0" w:beforeAutospacing="0" w:after="0" w:afterAutospacing="0"/>
        <w:rPr>
          <w:sz w:val="20"/>
          <w:szCs w:val="20"/>
        </w:rPr>
      </w:pPr>
      <w:r>
        <w:rPr>
          <w:sz w:val="20"/>
          <w:szCs w:val="20"/>
        </w:rPr>
        <w:t> </w:t>
      </w:r>
    </w:p>
    <w:p w14:paraId="3946A901"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If we do not or cannot maintain the compatibility of our Growth Platform with third-party applications that our cu</w:t>
      </w:r>
      <w:r>
        <w:rPr>
          <w:b/>
          <w:bCs/>
          <w:i/>
          <w:iCs/>
          <w:color w:val="000000"/>
          <w:sz w:val="20"/>
          <w:szCs w:val="20"/>
        </w:rPr>
        <w:t>stomers use in their businesses, our revenue will decline.</w:t>
      </w:r>
    </w:p>
    <w:p w14:paraId="66CE5FE1" w14:textId="77777777" w:rsidR="00000000" w:rsidRDefault="00B8284C">
      <w:pPr>
        <w:pStyle w:val="a3"/>
        <w:spacing w:before="120" w:beforeAutospacing="0" w:after="0" w:afterAutospacing="0"/>
        <w:ind w:firstLine="556"/>
        <w:rPr>
          <w:color w:val="000000"/>
          <w:sz w:val="20"/>
          <w:szCs w:val="20"/>
        </w:rPr>
      </w:pPr>
      <w:r>
        <w:rPr>
          <w:color w:val="000000"/>
          <w:sz w:val="20"/>
          <w:szCs w:val="20"/>
        </w:rPr>
        <w:t>A significant percentage of our customers choose to integrate our platform with certain capabilities provided by third-party application providers using application programming interfaces, or APIs,</w:t>
      </w:r>
      <w:r>
        <w:rPr>
          <w:color w:val="000000"/>
          <w:sz w:val="20"/>
          <w:szCs w:val="20"/>
        </w:rPr>
        <w:t xml:space="preserve"> published by these providers. The functionality and popularity of our Growth Platform depends, in part, on our ability to integrate our platform with third-party applications and platforms, including CRM, CMS, e-commerce, call center, analytics and social</w:t>
      </w:r>
      <w:r>
        <w:rPr>
          <w:color w:val="000000"/>
          <w:sz w:val="20"/>
          <w:szCs w:val="20"/>
        </w:rPr>
        <w:t xml:space="preserve"> media sites that our customers use and from which they obtain data. Third-party providers of applications and APIs may change the features of their applications and platforms, restrict our access to their applications and platforms or alter the terms gove</w:t>
      </w:r>
      <w:r>
        <w:rPr>
          <w:color w:val="000000"/>
          <w:sz w:val="20"/>
          <w:szCs w:val="20"/>
        </w:rPr>
        <w:t>rning use of their applications and APIs and access to those applications and platforms in an adverse manner. Such changes could functionally limit or terminate our ability to use these third-party applications and platforms in conjunction with our platfor</w:t>
      </w:r>
      <w:r>
        <w:rPr>
          <w:color w:val="000000"/>
          <w:sz w:val="20"/>
          <w:szCs w:val="20"/>
        </w:rPr>
        <w:t>m, which could negatively impact our offerings and harm our business. If we fail to integrate our platform with new third-party applications and platforms that our customers use for marketing, sales or services purposes, we may not be able to offer the fun</w:t>
      </w:r>
      <w:r>
        <w:rPr>
          <w:color w:val="000000"/>
          <w:sz w:val="20"/>
          <w:szCs w:val="20"/>
        </w:rPr>
        <w:t>ctionality that our customers need, which would negatively impact our ability to generate revenue and adversely impact our business.</w:t>
      </w:r>
    </w:p>
    <w:p w14:paraId="164136BF"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 xml:space="preserve">We rely on data provided by third parties, the loss of which could limit the functionality of our platform and disrupt our </w:t>
      </w:r>
      <w:r>
        <w:rPr>
          <w:b/>
          <w:bCs/>
          <w:i/>
          <w:iCs/>
          <w:color w:val="000000"/>
          <w:sz w:val="20"/>
          <w:szCs w:val="20"/>
        </w:rPr>
        <w:t>business.</w:t>
      </w:r>
    </w:p>
    <w:p w14:paraId="5EDE0877" w14:textId="77777777" w:rsidR="00000000" w:rsidRDefault="00B8284C">
      <w:pPr>
        <w:pStyle w:val="a3"/>
        <w:spacing w:before="120" w:beforeAutospacing="0" w:after="0" w:afterAutospacing="0"/>
        <w:ind w:firstLine="556"/>
        <w:rPr>
          <w:color w:val="000000"/>
          <w:sz w:val="20"/>
          <w:szCs w:val="20"/>
        </w:rPr>
      </w:pPr>
      <w:r>
        <w:rPr>
          <w:color w:val="000000"/>
          <w:sz w:val="20"/>
          <w:szCs w:val="20"/>
        </w:rPr>
        <w:t>Select functionality of our Growth Platform depends on our ability to deliver data, including search engine results and social media updates, provided by unaffiliated third parties, such as Facebook, Google, LinkedIn and Twitter. Some of this dat</w:t>
      </w:r>
      <w:r>
        <w:rPr>
          <w:color w:val="000000"/>
          <w:sz w:val="20"/>
          <w:szCs w:val="20"/>
        </w:rPr>
        <w:t>a is provided to us pursuant to third-party data sharing policies and terms of use, under data sharing agreements by third-party providers or by customer consent. In the future, any of these third parties could change its data sharing policies, including m</w:t>
      </w:r>
      <w:r>
        <w:rPr>
          <w:color w:val="000000"/>
          <w:sz w:val="20"/>
          <w:szCs w:val="20"/>
        </w:rPr>
        <w:t>aking them more restrictive, or alter its algorithms that determine the placement, display, and accessibility of search results and social media updates, any of which could result in the loss of, or significant impairment to, our ability to collect and pro</w:t>
      </w:r>
      <w:r>
        <w:rPr>
          <w:color w:val="000000"/>
          <w:sz w:val="20"/>
          <w:szCs w:val="20"/>
        </w:rPr>
        <w:t xml:space="preserve">vide useful data to our customers. These third parties could also interpret our, or our service providers’, data collection policies or practices as being inconsistent with their policies, which could result in the loss of our ability to collect this data </w:t>
      </w:r>
      <w:r>
        <w:rPr>
          <w:color w:val="000000"/>
          <w:sz w:val="20"/>
          <w:szCs w:val="20"/>
        </w:rPr>
        <w:t xml:space="preserve">for our customers. Any such changes could impair our ability to deliver data to our customers and could adversely impact select functionality of our platform, impairing the return on investment that our customers derive from using our solution, as well as </w:t>
      </w:r>
      <w:r>
        <w:rPr>
          <w:color w:val="000000"/>
          <w:sz w:val="20"/>
          <w:szCs w:val="20"/>
        </w:rPr>
        <w:t>adversely affecting our business and our ability to generate revenue.</w:t>
      </w:r>
    </w:p>
    <w:p w14:paraId="06F79739"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Privacy concerns and end users’ acceptance of Internet behavior tracking may limit the applicability, use and adoption of our Growth Platform.</w:t>
      </w:r>
    </w:p>
    <w:p w14:paraId="63711EF3" w14:textId="77777777" w:rsidR="00000000" w:rsidRDefault="00B8284C">
      <w:pPr>
        <w:pStyle w:val="a3"/>
        <w:spacing w:before="120" w:beforeAutospacing="0" w:after="0" w:afterAutospacing="0"/>
        <w:ind w:firstLine="556"/>
        <w:rPr>
          <w:color w:val="000000"/>
          <w:sz w:val="20"/>
          <w:szCs w:val="20"/>
        </w:rPr>
      </w:pPr>
      <w:r>
        <w:rPr>
          <w:color w:val="000000"/>
          <w:sz w:val="20"/>
          <w:szCs w:val="20"/>
        </w:rPr>
        <w:t>Privacy concerns may cause end users to res</w:t>
      </w:r>
      <w:r>
        <w:rPr>
          <w:color w:val="000000"/>
          <w:sz w:val="20"/>
          <w:szCs w:val="20"/>
        </w:rPr>
        <w:t>ist providing the personal data necessary to allow our customers to use our platform effectively. We have implemented various features intended to enable our customers to better protect end user privacy, but these measures may not alleviate all potential p</w:t>
      </w:r>
      <w:r>
        <w:rPr>
          <w:color w:val="000000"/>
          <w:sz w:val="20"/>
          <w:szCs w:val="20"/>
        </w:rPr>
        <w:t>rivacy concerns and threats. Even the perception of privacy concerns, whether or not valid, may inhibit market adoption of our platform, especially in certain industries that rely on sensitive personal information. Privacy advocacy groups and the technolog</w:t>
      </w:r>
      <w:r>
        <w:rPr>
          <w:color w:val="000000"/>
          <w:sz w:val="20"/>
          <w:szCs w:val="20"/>
        </w:rPr>
        <w:t>y and other industries are considering various new, additional or different self-regulatory standards that may place additional burdens on us. The costs of compliance with, and other burdens imposed by these groups’ policies and actions may limit the use a</w:t>
      </w:r>
      <w:r>
        <w:rPr>
          <w:color w:val="000000"/>
          <w:sz w:val="20"/>
          <w:szCs w:val="20"/>
        </w:rPr>
        <w:t>nd adoption of our Growth Platform and reduce overall demand for it, or lead to significant fines, penalties or liabilities for any noncompliance or loss of any such action.</w:t>
      </w:r>
    </w:p>
    <w:p w14:paraId="05BD47CB"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are subject to governmental regulation and other legal obligations, particularl</w:t>
      </w:r>
      <w:r>
        <w:rPr>
          <w:b/>
          <w:bCs/>
          <w:i/>
          <w:iCs/>
          <w:color w:val="000000"/>
          <w:sz w:val="20"/>
          <w:szCs w:val="20"/>
        </w:rPr>
        <w:t>y related to privacy, data protection and information security, and our actual or perceived failure to comply with such obligations could harm our business. Compliance with such laws could also impair our efforts to maintain and expand our customer base, a</w:t>
      </w:r>
      <w:r>
        <w:rPr>
          <w:b/>
          <w:bCs/>
          <w:i/>
          <w:iCs/>
          <w:color w:val="000000"/>
          <w:sz w:val="20"/>
          <w:szCs w:val="20"/>
        </w:rPr>
        <w:t>nd thereby decrease our revenue.</w:t>
      </w:r>
    </w:p>
    <w:p w14:paraId="4977DF5B"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Our handling of data is subject to a variety of laws and regulations, including regulation by various government agencies, including the U.S. Federal Trade Commission, or FTC, and various state, local and foreign agencies. </w:t>
      </w:r>
      <w:r>
        <w:rPr>
          <w:color w:val="000000"/>
          <w:sz w:val="20"/>
          <w:szCs w:val="20"/>
        </w:rPr>
        <w:t xml:space="preserve">We collect personally identifiable information and other data from our customers and leads. We also handle personally identifiable information about our customers’ customers. We use this information to provide services to our customers, to support, expand </w:t>
      </w:r>
      <w:r>
        <w:rPr>
          <w:color w:val="000000"/>
          <w:sz w:val="20"/>
          <w:szCs w:val="20"/>
        </w:rPr>
        <w:t>and improve our business. We may also share customers’ personally identifiable information with third parties as authorized by the customer or as described in our privacy policy.</w:t>
      </w:r>
    </w:p>
    <w:p w14:paraId="16C09122" w14:textId="77777777" w:rsidR="00000000" w:rsidRDefault="00B8284C">
      <w:pPr>
        <w:pStyle w:val="a3"/>
        <w:spacing w:before="240" w:beforeAutospacing="0" w:after="0" w:afterAutospacing="0"/>
        <w:ind w:firstLine="556"/>
        <w:rPr>
          <w:color w:val="000000"/>
          <w:sz w:val="20"/>
          <w:szCs w:val="20"/>
        </w:rPr>
      </w:pPr>
      <w:r>
        <w:rPr>
          <w:color w:val="000000"/>
          <w:sz w:val="20"/>
          <w:szCs w:val="20"/>
        </w:rPr>
        <w:t>The U.S. federal and various state and foreign governments have adopted or pr</w:t>
      </w:r>
      <w:r>
        <w:rPr>
          <w:color w:val="000000"/>
          <w:sz w:val="20"/>
          <w:szCs w:val="20"/>
        </w:rPr>
        <w:t>oposed limitations on the collection, distribution, use and storage of personal information of individuals. In the United States, the FTC and many state attorneys general are applying federal and state consumer protection laws as imposing standards for the</w:t>
      </w:r>
      <w:r>
        <w:rPr>
          <w:color w:val="000000"/>
          <w:sz w:val="20"/>
          <w:szCs w:val="20"/>
        </w:rPr>
        <w:t xml:space="preserve"> online collection, use and dissemination of data. However, these obligations may be interpreted and applied in a manner that is inconsistent from one jurisdiction to another and may conflict with other requirements or our practices. Any failure or perceiv</w:t>
      </w:r>
      <w:r>
        <w:rPr>
          <w:color w:val="000000"/>
          <w:sz w:val="20"/>
          <w:szCs w:val="20"/>
        </w:rPr>
        <w:t>ed failure by us to comply with privacy or security laws, policies, legal obligations or industry standards or any security incident that results in the unauthorized release or transfer of personally identifiable information or other customer data may resu</w:t>
      </w:r>
      <w:r>
        <w:rPr>
          <w:color w:val="000000"/>
          <w:sz w:val="20"/>
          <w:szCs w:val="20"/>
        </w:rPr>
        <w:t>lt in governmental enforcement actions, litigation, fines and penalties and/or adverse publicity, and could cause our customers to lose trust in us, which could have an adverse effect on our reputation and business.</w:t>
      </w:r>
    </w:p>
    <w:p w14:paraId="748C8E7B" w14:textId="77777777" w:rsidR="00000000" w:rsidRDefault="00B8284C">
      <w:pPr>
        <w:pStyle w:val="a3"/>
        <w:spacing w:before="240" w:beforeAutospacing="0" w:after="0" w:afterAutospacing="0"/>
        <w:jc w:val="center"/>
        <w:rPr>
          <w:sz w:val="20"/>
          <w:szCs w:val="20"/>
        </w:rPr>
      </w:pPr>
      <w:r>
        <w:rPr>
          <w:sz w:val="20"/>
          <w:szCs w:val="20"/>
        </w:rPr>
        <w:t>39</w:t>
      </w:r>
    </w:p>
    <w:p w14:paraId="4F42E950" w14:textId="77777777" w:rsidR="00000000" w:rsidRDefault="00B8284C">
      <w:pPr>
        <w:rPr>
          <w:rFonts w:eastAsia="Times New Roman"/>
        </w:rPr>
      </w:pPr>
      <w:r>
        <w:rPr>
          <w:rFonts w:eastAsia="Times New Roman"/>
        </w:rPr>
        <w:pict w14:anchorId="2F8F1613">
          <v:rect id="_x0000_i1063" style="width:0;height:1.5pt" o:hralign="center" o:hrstd="t" o:hr="t" fillcolor="#a0a0a0" stroked="f"/>
        </w:pict>
      </w:r>
    </w:p>
    <w:p w14:paraId="54FD79CD" w14:textId="77777777" w:rsidR="00000000" w:rsidRDefault="00B8284C">
      <w:pPr>
        <w:pStyle w:val="a3"/>
        <w:spacing w:before="0" w:beforeAutospacing="0" w:after="0" w:afterAutospacing="0"/>
        <w:rPr>
          <w:sz w:val="20"/>
          <w:szCs w:val="20"/>
        </w:rPr>
      </w:pPr>
      <w:r>
        <w:rPr>
          <w:sz w:val="20"/>
          <w:szCs w:val="20"/>
        </w:rPr>
        <w:t> </w:t>
      </w:r>
    </w:p>
    <w:p w14:paraId="1B36A237" w14:textId="77777777" w:rsidR="00000000" w:rsidRDefault="00B8284C">
      <w:pPr>
        <w:pStyle w:val="a3"/>
        <w:spacing w:before="240" w:beforeAutospacing="0" w:after="0" w:afterAutospacing="0"/>
        <w:ind w:firstLine="556"/>
        <w:rPr>
          <w:color w:val="000000"/>
          <w:sz w:val="20"/>
          <w:szCs w:val="20"/>
        </w:rPr>
      </w:pPr>
      <w:r>
        <w:rPr>
          <w:color w:val="000000"/>
          <w:sz w:val="20"/>
          <w:szCs w:val="20"/>
        </w:rPr>
        <w:t>Laws and regulations concerning privacy, data protection and information security are evolving, and changes to such laws and regulations could require us to change features of our platform or restrict our customers’ ab</w:t>
      </w:r>
      <w:r>
        <w:rPr>
          <w:color w:val="000000"/>
          <w:sz w:val="20"/>
          <w:szCs w:val="20"/>
        </w:rPr>
        <w:t>ility to collect and use email addresses, page viewing data and personal information, which may reduce demand for our platform. Our failure to comply with federal, state and international data privacy laws and regulations could harm our ability to successf</w:t>
      </w:r>
      <w:r>
        <w:rPr>
          <w:color w:val="000000"/>
          <w:sz w:val="20"/>
          <w:szCs w:val="20"/>
        </w:rPr>
        <w:t xml:space="preserve">ully operate our business and pursue our business goals. For example, California recently enacted the California Consumer Privacy Act, or CCPA, that will, among other things, require covered companies to provide new disclosures to California consumers and </w:t>
      </w:r>
      <w:r>
        <w:rPr>
          <w:color w:val="000000"/>
          <w:sz w:val="20"/>
          <w:szCs w:val="20"/>
        </w:rPr>
        <w:t xml:space="preserve">afford such consumers new abilities to opt-out of certain sales of personal information, when it goes into effect on January 1, 2020. The CCPA recently was amended, and it is possible that it will be amended again before it goes into effect. We cannot yet </w:t>
      </w:r>
      <w:r>
        <w:rPr>
          <w:color w:val="000000"/>
          <w:sz w:val="20"/>
          <w:szCs w:val="20"/>
        </w:rPr>
        <w:t>predict the impact of the CCPA on our business or operations, but it may require us to modify our data processing practices and policies and to incur substantial costs and expenses in an effort to comply.</w:t>
      </w:r>
    </w:p>
    <w:p w14:paraId="19F9CB4F"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several foreign countries and governme</w:t>
      </w:r>
      <w:r>
        <w:rPr>
          <w:color w:val="000000"/>
          <w:sz w:val="20"/>
          <w:szCs w:val="20"/>
        </w:rPr>
        <w:t>ntal bodies, including the European Union and Canada, have regulations dealing with the collection and use of personal information obtained from their residents, which are often more restrictive than those in the United States. Laws and regulations in thes</w:t>
      </w:r>
      <w:r>
        <w:rPr>
          <w:color w:val="000000"/>
          <w:sz w:val="20"/>
          <w:szCs w:val="20"/>
        </w:rPr>
        <w:t>e jurisdictions apply broadly to the collection, use, storage, disclosure and security of personal information that identifies or may be used to identify an individual. In relevant part, these laws and regulations may affect our ability to engage in lead g</w:t>
      </w:r>
      <w:r>
        <w:rPr>
          <w:color w:val="000000"/>
          <w:sz w:val="20"/>
          <w:szCs w:val="20"/>
        </w:rPr>
        <w:t>eneration activities by imposing heightened requirements, such as affirmative opt-ins or consent prior to sending commercial correspondence or engaging in electronic tracking activities. For example, a recent ruling of the European Court of Justice (ECJ) i</w:t>
      </w:r>
      <w:r>
        <w:rPr>
          <w:color w:val="000000"/>
          <w:sz w:val="20"/>
          <w:szCs w:val="20"/>
        </w:rPr>
        <w:t xml:space="preserve">n Case C-673/17 provides that a pre-checked opt-in is insufficient to constitute a valid active consumer consent to cookie storage. </w:t>
      </w:r>
    </w:p>
    <w:p w14:paraId="1EF95970" w14:textId="77777777" w:rsidR="00000000" w:rsidRDefault="00B8284C">
      <w:pPr>
        <w:pStyle w:val="a3"/>
        <w:spacing w:before="240" w:beforeAutospacing="0" w:after="0" w:afterAutospacing="0"/>
        <w:ind w:firstLine="556"/>
        <w:rPr>
          <w:color w:val="000000"/>
          <w:sz w:val="20"/>
          <w:szCs w:val="20"/>
        </w:rPr>
      </w:pPr>
      <w:r>
        <w:rPr>
          <w:color w:val="000000"/>
          <w:sz w:val="20"/>
          <w:szCs w:val="20"/>
        </w:rPr>
        <w:t>Within the European Union, legislators have adopted the General Data Protection Regulation, or GDPR, and which became effec</w:t>
      </w:r>
      <w:r>
        <w:rPr>
          <w:color w:val="000000"/>
          <w:sz w:val="20"/>
          <w:szCs w:val="20"/>
        </w:rPr>
        <w:t>tive in May 2018 which may impose additional obligations and risk upon our business and which may increase substantially the penalties to which we could be subject in the event of any non-compliance. In addition, Brexit could also lead to further legislati</w:t>
      </w:r>
      <w:r>
        <w:rPr>
          <w:color w:val="000000"/>
          <w:sz w:val="20"/>
          <w:szCs w:val="20"/>
        </w:rPr>
        <w:t>ve and regulatory changes. It remains unclear how the United Kingdom data protection laws or regulations will develop in the medium to longer term and how data transfers to and from the United Kingdom will be regulated.  We may incur substantial expense in</w:t>
      </w:r>
      <w:r>
        <w:rPr>
          <w:color w:val="000000"/>
          <w:sz w:val="20"/>
          <w:szCs w:val="20"/>
        </w:rPr>
        <w:t xml:space="preserve"> complying with the new obligations to be imposed by the GDPR and we may be required to make significant changes in our business operations, all of which may adversely affect our revenues and our business overall.</w:t>
      </w:r>
    </w:p>
    <w:p w14:paraId="5EE8D8F4" w14:textId="77777777" w:rsidR="00000000" w:rsidRDefault="00B8284C">
      <w:pPr>
        <w:pStyle w:val="a3"/>
        <w:spacing w:before="240" w:beforeAutospacing="0" w:after="0" w:afterAutospacing="0"/>
        <w:ind w:firstLine="556"/>
        <w:rPr>
          <w:sz w:val="20"/>
          <w:szCs w:val="20"/>
        </w:rPr>
      </w:pPr>
      <w:r>
        <w:rPr>
          <w:sz w:val="20"/>
          <w:szCs w:val="20"/>
        </w:rPr>
        <w:t>On May 23, 2016, the European Parliament a</w:t>
      </w:r>
      <w:r>
        <w:rPr>
          <w:sz w:val="20"/>
          <w:szCs w:val="20"/>
        </w:rPr>
        <w:t>dopted a resolution and on July 8, 2016 the European Member State representatives approved the final version of the EU-US Privacy Shield as a successor to the Safe Harbor framework. As of August 1, 2016, interested companies have been permitted to register</w:t>
      </w:r>
      <w:r>
        <w:rPr>
          <w:sz w:val="20"/>
          <w:szCs w:val="20"/>
        </w:rPr>
        <w:t xml:space="preserve"> for the program. We are currently certified to the EU-US Privacy Shield. There continue to be concerns about whether the EU-US Privacy Shield will face additional challenges. Until the remaining legal uncertainties regarding the future of the EU-US Privac</w:t>
      </w:r>
      <w:r>
        <w:rPr>
          <w:sz w:val="20"/>
          <w:szCs w:val="20"/>
        </w:rPr>
        <w:t xml:space="preserve">y Shield are settled, we will continue to face uncertainty as to whether our efforts to comply with our obligations under European privacy laws will be sufficient. If we are investigated by a European data protection authority, we may face fines and other </w:t>
      </w:r>
      <w:r>
        <w:rPr>
          <w:sz w:val="20"/>
          <w:szCs w:val="20"/>
        </w:rPr>
        <w:t>penalties. Any such investigation or charges by European data protection authorities could have a negative effect on our existing business and on our ability to attract and retain new customers. We may also experience hesitancy, reluctance, or refusal by E</w:t>
      </w:r>
      <w:r>
        <w:rPr>
          <w:sz w:val="20"/>
          <w:szCs w:val="20"/>
        </w:rPr>
        <w:t>uropean or multi-national customers to continue to use our services due to the potential risk exposure to such customers in the event the EU-US Privacy Shield is invalidated. Such customers may view any alternative approaches to compliance as being too cos</w:t>
      </w:r>
      <w:r>
        <w:rPr>
          <w:sz w:val="20"/>
          <w:szCs w:val="20"/>
        </w:rPr>
        <w:t>tly, too burdensome, too legally uncertain or otherwise objectionable and therefore decide not to do business with us. For example, some of our customers or potential customers in the EU may require their vendors to host all personal data within the EU and</w:t>
      </w:r>
      <w:r>
        <w:rPr>
          <w:sz w:val="20"/>
          <w:szCs w:val="20"/>
        </w:rPr>
        <w:t xml:space="preserve"> may decide to do business with one of our competitors who hosts personal data within the EU instead of doing business with us.</w:t>
      </w:r>
    </w:p>
    <w:p w14:paraId="25D7FC7B"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if our privacy or data security measures fail to comply with current or future laws and regulations, we may be subj</w:t>
      </w:r>
      <w:r>
        <w:rPr>
          <w:color w:val="000000"/>
          <w:sz w:val="20"/>
          <w:szCs w:val="20"/>
        </w:rPr>
        <w:t>ect to claims, legal proceedings or other actions by individuals or governmental authorities based on privacy or data protection regulations and our commitments to customers or others, as well as negative publicity and a potential loss of business. Moreove</w:t>
      </w:r>
      <w:r>
        <w:rPr>
          <w:color w:val="000000"/>
          <w:sz w:val="20"/>
          <w:szCs w:val="20"/>
        </w:rPr>
        <w:t>r, if future laws and regulations limit our subscribers’ ability to use and share personal information or our ability to store, process and share personal information, demand for our solutions could decrease, our costs could increase, and our business, res</w:t>
      </w:r>
      <w:r>
        <w:rPr>
          <w:color w:val="000000"/>
          <w:sz w:val="20"/>
          <w:szCs w:val="20"/>
        </w:rPr>
        <w:t>ults of operations and financial condition could be harmed.</w:t>
      </w:r>
    </w:p>
    <w:p w14:paraId="69FDCD7A" w14:textId="77777777" w:rsidR="00000000" w:rsidRDefault="00B8284C">
      <w:pPr>
        <w:pStyle w:val="a3"/>
        <w:spacing w:before="240" w:beforeAutospacing="0" w:after="0" w:afterAutospacing="0"/>
        <w:jc w:val="center"/>
        <w:rPr>
          <w:sz w:val="20"/>
          <w:szCs w:val="20"/>
        </w:rPr>
      </w:pPr>
      <w:r>
        <w:rPr>
          <w:sz w:val="20"/>
          <w:szCs w:val="20"/>
        </w:rPr>
        <w:t>40</w:t>
      </w:r>
    </w:p>
    <w:p w14:paraId="48C0B682" w14:textId="77777777" w:rsidR="00000000" w:rsidRDefault="00B8284C">
      <w:pPr>
        <w:rPr>
          <w:rFonts w:eastAsia="Times New Roman"/>
        </w:rPr>
      </w:pPr>
      <w:r>
        <w:rPr>
          <w:rFonts w:eastAsia="Times New Roman"/>
        </w:rPr>
        <w:pict w14:anchorId="1F4EB145">
          <v:rect id="_x0000_i1064" style="width:0;height:1.5pt" o:hralign="center" o:hrstd="t" o:hr="t" fillcolor="#a0a0a0" stroked="f"/>
        </w:pict>
      </w:r>
    </w:p>
    <w:p w14:paraId="2426765D" w14:textId="77777777" w:rsidR="00000000" w:rsidRDefault="00B8284C">
      <w:pPr>
        <w:pStyle w:val="a3"/>
        <w:spacing w:before="0" w:beforeAutospacing="0" w:after="0" w:afterAutospacing="0"/>
        <w:rPr>
          <w:sz w:val="20"/>
          <w:szCs w:val="20"/>
        </w:rPr>
      </w:pPr>
      <w:r>
        <w:rPr>
          <w:sz w:val="20"/>
          <w:szCs w:val="20"/>
        </w:rPr>
        <w:t> </w:t>
      </w:r>
    </w:p>
    <w:p w14:paraId="72979F28"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If our or our customers’ security measures are compromised or unauthorized access to data of our customers or their customers is otherwise obtained, our G</w:t>
      </w:r>
      <w:r>
        <w:rPr>
          <w:b/>
          <w:bCs/>
          <w:i/>
          <w:iCs/>
          <w:color w:val="000000"/>
          <w:sz w:val="20"/>
          <w:szCs w:val="20"/>
        </w:rPr>
        <w:t>rowth Platform may be perceived as not being secure, our customers may be harmed and may curtail or cease their use of our platform, our reputation may be damaged and we may incur significant liabilities.</w:t>
      </w:r>
    </w:p>
    <w:p w14:paraId="3DC1A569"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operations involve the storage and transmission</w:t>
      </w:r>
      <w:r>
        <w:rPr>
          <w:color w:val="000000"/>
          <w:sz w:val="20"/>
          <w:szCs w:val="20"/>
        </w:rPr>
        <w:t xml:space="preserve"> of data of our customers and their customers, including personally identifiable information. Our storage is typically the sole source of record for portions of our customers’ businesses and end user data, such as initial contact information and online int</w:t>
      </w:r>
      <w:r>
        <w:rPr>
          <w:color w:val="000000"/>
          <w:sz w:val="20"/>
          <w:szCs w:val="20"/>
        </w:rPr>
        <w:t>eractions. Security incidents could result in unauthorized access to, loss of or unauthorized disclosure of this information, litigation, indemnity obligations and other possible liabilities, as well as negative publicity, which could damage our reputation</w:t>
      </w:r>
      <w:r>
        <w:rPr>
          <w:color w:val="000000"/>
          <w:sz w:val="20"/>
          <w:szCs w:val="20"/>
        </w:rPr>
        <w:t xml:space="preserve">, impair our sales and harm our customers and our business. Cyber-attacks and other malicious Internet-based activity continue to increase generally, and cloud-based platform providers of marketing services have been targeted. If our security measures are </w:t>
      </w:r>
      <w:r>
        <w:rPr>
          <w:color w:val="000000"/>
          <w:sz w:val="20"/>
          <w:szCs w:val="20"/>
        </w:rPr>
        <w:t>compromised as a result of third-party action, employee or customer error, malfeasance, stolen or fraudulently obtained log-in credentials or otherwise, our reputation could be damaged, our business may be harmed and we could incur significant liability. I</w:t>
      </w:r>
      <w:r>
        <w:rPr>
          <w:color w:val="000000"/>
          <w:sz w:val="20"/>
          <w:szCs w:val="20"/>
        </w:rPr>
        <w:t>f third parties with whom we work, such as vendors or developers, violate applicable laws, our security policies or our acceptable use policy, such violations may also put our customers’ information at risk and could in turn have an adverse effect on our b</w:t>
      </w:r>
      <w:r>
        <w:rPr>
          <w:color w:val="000000"/>
          <w:sz w:val="20"/>
          <w:szCs w:val="20"/>
        </w:rPr>
        <w:t>usiness. In addition, if the security measures of our customers are compromised, even without any actual compromise of our own systems, we may face negative publicity or reputational harm if our customers or anyone else incorrectly attributes the blame for</w:t>
      </w:r>
      <w:r>
        <w:rPr>
          <w:color w:val="000000"/>
          <w:sz w:val="20"/>
          <w:szCs w:val="20"/>
        </w:rPr>
        <w:t xml:space="preserve"> such security breaches to us or our systems. We may be unable to anticipate or prevent techniques used to obtain unauthorized access or to sabotage systems because they change frequently and generally are not detected until after an incident has occurred.</w:t>
      </w:r>
      <w:r>
        <w:rPr>
          <w:color w:val="000000"/>
          <w:sz w:val="20"/>
          <w:szCs w:val="20"/>
        </w:rPr>
        <w:t xml:space="preserve"> As we increase our customer base and our brand becomes more widely known and recognized, we may become more of a target for third parties seeking to compromise our security systems or gain unauthorized access to our customers’ data. Additionally, we provi</w:t>
      </w:r>
      <w:r>
        <w:rPr>
          <w:color w:val="000000"/>
          <w:sz w:val="20"/>
          <w:szCs w:val="20"/>
        </w:rPr>
        <w:t>de extensive access to our database, which stores our customer data, to our development team to facilitate our rapid pace of product development. If such access or our own operations cause the loss, damage or destruction of our customers’ business data, th</w:t>
      </w:r>
      <w:r>
        <w:rPr>
          <w:color w:val="000000"/>
          <w:sz w:val="20"/>
          <w:szCs w:val="20"/>
        </w:rPr>
        <w:t>eir sales, lead generation, support and other business operations may be permanently harmed. As a result, our customers may bring claims against us for lost profits and other damages.</w:t>
      </w:r>
    </w:p>
    <w:p w14:paraId="48F38BEE" w14:textId="77777777" w:rsidR="00000000" w:rsidRDefault="00B8284C">
      <w:pPr>
        <w:pStyle w:val="a3"/>
        <w:spacing w:before="240" w:beforeAutospacing="0" w:after="0" w:afterAutospacing="0"/>
        <w:ind w:firstLine="556"/>
        <w:rPr>
          <w:color w:val="000000"/>
          <w:sz w:val="20"/>
          <w:szCs w:val="20"/>
        </w:rPr>
      </w:pPr>
      <w:r>
        <w:rPr>
          <w:color w:val="000000"/>
          <w:sz w:val="20"/>
          <w:szCs w:val="20"/>
        </w:rPr>
        <w:t>Many governments have enacted laws requiring companies to notify individ</w:t>
      </w:r>
      <w:r>
        <w:rPr>
          <w:color w:val="000000"/>
          <w:sz w:val="20"/>
          <w:szCs w:val="20"/>
        </w:rPr>
        <w:t xml:space="preserve">uals of data security incidents or unauthorized transfers involving certain types of personal data. In addition, some of our customers contractually require notification of any data security compromise. Security compromises experienced by our competitors, </w:t>
      </w:r>
      <w:r>
        <w:rPr>
          <w:color w:val="000000"/>
          <w:sz w:val="20"/>
          <w:szCs w:val="20"/>
        </w:rPr>
        <w:t>by our customers or by us may lead to public disclosures, which may lead to widespread negative publicity. Any security compromise in our industry, whether actual or perceived, could harm our reputation, erode customer confidence in the effectiveness of ou</w:t>
      </w:r>
      <w:r>
        <w:rPr>
          <w:color w:val="000000"/>
          <w:sz w:val="20"/>
          <w:szCs w:val="20"/>
        </w:rPr>
        <w:t>r security measures, negatively impact our ability to attract new customers, cause existing customers to elect not to renew their subscriptions or subject us to third-party lawsuits, regulatory fines or other action or liability, which could materially and</w:t>
      </w:r>
      <w:r>
        <w:rPr>
          <w:color w:val="000000"/>
          <w:sz w:val="20"/>
          <w:szCs w:val="20"/>
        </w:rPr>
        <w:t xml:space="preserve"> adversely affect our business and operating results.</w:t>
      </w:r>
    </w:p>
    <w:p w14:paraId="424BFAAF" w14:textId="77777777" w:rsidR="00000000" w:rsidRDefault="00B8284C">
      <w:pPr>
        <w:pStyle w:val="a3"/>
        <w:spacing w:before="240" w:beforeAutospacing="0" w:after="0" w:afterAutospacing="0"/>
        <w:ind w:firstLine="556"/>
        <w:rPr>
          <w:color w:val="000000"/>
          <w:sz w:val="20"/>
          <w:szCs w:val="20"/>
        </w:rPr>
      </w:pPr>
      <w:r>
        <w:rPr>
          <w:color w:val="000000"/>
          <w:sz w:val="20"/>
          <w:szCs w:val="20"/>
        </w:rPr>
        <w:t xml:space="preserve">There can be no assurance that any limitations of liability provisions in our contracts for a security breach would be enforceable or adequate or would otherwise protect us from any such liabilities or </w:t>
      </w:r>
      <w:r>
        <w:rPr>
          <w:color w:val="000000"/>
          <w:sz w:val="20"/>
          <w:szCs w:val="20"/>
        </w:rPr>
        <w:t>damages with respect to any particular claim. We also cannot be sure that our existing general liability insurance coverage and coverage for errors or omissions will continue to be available on acceptable terms or will be available in sufficient amounts to</w:t>
      </w:r>
      <w:r>
        <w:rPr>
          <w:color w:val="000000"/>
          <w:sz w:val="20"/>
          <w:szCs w:val="20"/>
        </w:rPr>
        <w:t xml:space="preserve"> cover one or more large claims, or that the insurer will not deny coverage as to any future claim. The successful assertion of one or more large claims against us that exceed available insurance coverage, or the occurrence of changes in our insurance poli</w:t>
      </w:r>
      <w:r>
        <w:rPr>
          <w:color w:val="000000"/>
          <w:sz w:val="20"/>
          <w:szCs w:val="20"/>
        </w:rPr>
        <w:t>cies, including premium increases or the imposition of large deductible or co-insurance requirements, could have a material adverse effect on our business, financial condition and operating results.</w:t>
      </w:r>
    </w:p>
    <w:p w14:paraId="77DCE184" w14:textId="77777777" w:rsidR="00000000" w:rsidRDefault="00B8284C">
      <w:pPr>
        <w:pStyle w:val="a3"/>
        <w:spacing w:before="360" w:beforeAutospacing="0" w:after="0" w:afterAutospacing="0"/>
        <w:rPr>
          <w:b/>
          <w:bCs/>
          <w:sz w:val="20"/>
          <w:szCs w:val="20"/>
        </w:rPr>
      </w:pPr>
      <w:r>
        <w:rPr>
          <w:b/>
          <w:bCs/>
          <w:sz w:val="20"/>
          <w:szCs w:val="20"/>
        </w:rPr>
        <w:t>Risks Related to Intellectual Property</w:t>
      </w:r>
    </w:p>
    <w:p w14:paraId="6FC46BE7" w14:textId="77777777" w:rsidR="00000000" w:rsidRDefault="00B8284C">
      <w:pPr>
        <w:pStyle w:val="a3"/>
        <w:spacing w:before="120" w:beforeAutospacing="0" w:after="0" w:afterAutospacing="0"/>
        <w:rPr>
          <w:b/>
          <w:bCs/>
          <w:i/>
          <w:iCs/>
          <w:color w:val="000000"/>
          <w:sz w:val="20"/>
          <w:szCs w:val="20"/>
        </w:rPr>
      </w:pPr>
      <w:r>
        <w:rPr>
          <w:b/>
          <w:bCs/>
          <w:i/>
          <w:iCs/>
          <w:color w:val="000000"/>
          <w:sz w:val="20"/>
          <w:szCs w:val="20"/>
        </w:rPr>
        <w:t>Our business may s</w:t>
      </w:r>
      <w:r>
        <w:rPr>
          <w:b/>
          <w:bCs/>
          <w:i/>
          <w:iCs/>
          <w:color w:val="000000"/>
          <w:sz w:val="20"/>
          <w:szCs w:val="20"/>
        </w:rPr>
        <w:t>uffer if it is alleged or determined that our technology infringes the intellectual property rights of others.</w:t>
      </w:r>
    </w:p>
    <w:p w14:paraId="5D6C6CEF" w14:textId="77777777" w:rsidR="00000000" w:rsidRDefault="00B8284C">
      <w:pPr>
        <w:pStyle w:val="a3"/>
        <w:spacing w:before="120" w:beforeAutospacing="0" w:after="0" w:afterAutospacing="0"/>
        <w:ind w:firstLine="556"/>
        <w:rPr>
          <w:color w:val="000000"/>
          <w:sz w:val="20"/>
          <w:szCs w:val="20"/>
        </w:rPr>
      </w:pPr>
      <w:r>
        <w:rPr>
          <w:color w:val="000000"/>
          <w:sz w:val="20"/>
          <w:szCs w:val="20"/>
        </w:rPr>
        <w:t>The software industry is characterized by the existence of a large number of patents, copyrights, trademarks, trade secrets and other intellectua</w:t>
      </w:r>
      <w:r>
        <w:rPr>
          <w:color w:val="000000"/>
          <w:sz w:val="20"/>
          <w:szCs w:val="20"/>
        </w:rPr>
        <w:t>l and proprietary rights. Companies in the software industry, including those in marketing software, are often required to defend against litigation claims based on allegations of infringement or other violations of intellectual property rights. Many of ou</w:t>
      </w:r>
      <w:r>
        <w:rPr>
          <w:color w:val="000000"/>
          <w:sz w:val="20"/>
          <w:szCs w:val="20"/>
        </w:rPr>
        <w:t>r competitors and other industry participants have been issued patents and/or have filed patent applications and may assert patent or other intellectual property rights within the industry. Moreover, in recent years, individuals and groups that are non-pra</w:t>
      </w:r>
      <w:r>
        <w:rPr>
          <w:color w:val="000000"/>
          <w:sz w:val="20"/>
          <w:szCs w:val="20"/>
        </w:rPr>
        <w:t>cticing entities, commonly referred to as “patent trolls,” have purchased patents and other intellectual property assets for the purpose of making claims of infringement in order to extract settlements. From time to time, we may receive threatening letters</w:t>
      </w:r>
      <w:r>
        <w:rPr>
          <w:color w:val="000000"/>
          <w:sz w:val="20"/>
          <w:szCs w:val="20"/>
        </w:rPr>
        <w:t xml:space="preserve"> or notices or may be the subject of claims that our services and/or platform and underlying technology infringe or violate the intellectual property rights of others. Responding to such claims, regardless of their merit, can be time consuming, costly to d</w:t>
      </w:r>
      <w:r>
        <w:rPr>
          <w:color w:val="000000"/>
          <w:sz w:val="20"/>
          <w:szCs w:val="20"/>
        </w:rPr>
        <w:t>efend in litigation, divert management’s attention and resources, damage our reputation and brand and cause us to incur significant expenses. Our technologies may not be able to withstand any third-party claims or rights against their use. Claims of intell</w:t>
      </w:r>
      <w:r>
        <w:rPr>
          <w:color w:val="000000"/>
          <w:sz w:val="20"/>
          <w:szCs w:val="20"/>
        </w:rPr>
        <w:t xml:space="preserve">ectual property infringement might require us to redesign our application, delay releases, enter into costly settlement or license agreements or pay costly damage awards, or face a temporary or permanent injunction prohibiting us from marketing or selling </w:t>
      </w:r>
      <w:r>
        <w:rPr>
          <w:color w:val="000000"/>
          <w:sz w:val="20"/>
          <w:szCs w:val="20"/>
        </w:rPr>
        <w:t>our platform. If we cannot or do not license the infringed technology on reasonable terms or at all, or substitute similar technology from another source, our revenue and operating results could be adversely impacted. Additionally, our customers may not pu</w:t>
      </w:r>
      <w:r>
        <w:rPr>
          <w:color w:val="000000"/>
          <w:sz w:val="20"/>
          <w:szCs w:val="20"/>
        </w:rPr>
        <w:t>rchase our Growth Platform if they are concerned that they may infringe third-party intellectual property rights. The occurrence of any of these events may have a material adverse effect on our business.</w:t>
      </w:r>
    </w:p>
    <w:p w14:paraId="239BFBF2" w14:textId="77777777" w:rsidR="00000000" w:rsidRDefault="00B8284C">
      <w:pPr>
        <w:pStyle w:val="a3"/>
        <w:spacing w:before="240" w:beforeAutospacing="0" w:after="0" w:afterAutospacing="0"/>
        <w:jc w:val="center"/>
        <w:rPr>
          <w:sz w:val="20"/>
          <w:szCs w:val="20"/>
        </w:rPr>
      </w:pPr>
      <w:r>
        <w:rPr>
          <w:sz w:val="20"/>
          <w:szCs w:val="20"/>
        </w:rPr>
        <w:t>41</w:t>
      </w:r>
    </w:p>
    <w:p w14:paraId="321D34B4" w14:textId="77777777" w:rsidR="00000000" w:rsidRDefault="00B8284C">
      <w:pPr>
        <w:rPr>
          <w:rFonts w:eastAsia="Times New Roman"/>
        </w:rPr>
      </w:pPr>
      <w:r>
        <w:rPr>
          <w:rFonts w:eastAsia="Times New Roman"/>
        </w:rPr>
        <w:pict w14:anchorId="28F359CB">
          <v:rect id="_x0000_i1065" style="width:0;height:1.5pt" o:hralign="center" o:hrstd="t" o:hr="t" fillcolor="#a0a0a0" stroked="f"/>
        </w:pict>
      </w:r>
    </w:p>
    <w:p w14:paraId="257BA34D" w14:textId="77777777" w:rsidR="00000000" w:rsidRDefault="00B8284C">
      <w:pPr>
        <w:pStyle w:val="a3"/>
        <w:spacing w:before="0" w:beforeAutospacing="0" w:after="0" w:afterAutospacing="0"/>
        <w:rPr>
          <w:sz w:val="20"/>
          <w:szCs w:val="20"/>
        </w:rPr>
      </w:pPr>
      <w:r>
        <w:rPr>
          <w:sz w:val="20"/>
          <w:szCs w:val="20"/>
        </w:rPr>
        <w:t> </w:t>
      </w:r>
    </w:p>
    <w:p w14:paraId="13348682" w14:textId="77777777" w:rsidR="00000000" w:rsidRDefault="00B8284C">
      <w:pPr>
        <w:pStyle w:val="a3"/>
        <w:spacing w:before="240" w:beforeAutospacing="0" w:after="0" w:afterAutospacing="0"/>
        <w:ind w:firstLine="556"/>
        <w:rPr>
          <w:color w:val="000000"/>
          <w:sz w:val="20"/>
          <w:szCs w:val="20"/>
        </w:rPr>
      </w:pPr>
      <w:r>
        <w:rPr>
          <w:color w:val="000000"/>
          <w:sz w:val="20"/>
          <w:szCs w:val="20"/>
        </w:rPr>
        <w:t>In our subscription agreements with our customers, we generally do not agree to indemnify our customers against any losses or costs incurred in connection with claims by a third party alleging that a customer’s use of our services or platform infringes the</w:t>
      </w:r>
      <w:r>
        <w:rPr>
          <w:color w:val="000000"/>
          <w:sz w:val="20"/>
          <w:szCs w:val="20"/>
        </w:rPr>
        <w:t xml:space="preserve"> intellectual property rights of the third party. There can be no assurance, however, that customers will not assert a common law indemnity claim or that any existing limitations of liability provisions in our contracts would be enforceable or adequate, or</w:t>
      </w:r>
      <w:r>
        <w:rPr>
          <w:color w:val="000000"/>
          <w:sz w:val="20"/>
          <w:szCs w:val="20"/>
        </w:rPr>
        <w:t xml:space="preserve"> would otherwise protect us from any such liabilities or damages with respect to any particular claim. Our customers who are accused of intellectual property infringement may in the future seek indemnification from us under common law or other legal theori</w:t>
      </w:r>
      <w:r>
        <w:rPr>
          <w:color w:val="000000"/>
          <w:sz w:val="20"/>
          <w:szCs w:val="20"/>
        </w:rPr>
        <w:t>es. If such claims are successful, or if we are required to indemnify or defend our customers from these or other claims, these matters could be disruptive to our business and management and have a material adverse effect on our business, operating results</w:t>
      </w:r>
      <w:r>
        <w:rPr>
          <w:color w:val="000000"/>
          <w:sz w:val="20"/>
          <w:szCs w:val="20"/>
        </w:rPr>
        <w:t xml:space="preserve"> and financial condition.</w:t>
      </w:r>
    </w:p>
    <w:p w14:paraId="6118F248"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If we fail to adequately protect our proprietary rights, in the United States and abroad, our competitive position could be impaired and we may lose valuable assets, experience reduced revenue and incur costly litigation to protec</w:t>
      </w:r>
      <w:r>
        <w:rPr>
          <w:b/>
          <w:bCs/>
          <w:i/>
          <w:iCs/>
          <w:color w:val="000000"/>
          <w:sz w:val="20"/>
          <w:szCs w:val="20"/>
        </w:rPr>
        <w:t>t our rights.</w:t>
      </w:r>
    </w:p>
    <w:p w14:paraId="151391D2"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success is dependent, in part, upon protecting our proprietary technology. We rely on a combination of copyrights, trademarks, service marks, trade secret laws and contractual restrictions to establish and protect our proprietary rights i</w:t>
      </w:r>
      <w:r>
        <w:rPr>
          <w:color w:val="000000"/>
          <w:sz w:val="20"/>
          <w:szCs w:val="20"/>
        </w:rPr>
        <w:t>n our products and services. However, the steps we take to protect our intellectual property may be inadequate. We will not be able to protect our intellectual property if we are unable to enforce our rights or if we do not detect unauthorized use of our i</w:t>
      </w:r>
      <w:r>
        <w:rPr>
          <w:color w:val="000000"/>
          <w:sz w:val="20"/>
          <w:szCs w:val="20"/>
        </w:rPr>
        <w:t>ntellectual property. Any of our trademarks or other intellectual property rights may be challenged by others or invalidated through administrative process or litigation. Furthermore, legal standards relating to the validity, enforceability and scope of pr</w:t>
      </w:r>
      <w:r>
        <w:rPr>
          <w:color w:val="000000"/>
          <w:sz w:val="20"/>
          <w:szCs w:val="20"/>
        </w:rPr>
        <w:t>otection of intellectual property rights are uncertain. Despite our precautions, it may be possible for unauthorized third parties to copy our technology and use information that we regard as proprietary to create products and services that compete with ou</w:t>
      </w:r>
      <w:r>
        <w:rPr>
          <w:color w:val="000000"/>
          <w:sz w:val="20"/>
          <w:szCs w:val="20"/>
        </w:rPr>
        <w:t>rs. Some license provisions protecting against unauthorized use, copying, transfer and disclosure of our offerings may be unenforceable under the laws of certain jurisdictions and foreign countries. In addition, the laws of some countries do not protect pr</w:t>
      </w:r>
      <w:r>
        <w:rPr>
          <w:color w:val="000000"/>
          <w:sz w:val="20"/>
          <w:szCs w:val="20"/>
        </w:rPr>
        <w:t>oprietary rights to the same extent as the laws of the United States. To the extent we expand our international activities, our exposure to unauthorized copying and use of our technology and proprietary information may increase.</w:t>
      </w:r>
    </w:p>
    <w:p w14:paraId="2ACDDAB7" w14:textId="77777777" w:rsidR="00000000" w:rsidRDefault="00B8284C">
      <w:pPr>
        <w:pStyle w:val="a3"/>
        <w:spacing w:before="240" w:beforeAutospacing="0" w:after="0" w:afterAutospacing="0"/>
        <w:ind w:firstLine="556"/>
        <w:rPr>
          <w:color w:val="000000"/>
          <w:sz w:val="20"/>
          <w:szCs w:val="20"/>
        </w:rPr>
      </w:pPr>
      <w:r>
        <w:rPr>
          <w:color w:val="000000"/>
          <w:sz w:val="20"/>
          <w:szCs w:val="20"/>
        </w:rPr>
        <w:t>We enter into confidentiali</w:t>
      </w:r>
      <w:r>
        <w:rPr>
          <w:color w:val="000000"/>
          <w:sz w:val="20"/>
          <w:szCs w:val="20"/>
        </w:rPr>
        <w:t>ty and invention assignment agreements with our employees and consultants and enter into confidentiality agreements with the parties with whom we have strategic relationships and business alliances. No assurance can be given that these agreements will be e</w:t>
      </w:r>
      <w:r>
        <w:rPr>
          <w:color w:val="000000"/>
          <w:sz w:val="20"/>
          <w:szCs w:val="20"/>
        </w:rPr>
        <w:t>ffective in controlling access to and distribution of our products and proprietary information. Further, these agreements may not prevent our competitors from independently developing technologies that are substantially equivalent or superior to our platfo</w:t>
      </w:r>
      <w:r>
        <w:rPr>
          <w:color w:val="000000"/>
          <w:sz w:val="20"/>
          <w:szCs w:val="20"/>
        </w:rPr>
        <w:t>rm and offerings.</w:t>
      </w:r>
    </w:p>
    <w:p w14:paraId="364C6583" w14:textId="77777777" w:rsidR="00000000" w:rsidRDefault="00B8284C">
      <w:pPr>
        <w:pStyle w:val="a3"/>
        <w:spacing w:before="240" w:beforeAutospacing="0" w:after="0" w:afterAutospacing="0"/>
        <w:ind w:firstLine="556"/>
        <w:rPr>
          <w:color w:val="000000"/>
          <w:sz w:val="20"/>
          <w:szCs w:val="20"/>
        </w:rPr>
      </w:pPr>
      <w:r>
        <w:rPr>
          <w:color w:val="000000"/>
          <w:sz w:val="20"/>
          <w:szCs w:val="20"/>
        </w:rPr>
        <w:t>We may be required to spend significant resources to monitor and protect our intellectual property rights. Litigation may be necessary in the future to enforce our intellectual property rights and to protect our trade secrets. Such litiga</w:t>
      </w:r>
      <w:r>
        <w:rPr>
          <w:color w:val="000000"/>
          <w:sz w:val="20"/>
          <w:szCs w:val="20"/>
        </w:rPr>
        <w:t>tion could be costly, time consuming and distracting to management and could result in the impairment or loss of portions of our intellectual property. Furthermore, our efforts to enforce our intellectual property rights may be met with defenses, countercl</w:t>
      </w:r>
      <w:r>
        <w:rPr>
          <w:color w:val="000000"/>
          <w:sz w:val="20"/>
          <w:szCs w:val="20"/>
        </w:rPr>
        <w:t>aims and countersuits attacking the validity and enforceability of our intellectual property rights. Our inability to protect our proprietary technology against unauthorized copying or use, as well as any costly litigation, could delay further sales or the</w:t>
      </w:r>
      <w:r>
        <w:rPr>
          <w:color w:val="000000"/>
          <w:sz w:val="20"/>
          <w:szCs w:val="20"/>
        </w:rPr>
        <w:t xml:space="preserve"> implementation of our platform and offerings, impair the functionality of our platform and offerings, delay introductions of new features or enhancements, result in our substituting inferior or more costly technologies into our platform and offerings, or </w:t>
      </w:r>
      <w:r>
        <w:rPr>
          <w:color w:val="000000"/>
          <w:sz w:val="20"/>
          <w:szCs w:val="20"/>
        </w:rPr>
        <w:t>injure our reputation.</w:t>
      </w:r>
    </w:p>
    <w:p w14:paraId="2BDF33EC"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Our use of “open source” software could negatively affect our ability to offer our platform and subject us to possible litigation.</w:t>
      </w:r>
    </w:p>
    <w:p w14:paraId="2CD7BCB4" w14:textId="77777777" w:rsidR="00000000" w:rsidRDefault="00B8284C">
      <w:pPr>
        <w:pStyle w:val="a3"/>
        <w:spacing w:before="120" w:beforeAutospacing="0" w:after="0" w:afterAutospacing="0"/>
        <w:ind w:firstLine="556"/>
        <w:rPr>
          <w:color w:val="000000"/>
          <w:sz w:val="20"/>
          <w:szCs w:val="20"/>
        </w:rPr>
      </w:pPr>
      <w:r>
        <w:rPr>
          <w:color w:val="000000"/>
          <w:sz w:val="20"/>
          <w:szCs w:val="20"/>
        </w:rPr>
        <w:t>A substantial portion of our cloud-based platform incorporates so-called “open source” software, and w</w:t>
      </w:r>
      <w:r>
        <w:rPr>
          <w:color w:val="000000"/>
          <w:sz w:val="20"/>
          <w:szCs w:val="20"/>
        </w:rPr>
        <w:t>e may incorporate additional open source software in the future. Open source software is generally freely accessible, usable and modifiable. Certain open source licenses may, in certain circumstances, require us to offer the components of our platform that</w:t>
      </w:r>
      <w:r>
        <w:rPr>
          <w:color w:val="000000"/>
          <w:sz w:val="20"/>
          <w:szCs w:val="20"/>
        </w:rPr>
        <w:t xml:space="preserve"> incorporate the open source software for no cost, that we make available source code for modifications or derivative works we create based upon, incorporating or using the open source software and that we license such modifications or derivative works und</w:t>
      </w:r>
      <w:r>
        <w:rPr>
          <w:color w:val="000000"/>
          <w:sz w:val="20"/>
          <w:szCs w:val="20"/>
        </w:rPr>
        <w:t>er the terms of the particular open source license. If an author or other third party that distributes open source software we use were to allege that we had not complied with the conditions of one or more of these licenses, we could be required to incur s</w:t>
      </w:r>
      <w:r>
        <w:rPr>
          <w:color w:val="000000"/>
          <w:sz w:val="20"/>
          <w:szCs w:val="20"/>
        </w:rPr>
        <w:t>ignificant legal expenses defending against such allegations and could be subject to significant damages, including being enjoined from the offering of the components of our platform that contained the open source software and being required to comply with</w:t>
      </w:r>
      <w:r>
        <w:rPr>
          <w:color w:val="000000"/>
          <w:sz w:val="20"/>
          <w:szCs w:val="20"/>
        </w:rPr>
        <w:t xml:space="preserve"> the foregoing conditions, which could disrupt our ability to offer the affected software. We could also be subject to suits by parties claiming ownership of what we believe to be open source software. Litigation could be costly for us to defend, have a ne</w:t>
      </w:r>
      <w:r>
        <w:rPr>
          <w:color w:val="000000"/>
          <w:sz w:val="20"/>
          <w:szCs w:val="20"/>
        </w:rPr>
        <w:t>gative effect on our operating results and financial condition and require us to devote additional research and development resources to change our products.</w:t>
      </w:r>
    </w:p>
    <w:p w14:paraId="6B6F024E" w14:textId="77777777" w:rsidR="00000000" w:rsidRDefault="00B8284C">
      <w:pPr>
        <w:pStyle w:val="a3"/>
        <w:spacing w:before="240" w:beforeAutospacing="0" w:after="0" w:afterAutospacing="0"/>
        <w:jc w:val="center"/>
        <w:rPr>
          <w:sz w:val="20"/>
          <w:szCs w:val="20"/>
        </w:rPr>
      </w:pPr>
      <w:r>
        <w:rPr>
          <w:sz w:val="20"/>
          <w:szCs w:val="20"/>
        </w:rPr>
        <w:t>42</w:t>
      </w:r>
    </w:p>
    <w:p w14:paraId="1CB85E07" w14:textId="77777777" w:rsidR="00000000" w:rsidRDefault="00B8284C">
      <w:pPr>
        <w:rPr>
          <w:rFonts w:eastAsia="Times New Roman"/>
        </w:rPr>
      </w:pPr>
      <w:r>
        <w:rPr>
          <w:rFonts w:eastAsia="Times New Roman"/>
        </w:rPr>
        <w:pict w14:anchorId="1AC87D4A">
          <v:rect id="_x0000_i1066" style="width:0;height:1.5pt" o:hralign="center" o:hrstd="t" o:hr="t" fillcolor="#a0a0a0" stroked="f"/>
        </w:pict>
      </w:r>
    </w:p>
    <w:p w14:paraId="67FBF766" w14:textId="77777777" w:rsidR="00000000" w:rsidRDefault="00B8284C">
      <w:pPr>
        <w:pStyle w:val="a3"/>
        <w:spacing w:before="0" w:beforeAutospacing="0" w:after="0" w:afterAutospacing="0"/>
        <w:rPr>
          <w:sz w:val="20"/>
          <w:szCs w:val="20"/>
        </w:rPr>
      </w:pPr>
      <w:r>
        <w:rPr>
          <w:sz w:val="20"/>
          <w:szCs w:val="20"/>
        </w:rPr>
        <w:t> </w:t>
      </w:r>
    </w:p>
    <w:p w14:paraId="484F017C"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Weakened global economic conditions may harm our industr</w:t>
      </w:r>
      <w:r>
        <w:rPr>
          <w:b/>
          <w:bCs/>
          <w:i/>
          <w:iCs/>
          <w:color w:val="000000"/>
          <w:sz w:val="20"/>
          <w:szCs w:val="20"/>
        </w:rPr>
        <w:t>y, business and results of operations.</w:t>
      </w:r>
    </w:p>
    <w:p w14:paraId="19F8CE70"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overall performance depends in part on worldwide economic conditions. Global financial developments and downturns seemingly unrelated to us or the software industry may harm us. The United States and other key int</w:t>
      </w:r>
      <w:r>
        <w:rPr>
          <w:color w:val="000000"/>
          <w:sz w:val="20"/>
          <w:szCs w:val="20"/>
        </w:rPr>
        <w:t>ernational economies have been affected from time to time by falling demand for a variety of goods and services, restricted credit, poor liquidity, reduced corporate profitability, volatility in credit, equity and foreign exchange markets, bankruptcies, an</w:t>
      </w:r>
      <w:r>
        <w:rPr>
          <w:color w:val="000000"/>
          <w:sz w:val="20"/>
          <w:szCs w:val="20"/>
        </w:rPr>
        <w:t>d overall uncertainty with respect to the economy, including with respect to tariff and trade issues. In particular, the economies of countries in Europe have been experiencing weakness associated with high sovereign debt levels, weakness in the banking se</w:t>
      </w:r>
      <w:r>
        <w:rPr>
          <w:color w:val="000000"/>
          <w:sz w:val="20"/>
          <w:szCs w:val="20"/>
        </w:rPr>
        <w:t>ctor and uncertainty over the future of the Euro zone, including instability surrounding Brexit. We have operations, as well as current and potential new customers, throughout most of Europe. If economic conditions in Europe and other key markets for our p</w:t>
      </w:r>
      <w:r>
        <w:rPr>
          <w:color w:val="000000"/>
          <w:sz w:val="20"/>
          <w:szCs w:val="20"/>
        </w:rPr>
        <w:t>latform continue to remain uncertain or deteriorate further, it could adversely affect our customers’ ability or willingness to subscribe to our platform, delay prospective customers’ purchasing decisions, reduce the value or duration of their subscription</w:t>
      </w:r>
      <w:r>
        <w:rPr>
          <w:color w:val="000000"/>
          <w:sz w:val="20"/>
          <w:szCs w:val="20"/>
        </w:rPr>
        <w:t>s or affect renewal rates, all of which could harm our operating results.</w:t>
      </w:r>
    </w:p>
    <w:p w14:paraId="791450BD" w14:textId="77777777" w:rsidR="00000000" w:rsidRDefault="00B8284C">
      <w:pPr>
        <w:pStyle w:val="a3"/>
        <w:spacing w:before="360" w:beforeAutospacing="0" w:after="0" w:afterAutospacing="0"/>
        <w:rPr>
          <w:b/>
          <w:bCs/>
          <w:sz w:val="20"/>
          <w:szCs w:val="20"/>
        </w:rPr>
      </w:pPr>
      <w:r>
        <w:rPr>
          <w:b/>
          <w:bCs/>
          <w:sz w:val="20"/>
          <w:szCs w:val="20"/>
        </w:rPr>
        <w:t>Risks Related to Government Regulation and Taxation</w:t>
      </w:r>
    </w:p>
    <w:p w14:paraId="1B6A4964" w14:textId="77777777" w:rsidR="00000000" w:rsidRDefault="00B8284C">
      <w:pPr>
        <w:pStyle w:val="a3"/>
        <w:spacing w:before="0" w:beforeAutospacing="0" w:after="0" w:afterAutospacing="0"/>
        <w:rPr>
          <w:b/>
          <w:bCs/>
          <w:sz w:val="12"/>
          <w:szCs w:val="12"/>
        </w:rPr>
      </w:pPr>
      <w:r>
        <w:rPr>
          <w:b/>
          <w:bCs/>
          <w:sz w:val="12"/>
          <w:szCs w:val="12"/>
        </w:rPr>
        <w:t> </w:t>
      </w:r>
    </w:p>
    <w:p w14:paraId="578E3600" w14:textId="77777777" w:rsidR="00000000" w:rsidRDefault="00B8284C">
      <w:pPr>
        <w:pStyle w:val="a3"/>
        <w:spacing w:before="0" w:beforeAutospacing="0" w:after="0" w:afterAutospacing="0"/>
        <w:rPr>
          <w:b/>
          <w:bCs/>
          <w:i/>
          <w:iCs/>
          <w:color w:val="000000"/>
          <w:sz w:val="20"/>
          <w:szCs w:val="20"/>
        </w:rPr>
      </w:pPr>
      <w:r>
        <w:rPr>
          <w:b/>
          <w:bCs/>
          <w:i/>
          <w:iCs/>
          <w:color w:val="000000"/>
          <w:sz w:val="20"/>
          <w:szCs w:val="20"/>
        </w:rPr>
        <w:t>We could face liability, or our reputation might be harmed, as a result of the activities of our customers, the content of their websites or the data they store on our servers.</w:t>
      </w:r>
    </w:p>
    <w:p w14:paraId="05BA9271" w14:textId="77777777" w:rsidR="00000000" w:rsidRDefault="00B8284C">
      <w:pPr>
        <w:pStyle w:val="a3"/>
        <w:spacing w:before="120" w:beforeAutospacing="0" w:after="0" w:afterAutospacing="0"/>
        <w:ind w:firstLine="556"/>
        <w:rPr>
          <w:color w:val="000000"/>
          <w:sz w:val="20"/>
          <w:szCs w:val="20"/>
        </w:rPr>
      </w:pPr>
      <w:r>
        <w:rPr>
          <w:color w:val="000000"/>
          <w:sz w:val="20"/>
          <w:szCs w:val="20"/>
        </w:rPr>
        <w:t>As a provider of a cloud-based inbound marketing, sales and customer service so</w:t>
      </w:r>
      <w:r>
        <w:rPr>
          <w:color w:val="000000"/>
          <w:sz w:val="20"/>
          <w:szCs w:val="20"/>
        </w:rPr>
        <w:t>ftware platform, we may be subject to potential liability for the activities of our customers on or in connection with the data they store on our servers. Although our customer terms of use prohibit illegal use of our services by our customers and permit u</w:t>
      </w:r>
      <w:r>
        <w:rPr>
          <w:color w:val="000000"/>
          <w:sz w:val="20"/>
          <w:szCs w:val="20"/>
        </w:rPr>
        <w:t>s to take down websites or take other appropriate actions for illegal use, customers may nonetheless engage in prohibited activities or upload or store content with us in violation of applicable law or the customer’s own policies, which could subject us to</w:t>
      </w:r>
      <w:r>
        <w:rPr>
          <w:color w:val="000000"/>
          <w:sz w:val="20"/>
          <w:szCs w:val="20"/>
        </w:rPr>
        <w:t xml:space="preserve"> liability or harm our reputation. Furthermore, customers may upload, store, or use content on our Growth Platform that may be violate our policy on acceptable use which prohibits content that is threatening, abusive, harassing, deceptive, false, misleadin</w:t>
      </w:r>
      <w:r>
        <w:rPr>
          <w:color w:val="000000"/>
          <w:sz w:val="20"/>
          <w:szCs w:val="20"/>
        </w:rPr>
        <w:t>g, vulgar, obscene, or indecent. While such content may not be illegal, use of our Growth Platform for such content could harm our reputation resulting in a loss of business.</w:t>
      </w:r>
    </w:p>
    <w:p w14:paraId="6190B6DD" w14:textId="77777777" w:rsidR="00000000" w:rsidRDefault="00B8284C">
      <w:pPr>
        <w:pStyle w:val="a3"/>
        <w:spacing w:before="240" w:beforeAutospacing="0" w:after="0" w:afterAutospacing="0"/>
        <w:ind w:firstLine="556"/>
        <w:rPr>
          <w:color w:val="000000"/>
          <w:sz w:val="20"/>
          <w:szCs w:val="20"/>
        </w:rPr>
      </w:pPr>
      <w:r>
        <w:rPr>
          <w:color w:val="000000"/>
          <w:sz w:val="20"/>
          <w:szCs w:val="20"/>
        </w:rPr>
        <w:t>Several U.S. federal statutes may apply to us with respect to various customer ac</w:t>
      </w:r>
      <w:r>
        <w:rPr>
          <w:color w:val="000000"/>
          <w:sz w:val="20"/>
          <w:szCs w:val="20"/>
        </w:rPr>
        <w:t>tivities: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BEF92D6" w14:textId="77777777">
        <w:trPr>
          <w:divId w:val="1313365629"/>
        </w:trPr>
        <w:tc>
          <w:tcPr>
            <w:tcW w:w="227" w:type="pct"/>
            <w:noWrap/>
            <w:hideMark/>
          </w:tcPr>
          <w:p w14:paraId="07C436DF"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D79C2C9"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13324E39" w14:textId="77777777" w:rsidR="00000000" w:rsidRDefault="00B8284C">
            <w:pPr>
              <w:pStyle w:val="a3"/>
              <w:spacing w:before="120" w:beforeAutospacing="0" w:after="0" w:afterAutospacing="0"/>
              <w:rPr>
                <w:color w:val="000000"/>
                <w:sz w:val="20"/>
                <w:szCs w:val="20"/>
              </w:rPr>
            </w:pPr>
            <w:r>
              <w:rPr>
                <w:color w:val="000000"/>
                <w:sz w:val="20"/>
                <w:szCs w:val="20"/>
              </w:rPr>
              <w:t>The Digital Millennium Copyright Act of 1998, or DMCA, provides recourse for owners of copyrighted material who believe that their rights under U.S. copyright law have been infringed on the Internet. Under the DMCA, based on our current busin</w:t>
            </w:r>
            <w:r>
              <w:rPr>
                <w:color w:val="000000"/>
                <w:sz w:val="20"/>
                <w:szCs w:val="20"/>
              </w:rPr>
              <w:t>ess activity as an Internet service provider that does not own or control website content posted by our customers, we generally are not liable for infringing content posted by our customers or other third parties, provided that we follow the procedures for</w:t>
            </w:r>
            <w:r>
              <w:rPr>
                <w:color w:val="000000"/>
                <w:sz w:val="20"/>
                <w:szCs w:val="20"/>
              </w:rPr>
              <w:t xml:space="preserve"> handling copyright infringement claims set forth in the DMCA. Generally, if we receive a proper notice from, or on behalf, of a copyright owner alleging infringement of copyrighted material located on websites we host, and we fail to expeditiously remove </w:t>
            </w:r>
            <w:r>
              <w:rPr>
                <w:color w:val="000000"/>
                <w:sz w:val="20"/>
                <w:szCs w:val="20"/>
              </w:rPr>
              <w:t>or disable access to the allegedly infringing material or otherwise fail to meet the requirements of the safe harbor provided by the DMCA, the copyright owner may seek to impose liability on us. Technical mistakes in complying with the detailed DMCA take-d</w:t>
            </w:r>
            <w:r>
              <w:rPr>
                <w:color w:val="000000"/>
                <w:sz w:val="20"/>
                <w:szCs w:val="20"/>
              </w:rPr>
              <w:t>own procedures could subject us to liability for copyright infringement.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519C18E4" w14:textId="77777777">
        <w:tc>
          <w:tcPr>
            <w:tcW w:w="227" w:type="pct"/>
            <w:noWrap/>
            <w:hideMark/>
          </w:tcPr>
          <w:p w14:paraId="00E0E314"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E7426BE"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8FF34DE" w14:textId="77777777" w:rsidR="00000000" w:rsidRDefault="00B8284C">
            <w:pPr>
              <w:pStyle w:val="a3"/>
              <w:spacing w:before="120" w:beforeAutospacing="0" w:after="0" w:afterAutospacing="0"/>
              <w:rPr>
                <w:color w:val="000000"/>
                <w:sz w:val="20"/>
                <w:szCs w:val="20"/>
              </w:rPr>
            </w:pPr>
            <w:r>
              <w:rPr>
                <w:color w:val="000000"/>
                <w:sz w:val="20"/>
                <w:szCs w:val="20"/>
              </w:rPr>
              <w:t>The Communications Decency Act of 1996, or CDA, generally protects online service providers, such as us, from liability for certain activities of their customers, such as the posting of defamatory or obscene content, unless the online service provider is p</w:t>
            </w:r>
            <w:r>
              <w:rPr>
                <w:color w:val="000000"/>
                <w:sz w:val="20"/>
                <w:szCs w:val="20"/>
              </w:rPr>
              <w:t>articipating in the unlawful conduct. Under the CDA, we are generally not responsible for the customer-created content hosted on our servers. Consequently, we do not monitor hosted websites or prescreen the content placed by our customers on their sites. H</w:t>
            </w:r>
            <w:r>
              <w:rPr>
                <w:color w:val="000000"/>
                <w:sz w:val="20"/>
                <w:szCs w:val="20"/>
              </w:rPr>
              <w:t>owever, there have been various Congressional efforts to restrict the scope of the protections available to online platforms under Section 230 of the CDA, and our current protections from liability for third-party content in the United States could decreas</w:t>
            </w:r>
            <w:r>
              <w:rPr>
                <w:color w:val="000000"/>
                <w:sz w:val="20"/>
                <w:szCs w:val="20"/>
              </w:rPr>
              <w:t>e or change. In addition, the CDA does not apply in foreign jurisdictions and we may nonetheless be brought into disputes between our customers and third parties which would require us to devote management time and resources to resolve such matters and any</w:t>
            </w:r>
            <w:r>
              <w:rPr>
                <w:color w:val="000000"/>
                <w:sz w:val="20"/>
                <w:szCs w:val="20"/>
              </w:rPr>
              <w:t xml:space="preserve"> publicity from such matters could also have an adverse effect on our reputation and therefore our business.</w:t>
            </w:r>
          </w:p>
        </w:tc>
      </w:tr>
    </w:tbl>
    <w:p w14:paraId="6C73C069" w14:textId="77777777" w:rsidR="00000000" w:rsidRDefault="00B8284C">
      <w:pPr>
        <w:divId w:val="48983341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A0433C0" w14:textId="77777777">
        <w:trPr>
          <w:divId w:val="489833418"/>
        </w:trPr>
        <w:tc>
          <w:tcPr>
            <w:tcW w:w="227" w:type="pct"/>
            <w:noWrap/>
            <w:hideMark/>
          </w:tcPr>
          <w:p w14:paraId="2FA97754"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3539CAC"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09AE2D15" w14:textId="77777777" w:rsidR="00000000" w:rsidRDefault="00B8284C">
            <w:pPr>
              <w:pStyle w:val="a3"/>
              <w:spacing w:before="120" w:beforeAutospacing="0" w:after="0" w:afterAutospacing="0"/>
              <w:rPr>
                <w:color w:val="000000"/>
                <w:sz w:val="20"/>
                <w:szCs w:val="20"/>
              </w:rPr>
            </w:pPr>
            <w:r>
              <w:rPr>
                <w:color w:val="000000"/>
                <w:sz w:val="20"/>
                <w:szCs w:val="20"/>
              </w:rPr>
              <w:t xml:space="preserve">In addition to the CDA, the Securing the Protection of our Enduring and Established Constitutional Heritage Act, or the SPEECH Act, provides </w:t>
            </w:r>
            <w:r>
              <w:rPr>
                <w:color w:val="000000"/>
                <w:sz w:val="20"/>
                <w:szCs w:val="20"/>
              </w:rPr>
              <w:t>a statutory exception to the enforcement by a U.S. court of a foreign judgment for defamation under certain circumstances. Generally, the exception applies if the defamation law applied in the foreign court did not provide at least as much protection for f</w:t>
            </w:r>
            <w:r>
              <w:rPr>
                <w:color w:val="000000"/>
                <w:sz w:val="20"/>
                <w:szCs w:val="20"/>
              </w:rPr>
              <w:t>reedom of speech and press as would be provided by the First Amendment of the U.S. Constitution or by the constitution and law of the state in which the U.S. court is located, or if no finding of defamation would be supported under the First Amendment of t</w:t>
            </w:r>
            <w:r>
              <w:rPr>
                <w:color w:val="000000"/>
                <w:sz w:val="20"/>
                <w:szCs w:val="20"/>
              </w:rPr>
              <w:t>he U.S. Constitution or under the constitution and law of the state in which the U.S. court is located. Although the SPEECH Act may protect us from the enforcement of foreign judgments in the United States, it does not affect the enforceability of the judg</w:t>
            </w:r>
            <w:r>
              <w:rPr>
                <w:color w:val="000000"/>
                <w:sz w:val="20"/>
                <w:szCs w:val="20"/>
              </w:rPr>
              <w:t>ment in the foreign country that issued the judgment. Given our international presence, we may therefore, nonetheless, have to defend against or comply with any foreign judgments made against us, which could take up substantial management time and resource</w:t>
            </w:r>
            <w:r>
              <w:rPr>
                <w:color w:val="000000"/>
                <w:sz w:val="20"/>
                <w:szCs w:val="20"/>
              </w:rPr>
              <w:t>s and damage our reputation.</w:t>
            </w:r>
          </w:p>
        </w:tc>
      </w:tr>
    </w:tbl>
    <w:p w14:paraId="0E4244A3" w14:textId="77777777" w:rsidR="00000000" w:rsidRDefault="00B8284C">
      <w:pPr>
        <w:pStyle w:val="a3"/>
        <w:spacing w:before="240" w:beforeAutospacing="0" w:after="0" w:afterAutospacing="0"/>
        <w:jc w:val="center"/>
        <w:rPr>
          <w:sz w:val="20"/>
          <w:szCs w:val="20"/>
        </w:rPr>
      </w:pPr>
      <w:r>
        <w:rPr>
          <w:sz w:val="20"/>
          <w:szCs w:val="20"/>
        </w:rPr>
        <w:t>43</w:t>
      </w:r>
    </w:p>
    <w:p w14:paraId="1F4FECAC" w14:textId="77777777" w:rsidR="00000000" w:rsidRDefault="00B8284C">
      <w:pPr>
        <w:rPr>
          <w:rFonts w:eastAsia="Times New Roman"/>
        </w:rPr>
      </w:pPr>
      <w:r>
        <w:rPr>
          <w:rFonts w:eastAsia="Times New Roman"/>
        </w:rPr>
        <w:pict w14:anchorId="187B50BC">
          <v:rect id="_x0000_i1067" style="width:0;height:1.5pt" o:hralign="center" o:hrstd="t" o:hr="t" fillcolor="#a0a0a0" stroked="f"/>
        </w:pict>
      </w:r>
    </w:p>
    <w:p w14:paraId="58373296" w14:textId="77777777" w:rsidR="00000000" w:rsidRDefault="00B8284C">
      <w:pPr>
        <w:pStyle w:val="a3"/>
        <w:spacing w:before="0" w:beforeAutospacing="0" w:after="0" w:afterAutospacing="0"/>
        <w:rPr>
          <w:sz w:val="20"/>
          <w:szCs w:val="20"/>
        </w:rPr>
      </w:pPr>
      <w:r>
        <w:rPr>
          <w:sz w:val="20"/>
          <w:szCs w:val="20"/>
        </w:rPr>
        <w:t> </w:t>
      </w:r>
    </w:p>
    <w:p w14:paraId="589C95DC" w14:textId="77777777" w:rsidR="00000000" w:rsidRDefault="00B8284C">
      <w:pPr>
        <w:pStyle w:val="a3"/>
        <w:spacing w:before="240" w:beforeAutospacing="0" w:after="0" w:afterAutospacing="0"/>
        <w:ind w:firstLine="556"/>
        <w:rPr>
          <w:color w:val="000000"/>
          <w:sz w:val="20"/>
          <w:szCs w:val="20"/>
        </w:rPr>
      </w:pPr>
      <w:r>
        <w:rPr>
          <w:color w:val="000000"/>
          <w:sz w:val="20"/>
          <w:szCs w:val="20"/>
        </w:rPr>
        <w:t>Although these statutes and case law in the United States have generally shielded us from liability for customer activities to date, court rulings in pending or future litigation may n</w:t>
      </w:r>
      <w:r>
        <w:rPr>
          <w:color w:val="000000"/>
          <w:sz w:val="20"/>
          <w:szCs w:val="20"/>
        </w:rPr>
        <w:t>arrow the scope of protection afforded us under these laws. In addition, laws governing these activities are unsettled in many international jurisdictions, or may prove difficult or impossible for us to comply with in some international jurisdictions. Also</w:t>
      </w:r>
      <w:r>
        <w:rPr>
          <w:color w:val="000000"/>
          <w:sz w:val="20"/>
          <w:szCs w:val="20"/>
        </w:rPr>
        <w:t>, notwithstanding the exculpatory language of these bodies of law, we may become involved in complaints and lawsuits which, even if ultimately resolved in our favor, add cost to our doing business and may divert management’s time and attention. Finally, ot</w:t>
      </w:r>
      <w:r>
        <w:rPr>
          <w:color w:val="000000"/>
          <w:sz w:val="20"/>
          <w:szCs w:val="20"/>
        </w:rPr>
        <w:t>her existing bodies of law, including the criminal laws of various states, may be deemed to apply or new statutes or regulations may be adopted in the future, any of which could expose us to further liability and increase our costs of doing business.</w:t>
      </w:r>
    </w:p>
    <w:p w14:paraId="0A2DEBF2"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ma</w:t>
      </w:r>
      <w:r>
        <w:rPr>
          <w:b/>
          <w:bCs/>
          <w:i/>
          <w:iCs/>
          <w:color w:val="000000"/>
          <w:sz w:val="20"/>
          <w:szCs w:val="20"/>
        </w:rPr>
        <w:t>y be subject to additional obligations to collect and remit sales tax and other taxes, and we may be subject to tax liability for past sales, which could harm our business.</w:t>
      </w:r>
    </w:p>
    <w:p w14:paraId="1EC16048" w14:textId="77777777" w:rsidR="00000000" w:rsidRDefault="00B8284C">
      <w:pPr>
        <w:pStyle w:val="a3"/>
        <w:spacing w:before="120" w:beforeAutospacing="0" w:after="0" w:afterAutospacing="0"/>
        <w:ind w:firstLine="556"/>
        <w:rPr>
          <w:color w:val="000000"/>
          <w:sz w:val="20"/>
          <w:szCs w:val="20"/>
        </w:rPr>
      </w:pPr>
      <w:r>
        <w:rPr>
          <w:color w:val="000000"/>
          <w:sz w:val="20"/>
          <w:szCs w:val="20"/>
        </w:rPr>
        <w:t>State, local and foreign jurisdictions have differing rules and regulations governi</w:t>
      </w:r>
      <w:r>
        <w:rPr>
          <w:color w:val="000000"/>
          <w:sz w:val="20"/>
          <w:szCs w:val="20"/>
        </w:rPr>
        <w:t>ng sales, use, value added and other taxes, and these rules and regulations are subject to varying interpretations that may change over time. In particular, the applicability of such taxes to our Growth Platform in various jurisdictions is unclear. Further</w:t>
      </w:r>
      <w:r>
        <w:rPr>
          <w:color w:val="000000"/>
          <w:sz w:val="20"/>
          <w:szCs w:val="20"/>
        </w:rPr>
        <w:t>, these jurisdictions’ rules regarding tax nexus are complex and vary significantly. As a result, we could face the possibility of tax assessments and audits, and our liability for these taxes and associated penalties could exceed our original estimates. A</w:t>
      </w:r>
      <w:r>
        <w:rPr>
          <w:color w:val="000000"/>
          <w:sz w:val="20"/>
          <w:szCs w:val="20"/>
        </w:rPr>
        <w:t xml:space="preserve"> successful assertion that we should be collecting additional sales, use, value added or other taxes in those jurisdictions where we have not historically done so and do not accrue for such taxes could result in substantial tax liabilities and related pena</w:t>
      </w:r>
      <w:r>
        <w:rPr>
          <w:color w:val="000000"/>
          <w:sz w:val="20"/>
          <w:szCs w:val="20"/>
        </w:rPr>
        <w:t>lties for past sales, discourage customers from purchasing our application or otherwise harm our business and operating results.</w:t>
      </w:r>
    </w:p>
    <w:p w14:paraId="7B977AED"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Changes in tax laws or regulations that are applied adversely to us or our customers could increase the costs of our Growth Platform and adversely impact our business.</w:t>
      </w:r>
    </w:p>
    <w:p w14:paraId="7D53CEF4" w14:textId="77777777" w:rsidR="00000000" w:rsidRDefault="00B8284C">
      <w:pPr>
        <w:pStyle w:val="a3"/>
        <w:spacing w:before="120" w:beforeAutospacing="0" w:after="0" w:afterAutospacing="0"/>
        <w:ind w:firstLine="556"/>
        <w:rPr>
          <w:color w:val="000000"/>
          <w:sz w:val="20"/>
          <w:szCs w:val="20"/>
        </w:rPr>
      </w:pPr>
      <w:r>
        <w:rPr>
          <w:color w:val="000000"/>
          <w:sz w:val="20"/>
          <w:szCs w:val="20"/>
        </w:rPr>
        <w:t>New income, sales, use or other tax laws, statutes, rules, regulations or ordinances cou</w:t>
      </w:r>
      <w:r>
        <w:rPr>
          <w:color w:val="000000"/>
          <w:sz w:val="20"/>
          <w:szCs w:val="20"/>
        </w:rPr>
        <w:t>ld be enacted at any time. Any new taxes could adversely affect our domestic and international business operations, and our business and financial performance. Further, existing tax laws, statutes, rules, regulations or ordinances could be interpreted, cha</w:t>
      </w:r>
      <w:r>
        <w:rPr>
          <w:color w:val="000000"/>
          <w:sz w:val="20"/>
          <w:szCs w:val="20"/>
        </w:rPr>
        <w:t>nged, modified or applied adversely to us. These events could require us or our customers to pay additional tax amounts on a prospective or retroactive basis, as well as require us or our customers to pay fines and/or penalties and interest for past amount</w:t>
      </w:r>
      <w:r>
        <w:rPr>
          <w:color w:val="000000"/>
          <w:sz w:val="20"/>
          <w:szCs w:val="20"/>
        </w:rPr>
        <w:t>s deemed to be due. If we raise our prices to offset the costs of these changes, existing and potential future customers may elect not to continue or purchase our Growth Platform in the future. Additionally, new, changed, modified or newly interpreted or a</w:t>
      </w:r>
      <w:r>
        <w:rPr>
          <w:color w:val="000000"/>
          <w:sz w:val="20"/>
          <w:szCs w:val="20"/>
        </w:rPr>
        <w:t>pplied tax laws could increase our customers’ and our compliance, operating and other costs, as well as the costs of our platform. Any or all of these events could adversely impact our business and financial performance.</w:t>
      </w:r>
    </w:p>
    <w:p w14:paraId="13376665"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are a multinational organization</w:t>
      </w:r>
      <w:r>
        <w:rPr>
          <w:b/>
          <w:bCs/>
          <w:i/>
          <w:iCs/>
          <w:color w:val="000000"/>
          <w:sz w:val="20"/>
          <w:szCs w:val="20"/>
        </w:rPr>
        <w:t xml:space="preserve"> faced with increasingly complex tax issues in many jurisdictions, and we could be obligated to pay additional taxes in various jurisdictions.</w:t>
      </w:r>
    </w:p>
    <w:p w14:paraId="4F5FFEFE" w14:textId="77777777" w:rsidR="00000000" w:rsidRDefault="00B8284C">
      <w:pPr>
        <w:pStyle w:val="a3"/>
        <w:spacing w:before="120" w:beforeAutospacing="0" w:after="0" w:afterAutospacing="0"/>
        <w:ind w:firstLine="556"/>
        <w:rPr>
          <w:color w:val="000000"/>
          <w:sz w:val="20"/>
          <w:szCs w:val="20"/>
        </w:rPr>
      </w:pPr>
      <w:r>
        <w:rPr>
          <w:color w:val="000000"/>
          <w:sz w:val="20"/>
          <w:szCs w:val="20"/>
        </w:rPr>
        <w:t>As a multinational organization, we may be subject to taxation in several jurisdictions around the world with inc</w:t>
      </w:r>
      <w:r>
        <w:rPr>
          <w:color w:val="000000"/>
          <w:sz w:val="20"/>
          <w:szCs w:val="20"/>
        </w:rPr>
        <w:t>reasingly complex tax laws, the application of which can be uncertain. The amount of taxes we pay in these jurisdictions could increase substantially as a result of changes in the applicable tax principles, including increased tax rates, new tax laws or re</w:t>
      </w:r>
      <w:r>
        <w:rPr>
          <w:color w:val="000000"/>
          <w:sz w:val="20"/>
          <w:szCs w:val="20"/>
        </w:rPr>
        <w:t>vised interpretations of existing tax laws and precedents, which could have a material adverse effect on our liquidity and operating results. Changes in tax laws, such as tax reform in the United States or changes in tax laws resulting from the Organizatio</w:t>
      </w:r>
      <w:r>
        <w:rPr>
          <w:color w:val="000000"/>
          <w:sz w:val="20"/>
          <w:szCs w:val="20"/>
        </w:rPr>
        <w:t>n for Economic Co-operation and Development’s multi-jurisdictional plan of action to address “base erosion and profit shifting,” could impact our effective tax rate. In addition, the authorities in these jurisdictions could review our tax returns and impos</w:t>
      </w:r>
      <w:r>
        <w:rPr>
          <w:color w:val="000000"/>
          <w:sz w:val="20"/>
          <w:szCs w:val="20"/>
        </w:rPr>
        <w:t>e additional tax, interest and penalties, and the authorities could claim that various withholding requirements apply to us or our subsidiaries or assert that benefits of tax treaties are not available to us or our subsidiaries, any of which could have a m</w:t>
      </w:r>
      <w:r>
        <w:rPr>
          <w:color w:val="000000"/>
          <w:sz w:val="20"/>
          <w:szCs w:val="20"/>
        </w:rPr>
        <w:t>aterial impact on us and the results of our operations.</w:t>
      </w:r>
    </w:p>
    <w:p w14:paraId="30C628FF"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Failure to comply with laws and regulations could harm our business.</w:t>
      </w:r>
    </w:p>
    <w:p w14:paraId="3D1F867E"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business is subject to regulation by various federal, state, local and foreign governmental agencies, including agencies respon</w:t>
      </w:r>
      <w:r>
        <w:rPr>
          <w:color w:val="000000"/>
          <w:sz w:val="20"/>
          <w:szCs w:val="20"/>
        </w:rPr>
        <w:t>sible for monitoring and enforcing employment and labor laws, workplace safety, environmental laws, consumer protection laws, anti-bribery laws, import/export controls, federal securities laws and tax laws and regulations. In certain jurisdictions, these r</w:t>
      </w:r>
      <w:r>
        <w:rPr>
          <w:color w:val="000000"/>
          <w:sz w:val="20"/>
          <w:szCs w:val="20"/>
        </w:rPr>
        <w:t>egulatory requirements may be more stringent than those in the United States. Noncompliance with applicable regulations or requirements could subject us to investigations, sanctions, mandatory recalls, enforcement actions, disgorgement of profits, fines, d</w:t>
      </w:r>
      <w:r>
        <w:rPr>
          <w:color w:val="000000"/>
          <w:sz w:val="20"/>
          <w:szCs w:val="20"/>
        </w:rPr>
        <w:t>amages, civil and criminal penalties or injunctions.</w:t>
      </w:r>
    </w:p>
    <w:p w14:paraId="7D777107" w14:textId="77777777" w:rsidR="00000000" w:rsidRDefault="00B8284C">
      <w:pPr>
        <w:pStyle w:val="a3"/>
        <w:spacing w:before="240" w:beforeAutospacing="0" w:after="0" w:afterAutospacing="0"/>
        <w:jc w:val="center"/>
        <w:rPr>
          <w:sz w:val="20"/>
          <w:szCs w:val="20"/>
        </w:rPr>
      </w:pPr>
      <w:r>
        <w:rPr>
          <w:sz w:val="20"/>
          <w:szCs w:val="20"/>
        </w:rPr>
        <w:t>44</w:t>
      </w:r>
    </w:p>
    <w:p w14:paraId="6A3810E7" w14:textId="77777777" w:rsidR="00000000" w:rsidRDefault="00B8284C">
      <w:pPr>
        <w:rPr>
          <w:rFonts w:eastAsia="Times New Roman"/>
        </w:rPr>
      </w:pPr>
      <w:r>
        <w:rPr>
          <w:rFonts w:eastAsia="Times New Roman"/>
        </w:rPr>
        <w:pict w14:anchorId="4DD4EF66">
          <v:rect id="_x0000_i1068" style="width:0;height:1.5pt" o:hralign="center" o:hrstd="t" o:hr="t" fillcolor="#a0a0a0" stroked="f"/>
        </w:pict>
      </w:r>
    </w:p>
    <w:p w14:paraId="03ED5566" w14:textId="77777777" w:rsidR="00000000" w:rsidRDefault="00B8284C">
      <w:pPr>
        <w:pStyle w:val="a3"/>
        <w:spacing w:before="0" w:beforeAutospacing="0" w:after="0" w:afterAutospacing="0"/>
        <w:rPr>
          <w:sz w:val="20"/>
          <w:szCs w:val="20"/>
        </w:rPr>
      </w:pPr>
      <w:r>
        <w:rPr>
          <w:sz w:val="20"/>
          <w:szCs w:val="20"/>
        </w:rPr>
        <w:t> </w:t>
      </w:r>
    </w:p>
    <w:p w14:paraId="42F1D79C"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may not be able to utilize a significant portion of our net operating loss carryforwards, which could adversely affect our profitability.</w:t>
      </w:r>
    </w:p>
    <w:p w14:paraId="52E9664B" w14:textId="77777777" w:rsidR="00000000" w:rsidRDefault="00B8284C">
      <w:pPr>
        <w:pStyle w:val="a3"/>
        <w:spacing w:before="120" w:beforeAutospacing="0" w:after="0" w:afterAutospacing="0"/>
        <w:ind w:firstLine="556"/>
        <w:rPr>
          <w:color w:val="000000"/>
          <w:sz w:val="20"/>
          <w:szCs w:val="20"/>
        </w:rPr>
      </w:pPr>
      <w:r>
        <w:rPr>
          <w:color w:val="000000"/>
          <w:sz w:val="20"/>
          <w:szCs w:val="20"/>
        </w:rPr>
        <w:t>As of December 31, 20</w:t>
      </w:r>
      <w:r>
        <w:rPr>
          <w:color w:val="000000"/>
          <w:sz w:val="20"/>
          <w:szCs w:val="20"/>
        </w:rPr>
        <w:t>18, we had federal and state net operating loss carryforwards due to prior period losses, which, if not utilized, will begin to expire in 2027 for federal purposes and begin to expire in 2023 for state purposes. These net operating loss carryforwards could</w:t>
      </w:r>
      <w:r>
        <w:rPr>
          <w:color w:val="000000"/>
          <w:sz w:val="20"/>
          <w:szCs w:val="20"/>
        </w:rPr>
        <w:t xml:space="preserve"> expire unused and be unavailable to offset future income tax liabilities, which could adversely affect our profitability. In addition, under Section 382 of the Internal Revenue Code of 1986, as amended, which we refer to as the Code, our ability to utiliz</w:t>
      </w:r>
      <w:r>
        <w:rPr>
          <w:color w:val="000000"/>
          <w:sz w:val="20"/>
          <w:szCs w:val="20"/>
        </w:rPr>
        <w:t>e net operating loss carryforwards or other tax attributes, such as research tax credits, in any taxable year may be further limited if we experience an ownership change. A Section 382 ownership change generally occurs if one or more stockholders or groups</w:t>
      </w:r>
      <w:r>
        <w:rPr>
          <w:color w:val="000000"/>
          <w:sz w:val="20"/>
          <w:szCs w:val="20"/>
        </w:rPr>
        <w:t xml:space="preserve"> of stockholders who own at least 5% of our stock increase their ownership by more than 50 percentage points over their lowest ownership percentage within a rolling three-year period. Similar rules may apply under state tax laws. Future issuances of our st</w:t>
      </w:r>
      <w:r>
        <w:rPr>
          <w:color w:val="000000"/>
          <w:sz w:val="20"/>
          <w:szCs w:val="20"/>
        </w:rPr>
        <w:t>ock could cause an ownership change. It is possible that an ownership change in connection with a future offering, or any future ownership change, could have a material effect on the use of our net operating loss carryforwards or other tax attributes, whic</w:t>
      </w:r>
      <w:r>
        <w:rPr>
          <w:color w:val="000000"/>
          <w:sz w:val="20"/>
          <w:szCs w:val="20"/>
        </w:rPr>
        <w:t xml:space="preserve">h could adversely affect our profitability. Net operating loss carryforwards incurred for periods beginning on or after January 1, 2018 would not expire unused as a result of these limitations because they can be carried forward indefinitely. </w:t>
      </w:r>
    </w:p>
    <w:p w14:paraId="5F06374B"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The standard</w:t>
      </w:r>
      <w:r>
        <w:rPr>
          <w:b/>
          <w:bCs/>
          <w:i/>
          <w:iCs/>
          <w:color w:val="000000"/>
          <w:sz w:val="20"/>
          <w:szCs w:val="20"/>
        </w:rPr>
        <w:t>s that private entities use to regulate the use of email have in the past interfered with, and may in the future interfere with, the effectiveness of our Growth Platform and our ability to conduct business.</w:t>
      </w:r>
    </w:p>
    <w:p w14:paraId="0C840F3E"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customers rely on email to communicate with t</w:t>
      </w:r>
      <w:r>
        <w:rPr>
          <w:color w:val="000000"/>
          <w:sz w:val="20"/>
          <w:szCs w:val="20"/>
        </w:rPr>
        <w:t>heir existing or prospective customers. Various private entities attempt to regulate the use of email for commercial solicitation. These entities often advocate standards of conduct or practice that significantly exceed current legal requirements and class</w:t>
      </w:r>
      <w:r>
        <w:rPr>
          <w:color w:val="000000"/>
          <w:sz w:val="20"/>
          <w:szCs w:val="20"/>
        </w:rPr>
        <w:t>ify certain email solicitations that comply with current legal requirements as spam. Some of these entities maintain “blacklists” of companies and individuals, and the websites, internet service providers and internet protocol addresses associated with tho</w:t>
      </w:r>
      <w:r>
        <w:rPr>
          <w:color w:val="000000"/>
          <w:sz w:val="20"/>
          <w:szCs w:val="20"/>
        </w:rPr>
        <w:t>se entities or individuals that do not adhere to those standards of conduct or practices for commercial email solicitations that the blacklisting entity believes are appropriate. If a company’s internet protocol addresses are listed by a blacklisting entit</w:t>
      </w:r>
      <w:r>
        <w:rPr>
          <w:color w:val="000000"/>
          <w:sz w:val="20"/>
          <w:szCs w:val="20"/>
        </w:rPr>
        <w:t>y, emails sent from those addresses may be blocked if they are sent to any internet domain or internet address that subscribes to the blacklisting entity’s service or purchases its blacklist.</w:t>
      </w:r>
    </w:p>
    <w:p w14:paraId="41496C94" w14:textId="77777777" w:rsidR="00000000" w:rsidRDefault="00B8284C">
      <w:pPr>
        <w:pStyle w:val="a3"/>
        <w:spacing w:before="240" w:beforeAutospacing="0" w:after="0" w:afterAutospacing="0"/>
        <w:ind w:firstLine="556"/>
        <w:rPr>
          <w:color w:val="000000"/>
          <w:sz w:val="20"/>
          <w:szCs w:val="20"/>
        </w:rPr>
      </w:pPr>
      <w:r>
        <w:rPr>
          <w:color w:val="000000"/>
          <w:sz w:val="20"/>
          <w:szCs w:val="20"/>
        </w:rPr>
        <w:t>From time to time, some of our internet protocol addresses may b</w:t>
      </w:r>
      <w:r>
        <w:rPr>
          <w:color w:val="000000"/>
          <w:sz w:val="20"/>
          <w:szCs w:val="20"/>
        </w:rPr>
        <w:t>ecome listed with one or more blacklisting entities due to the messaging practices of our customers. There can be no guarantee that we will be able to successfully remove ourselves from those lists. Blacklisting of this type could interfere with our abilit</w:t>
      </w:r>
      <w:r>
        <w:rPr>
          <w:color w:val="000000"/>
          <w:sz w:val="20"/>
          <w:szCs w:val="20"/>
        </w:rPr>
        <w:t>y to market our Growth Platform and services and communicate with our customers and, because we fulfill email delivery on behalf of our customers, could undermine the effectiveness of our customers’ email marketing campaigns, all of which could have a mate</w:t>
      </w:r>
      <w:r>
        <w:rPr>
          <w:color w:val="000000"/>
          <w:sz w:val="20"/>
          <w:szCs w:val="20"/>
        </w:rPr>
        <w:t>rial negative impact on our business and results of operations.</w:t>
      </w:r>
    </w:p>
    <w:p w14:paraId="38D7464E"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 xml:space="preserve">Existing federal, state and foreign laws regulate Internet tracking software, the senders of commercial emails and text messages, website owners and other activities, and could impact the use </w:t>
      </w:r>
      <w:r>
        <w:rPr>
          <w:b/>
          <w:bCs/>
          <w:i/>
          <w:iCs/>
          <w:color w:val="000000"/>
          <w:sz w:val="20"/>
          <w:szCs w:val="20"/>
        </w:rPr>
        <w:t>of our Growth Platform and potentially subject us to regulatory enforcement or private litigation.</w:t>
      </w:r>
    </w:p>
    <w:p w14:paraId="35B0DE53" w14:textId="77777777" w:rsidR="00000000" w:rsidRDefault="00B8284C">
      <w:pPr>
        <w:pStyle w:val="a3"/>
        <w:spacing w:before="120" w:beforeAutospacing="0" w:after="0" w:afterAutospacing="0"/>
        <w:ind w:firstLine="556"/>
        <w:rPr>
          <w:color w:val="000000"/>
          <w:sz w:val="20"/>
          <w:szCs w:val="20"/>
        </w:rPr>
      </w:pPr>
      <w:r>
        <w:rPr>
          <w:color w:val="000000"/>
          <w:sz w:val="20"/>
          <w:szCs w:val="20"/>
        </w:rPr>
        <w:t>Certain aspects of how our customers utilize our platform are subject to regulations in the United States, European Union and elsewhere. In recent years, U.S</w:t>
      </w:r>
      <w:r>
        <w:rPr>
          <w:color w:val="000000"/>
          <w:sz w:val="20"/>
          <w:szCs w:val="20"/>
        </w:rPr>
        <w:t>. and European lawmakers and regulators have expressed concern over the use of third-party cookies or web beacons for online behavioral advertising, and legislation adopted recently in the European Union requires informed consent for the placement of a coo</w:t>
      </w:r>
      <w:r>
        <w:rPr>
          <w:color w:val="000000"/>
          <w:sz w:val="20"/>
          <w:szCs w:val="20"/>
        </w:rPr>
        <w:t>kie on a user’s device. Additionally, a recent ECJ ruling in Case C-673/17 pertaining to the EU informed consent requirement provided that a pre-checked opt-in is insufficient to constitute a valid active consumer consent to cookie storage. Regulation of c</w:t>
      </w:r>
      <w:r>
        <w:rPr>
          <w:color w:val="000000"/>
          <w:sz w:val="20"/>
          <w:szCs w:val="20"/>
        </w:rPr>
        <w:t>ookies and web beacons may lead to restrictions on our activities, such as efforts to understand users’ Internet usage. New and expanding “Do Not Track” regulations have recently been enacted or proposed that protect users’ right to choose whether or not t</w:t>
      </w:r>
      <w:r>
        <w:rPr>
          <w:color w:val="000000"/>
          <w:sz w:val="20"/>
          <w:szCs w:val="20"/>
        </w:rPr>
        <w:t>o be tracked online. These regulations seek, among other things, to allow end users to have greater control over the use of private information collected online, to forbid the collection or use of online information, to demand a business to comply with the</w:t>
      </w:r>
      <w:r>
        <w:rPr>
          <w:color w:val="000000"/>
          <w:sz w:val="20"/>
          <w:szCs w:val="20"/>
        </w:rPr>
        <w:t>ir choice to opt out of such collection or use, and to place limits upon the disclosure of information to third party websites. These policies could have a significant impact on the operation of our Growth Platform and could impair our attractiveness to cu</w:t>
      </w:r>
      <w:r>
        <w:rPr>
          <w:color w:val="000000"/>
          <w:sz w:val="20"/>
          <w:szCs w:val="20"/>
        </w:rPr>
        <w:t>stomers, which would harm our business.</w:t>
      </w:r>
    </w:p>
    <w:p w14:paraId="5D4DF4A3" w14:textId="77777777" w:rsidR="00000000" w:rsidRDefault="00B8284C">
      <w:pPr>
        <w:pStyle w:val="a3"/>
        <w:spacing w:before="240" w:beforeAutospacing="0" w:after="0" w:afterAutospacing="0"/>
        <w:ind w:firstLine="556"/>
        <w:rPr>
          <w:color w:val="000000"/>
          <w:sz w:val="20"/>
          <w:szCs w:val="20"/>
        </w:rPr>
      </w:pPr>
      <w:r>
        <w:rPr>
          <w:color w:val="000000"/>
          <w:sz w:val="20"/>
          <w:szCs w:val="20"/>
        </w:rPr>
        <w:t>Many of our customers and potential customers in the healthcare, financial services and other industries are subject to substantial regulation regarding their collection, use and protection of data and may be the sub</w:t>
      </w:r>
      <w:r>
        <w:rPr>
          <w:color w:val="000000"/>
          <w:sz w:val="20"/>
          <w:szCs w:val="20"/>
        </w:rPr>
        <w:t>ject of further regulation in the future. Accordingly, these laws or significant new laws or regulations or changes in, or repeals of, existing laws, regulations or governmental policy may change the way these customers do business and may require us to im</w:t>
      </w:r>
      <w:r>
        <w:rPr>
          <w:color w:val="000000"/>
          <w:sz w:val="20"/>
          <w:szCs w:val="20"/>
        </w:rPr>
        <w:t>plement additional features or offer additional contractual terms to satisfy customer and regulatory requirements, or could cause the demand for and sales of our Growth Platform to decrease and adversely impact our financial results.</w:t>
      </w:r>
    </w:p>
    <w:p w14:paraId="12AEECEE" w14:textId="77777777" w:rsidR="00000000" w:rsidRDefault="00B8284C">
      <w:pPr>
        <w:pStyle w:val="a3"/>
        <w:spacing w:before="240" w:beforeAutospacing="0" w:after="0" w:afterAutospacing="0"/>
        <w:jc w:val="center"/>
        <w:rPr>
          <w:sz w:val="20"/>
          <w:szCs w:val="20"/>
        </w:rPr>
      </w:pPr>
      <w:r>
        <w:rPr>
          <w:sz w:val="20"/>
          <w:szCs w:val="20"/>
        </w:rPr>
        <w:t>45</w:t>
      </w:r>
    </w:p>
    <w:p w14:paraId="5BC42686" w14:textId="77777777" w:rsidR="00000000" w:rsidRDefault="00B8284C">
      <w:pPr>
        <w:rPr>
          <w:rFonts w:eastAsia="Times New Roman"/>
        </w:rPr>
      </w:pPr>
      <w:r>
        <w:rPr>
          <w:rFonts w:eastAsia="Times New Roman"/>
        </w:rPr>
        <w:pict w14:anchorId="7CF0F13F">
          <v:rect id="_x0000_i1069" style="width:0;height:1.5pt" o:hralign="center" o:hrstd="t" o:hr="t" fillcolor="#a0a0a0" stroked="f"/>
        </w:pict>
      </w:r>
    </w:p>
    <w:p w14:paraId="0F06C823" w14:textId="77777777" w:rsidR="00000000" w:rsidRDefault="00B8284C">
      <w:pPr>
        <w:pStyle w:val="a3"/>
        <w:spacing w:before="0" w:beforeAutospacing="0" w:after="0" w:afterAutospacing="0"/>
        <w:rPr>
          <w:sz w:val="20"/>
          <w:szCs w:val="20"/>
        </w:rPr>
      </w:pPr>
      <w:r>
        <w:rPr>
          <w:sz w:val="20"/>
          <w:szCs w:val="20"/>
        </w:rPr>
        <w:t> </w:t>
      </w:r>
    </w:p>
    <w:p w14:paraId="123897F2"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the Controlling the Assault of Non-Solicited Pornography and Marketing Act of 2003, or the CAN-SPAM Act, establishes certain requirements for commercial email messages and specifies penalties for the transmission of commerc</w:t>
      </w:r>
      <w:r>
        <w:rPr>
          <w:color w:val="000000"/>
          <w:sz w:val="20"/>
          <w:szCs w:val="20"/>
        </w:rPr>
        <w:t>ial email messages that are intended to deceive the recipient as to source or content. The CAN-SPAM Act, among other things, obligates the sender of commercial emails to provide recipients with the ability to opt out of receiving future commercial emails f</w:t>
      </w:r>
      <w:r>
        <w:rPr>
          <w:color w:val="000000"/>
          <w:sz w:val="20"/>
          <w:szCs w:val="20"/>
        </w:rPr>
        <w:t>rom the sender. The ability of our customers’ message recipients to opt out of receiving commercial emails may minimize the effectiveness of the email components of our Growth Platform. In addition, certain states and foreign jurisdictions, such as Austral</w:t>
      </w:r>
      <w:r>
        <w:rPr>
          <w:color w:val="000000"/>
          <w:sz w:val="20"/>
          <w:szCs w:val="20"/>
        </w:rPr>
        <w:t>ia, Canada and the European Union, have enacted laws that regulate sending email, and some of these laws are more restrictive than U.S. laws. For example, some foreign laws prohibit sending unsolicited email unless the recipient has provided the sender adv</w:t>
      </w:r>
      <w:r>
        <w:rPr>
          <w:color w:val="000000"/>
          <w:sz w:val="20"/>
          <w:szCs w:val="20"/>
        </w:rPr>
        <w:t>ance consent to receipt of such email, or in other words has “opted-in” to receiving it. A requirement that recipients opt into, or the ability of recipients to opt out of, receiving commercial emails may minimize the effectiveness of our platform.</w:t>
      </w:r>
    </w:p>
    <w:p w14:paraId="2029DF5B" w14:textId="77777777" w:rsidR="00000000" w:rsidRDefault="00B8284C">
      <w:pPr>
        <w:pStyle w:val="a3"/>
        <w:spacing w:before="240" w:beforeAutospacing="0" w:after="0" w:afterAutospacing="0"/>
        <w:ind w:firstLine="556"/>
        <w:rPr>
          <w:color w:val="000000"/>
          <w:sz w:val="20"/>
          <w:szCs w:val="20"/>
        </w:rPr>
      </w:pPr>
      <w:r>
        <w:rPr>
          <w:color w:val="000000"/>
          <w:sz w:val="20"/>
          <w:szCs w:val="20"/>
        </w:rPr>
        <w:t>While t</w:t>
      </w:r>
      <w:r>
        <w:rPr>
          <w:color w:val="000000"/>
          <w:sz w:val="20"/>
          <w:szCs w:val="20"/>
        </w:rPr>
        <w:t>hese laws and regulations generally govern our customers’ use of our platform, we may be subject to certain laws as a data processor on behalf of, or as a business associate of, our customers. For example, laws and regulations governing the collection, use</w:t>
      </w:r>
      <w:r>
        <w:rPr>
          <w:color w:val="000000"/>
          <w:sz w:val="20"/>
          <w:szCs w:val="20"/>
        </w:rPr>
        <w:t xml:space="preserve"> and disclosure of personal information include, in the United States, rules and regulations promulgated under the authority of the Federal Trade Commission, the Health Insurance Portability and Accountability Act of 1996, the Gramm-Leach-Bliley Act of 199</w:t>
      </w:r>
      <w:r>
        <w:rPr>
          <w:color w:val="000000"/>
          <w:sz w:val="20"/>
          <w:szCs w:val="20"/>
        </w:rPr>
        <w:t>9 and state breach notification laws, and internationally, the Data Protection Directive in the European Union and the Federal Data Protection Act in Germany. If we were found to be in violation of any of these laws or regulations as a result of government</w:t>
      </w:r>
      <w:r>
        <w:rPr>
          <w:color w:val="000000"/>
          <w:sz w:val="20"/>
          <w:szCs w:val="20"/>
        </w:rPr>
        <w:t xml:space="preserve"> enforcement or private litigation, we could be subjected to civil and criminal sanctions, including both monetary fines and injunctive action that could force us to change our business practices, all of which could adversely affect our financial performan</w:t>
      </w:r>
      <w:r>
        <w:rPr>
          <w:color w:val="000000"/>
          <w:sz w:val="20"/>
          <w:szCs w:val="20"/>
        </w:rPr>
        <w:t>ce and significantly harm our reputation and our business.</w:t>
      </w:r>
    </w:p>
    <w:p w14:paraId="016A61A1"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are subject to governmental export controls and economic sanctions laws that could impair our ability to compete in international markets and subject us to liability if we are not in full compliance with applicable laws.</w:t>
      </w:r>
    </w:p>
    <w:p w14:paraId="69302079"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business activities are subj</w:t>
      </w:r>
      <w:r>
        <w:rPr>
          <w:color w:val="000000"/>
          <w:sz w:val="20"/>
          <w:szCs w:val="20"/>
        </w:rPr>
        <w:t>ect to various restrictions under U.S. export controls and trade and economic sanctions laws, including the U.S. Commerce Department’s Export Administration Regulations and economic and trade sanctions regulations maintained by the U.S. Treasury Department</w:t>
      </w:r>
      <w:r>
        <w:rPr>
          <w:color w:val="000000"/>
          <w:sz w:val="20"/>
          <w:szCs w:val="20"/>
        </w:rPr>
        <w:t>’s Office of Foreign Assets Control. If we fail to comply with these laws and regulations, we and certain of our employees could be subject to civil or criminal penalties and reputational harm. Obtaining the necessary authorizations, including any required</w:t>
      </w:r>
      <w:r>
        <w:rPr>
          <w:color w:val="000000"/>
          <w:sz w:val="20"/>
          <w:szCs w:val="20"/>
        </w:rPr>
        <w:t xml:space="preserve"> license, for a particular transaction may be time-consuming, is not guaranteed, and may result in the delay or loss of sales opportunities. Furthermore, U.S. export control laws and economic sanctions laws prohibit certain transactions with U.S. embargoed</w:t>
      </w:r>
      <w:r>
        <w:rPr>
          <w:color w:val="000000"/>
          <w:sz w:val="20"/>
          <w:szCs w:val="20"/>
        </w:rPr>
        <w:t xml:space="preserve"> or sanctioned countries, governments, persons and entities. Although we take precautions to prevent transactions with U.S. sanction targets, the possibility exists that we could inadvertently provide our solutions to persons prohibited by U.S. sanctions. </w:t>
      </w:r>
      <w:r>
        <w:rPr>
          <w:color w:val="000000"/>
          <w:sz w:val="20"/>
          <w:szCs w:val="20"/>
        </w:rPr>
        <w:t>This could result in negative consequences to us, including government investigations, penalties and reputational harm.</w:t>
      </w:r>
    </w:p>
    <w:p w14:paraId="765AAAA1" w14:textId="77777777" w:rsidR="00000000" w:rsidRDefault="00B8284C">
      <w:pPr>
        <w:pStyle w:val="a3"/>
        <w:spacing w:before="360" w:beforeAutospacing="0" w:after="0" w:afterAutospacing="0"/>
        <w:rPr>
          <w:b/>
          <w:bCs/>
          <w:sz w:val="20"/>
          <w:szCs w:val="20"/>
        </w:rPr>
      </w:pPr>
      <w:r>
        <w:rPr>
          <w:b/>
          <w:bCs/>
          <w:sz w:val="20"/>
          <w:szCs w:val="20"/>
        </w:rPr>
        <w:t>Risks Related to Our Operating Results and Financial Condition</w:t>
      </w:r>
    </w:p>
    <w:p w14:paraId="0F50E4A4" w14:textId="77777777" w:rsidR="00000000" w:rsidRDefault="00B8284C">
      <w:pPr>
        <w:pStyle w:val="a3"/>
        <w:spacing w:before="120" w:beforeAutospacing="0" w:after="0" w:afterAutospacing="0"/>
        <w:rPr>
          <w:b/>
          <w:bCs/>
          <w:i/>
          <w:iCs/>
          <w:color w:val="000000"/>
          <w:sz w:val="20"/>
          <w:szCs w:val="20"/>
        </w:rPr>
      </w:pPr>
      <w:r>
        <w:rPr>
          <w:b/>
          <w:bCs/>
          <w:i/>
          <w:iCs/>
          <w:color w:val="000000"/>
          <w:sz w:val="20"/>
          <w:szCs w:val="20"/>
        </w:rPr>
        <w:t xml:space="preserve">We may experience quarterly fluctuations in our operating results due to </w:t>
      </w:r>
      <w:r>
        <w:rPr>
          <w:b/>
          <w:bCs/>
          <w:i/>
          <w:iCs/>
          <w:color w:val="000000"/>
          <w:sz w:val="20"/>
          <w:szCs w:val="20"/>
        </w:rPr>
        <w:t>a number of factors, which makes our future results difficult to predict and could cause our operating results to fall below expectations or our guidance.</w:t>
      </w:r>
    </w:p>
    <w:p w14:paraId="2D602EB0"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quarterly operating results have fluctuated in the past and are expected to fluctuate in the futu</w:t>
      </w:r>
      <w:r>
        <w:rPr>
          <w:color w:val="000000"/>
          <w:sz w:val="20"/>
          <w:szCs w:val="20"/>
        </w:rPr>
        <w:t>re due to a variety of factors, many of which are outside of our control. As a result, our past results may not be indicative of our future performance, and comparing our operating results on a period-to-period basis may not be meaningful. In addition to t</w:t>
      </w:r>
      <w:r>
        <w:rPr>
          <w:color w:val="000000"/>
          <w:sz w:val="20"/>
          <w:szCs w:val="20"/>
        </w:rPr>
        <w:t>he other risks described in this Quarterly Report on Form 10-Q, factors that may affect our quarterly operating results include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80971CE" w14:textId="77777777">
        <w:trPr>
          <w:divId w:val="1836723171"/>
        </w:trPr>
        <w:tc>
          <w:tcPr>
            <w:tcW w:w="227" w:type="pct"/>
            <w:noWrap/>
            <w:hideMark/>
          </w:tcPr>
          <w:p w14:paraId="5DEBD7DF"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BC58038"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2D4C800" w14:textId="77777777" w:rsidR="00000000" w:rsidRDefault="00B8284C">
            <w:pPr>
              <w:pStyle w:val="a3"/>
              <w:spacing w:before="120" w:beforeAutospacing="0" w:after="0" w:afterAutospacing="0"/>
              <w:rPr>
                <w:color w:val="000000"/>
                <w:sz w:val="20"/>
                <w:szCs w:val="20"/>
              </w:rPr>
            </w:pPr>
            <w:r>
              <w:rPr>
                <w:color w:val="000000"/>
                <w:sz w:val="20"/>
                <w:szCs w:val="20"/>
              </w:rPr>
              <w:t>changes in spending on marketing, sales and customer service software by our current or prospective customers</w:t>
            </w:r>
            <w:r>
              <w:rPr>
                <w:color w:val="000000"/>
                <w:sz w:val="20"/>
                <w:szCs w:val="20"/>
              </w:rPr>
              <w: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743A722" w14:textId="77777777">
        <w:tc>
          <w:tcPr>
            <w:tcW w:w="227" w:type="pct"/>
            <w:noWrap/>
            <w:hideMark/>
          </w:tcPr>
          <w:p w14:paraId="7D5FC273"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DB3B514"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236B17B" w14:textId="77777777" w:rsidR="00000000" w:rsidRDefault="00B8284C">
            <w:pPr>
              <w:pStyle w:val="a3"/>
              <w:spacing w:before="120" w:beforeAutospacing="0" w:after="0" w:afterAutospacing="0"/>
              <w:rPr>
                <w:color w:val="000000"/>
                <w:sz w:val="20"/>
                <w:szCs w:val="20"/>
              </w:rPr>
            </w:pPr>
            <w:r>
              <w:rPr>
                <w:color w:val="000000"/>
                <w:sz w:val="20"/>
                <w:szCs w:val="20"/>
              </w:rPr>
              <w:t>pricing our Growth Platform subscriptions effectively so that we are able to attract and retain customers without compromising our profitability;</w:t>
            </w:r>
          </w:p>
        </w:tc>
      </w:tr>
    </w:tbl>
    <w:p w14:paraId="196F88F6" w14:textId="77777777" w:rsidR="00000000" w:rsidRDefault="00B8284C">
      <w:pPr>
        <w:divId w:val="31564996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5AF3513" w14:textId="77777777">
        <w:trPr>
          <w:divId w:val="315649968"/>
        </w:trPr>
        <w:tc>
          <w:tcPr>
            <w:tcW w:w="227" w:type="pct"/>
            <w:noWrap/>
            <w:hideMark/>
          </w:tcPr>
          <w:p w14:paraId="66E61563"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3CF76DF"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690FFECF" w14:textId="77777777" w:rsidR="00000000" w:rsidRDefault="00B8284C">
            <w:pPr>
              <w:pStyle w:val="a3"/>
              <w:spacing w:before="120" w:beforeAutospacing="0" w:after="0" w:afterAutospacing="0"/>
              <w:rPr>
                <w:color w:val="000000"/>
                <w:sz w:val="20"/>
                <w:szCs w:val="20"/>
              </w:rPr>
            </w:pPr>
            <w:r>
              <w:rPr>
                <w:color w:val="000000"/>
                <w:sz w:val="20"/>
                <w:szCs w:val="20"/>
              </w:rPr>
              <w:t xml:space="preserve">attracting new customers for our marketing, sales and customer service software, increasing our </w:t>
            </w:r>
            <w:r>
              <w:rPr>
                <w:color w:val="000000"/>
                <w:sz w:val="20"/>
                <w:szCs w:val="20"/>
              </w:rPr>
              <w:t>existing customers’ use of our platform and providing our customers with excellent customer support;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CEC9AD3" w14:textId="77777777">
        <w:tc>
          <w:tcPr>
            <w:tcW w:w="227" w:type="pct"/>
            <w:noWrap/>
            <w:hideMark/>
          </w:tcPr>
          <w:p w14:paraId="4D93E6A1"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E038854"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891D030" w14:textId="77777777" w:rsidR="00000000" w:rsidRDefault="00B8284C">
            <w:pPr>
              <w:pStyle w:val="a3"/>
              <w:spacing w:before="120" w:beforeAutospacing="0" w:after="0" w:afterAutospacing="0"/>
              <w:rPr>
                <w:color w:val="000000"/>
                <w:sz w:val="20"/>
                <w:szCs w:val="20"/>
              </w:rPr>
            </w:pPr>
            <w:r>
              <w:rPr>
                <w:color w:val="000000"/>
                <w:sz w:val="20"/>
                <w:szCs w:val="20"/>
              </w:rPr>
              <w:t>customer renewal rates and the amounts for which agreements are renewed;</w:t>
            </w:r>
          </w:p>
        </w:tc>
      </w:tr>
    </w:tbl>
    <w:p w14:paraId="1BFC853E" w14:textId="77777777" w:rsidR="00000000" w:rsidRDefault="00B8284C">
      <w:pPr>
        <w:divId w:val="25640346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54C484C" w14:textId="77777777">
        <w:trPr>
          <w:divId w:val="256403462"/>
        </w:trPr>
        <w:tc>
          <w:tcPr>
            <w:tcW w:w="227" w:type="pct"/>
            <w:noWrap/>
            <w:hideMark/>
          </w:tcPr>
          <w:p w14:paraId="41906747"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BD6DAC5"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C939873" w14:textId="77777777" w:rsidR="00000000" w:rsidRDefault="00B8284C">
            <w:pPr>
              <w:pStyle w:val="a3"/>
              <w:spacing w:before="120" w:beforeAutospacing="0" w:after="0" w:afterAutospacing="0"/>
              <w:rPr>
                <w:color w:val="000000"/>
                <w:sz w:val="20"/>
                <w:szCs w:val="20"/>
              </w:rPr>
            </w:pPr>
            <w:r>
              <w:rPr>
                <w:color w:val="000000"/>
                <w:sz w:val="20"/>
                <w:szCs w:val="20"/>
              </w:rPr>
              <w:t>global awareness of our thought leadership and brand;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4304433C" w14:textId="77777777">
        <w:tc>
          <w:tcPr>
            <w:tcW w:w="227" w:type="pct"/>
            <w:noWrap/>
            <w:hideMark/>
          </w:tcPr>
          <w:p w14:paraId="7A7E6140"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D65C5B1"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45DF171" w14:textId="77777777" w:rsidR="00000000" w:rsidRDefault="00B8284C">
            <w:pPr>
              <w:pStyle w:val="a3"/>
              <w:spacing w:before="120" w:beforeAutospacing="0" w:after="0" w:afterAutospacing="0"/>
              <w:rPr>
                <w:color w:val="000000"/>
                <w:sz w:val="20"/>
                <w:szCs w:val="20"/>
              </w:rPr>
            </w:pPr>
            <w:r>
              <w:rPr>
                <w:color w:val="000000"/>
                <w:sz w:val="20"/>
                <w:szCs w:val="20"/>
              </w:rPr>
              <w:t>changes in the competitive dynamics of our market, including consolidation among competitors or customers and the introduction of new products or product enhancements;</w:t>
            </w:r>
          </w:p>
        </w:tc>
      </w:tr>
    </w:tbl>
    <w:p w14:paraId="15941DB4" w14:textId="77777777" w:rsidR="00000000" w:rsidRDefault="00B8284C">
      <w:pPr>
        <w:divId w:val="136938032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0F6B53F" w14:textId="77777777">
        <w:trPr>
          <w:divId w:val="1369380323"/>
        </w:trPr>
        <w:tc>
          <w:tcPr>
            <w:tcW w:w="227" w:type="pct"/>
            <w:noWrap/>
            <w:hideMark/>
          </w:tcPr>
          <w:p w14:paraId="6E44521D"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E0F0690"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317BAF09" w14:textId="77777777" w:rsidR="00000000" w:rsidRDefault="00B8284C">
            <w:pPr>
              <w:pStyle w:val="a3"/>
              <w:spacing w:before="120" w:beforeAutospacing="0" w:after="0" w:afterAutospacing="0"/>
              <w:rPr>
                <w:color w:val="000000"/>
                <w:sz w:val="20"/>
                <w:szCs w:val="20"/>
              </w:rPr>
            </w:pPr>
            <w:r>
              <w:rPr>
                <w:color w:val="000000"/>
                <w:sz w:val="20"/>
                <w:szCs w:val="20"/>
              </w:rPr>
              <w:t>changes to the commiss</w:t>
            </w:r>
            <w:r>
              <w:rPr>
                <w:color w:val="000000"/>
                <w:sz w:val="20"/>
                <w:szCs w:val="20"/>
              </w:rPr>
              <w:t>ion plans, quotas and other compensation-related metrics for our sales representatives;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FEA6F6D" w14:textId="77777777">
        <w:tc>
          <w:tcPr>
            <w:tcW w:w="227" w:type="pct"/>
            <w:noWrap/>
            <w:hideMark/>
          </w:tcPr>
          <w:p w14:paraId="43942EF1"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6D9B389"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08C95C66" w14:textId="77777777" w:rsidR="00000000" w:rsidRDefault="00B8284C">
            <w:pPr>
              <w:pStyle w:val="a3"/>
              <w:spacing w:before="120" w:beforeAutospacing="0" w:after="0" w:afterAutospacing="0"/>
              <w:rPr>
                <w:color w:val="000000"/>
                <w:sz w:val="20"/>
                <w:szCs w:val="20"/>
              </w:rPr>
            </w:pPr>
            <w:r>
              <w:rPr>
                <w:color w:val="000000"/>
                <w:sz w:val="20"/>
                <w:szCs w:val="20"/>
              </w:rPr>
              <w:t>the amount and timing of payment for operating expenses, particularly research and development, sales and marketing expenses and employee benefit expenses;</w:t>
            </w:r>
          </w:p>
        </w:tc>
      </w:tr>
    </w:tbl>
    <w:p w14:paraId="4FC16F2E" w14:textId="77777777" w:rsidR="00000000" w:rsidRDefault="00B8284C">
      <w:pPr>
        <w:pStyle w:val="a3"/>
        <w:spacing w:before="240" w:beforeAutospacing="0" w:after="0" w:afterAutospacing="0"/>
        <w:jc w:val="center"/>
        <w:rPr>
          <w:sz w:val="20"/>
          <w:szCs w:val="20"/>
        </w:rPr>
      </w:pPr>
      <w:r>
        <w:rPr>
          <w:sz w:val="20"/>
          <w:szCs w:val="20"/>
        </w:rPr>
        <w:t>46</w:t>
      </w:r>
    </w:p>
    <w:p w14:paraId="4AD31599" w14:textId="77777777" w:rsidR="00000000" w:rsidRDefault="00B8284C">
      <w:pPr>
        <w:rPr>
          <w:rFonts w:eastAsia="Times New Roman"/>
        </w:rPr>
      </w:pPr>
      <w:r>
        <w:rPr>
          <w:rFonts w:eastAsia="Times New Roman"/>
        </w:rPr>
        <w:pict w14:anchorId="4263EBE2">
          <v:rect id="_x0000_i1070" style="width:0;height:1.5pt" o:hralign="center" o:hrstd="t" o:hr="t" fillcolor="#a0a0a0" stroked="f"/>
        </w:pict>
      </w:r>
    </w:p>
    <w:p w14:paraId="1EF058EA"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40EDD91" w14:textId="77777777">
        <w:trPr>
          <w:divId w:val="1403596501"/>
        </w:trPr>
        <w:tc>
          <w:tcPr>
            <w:tcW w:w="227" w:type="pct"/>
            <w:noWrap/>
            <w:hideMark/>
          </w:tcPr>
          <w:p w14:paraId="058FC3AE"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752A64D"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38C2CBBD" w14:textId="77777777" w:rsidR="00000000" w:rsidRDefault="00B8284C">
            <w:pPr>
              <w:pStyle w:val="a3"/>
              <w:spacing w:before="120" w:beforeAutospacing="0" w:after="0" w:afterAutospacing="0"/>
              <w:rPr>
                <w:color w:val="000000"/>
                <w:sz w:val="20"/>
                <w:szCs w:val="20"/>
              </w:rPr>
            </w:pPr>
            <w:r>
              <w:rPr>
                <w:color w:val="000000"/>
                <w:sz w:val="20"/>
                <w:szCs w:val="20"/>
              </w:rPr>
              <w:t>the amount and timing of costs associated with recruiting, training and integrating new employees while maintaining our company culture;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0669790" w14:textId="77777777">
        <w:tc>
          <w:tcPr>
            <w:tcW w:w="227" w:type="pct"/>
            <w:noWrap/>
            <w:hideMark/>
          </w:tcPr>
          <w:p w14:paraId="6956B739"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EC004B6"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67818F62" w14:textId="77777777" w:rsidR="00000000" w:rsidRDefault="00B8284C">
            <w:pPr>
              <w:pStyle w:val="a3"/>
              <w:spacing w:before="120" w:beforeAutospacing="0" w:after="0" w:afterAutospacing="0"/>
              <w:rPr>
                <w:color w:val="000000"/>
                <w:sz w:val="20"/>
                <w:szCs w:val="20"/>
              </w:rPr>
            </w:pPr>
            <w:r>
              <w:rPr>
                <w:color w:val="000000"/>
                <w:sz w:val="20"/>
                <w:szCs w:val="20"/>
              </w:rPr>
              <w:t xml:space="preserve">our ability to manage our existing business and future growth, including increases in the number of customers on </w:t>
            </w:r>
            <w:r>
              <w:rPr>
                <w:color w:val="000000"/>
                <w:sz w:val="20"/>
                <w:szCs w:val="20"/>
              </w:rPr>
              <w:t>our platform and the introduction and adoption of our Growth Platform in new markets outside of the United States;</w:t>
            </w:r>
          </w:p>
        </w:tc>
      </w:tr>
    </w:tbl>
    <w:p w14:paraId="2AD15DE9" w14:textId="77777777" w:rsidR="00000000" w:rsidRDefault="00B8284C">
      <w:pPr>
        <w:divId w:val="46269314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608C1C0" w14:textId="77777777">
        <w:trPr>
          <w:divId w:val="462693142"/>
        </w:trPr>
        <w:tc>
          <w:tcPr>
            <w:tcW w:w="227" w:type="pct"/>
            <w:noWrap/>
            <w:hideMark/>
          </w:tcPr>
          <w:p w14:paraId="3D0C6B04"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0725B36"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E21E987" w14:textId="77777777" w:rsidR="00000000" w:rsidRDefault="00B8284C">
            <w:pPr>
              <w:pStyle w:val="a3"/>
              <w:spacing w:before="120" w:beforeAutospacing="0" w:after="0" w:afterAutospacing="0"/>
              <w:rPr>
                <w:color w:val="000000"/>
                <w:sz w:val="20"/>
                <w:szCs w:val="20"/>
              </w:rPr>
            </w:pPr>
            <w:r>
              <w:rPr>
                <w:color w:val="000000"/>
                <w:sz w:val="20"/>
                <w:szCs w:val="20"/>
              </w:rPr>
              <w:t>unforeseen costs and expenses related to the expansion of our business, operations and infrastructure, including disruptions in our hos</w:t>
            </w:r>
            <w:r>
              <w:rPr>
                <w:color w:val="000000"/>
                <w:sz w:val="20"/>
                <w:szCs w:val="20"/>
              </w:rPr>
              <w:t>ting network infrastructure and privacy and data security;</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57653F2" w14:textId="77777777">
        <w:tc>
          <w:tcPr>
            <w:tcW w:w="227" w:type="pct"/>
            <w:noWrap/>
            <w:hideMark/>
          </w:tcPr>
          <w:p w14:paraId="28FDB732"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869C7D7"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7D24524D" w14:textId="77777777" w:rsidR="00000000" w:rsidRDefault="00B8284C">
            <w:pPr>
              <w:pStyle w:val="a3"/>
              <w:spacing w:before="120" w:beforeAutospacing="0" w:after="0" w:afterAutospacing="0"/>
              <w:rPr>
                <w:color w:val="000000"/>
                <w:sz w:val="20"/>
                <w:szCs w:val="20"/>
              </w:rPr>
            </w:pPr>
            <w:r>
              <w:rPr>
                <w:color w:val="000000"/>
                <w:sz w:val="20"/>
                <w:szCs w:val="20"/>
              </w:rPr>
              <w:t>foreign currency exchange rate fluctuations; and</w:t>
            </w:r>
          </w:p>
        </w:tc>
      </w:tr>
    </w:tbl>
    <w:p w14:paraId="577F7468" w14:textId="77777777" w:rsidR="00000000" w:rsidRDefault="00B8284C">
      <w:pPr>
        <w:divId w:val="167591619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F687626" w14:textId="77777777">
        <w:trPr>
          <w:divId w:val="1675916190"/>
        </w:trPr>
        <w:tc>
          <w:tcPr>
            <w:tcW w:w="227" w:type="pct"/>
            <w:noWrap/>
            <w:hideMark/>
          </w:tcPr>
          <w:p w14:paraId="4FA19F9C"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674F7BF"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0510638" w14:textId="77777777" w:rsidR="00000000" w:rsidRDefault="00B8284C">
            <w:pPr>
              <w:pStyle w:val="a3"/>
              <w:spacing w:before="120" w:beforeAutospacing="0" w:after="0" w:afterAutospacing="0"/>
              <w:rPr>
                <w:color w:val="000000"/>
                <w:sz w:val="20"/>
                <w:szCs w:val="20"/>
              </w:rPr>
            </w:pPr>
            <w:r>
              <w:rPr>
                <w:color w:val="000000"/>
                <w:sz w:val="20"/>
                <w:szCs w:val="20"/>
              </w:rPr>
              <w:t>general economic and political conditions in our domestic and international markets.</w:t>
            </w:r>
          </w:p>
        </w:tc>
      </w:tr>
    </w:tbl>
    <w:p w14:paraId="7589678B" w14:textId="77777777" w:rsidR="00000000" w:rsidRDefault="00B8284C">
      <w:pPr>
        <w:pStyle w:val="a3"/>
        <w:spacing w:before="240" w:beforeAutospacing="0" w:after="0" w:afterAutospacing="0"/>
        <w:ind w:firstLine="556"/>
        <w:rPr>
          <w:color w:val="000000"/>
          <w:sz w:val="20"/>
          <w:szCs w:val="20"/>
        </w:rPr>
      </w:pPr>
      <w:r>
        <w:rPr>
          <w:color w:val="000000"/>
          <w:sz w:val="20"/>
          <w:szCs w:val="20"/>
        </w:rPr>
        <w:t>We may not be able to accurately forecast the amount and mix of future subscriptions, revenue and expenses and, as a result, our operating results may fall below our esti</w:t>
      </w:r>
      <w:r>
        <w:rPr>
          <w:color w:val="000000"/>
          <w:sz w:val="20"/>
          <w:szCs w:val="20"/>
        </w:rPr>
        <w:t>mates or the expectations of public market analysts and investors. If our revenue or operating results fall below the expectations of investors or securities analysts, or below any guidance we may provide, the price of our common stock could decline.</w:t>
      </w:r>
    </w:p>
    <w:p w14:paraId="3356343C"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If we</w:t>
      </w:r>
      <w:r>
        <w:rPr>
          <w:b/>
          <w:bCs/>
          <w:i/>
          <w:iCs/>
          <w:color w:val="000000"/>
          <w:sz w:val="20"/>
          <w:szCs w:val="20"/>
        </w:rPr>
        <w:t xml:space="preserve"> do not accurately predict subscription renewal rates or otherwise fail to forecast our revenue accurately, or if we fail to match our expenditures with corresponding revenue, our operating results could be adversely affected.</w:t>
      </w:r>
    </w:p>
    <w:p w14:paraId="0D1EBBA4" w14:textId="77777777" w:rsidR="00000000" w:rsidRDefault="00B8284C">
      <w:pPr>
        <w:pStyle w:val="a3"/>
        <w:spacing w:before="120" w:beforeAutospacing="0" w:after="0" w:afterAutospacing="0"/>
        <w:ind w:firstLine="556"/>
        <w:rPr>
          <w:color w:val="000000"/>
          <w:sz w:val="20"/>
          <w:szCs w:val="20"/>
        </w:rPr>
      </w:pPr>
      <w:r>
        <w:rPr>
          <w:color w:val="000000"/>
          <w:sz w:val="20"/>
          <w:szCs w:val="20"/>
        </w:rPr>
        <w:t>Because our recent growth has</w:t>
      </w:r>
      <w:r>
        <w:rPr>
          <w:color w:val="000000"/>
          <w:sz w:val="20"/>
          <w:szCs w:val="20"/>
        </w:rPr>
        <w:t xml:space="preserve"> resulted in the rapid expansion of our business, we do not have a long history upon which to base forecasts of renewal rates with customers or future operating revenue. As a result, our operating results in future reporting periods may be significantly be</w:t>
      </w:r>
      <w:r>
        <w:rPr>
          <w:color w:val="000000"/>
          <w:sz w:val="20"/>
          <w:szCs w:val="20"/>
        </w:rPr>
        <w:t>low the expectations of the public market, equity research analysts or investors, which could harm the price of our common stock.</w:t>
      </w:r>
    </w:p>
    <w:p w14:paraId="6F112DE2"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Because we generally recognize revenue from subscriptions ratably over the term of the agreement, near term changes in sales m</w:t>
      </w:r>
      <w:r>
        <w:rPr>
          <w:b/>
          <w:bCs/>
          <w:i/>
          <w:iCs/>
          <w:color w:val="000000"/>
          <w:sz w:val="20"/>
          <w:szCs w:val="20"/>
        </w:rPr>
        <w:t>ay not be reflected immediately in our operating results.</w:t>
      </w:r>
    </w:p>
    <w:p w14:paraId="011A36DC"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We offer our Growth Platform primarily through a mix of monthly, quarterly and single-year subscription agreements and generally recognize revenue ratably over the related subscription period. As a </w:t>
      </w:r>
      <w:r>
        <w:rPr>
          <w:color w:val="000000"/>
          <w:sz w:val="20"/>
          <w:szCs w:val="20"/>
        </w:rPr>
        <w:t>result, much of the revenue we report in each quarter is derived from agreements entered into during prior months, quarters or years. In addition, we do not record deferred revenue beyond amounts invoiced as a liability on our balance sheet. A decline in n</w:t>
      </w:r>
      <w:r>
        <w:rPr>
          <w:color w:val="000000"/>
          <w:sz w:val="20"/>
          <w:szCs w:val="20"/>
        </w:rPr>
        <w:t>ew or renewed subscriptions or marketing solutions agreements in any one quarter is not likely to be reflected immediately in our revenue results for that quarter. Such declines, however, would negatively affect our revenue and deferred revenue balances in</w:t>
      </w:r>
      <w:r>
        <w:rPr>
          <w:color w:val="000000"/>
          <w:sz w:val="20"/>
          <w:szCs w:val="20"/>
        </w:rPr>
        <w:t xml:space="preserve"> future periods, and the effect of significant downturns in sales and market acceptance of our platform, and potential changes in our rate of renewals, may not be fully reflected in our results of operations until future periods. Our subscription model als</w:t>
      </w:r>
      <w:r>
        <w:rPr>
          <w:color w:val="000000"/>
          <w:sz w:val="20"/>
          <w:szCs w:val="20"/>
        </w:rPr>
        <w:t>o makes it difficult for us to rapidly increase our total revenue and deferred revenue balance through additional sales in any period, as revenue from new customers must be recognized over the applicable subscription term.</w:t>
      </w:r>
    </w:p>
    <w:p w14:paraId="65B73DDB"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 xml:space="preserve">Servicing our debt may require a </w:t>
      </w:r>
      <w:r>
        <w:rPr>
          <w:b/>
          <w:bCs/>
          <w:i/>
          <w:iCs/>
          <w:color w:val="000000"/>
          <w:sz w:val="20"/>
          <w:szCs w:val="20"/>
        </w:rPr>
        <w:t>significant amount of cash.  We may not have sufficient cash flow from our business to pay our indebtedness, and we may not have the ability to raise the funds necessary to settle for cash conversions of the 2022 Notes or to repurchase the 2022 Notes for c</w:t>
      </w:r>
      <w:r>
        <w:rPr>
          <w:b/>
          <w:bCs/>
          <w:i/>
          <w:iCs/>
          <w:color w:val="000000"/>
          <w:sz w:val="20"/>
          <w:szCs w:val="20"/>
        </w:rPr>
        <w:t>ash upon a fundamental change, which could adversely affect our business and results of operations.</w:t>
      </w:r>
    </w:p>
    <w:p w14:paraId="41CCF3A5"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We incurred indebtedness in the aggregate principal amount of $400.0 million in connection with the issuance of our 0.25% convertible senior notes due June </w:t>
      </w:r>
      <w:r>
        <w:rPr>
          <w:color w:val="000000"/>
          <w:sz w:val="20"/>
          <w:szCs w:val="20"/>
        </w:rPr>
        <w:t>1, 2022 (the “2022 Notes”). Our ability to make scheduled payments of the principal of, to pay interest on or to refinance our indebtedness, including the 2022 Notes, depends on our future performance, which is subject to economic, financial, competitive a</w:t>
      </w:r>
      <w:r>
        <w:rPr>
          <w:color w:val="000000"/>
          <w:sz w:val="20"/>
          <w:szCs w:val="20"/>
        </w:rPr>
        <w:t>nd other factors beyond our control. Our business may not continue to generate cash flow from operations in the future sufficient to service our debt and make necessary capital expenditures. If we are unable to generate such cash flow, we may be required t</w:t>
      </w:r>
      <w:r>
        <w:rPr>
          <w:color w:val="000000"/>
          <w:sz w:val="20"/>
          <w:szCs w:val="20"/>
        </w:rPr>
        <w:t>o adopt one or more alternatives, such as selling assets, restructuring debt or obtaining additional debt financing or equity capital on terms that may be onerous or highly dilutive. Our ability to refinance any future indebtedness will depend on the capit</w:t>
      </w:r>
      <w:r>
        <w:rPr>
          <w:color w:val="000000"/>
          <w:sz w:val="20"/>
          <w:szCs w:val="20"/>
        </w:rPr>
        <w:t>al markets and our financial condition at such time. We may not be able to engage in any of these activities or engage in these activities on desirable terms, which could result in a default on our debt obligations. In addition, any of our future debt agre</w:t>
      </w:r>
      <w:r>
        <w:rPr>
          <w:color w:val="000000"/>
          <w:sz w:val="20"/>
          <w:szCs w:val="20"/>
        </w:rPr>
        <w:t>ements may contain restrictive covenants that may prohibit us from adopting any of these alternatives. Our failure to comply with these covenants could result in an event of default which, if not cured or waived, could result in the acceleration of our deb</w:t>
      </w:r>
      <w:r>
        <w:rPr>
          <w:color w:val="000000"/>
          <w:sz w:val="20"/>
          <w:szCs w:val="20"/>
        </w:rPr>
        <w:t>t.</w:t>
      </w:r>
    </w:p>
    <w:p w14:paraId="6EABD442" w14:textId="77777777" w:rsidR="00000000" w:rsidRDefault="00B8284C">
      <w:pPr>
        <w:pStyle w:val="a3"/>
        <w:spacing w:before="240" w:beforeAutospacing="0" w:after="0" w:afterAutospacing="0"/>
        <w:jc w:val="center"/>
        <w:rPr>
          <w:sz w:val="20"/>
          <w:szCs w:val="20"/>
        </w:rPr>
      </w:pPr>
      <w:r>
        <w:rPr>
          <w:sz w:val="20"/>
          <w:szCs w:val="20"/>
        </w:rPr>
        <w:t>47</w:t>
      </w:r>
    </w:p>
    <w:p w14:paraId="50FAE794" w14:textId="77777777" w:rsidR="00000000" w:rsidRDefault="00B8284C">
      <w:pPr>
        <w:rPr>
          <w:rFonts w:eastAsia="Times New Roman"/>
        </w:rPr>
      </w:pPr>
      <w:r>
        <w:rPr>
          <w:rFonts w:eastAsia="Times New Roman"/>
        </w:rPr>
        <w:pict w14:anchorId="0E5D0975">
          <v:rect id="_x0000_i1071" style="width:0;height:1.5pt" o:hralign="center" o:hrstd="t" o:hr="t" fillcolor="#a0a0a0" stroked="f"/>
        </w:pict>
      </w:r>
    </w:p>
    <w:p w14:paraId="4492FF7E" w14:textId="77777777" w:rsidR="00000000" w:rsidRDefault="00B8284C">
      <w:pPr>
        <w:pStyle w:val="a3"/>
        <w:spacing w:before="0" w:beforeAutospacing="0" w:after="0" w:afterAutospacing="0"/>
        <w:rPr>
          <w:sz w:val="20"/>
          <w:szCs w:val="20"/>
        </w:rPr>
      </w:pPr>
      <w:r>
        <w:rPr>
          <w:sz w:val="20"/>
          <w:szCs w:val="20"/>
        </w:rPr>
        <w:t> </w:t>
      </w:r>
    </w:p>
    <w:p w14:paraId="56605FBC"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holders of the 2022 Notes have the right to require us to repurchase their 2022 Notes upon the occurrence of a fundamental change at a fundamental change repurchase price equal to 100% of the principal amount of the 2022 Notes to be repurchase</w:t>
      </w:r>
      <w:r>
        <w:rPr>
          <w:color w:val="000000"/>
          <w:sz w:val="20"/>
          <w:szCs w:val="20"/>
        </w:rPr>
        <w:t>d, plus accrued and unpaid interest, if any.  Upon conversion of the 2022 Notes, unless we elect to deliver solely shares of our common stock to settle such conversion (other than paying cash in lieu of delivering any fractional share), we will be required</w:t>
      </w:r>
      <w:r>
        <w:rPr>
          <w:color w:val="000000"/>
          <w:sz w:val="20"/>
          <w:szCs w:val="20"/>
        </w:rPr>
        <w:t xml:space="preserve"> to make cash payments in respect of the 2022 Notes being converted.  We may not have enough available cash or be able to obtain financing at the time we are required to make repurchases of 2022 Notes surrendered therefor or 2022 Notes being converted. In </w:t>
      </w:r>
      <w:r>
        <w:rPr>
          <w:color w:val="000000"/>
          <w:sz w:val="20"/>
          <w:szCs w:val="20"/>
        </w:rPr>
        <w:t xml:space="preserve">addition, our ability to repurchase the 2022 Notes or to pay cash upon conversions of the 2022 Notes may be limited by law, by regulatory authority or by agreements governing our future indebtedness. Our failure to repurchase 2022 Notes at a time when the </w:t>
      </w:r>
      <w:r>
        <w:rPr>
          <w:color w:val="000000"/>
          <w:sz w:val="20"/>
          <w:szCs w:val="20"/>
        </w:rPr>
        <w:t>repurchase is required by the indenture governing the notes or to pay any cash payable on future conversions of the 2022 Notes as required by such indenture would constitute a default under such indenture. A default under the indenture or the fundamental c</w:t>
      </w:r>
      <w:r>
        <w:rPr>
          <w:color w:val="000000"/>
          <w:sz w:val="20"/>
          <w:szCs w:val="20"/>
        </w:rPr>
        <w:t>hange itself could also lead to a default under agreements governing our future indebtedness. If the repayment of the related indebtedness were to be accelerated after any applicable notice or grace periods, we may not have sufficient funds to repay the in</w:t>
      </w:r>
      <w:r>
        <w:rPr>
          <w:color w:val="000000"/>
          <w:sz w:val="20"/>
          <w:szCs w:val="20"/>
        </w:rPr>
        <w:t>debtedness and repurchase the 2022 Notes or make cash payments upon conversions thereof.</w:t>
      </w:r>
    </w:p>
    <w:p w14:paraId="4A459CC4"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our indebtedness, combined with our other financial obligations and contractual commitments, could have other important consequences.  For example, it cou</w:t>
      </w:r>
      <w:r>
        <w:rPr>
          <w:color w:val="000000"/>
          <w:sz w:val="20"/>
          <w:szCs w:val="20"/>
        </w:rPr>
        <w:t>ld:</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3C5A3D3" w14:textId="77777777">
        <w:trPr>
          <w:divId w:val="574583224"/>
        </w:trPr>
        <w:tc>
          <w:tcPr>
            <w:tcW w:w="227" w:type="pct"/>
            <w:noWrap/>
            <w:hideMark/>
          </w:tcPr>
          <w:p w14:paraId="6B9BF380"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8D96FB5"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89F567C" w14:textId="77777777" w:rsidR="00000000" w:rsidRDefault="00B8284C">
            <w:pPr>
              <w:pStyle w:val="a3"/>
              <w:spacing w:before="120" w:beforeAutospacing="0" w:after="0" w:afterAutospacing="0"/>
              <w:rPr>
                <w:color w:val="000000"/>
                <w:sz w:val="20"/>
                <w:szCs w:val="20"/>
              </w:rPr>
            </w:pPr>
            <w:r>
              <w:rPr>
                <w:color w:val="000000"/>
                <w:sz w:val="20"/>
                <w:szCs w:val="20"/>
              </w:rPr>
              <w:t>make us more vulnerable to adverse changes in general U.S. and worldwide economic, industry and competitive conditions and adverse changes in government regulation;</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11FFD5F" w14:textId="77777777">
        <w:tc>
          <w:tcPr>
            <w:tcW w:w="227" w:type="pct"/>
            <w:noWrap/>
            <w:hideMark/>
          </w:tcPr>
          <w:p w14:paraId="502A81C9"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9C1D556"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6C220B7F" w14:textId="77777777" w:rsidR="00000000" w:rsidRDefault="00B8284C">
            <w:pPr>
              <w:pStyle w:val="a3"/>
              <w:spacing w:before="120" w:beforeAutospacing="0" w:after="0" w:afterAutospacing="0"/>
              <w:rPr>
                <w:color w:val="000000"/>
                <w:sz w:val="20"/>
                <w:szCs w:val="20"/>
              </w:rPr>
            </w:pPr>
            <w:r>
              <w:rPr>
                <w:color w:val="000000"/>
                <w:sz w:val="20"/>
                <w:szCs w:val="20"/>
              </w:rPr>
              <w:t>limit our flexibility in planning for, or reacting to, changes in our busines</w:t>
            </w:r>
            <w:r>
              <w:rPr>
                <w:color w:val="000000"/>
                <w:sz w:val="20"/>
                <w:szCs w:val="20"/>
              </w:rPr>
              <w:t>s and our industry;</w:t>
            </w:r>
          </w:p>
        </w:tc>
      </w:tr>
    </w:tbl>
    <w:p w14:paraId="734817A0" w14:textId="77777777" w:rsidR="00000000" w:rsidRDefault="00B8284C">
      <w:pPr>
        <w:divId w:val="94955504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33C4AD3" w14:textId="77777777">
        <w:trPr>
          <w:divId w:val="949555041"/>
        </w:trPr>
        <w:tc>
          <w:tcPr>
            <w:tcW w:w="227" w:type="pct"/>
            <w:noWrap/>
            <w:hideMark/>
          </w:tcPr>
          <w:p w14:paraId="2FBF478B"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828610F"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02053D1" w14:textId="77777777" w:rsidR="00000000" w:rsidRDefault="00B8284C">
            <w:pPr>
              <w:pStyle w:val="a3"/>
              <w:spacing w:before="120" w:beforeAutospacing="0" w:after="0" w:afterAutospacing="0"/>
              <w:rPr>
                <w:color w:val="000000"/>
                <w:sz w:val="20"/>
                <w:szCs w:val="20"/>
              </w:rPr>
            </w:pPr>
            <w:r>
              <w:rPr>
                <w:color w:val="000000"/>
                <w:sz w:val="20"/>
                <w:szCs w:val="20"/>
              </w:rPr>
              <w:t>place us at a disadvantage compared to our competitors who have less debt;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5C78F99" w14:textId="77777777">
        <w:tc>
          <w:tcPr>
            <w:tcW w:w="227" w:type="pct"/>
            <w:noWrap/>
            <w:hideMark/>
          </w:tcPr>
          <w:p w14:paraId="0B0F4896"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460645A"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60F6C3EF" w14:textId="77777777" w:rsidR="00000000" w:rsidRDefault="00B8284C">
            <w:pPr>
              <w:pStyle w:val="a3"/>
              <w:spacing w:before="120" w:beforeAutospacing="0" w:after="0" w:afterAutospacing="0"/>
              <w:rPr>
                <w:color w:val="000000"/>
                <w:sz w:val="20"/>
                <w:szCs w:val="20"/>
              </w:rPr>
            </w:pPr>
            <w:r>
              <w:rPr>
                <w:color w:val="000000"/>
                <w:sz w:val="20"/>
                <w:szCs w:val="20"/>
              </w:rPr>
              <w:t>limit our ability to borrow additional amounts to fund acquisitions, for working capital and for other general corporate purposes.</w:t>
            </w:r>
          </w:p>
        </w:tc>
      </w:tr>
    </w:tbl>
    <w:p w14:paraId="03DCD061" w14:textId="77777777" w:rsidR="00000000" w:rsidRDefault="00B8284C">
      <w:pPr>
        <w:pStyle w:val="a3"/>
        <w:spacing w:before="240" w:beforeAutospacing="0" w:after="0" w:afterAutospacing="0"/>
        <w:ind w:firstLine="556"/>
        <w:rPr>
          <w:color w:val="000000"/>
          <w:sz w:val="20"/>
          <w:szCs w:val="20"/>
        </w:rPr>
      </w:pPr>
      <w:r>
        <w:rPr>
          <w:color w:val="000000"/>
          <w:sz w:val="20"/>
          <w:szCs w:val="20"/>
        </w:rPr>
        <w:t>Any of these factors could materially and adversely affect our business, financial condition and results of operations. In addition, if we incur additional indebtedness, the risks related to our business and our ability to service or repay our indebtedness</w:t>
      </w:r>
      <w:r>
        <w:rPr>
          <w:color w:val="000000"/>
          <w:sz w:val="20"/>
          <w:szCs w:val="20"/>
        </w:rPr>
        <w:t xml:space="preserve"> would increase.</w:t>
      </w:r>
    </w:p>
    <w:p w14:paraId="4932CD03"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The conditional conversion feature of the 2022 Notes, if triggered, may adversely affect our financial condition and operating results.</w:t>
      </w:r>
    </w:p>
    <w:p w14:paraId="3CEFD9A3" w14:textId="77777777" w:rsidR="00000000" w:rsidRDefault="00B8284C">
      <w:pPr>
        <w:pStyle w:val="a3"/>
        <w:spacing w:before="120" w:beforeAutospacing="0" w:after="0" w:afterAutospacing="0"/>
        <w:ind w:firstLine="556"/>
        <w:rPr>
          <w:color w:val="000000"/>
          <w:sz w:val="20"/>
          <w:szCs w:val="20"/>
        </w:rPr>
      </w:pPr>
      <w:r>
        <w:rPr>
          <w:color w:val="000000"/>
          <w:sz w:val="20"/>
          <w:szCs w:val="20"/>
        </w:rPr>
        <w:t>In the event the conditional conversion feature of the 2022 Notes is triggered, holders of 2022 Notes w</w:t>
      </w:r>
      <w:r>
        <w:rPr>
          <w:color w:val="000000"/>
          <w:sz w:val="20"/>
          <w:szCs w:val="20"/>
        </w:rPr>
        <w:t>ill be entitled to convert the 2022 Notes at any time during specified periods at their option. Because the last reported sale price of our common stock for at least 20 trading days during the period of 30 consecutive trading days ending on the last tradin</w:t>
      </w:r>
      <w:r>
        <w:rPr>
          <w:color w:val="000000"/>
          <w:sz w:val="20"/>
          <w:szCs w:val="20"/>
        </w:rPr>
        <w:t>g day of the calendar quarter ended September 30, 2019 was equal to or greater than 130% of the applicable conversion price on each applicable trading day, the 2022 Notes are convertible at the option of the holders thereof during the calendar quarter endi</w:t>
      </w:r>
      <w:r>
        <w:rPr>
          <w:color w:val="000000"/>
          <w:sz w:val="20"/>
          <w:szCs w:val="20"/>
        </w:rPr>
        <w:t>ng December 31 , 2019. As of November 1, 2019, the Company has received conversion notices for approximately $8 thousand of the principal balance of the 2022 Notes, which will be settled in cash during the quarter ended December 31, 2019.Whether the 2022 N</w:t>
      </w:r>
      <w:r>
        <w:rPr>
          <w:color w:val="000000"/>
          <w:sz w:val="20"/>
          <w:szCs w:val="20"/>
        </w:rPr>
        <w:t>otes will be convertible following such calendar quarter will depend on the continued satisfaction of this condition or another conversion condition in the future. If one or more holders elect to convert their 2022 Notes, unless we elect to satisfy our con</w:t>
      </w:r>
      <w:r>
        <w:rPr>
          <w:color w:val="000000"/>
          <w:sz w:val="20"/>
          <w:szCs w:val="20"/>
        </w:rPr>
        <w:t>version obligation by delivering solely shares of our common stock (other than paying cash in lieu of delivering any fractional share), we would be required to settle a portion or all of our conversion obligation through the payment of cash, which could ad</w:t>
      </w:r>
      <w:r>
        <w:rPr>
          <w:color w:val="000000"/>
          <w:sz w:val="20"/>
          <w:szCs w:val="20"/>
        </w:rPr>
        <w:t>versely affect our liquidity. In addition, even if holders do not elect to convert their 2022 Notes, we could be required under applicable accounting rules to reclassify all or a portion of the outstanding principal of the 2022 Notes as a current rather th</w:t>
      </w:r>
      <w:r>
        <w:rPr>
          <w:color w:val="000000"/>
          <w:sz w:val="20"/>
          <w:szCs w:val="20"/>
        </w:rPr>
        <w:t>an long-term liability, which would result in a material reduction of our net working capital.</w:t>
      </w:r>
    </w:p>
    <w:p w14:paraId="587D0B1E"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The accounting method for convertible debt securities that may be settled in cash, such as the 2022 Notes, could have a material effect on our reported financial</w:t>
      </w:r>
      <w:r>
        <w:rPr>
          <w:b/>
          <w:bCs/>
          <w:i/>
          <w:iCs/>
          <w:color w:val="000000"/>
          <w:sz w:val="20"/>
          <w:szCs w:val="20"/>
        </w:rPr>
        <w:t xml:space="preserve"> results.</w:t>
      </w:r>
    </w:p>
    <w:p w14:paraId="502073FC" w14:textId="77777777" w:rsidR="00000000" w:rsidRDefault="00B8284C">
      <w:pPr>
        <w:pStyle w:val="a3"/>
        <w:spacing w:before="120" w:beforeAutospacing="0" w:after="0" w:afterAutospacing="0"/>
        <w:ind w:firstLine="556"/>
        <w:rPr>
          <w:color w:val="000000"/>
          <w:sz w:val="20"/>
          <w:szCs w:val="20"/>
        </w:rPr>
      </w:pPr>
      <w:r>
        <w:rPr>
          <w:color w:val="000000"/>
          <w:sz w:val="20"/>
          <w:szCs w:val="20"/>
        </w:rPr>
        <w:t xml:space="preserve">Under Financial Accounting Standards Board Accounting Standards Codification 470-20, </w:t>
      </w:r>
      <w:r>
        <w:rPr>
          <w:i/>
          <w:iCs/>
          <w:color w:val="000000"/>
          <w:sz w:val="20"/>
          <w:szCs w:val="20"/>
        </w:rPr>
        <w:t>Debt with Conversion and Other Options</w:t>
      </w:r>
      <w:r>
        <w:rPr>
          <w:color w:val="000000"/>
          <w:sz w:val="20"/>
          <w:szCs w:val="20"/>
        </w:rPr>
        <w:t>, which we refer to as ASC 470-20, an entity must separately account for the liability and equity components of convertible</w:t>
      </w:r>
      <w:r>
        <w:rPr>
          <w:color w:val="000000"/>
          <w:sz w:val="20"/>
          <w:szCs w:val="20"/>
        </w:rPr>
        <w:t xml:space="preserve"> debt instruments (such as the 2022 Notes) that may be settled entirely or partially in cash upon conversion in a manner that reflects the issuer’s economic interest cost. ASC 470-20 requires the value of the conversion option of the 2022 Notes, representi</w:t>
      </w:r>
      <w:r>
        <w:rPr>
          <w:color w:val="000000"/>
          <w:sz w:val="20"/>
          <w:szCs w:val="20"/>
        </w:rPr>
        <w:t>ng the equity component, to be recorded as additional paid-in capital within stockholders’ equity in our consolidated balance sheet and as a discount to the 2022 Notes, which reduces their initial carrying value. The carrying value of the 2022 Notes, net o</w:t>
      </w:r>
      <w:r>
        <w:rPr>
          <w:color w:val="000000"/>
          <w:sz w:val="20"/>
          <w:szCs w:val="20"/>
        </w:rPr>
        <w:t>f the discount recorded, will be accreted up to the principal amount of the 2022 Notes from the issuance date until maturity, which will result in non-cash charges to interest expense in our consolidated statement of operations. Accordingly, we will report</w:t>
      </w:r>
      <w:r>
        <w:rPr>
          <w:color w:val="000000"/>
          <w:sz w:val="20"/>
          <w:szCs w:val="20"/>
        </w:rPr>
        <w:t xml:space="preserve"> lower net income or higher net loss in our financial results because ASC 470-20 requires interest to include both the current period’s accretion of the debt discount and the instrument’s coupon interest, which could adversely affect our reported or future</w:t>
      </w:r>
      <w:r>
        <w:rPr>
          <w:color w:val="000000"/>
          <w:sz w:val="20"/>
          <w:szCs w:val="20"/>
        </w:rPr>
        <w:t xml:space="preserve"> financial results, the trading price of our common stock and the trading price of the 2022 Notes.   </w:t>
      </w:r>
    </w:p>
    <w:p w14:paraId="080E6E94" w14:textId="77777777" w:rsidR="00000000" w:rsidRDefault="00B8284C">
      <w:pPr>
        <w:pStyle w:val="a3"/>
        <w:spacing w:before="240" w:beforeAutospacing="0" w:after="0" w:afterAutospacing="0"/>
        <w:jc w:val="center"/>
        <w:rPr>
          <w:sz w:val="20"/>
          <w:szCs w:val="20"/>
        </w:rPr>
      </w:pPr>
      <w:r>
        <w:rPr>
          <w:sz w:val="20"/>
          <w:szCs w:val="20"/>
        </w:rPr>
        <w:t>48</w:t>
      </w:r>
    </w:p>
    <w:p w14:paraId="2CB4EA0D" w14:textId="77777777" w:rsidR="00000000" w:rsidRDefault="00B8284C">
      <w:pPr>
        <w:rPr>
          <w:rFonts w:eastAsia="Times New Roman"/>
        </w:rPr>
      </w:pPr>
      <w:r>
        <w:rPr>
          <w:rFonts w:eastAsia="Times New Roman"/>
        </w:rPr>
        <w:pict w14:anchorId="22408481">
          <v:rect id="_x0000_i1072" style="width:0;height:1.5pt" o:hralign="center" o:hrstd="t" o:hr="t" fillcolor="#a0a0a0" stroked="f"/>
        </w:pict>
      </w:r>
    </w:p>
    <w:p w14:paraId="3383B6BC" w14:textId="77777777" w:rsidR="00000000" w:rsidRDefault="00B8284C">
      <w:pPr>
        <w:pStyle w:val="a3"/>
        <w:spacing w:before="0" w:beforeAutospacing="0" w:after="0" w:afterAutospacing="0"/>
        <w:rPr>
          <w:sz w:val="20"/>
          <w:szCs w:val="20"/>
        </w:rPr>
      </w:pPr>
      <w:r>
        <w:rPr>
          <w:sz w:val="20"/>
          <w:szCs w:val="20"/>
        </w:rPr>
        <w:t> </w:t>
      </w:r>
    </w:p>
    <w:p w14:paraId="5F06251C"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under certain circumstances, convertible debt instruments (such as the 2022 Notes) that may be sett</w:t>
      </w:r>
      <w:r>
        <w:rPr>
          <w:color w:val="000000"/>
          <w:sz w:val="20"/>
          <w:szCs w:val="20"/>
        </w:rPr>
        <w:t>led entirely or partly in cash are currently accounted for utilizing the treasury stock method, the effect of which is that the shares issuable upon conversion of the 2022 Notes are not included in the calculation of diluted earnings per share except to th</w:t>
      </w:r>
      <w:r>
        <w:rPr>
          <w:color w:val="000000"/>
          <w:sz w:val="20"/>
          <w:szCs w:val="20"/>
        </w:rPr>
        <w:t>e extent that the conversion value of the 2022 Notes exceeds their principal amount. Under the treasury stock method, for diluted earnings per share purposes, the transaction is accounted for as if the number of shares of common stock that would be necessa</w:t>
      </w:r>
      <w:r>
        <w:rPr>
          <w:color w:val="000000"/>
          <w:sz w:val="20"/>
          <w:szCs w:val="20"/>
        </w:rPr>
        <w:t>ry to settle such excess, if we elected to settle such excess in shares, are issued. We cannot be sure that the accounting standards in the future will continue to permit the use of the treasury stock method. If we are unable to use the treasury stock meth</w:t>
      </w:r>
      <w:r>
        <w:rPr>
          <w:color w:val="000000"/>
          <w:sz w:val="20"/>
          <w:szCs w:val="20"/>
        </w:rPr>
        <w:t>od in accounting for the shares issuable upon conversion of the 2022 Notes, then our diluted earnings per share would be adversely affected.</w:t>
      </w:r>
    </w:p>
    <w:p w14:paraId="09CA82B6"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We are exposed to fluctuations in currency exchange rates.</w:t>
      </w:r>
    </w:p>
    <w:p w14:paraId="390523EF" w14:textId="77777777" w:rsidR="00000000" w:rsidRDefault="00B8284C">
      <w:pPr>
        <w:pStyle w:val="a3"/>
        <w:spacing w:before="120" w:beforeAutospacing="0" w:after="0" w:afterAutospacing="0"/>
        <w:ind w:firstLine="556"/>
        <w:rPr>
          <w:color w:val="000000"/>
          <w:sz w:val="20"/>
          <w:szCs w:val="20"/>
        </w:rPr>
      </w:pPr>
      <w:r>
        <w:rPr>
          <w:color w:val="000000"/>
          <w:sz w:val="20"/>
          <w:szCs w:val="20"/>
        </w:rPr>
        <w:t>We face exposure to movements in currency exchange rates</w:t>
      </w:r>
      <w:r>
        <w:rPr>
          <w:color w:val="000000"/>
          <w:sz w:val="20"/>
          <w:szCs w:val="20"/>
        </w:rPr>
        <w:t>, which may cause our revenue and operating results to differ materially from expectations. As we have expanded our international operations our exposure exchange rate fluctuations has increased, in particular with respect to the Euro, British Pound Sterli</w:t>
      </w:r>
      <w:r>
        <w:rPr>
          <w:color w:val="000000"/>
          <w:sz w:val="20"/>
          <w:szCs w:val="20"/>
        </w:rPr>
        <w:t>ng, Australian Dollar, Singapore Dollar, Japanese Yen and Colombian Peso. As exchange rates vary, revenue, cost of revenue, operating expenses and other operating results, when re-measured, may differ materially from expectations. In addition, our operatin</w:t>
      </w:r>
      <w:r>
        <w:rPr>
          <w:color w:val="000000"/>
          <w:sz w:val="20"/>
          <w:szCs w:val="20"/>
        </w:rPr>
        <w:t>g results are subject to fluctuation if our mix of U.S. and foreign currency denominated transactions and expenses changes in the future. Furthermore, global political events, including Brexit and similar geopolitical developments, fluctuating commodity pr</w:t>
      </w:r>
      <w:r>
        <w:rPr>
          <w:color w:val="000000"/>
          <w:sz w:val="20"/>
          <w:szCs w:val="20"/>
        </w:rPr>
        <w:t>ices and trade tariff developments, have caused global economic uncertainty, which could amplify the volatility of currency fluctuations. Such volatility, even when it increases our revenues or decreases our expenses, impacts our ability to predict our fut</w:t>
      </w:r>
      <w:r>
        <w:rPr>
          <w:color w:val="000000"/>
          <w:sz w:val="20"/>
          <w:szCs w:val="20"/>
        </w:rPr>
        <w:t>ure results and earnings accurately. Although we may apply certain strategies to mitigate foreign currency risk, these strategies might not eliminate our exposure to foreign exchange rate fluctuations and would involve costs and risks of their own, such as</w:t>
      </w:r>
      <w:r>
        <w:rPr>
          <w:color w:val="000000"/>
          <w:sz w:val="20"/>
          <w:szCs w:val="20"/>
        </w:rPr>
        <w:t xml:space="preserve"> ongoing management time and expertise, external costs to implement the strategies and potential accounting implications. Additionally, as we anticipate growing our business further outside of the United States, the effects of movements in currency exchang</w:t>
      </w:r>
      <w:r>
        <w:rPr>
          <w:color w:val="000000"/>
          <w:sz w:val="20"/>
          <w:szCs w:val="20"/>
        </w:rPr>
        <w:t>e rates will increase as our transaction volume outside of the United States increases.</w:t>
      </w:r>
    </w:p>
    <w:p w14:paraId="15405AEC" w14:textId="77777777" w:rsidR="00000000" w:rsidRDefault="00B8284C">
      <w:pPr>
        <w:pStyle w:val="a3"/>
        <w:spacing w:before="360" w:beforeAutospacing="0" w:after="0" w:afterAutospacing="0"/>
        <w:rPr>
          <w:b/>
          <w:bCs/>
          <w:sz w:val="20"/>
          <w:szCs w:val="20"/>
        </w:rPr>
      </w:pPr>
      <w:r>
        <w:rPr>
          <w:b/>
          <w:bCs/>
          <w:sz w:val="20"/>
          <w:szCs w:val="20"/>
        </w:rPr>
        <w:t>Risks Related to Our Common Stock</w:t>
      </w:r>
    </w:p>
    <w:p w14:paraId="60ECD411" w14:textId="77777777" w:rsidR="00000000" w:rsidRDefault="00B8284C">
      <w:pPr>
        <w:pStyle w:val="a3"/>
        <w:spacing w:before="120" w:beforeAutospacing="0" w:after="0" w:afterAutospacing="0"/>
        <w:rPr>
          <w:b/>
          <w:bCs/>
          <w:i/>
          <w:iCs/>
          <w:sz w:val="20"/>
          <w:szCs w:val="20"/>
        </w:rPr>
      </w:pPr>
      <w:r>
        <w:rPr>
          <w:b/>
          <w:bCs/>
          <w:i/>
          <w:iCs/>
          <w:sz w:val="20"/>
          <w:szCs w:val="20"/>
        </w:rPr>
        <w:t>Our stock price may be volatile and you may be unable to sell your shares at or above the price you purchased them.</w:t>
      </w:r>
    </w:p>
    <w:p w14:paraId="78908330" w14:textId="77777777" w:rsidR="00000000" w:rsidRDefault="00B8284C">
      <w:pPr>
        <w:pStyle w:val="a3"/>
        <w:spacing w:before="120" w:beforeAutospacing="0" w:after="0" w:afterAutospacing="0"/>
        <w:ind w:firstLine="556"/>
        <w:rPr>
          <w:sz w:val="20"/>
          <w:szCs w:val="20"/>
        </w:rPr>
      </w:pPr>
      <w:r>
        <w:rPr>
          <w:sz w:val="20"/>
          <w:szCs w:val="20"/>
        </w:rPr>
        <w:t>The trading prices</w:t>
      </w:r>
      <w:r>
        <w:rPr>
          <w:sz w:val="20"/>
          <w:szCs w:val="20"/>
        </w:rPr>
        <w:t xml:space="preserve"> of the securities of technology companies, including providers of software via the cloud-based model, have been highly volatile. Since shares of our common stock were sold in our initial public offering in October 2014 at a price of $25.00 per share, our </w:t>
      </w:r>
      <w:r>
        <w:rPr>
          <w:sz w:val="20"/>
          <w:szCs w:val="20"/>
        </w:rPr>
        <w:t xml:space="preserve">stock price has ranged </w:t>
      </w:r>
      <w:r>
        <w:rPr>
          <w:color w:val="000000"/>
          <w:sz w:val="20"/>
          <w:szCs w:val="20"/>
        </w:rPr>
        <w:t>from $25.79 to $207.98</w:t>
      </w:r>
      <w:r>
        <w:rPr>
          <w:sz w:val="20"/>
          <w:szCs w:val="20"/>
        </w:rPr>
        <w:t xml:space="preserve"> through September 30, 2019. The market price of our common stock may fluctuate significantly in response to numerous factors, many of which are beyond our control,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B09F7BA" w14:textId="77777777">
        <w:trPr>
          <w:divId w:val="2514294"/>
        </w:trPr>
        <w:tc>
          <w:tcPr>
            <w:tcW w:w="227" w:type="pct"/>
            <w:noWrap/>
            <w:hideMark/>
          </w:tcPr>
          <w:p w14:paraId="5B05C1AC"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06E3B96E"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694D718C" w14:textId="77777777" w:rsidR="00000000" w:rsidRDefault="00B8284C">
            <w:pPr>
              <w:pStyle w:val="a3"/>
              <w:spacing w:before="120" w:beforeAutospacing="0" w:after="0" w:afterAutospacing="0"/>
              <w:rPr>
                <w:sz w:val="20"/>
                <w:szCs w:val="20"/>
              </w:rPr>
            </w:pPr>
            <w:r>
              <w:rPr>
                <w:sz w:val="20"/>
                <w:szCs w:val="20"/>
              </w:rPr>
              <w:t>actual or anticipated fluctuations in our revenue and other operating results, including as a result of the addition or loss of any number of customers;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1CBED51" w14:textId="77777777">
        <w:tc>
          <w:tcPr>
            <w:tcW w:w="227" w:type="pct"/>
            <w:noWrap/>
            <w:hideMark/>
          </w:tcPr>
          <w:p w14:paraId="28717BAE"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24A28546"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09DF97B7" w14:textId="77777777" w:rsidR="00000000" w:rsidRDefault="00B8284C">
            <w:pPr>
              <w:pStyle w:val="a3"/>
              <w:spacing w:before="120" w:beforeAutospacing="0" w:after="0" w:afterAutospacing="0"/>
              <w:rPr>
                <w:sz w:val="20"/>
                <w:szCs w:val="20"/>
              </w:rPr>
            </w:pPr>
            <w:r>
              <w:rPr>
                <w:sz w:val="20"/>
                <w:szCs w:val="20"/>
              </w:rPr>
              <w:t>announcements by us or our competitors of significant technical innovations, acquisitions, strate</w:t>
            </w:r>
            <w:r>
              <w:rPr>
                <w:sz w:val="20"/>
                <w:szCs w:val="20"/>
              </w:rPr>
              <w:t>gic partnerships, joint ventures or capital commitments;</w:t>
            </w:r>
          </w:p>
        </w:tc>
      </w:tr>
    </w:tbl>
    <w:p w14:paraId="675C3236" w14:textId="77777777" w:rsidR="00000000" w:rsidRDefault="00B8284C">
      <w:pPr>
        <w:divId w:val="105758256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251A4DA" w14:textId="77777777">
        <w:trPr>
          <w:divId w:val="1057582561"/>
        </w:trPr>
        <w:tc>
          <w:tcPr>
            <w:tcW w:w="227" w:type="pct"/>
            <w:noWrap/>
            <w:hideMark/>
          </w:tcPr>
          <w:p w14:paraId="56FF3023"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16E6857C"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249BA690" w14:textId="77777777" w:rsidR="00000000" w:rsidRDefault="00B8284C">
            <w:pPr>
              <w:pStyle w:val="a3"/>
              <w:spacing w:before="120" w:beforeAutospacing="0" w:after="0" w:afterAutospacing="0"/>
              <w:rPr>
                <w:sz w:val="20"/>
                <w:szCs w:val="20"/>
              </w:rPr>
            </w:pPr>
            <w:r>
              <w:rPr>
                <w:sz w:val="20"/>
                <w:szCs w:val="20"/>
              </w:rPr>
              <w:t>the financial projections we may provide to the public, any changes in these projections or our failure to meet these projections;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E2F7014" w14:textId="77777777">
        <w:tc>
          <w:tcPr>
            <w:tcW w:w="227" w:type="pct"/>
            <w:noWrap/>
            <w:hideMark/>
          </w:tcPr>
          <w:p w14:paraId="112DFE10"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2C786E81"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2334084E" w14:textId="77777777" w:rsidR="00000000" w:rsidRDefault="00B8284C">
            <w:pPr>
              <w:pStyle w:val="a3"/>
              <w:spacing w:before="120" w:beforeAutospacing="0" w:after="0" w:afterAutospacing="0"/>
              <w:rPr>
                <w:sz w:val="20"/>
                <w:szCs w:val="20"/>
              </w:rPr>
            </w:pPr>
            <w:r>
              <w:rPr>
                <w:sz w:val="20"/>
                <w:szCs w:val="20"/>
              </w:rPr>
              <w:t>failure of securities analysts to initiate or maintain coverage of us, changes in ratings and financial estimates and the publication of other news by any securities analysts who follow our company, or our failure to meet these estimates or the expectation</w:t>
            </w:r>
            <w:r>
              <w:rPr>
                <w:sz w:val="20"/>
                <w:szCs w:val="20"/>
              </w:rPr>
              <w:t>s of investors;</w:t>
            </w:r>
          </w:p>
        </w:tc>
      </w:tr>
    </w:tbl>
    <w:p w14:paraId="1CEB7DA5" w14:textId="77777777" w:rsidR="00000000" w:rsidRDefault="00B8284C">
      <w:pPr>
        <w:divId w:val="24434094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886349" w14:textId="77777777">
        <w:trPr>
          <w:divId w:val="244340942"/>
        </w:trPr>
        <w:tc>
          <w:tcPr>
            <w:tcW w:w="227" w:type="pct"/>
            <w:noWrap/>
            <w:hideMark/>
          </w:tcPr>
          <w:p w14:paraId="113FD645"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590BD8CD"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3689121B" w14:textId="77777777" w:rsidR="00000000" w:rsidRDefault="00B8284C">
            <w:pPr>
              <w:pStyle w:val="a3"/>
              <w:spacing w:before="120" w:beforeAutospacing="0" w:after="0" w:afterAutospacing="0"/>
              <w:rPr>
                <w:sz w:val="20"/>
                <w:szCs w:val="20"/>
              </w:rPr>
            </w:pPr>
            <w:r>
              <w:rPr>
                <w:sz w:val="20"/>
                <w:szCs w:val="20"/>
              </w:rPr>
              <w:t>changes in operating performance and stock market valuations of cloud-based software or other technology companies, or those in our industry in particular;</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39B86F56" w14:textId="77777777">
        <w:tc>
          <w:tcPr>
            <w:tcW w:w="227" w:type="pct"/>
            <w:noWrap/>
            <w:hideMark/>
          </w:tcPr>
          <w:p w14:paraId="6255BA50"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0DD98441"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6CB36862" w14:textId="77777777" w:rsidR="00000000" w:rsidRDefault="00B8284C">
            <w:pPr>
              <w:pStyle w:val="a3"/>
              <w:spacing w:before="120" w:beforeAutospacing="0" w:after="0" w:afterAutospacing="0"/>
              <w:rPr>
                <w:sz w:val="20"/>
                <w:szCs w:val="20"/>
              </w:rPr>
            </w:pPr>
            <w:r>
              <w:rPr>
                <w:sz w:val="20"/>
                <w:szCs w:val="20"/>
              </w:rPr>
              <w:t>price and volume fluctuations in the trading of our common stock and in the overall stock market, including as a result of trends in the economy as a whole;</w:t>
            </w:r>
          </w:p>
        </w:tc>
      </w:tr>
    </w:tbl>
    <w:p w14:paraId="73941A45" w14:textId="77777777" w:rsidR="00000000" w:rsidRDefault="00B8284C">
      <w:pPr>
        <w:divId w:val="65438116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5CD20CE" w14:textId="77777777">
        <w:trPr>
          <w:divId w:val="654381165"/>
        </w:trPr>
        <w:tc>
          <w:tcPr>
            <w:tcW w:w="227" w:type="pct"/>
            <w:noWrap/>
            <w:hideMark/>
          </w:tcPr>
          <w:p w14:paraId="13C0B5B7"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6307EFA4"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42814F54" w14:textId="77777777" w:rsidR="00000000" w:rsidRDefault="00B8284C">
            <w:pPr>
              <w:pStyle w:val="a3"/>
              <w:spacing w:before="120" w:beforeAutospacing="0" w:after="0" w:afterAutospacing="0"/>
              <w:rPr>
                <w:sz w:val="20"/>
                <w:szCs w:val="20"/>
              </w:rPr>
            </w:pPr>
            <w:r>
              <w:rPr>
                <w:sz w:val="20"/>
                <w:szCs w:val="20"/>
              </w:rPr>
              <w:t>sales of large blocks of our common stock or the dilutive effect of our 2022 Notes or any oth</w:t>
            </w:r>
            <w:r>
              <w:rPr>
                <w:sz w:val="20"/>
                <w:szCs w:val="20"/>
              </w:rPr>
              <w:t>er equity or equity-linked financings;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58B2E73" w14:textId="77777777">
        <w:tc>
          <w:tcPr>
            <w:tcW w:w="227" w:type="pct"/>
            <w:noWrap/>
            <w:hideMark/>
          </w:tcPr>
          <w:p w14:paraId="59707020"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498A6E0A"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5EAC5D7B" w14:textId="77777777" w:rsidR="00000000" w:rsidRDefault="00B8284C">
            <w:pPr>
              <w:pStyle w:val="a3"/>
              <w:spacing w:before="120" w:beforeAutospacing="0" w:after="0" w:afterAutospacing="0"/>
              <w:rPr>
                <w:sz w:val="20"/>
                <w:szCs w:val="20"/>
              </w:rPr>
            </w:pPr>
            <w:r>
              <w:rPr>
                <w:sz w:val="20"/>
                <w:szCs w:val="20"/>
              </w:rPr>
              <w:t>new laws or regulations or new interpretations of existing laws or regulations applicable to our business or industry, including data privacy and data security;</w:t>
            </w:r>
          </w:p>
        </w:tc>
      </w:tr>
    </w:tbl>
    <w:p w14:paraId="1781A16F" w14:textId="77777777" w:rsidR="00000000" w:rsidRDefault="00B8284C">
      <w:pPr>
        <w:divId w:val="90545914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93E77F3" w14:textId="77777777">
        <w:trPr>
          <w:divId w:val="905459143"/>
        </w:trPr>
        <w:tc>
          <w:tcPr>
            <w:tcW w:w="227" w:type="pct"/>
            <w:noWrap/>
            <w:hideMark/>
          </w:tcPr>
          <w:p w14:paraId="631AE6E1"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1A18317D"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2D2F4388" w14:textId="77777777" w:rsidR="00000000" w:rsidRDefault="00B8284C">
            <w:pPr>
              <w:pStyle w:val="a3"/>
              <w:spacing w:before="120" w:beforeAutospacing="0" w:after="0" w:afterAutospacing="0"/>
              <w:rPr>
                <w:sz w:val="20"/>
                <w:szCs w:val="20"/>
              </w:rPr>
            </w:pPr>
            <w:r>
              <w:rPr>
                <w:sz w:val="20"/>
                <w:szCs w:val="20"/>
              </w:rPr>
              <w:t>lawsuits threatened or filed against us;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219C2B1" w14:textId="77777777">
        <w:tc>
          <w:tcPr>
            <w:tcW w:w="227" w:type="pct"/>
            <w:noWrap/>
            <w:hideMark/>
          </w:tcPr>
          <w:p w14:paraId="3C8C59F4"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6F63B3B7"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5EF257A8" w14:textId="77777777" w:rsidR="00000000" w:rsidRDefault="00B8284C">
            <w:pPr>
              <w:pStyle w:val="a3"/>
              <w:spacing w:before="120" w:beforeAutospacing="0" w:after="0" w:afterAutospacing="0"/>
              <w:rPr>
                <w:sz w:val="20"/>
                <w:szCs w:val="20"/>
              </w:rPr>
            </w:pPr>
            <w:r>
              <w:rPr>
                <w:sz w:val="20"/>
                <w:szCs w:val="20"/>
              </w:rPr>
              <w:t>changes in key personnel; and</w:t>
            </w:r>
          </w:p>
        </w:tc>
      </w:tr>
    </w:tbl>
    <w:p w14:paraId="014EC10B" w14:textId="77777777" w:rsidR="00000000" w:rsidRDefault="00B8284C">
      <w:pPr>
        <w:divId w:val="136290024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36D9AF" w14:textId="77777777">
        <w:trPr>
          <w:divId w:val="1362900243"/>
        </w:trPr>
        <w:tc>
          <w:tcPr>
            <w:tcW w:w="227" w:type="pct"/>
            <w:noWrap/>
            <w:hideMark/>
          </w:tcPr>
          <w:p w14:paraId="45507413" w14:textId="77777777" w:rsidR="00000000" w:rsidRDefault="00B8284C">
            <w:pPr>
              <w:pStyle w:val="a3"/>
              <w:spacing w:before="120" w:beforeAutospacing="0" w:after="0" w:afterAutospacing="0"/>
              <w:rPr>
                <w:sz w:val="20"/>
                <w:szCs w:val="20"/>
              </w:rPr>
            </w:pPr>
            <w:r>
              <w:rPr>
                <w:sz w:val="20"/>
                <w:szCs w:val="20"/>
              </w:rPr>
              <w:t> </w:t>
            </w:r>
          </w:p>
        </w:tc>
        <w:tc>
          <w:tcPr>
            <w:tcW w:w="227" w:type="pct"/>
            <w:noWrap/>
            <w:hideMark/>
          </w:tcPr>
          <w:p w14:paraId="3A81D5C5" w14:textId="77777777" w:rsidR="00000000" w:rsidRDefault="00B8284C">
            <w:pPr>
              <w:pStyle w:val="a3"/>
              <w:spacing w:before="120" w:beforeAutospacing="0" w:after="0" w:afterAutospacing="0"/>
              <w:rPr>
                <w:sz w:val="20"/>
                <w:szCs w:val="20"/>
              </w:rPr>
            </w:pPr>
            <w:r>
              <w:rPr>
                <w:sz w:val="20"/>
                <w:szCs w:val="20"/>
              </w:rPr>
              <w:t>•</w:t>
            </w:r>
          </w:p>
        </w:tc>
        <w:tc>
          <w:tcPr>
            <w:tcW w:w="0" w:type="auto"/>
            <w:hideMark/>
          </w:tcPr>
          <w:p w14:paraId="21F2B5D8" w14:textId="77777777" w:rsidR="00000000" w:rsidRDefault="00B8284C">
            <w:pPr>
              <w:pStyle w:val="a3"/>
              <w:spacing w:before="120" w:beforeAutospacing="0" w:after="0" w:afterAutospacing="0"/>
              <w:rPr>
                <w:sz w:val="20"/>
                <w:szCs w:val="20"/>
              </w:rPr>
            </w:pPr>
            <w:r>
              <w:rPr>
                <w:sz w:val="20"/>
                <w:szCs w:val="20"/>
              </w:rPr>
              <w:t>other events or factors, including changes in general economic, industry and market conditions and trends.</w:t>
            </w:r>
          </w:p>
        </w:tc>
      </w:tr>
    </w:tbl>
    <w:p w14:paraId="0E4A13F3" w14:textId="77777777" w:rsidR="00000000" w:rsidRDefault="00B8284C">
      <w:pPr>
        <w:pStyle w:val="a3"/>
        <w:spacing w:before="240" w:beforeAutospacing="0" w:after="0" w:afterAutospacing="0"/>
        <w:jc w:val="center"/>
        <w:rPr>
          <w:sz w:val="20"/>
          <w:szCs w:val="20"/>
        </w:rPr>
      </w:pPr>
      <w:r>
        <w:rPr>
          <w:sz w:val="20"/>
          <w:szCs w:val="20"/>
        </w:rPr>
        <w:t>49</w:t>
      </w:r>
    </w:p>
    <w:p w14:paraId="4AEC110A" w14:textId="77777777" w:rsidR="00000000" w:rsidRDefault="00B8284C">
      <w:pPr>
        <w:rPr>
          <w:rFonts w:eastAsia="Times New Roman"/>
        </w:rPr>
      </w:pPr>
      <w:r>
        <w:rPr>
          <w:rFonts w:eastAsia="Times New Roman"/>
        </w:rPr>
        <w:pict w14:anchorId="202808C8">
          <v:rect id="_x0000_i1073" style="width:0;height:1.5pt" o:hralign="center" o:hrstd="t" o:hr="t" fillcolor="#a0a0a0" stroked="f"/>
        </w:pict>
      </w:r>
    </w:p>
    <w:p w14:paraId="5D569C93" w14:textId="77777777" w:rsidR="00000000" w:rsidRDefault="00B8284C">
      <w:pPr>
        <w:pStyle w:val="a3"/>
        <w:spacing w:before="0" w:beforeAutospacing="0" w:after="0" w:afterAutospacing="0"/>
        <w:rPr>
          <w:sz w:val="20"/>
          <w:szCs w:val="20"/>
        </w:rPr>
      </w:pPr>
      <w:r>
        <w:rPr>
          <w:sz w:val="20"/>
          <w:szCs w:val="20"/>
        </w:rPr>
        <w:t> </w:t>
      </w:r>
    </w:p>
    <w:p w14:paraId="5EC19B7A" w14:textId="77777777" w:rsidR="00000000" w:rsidRDefault="00B8284C">
      <w:pPr>
        <w:pStyle w:val="a3"/>
        <w:spacing w:before="240" w:beforeAutospacing="0" w:after="0" w:afterAutospacing="0"/>
        <w:ind w:firstLine="556"/>
        <w:rPr>
          <w:sz w:val="20"/>
          <w:szCs w:val="20"/>
        </w:rPr>
      </w:pPr>
      <w:r>
        <w:rPr>
          <w:sz w:val="20"/>
          <w:szCs w:val="20"/>
        </w:rPr>
        <w:t xml:space="preserve">In addition, the stock markets have experienced extreme price and volume fluctuations that have affected and continue to affect the market prices of equity securities of many technology companies. Stock prices of many </w:t>
      </w:r>
      <w:r>
        <w:rPr>
          <w:sz w:val="20"/>
          <w:szCs w:val="20"/>
        </w:rPr>
        <w:t>technology companies have fluctuated in a manner unrelated or disproportionate to the operating performance of those companies.</w:t>
      </w:r>
    </w:p>
    <w:p w14:paraId="44767CA0" w14:textId="77777777" w:rsidR="00000000" w:rsidRDefault="00B8284C">
      <w:pPr>
        <w:pStyle w:val="a3"/>
        <w:spacing w:before="240" w:beforeAutospacing="0" w:after="0" w:afterAutospacing="0"/>
        <w:ind w:firstLine="556"/>
        <w:rPr>
          <w:sz w:val="20"/>
          <w:szCs w:val="20"/>
        </w:rPr>
      </w:pPr>
      <w:r>
        <w:rPr>
          <w:sz w:val="20"/>
          <w:szCs w:val="20"/>
        </w:rPr>
        <w:t xml:space="preserve">In the past, stockholders have instituted securities class action litigation following periods of market volatility. If we were </w:t>
      </w:r>
      <w:r>
        <w:rPr>
          <w:sz w:val="20"/>
          <w:szCs w:val="20"/>
        </w:rPr>
        <w:t>to become involved in securities litigation, it could subject us to substantial costs, divert resources and the attention of management from our business and adversely affect our business.</w:t>
      </w:r>
    </w:p>
    <w:p w14:paraId="1097CFC8"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If we fail to maintain an effective system of disclosure controls a</w:t>
      </w:r>
      <w:r>
        <w:rPr>
          <w:b/>
          <w:bCs/>
          <w:i/>
          <w:iCs/>
          <w:color w:val="000000"/>
          <w:sz w:val="20"/>
          <w:szCs w:val="20"/>
        </w:rPr>
        <w:t xml:space="preserve">nd internal control over financial reporting, our ability to produce timely and accurate financial statements or comply with applicable regulations could be impaired. </w:t>
      </w:r>
    </w:p>
    <w:p w14:paraId="2B0AF457" w14:textId="77777777" w:rsidR="00000000" w:rsidRDefault="00B8284C">
      <w:pPr>
        <w:pStyle w:val="a3"/>
        <w:spacing w:before="120" w:beforeAutospacing="0" w:after="0" w:afterAutospacing="0"/>
        <w:ind w:firstLine="556"/>
        <w:rPr>
          <w:color w:val="000000"/>
          <w:sz w:val="20"/>
          <w:szCs w:val="20"/>
        </w:rPr>
      </w:pPr>
      <w:r>
        <w:rPr>
          <w:color w:val="000000"/>
          <w:sz w:val="20"/>
          <w:szCs w:val="20"/>
        </w:rPr>
        <w:t>As a public company we are subject to the reporting requirements of the Securities Excha</w:t>
      </w:r>
      <w:r>
        <w:rPr>
          <w:color w:val="000000"/>
          <w:sz w:val="20"/>
          <w:szCs w:val="20"/>
        </w:rPr>
        <w:t>nge Act of 1934, as amended, or the Exchange Act, the Sarbanes-Oxley Act of 2002, or the Sarbanes-Oxley Act, the Dodd-Frank Wall Street Reform and Consumer Protection Act, or the Dodd-Frank Act, and the rules and regulations of the New York Stock Exchange,</w:t>
      </w:r>
      <w:r>
        <w:rPr>
          <w:color w:val="000000"/>
          <w:sz w:val="20"/>
          <w:szCs w:val="20"/>
        </w:rPr>
        <w:t xml:space="preserve"> or NYSE. We expect that compliance with these rules and regulations will continue to increase our legal, accounting and financial compliance costs, make some activities more difficult, time consuming and costly, and place significant strain on our personn</w:t>
      </w:r>
      <w:r>
        <w:rPr>
          <w:color w:val="000000"/>
          <w:sz w:val="20"/>
          <w:szCs w:val="20"/>
        </w:rPr>
        <w:t>el, systems and resources.</w:t>
      </w:r>
    </w:p>
    <w:p w14:paraId="5E4C686C" w14:textId="77777777" w:rsidR="00000000" w:rsidRDefault="00B8284C">
      <w:pPr>
        <w:pStyle w:val="a3"/>
        <w:spacing w:before="240" w:beforeAutospacing="0" w:after="0" w:afterAutospacing="0"/>
        <w:ind w:firstLine="556"/>
        <w:rPr>
          <w:color w:val="000000"/>
          <w:sz w:val="20"/>
          <w:szCs w:val="20"/>
        </w:rPr>
      </w:pPr>
      <w:r>
        <w:rPr>
          <w:color w:val="000000"/>
          <w:sz w:val="20"/>
          <w:szCs w:val="20"/>
        </w:rPr>
        <w:t>The Sarbanes-Oxley Act requires, among other things, that we assess the effectiveness of our internal control over financial reporting annually and the effectiveness of our disclosure controls and procedures quarterly. In particu</w:t>
      </w:r>
      <w:r>
        <w:rPr>
          <w:color w:val="000000"/>
          <w:sz w:val="20"/>
          <w:szCs w:val="20"/>
        </w:rPr>
        <w:t>lar, Section 404 of the Sarbanes-Oxley Act, or Section 404, requires us to perform system and process evaluation and testing of our internal control over financial reporting to allow management to report on, and our independent registered public accounting</w:t>
      </w:r>
      <w:r>
        <w:rPr>
          <w:color w:val="000000"/>
          <w:sz w:val="20"/>
          <w:szCs w:val="20"/>
        </w:rPr>
        <w:t xml:space="preserve"> firm to attest to, the effectiveness of our internal control over financial reporting. Our compliance with applicable provisions of Section 404 requires that we incur substantial accounting expense and expend significant management time on compliance-rela</w:t>
      </w:r>
      <w:r>
        <w:rPr>
          <w:color w:val="000000"/>
          <w:sz w:val="20"/>
          <w:szCs w:val="20"/>
        </w:rPr>
        <w:t>ted issues as we implement additional corporate governance practices and comply with reporting requirements. Moreover, if we are not able to comply with the requirements of Section 404 applicable to us in a timely manner, or if we or our independent regist</w:t>
      </w:r>
      <w:r>
        <w:rPr>
          <w:color w:val="000000"/>
          <w:sz w:val="20"/>
          <w:szCs w:val="20"/>
        </w:rPr>
        <w:t>ered public accounting firm identifies deficiencies in our internal control over financial reporting that are deemed to be material weaknesses, the market price of our stock could decline and we could be subject to sanctions or investigations by the SEC or</w:t>
      </w:r>
      <w:r>
        <w:rPr>
          <w:color w:val="000000"/>
          <w:sz w:val="20"/>
          <w:szCs w:val="20"/>
        </w:rPr>
        <w:t xml:space="preserve"> other regulatory authorities, which would require additional financial and management resources. </w:t>
      </w:r>
    </w:p>
    <w:p w14:paraId="344EE7A1" w14:textId="77777777" w:rsidR="00000000" w:rsidRDefault="00B8284C">
      <w:pPr>
        <w:pStyle w:val="a3"/>
        <w:spacing w:before="240" w:beforeAutospacing="0" w:after="0" w:afterAutospacing="0"/>
        <w:ind w:firstLine="556"/>
        <w:rPr>
          <w:color w:val="000000"/>
          <w:sz w:val="20"/>
          <w:szCs w:val="20"/>
        </w:rPr>
      </w:pPr>
      <w:r>
        <w:rPr>
          <w:color w:val="000000"/>
          <w:sz w:val="20"/>
          <w:szCs w:val="20"/>
        </w:rPr>
        <w:t>Furthermore, investor perceptions of our company may suffer if deficiencies are found, and this could cause a decline in the market price of our stock. Irres</w:t>
      </w:r>
      <w:r>
        <w:rPr>
          <w:color w:val="000000"/>
          <w:sz w:val="20"/>
          <w:szCs w:val="20"/>
        </w:rPr>
        <w:t xml:space="preserve">pective of compliance with Section 404, any failure of our internal control over financial reporting could have a material adverse effect on our stated operating results and harm our reputation. If we are unable to implement these requirements effectively </w:t>
      </w:r>
      <w:r>
        <w:rPr>
          <w:color w:val="000000"/>
          <w:sz w:val="20"/>
          <w:szCs w:val="20"/>
        </w:rPr>
        <w:t>or efficiently, it could harm our operations, financial reporting, or financial results and could result in an adverse opinion on our internal controls from our independent registered public accounting firm.</w:t>
      </w:r>
    </w:p>
    <w:p w14:paraId="5218D0A5"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Our ability to raise capital in the future may be limited, and our failure to raise capital when needed could prevent us from growing.</w:t>
      </w:r>
    </w:p>
    <w:p w14:paraId="1D093CE2"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business and operations may consume resources faster than we anticipate. In the future, we may need to raise addition</w:t>
      </w:r>
      <w:r>
        <w:rPr>
          <w:color w:val="000000"/>
          <w:sz w:val="20"/>
          <w:szCs w:val="20"/>
        </w:rPr>
        <w:t>al funds to invest in future growth opportunities. Additional financing may not be available on favorable terms, if at all. If adequate funds are not available on acceptable terms, we may be unable to invest in future growth opportunities, which could seri</w:t>
      </w:r>
      <w:r>
        <w:rPr>
          <w:color w:val="000000"/>
          <w:sz w:val="20"/>
          <w:szCs w:val="20"/>
        </w:rPr>
        <w:t xml:space="preserve">ously harm our business and operating results. If we incur debt, the debt holders would have rights senior to common stockholders to make claims on our assets, and the terms of any debt could restrict our operations, including our ability to pay dividends </w:t>
      </w:r>
      <w:r>
        <w:rPr>
          <w:color w:val="000000"/>
          <w:sz w:val="20"/>
          <w:szCs w:val="20"/>
        </w:rPr>
        <w:t>on our common stock. Furthermore, if we issue equity securities, stockholders will experience dilution, and the new equity securities could have rights senior to those of our common stock. The 2022 Notes are and any additional equity or equity-linked finan</w:t>
      </w:r>
      <w:r>
        <w:rPr>
          <w:color w:val="000000"/>
          <w:sz w:val="20"/>
          <w:szCs w:val="20"/>
        </w:rPr>
        <w:t>cings would be dilutive to our stockholders. Because our decision to issue securities in any future offering will depend on market conditions and other factors beyond our control, we cannot predict or estimate the amount, timing or nature of our future off</w:t>
      </w:r>
      <w:r>
        <w:rPr>
          <w:color w:val="000000"/>
          <w:sz w:val="20"/>
          <w:szCs w:val="20"/>
        </w:rPr>
        <w:t>erings. As a result, our stockholders bear the risk of our future securities offerings reducing the market price of our common stock and diluting their interest.</w:t>
      </w:r>
    </w:p>
    <w:p w14:paraId="06717602" w14:textId="77777777" w:rsidR="00000000" w:rsidRDefault="00B8284C">
      <w:pPr>
        <w:pStyle w:val="a3"/>
        <w:spacing w:before="360" w:beforeAutospacing="0" w:after="0" w:afterAutospacing="0"/>
        <w:rPr>
          <w:b/>
          <w:bCs/>
          <w:i/>
          <w:iCs/>
          <w:color w:val="000000"/>
          <w:sz w:val="20"/>
          <w:szCs w:val="20"/>
        </w:rPr>
      </w:pPr>
      <w:r>
        <w:rPr>
          <w:b/>
          <w:bCs/>
          <w:i/>
          <w:iCs/>
          <w:color w:val="000000"/>
          <w:sz w:val="20"/>
          <w:szCs w:val="20"/>
        </w:rPr>
        <w:t>Anti-takeover provisions in our charter documents and Delaware law may delay or prevent an acq</w:t>
      </w:r>
      <w:r>
        <w:rPr>
          <w:b/>
          <w:bCs/>
          <w:i/>
          <w:iCs/>
          <w:color w:val="000000"/>
          <w:sz w:val="20"/>
          <w:szCs w:val="20"/>
        </w:rPr>
        <w:t>uisition of our company.</w:t>
      </w:r>
    </w:p>
    <w:p w14:paraId="49C8DE47" w14:textId="77777777" w:rsidR="00000000" w:rsidRDefault="00B8284C">
      <w:pPr>
        <w:pStyle w:val="a3"/>
        <w:spacing w:before="120" w:beforeAutospacing="0" w:after="0" w:afterAutospacing="0"/>
        <w:ind w:firstLine="556"/>
        <w:rPr>
          <w:color w:val="000000"/>
          <w:sz w:val="20"/>
          <w:szCs w:val="20"/>
        </w:rPr>
      </w:pPr>
      <w:r>
        <w:rPr>
          <w:color w:val="000000"/>
          <w:sz w:val="20"/>
          <w:szCs w:val="20"/>
        </w:rPr>
        <w:t>Our amended and restated certificate of incorporation, amended and restated bylaws and Delaware law contain provisions that may have the effect of delaying or preventing a change in control of us or changes in our management. Our a</w:t>
      </w:r>
      <w:r>
        <w:rPr>
          <w:color w:val="000000"/>
          <w:sz w:val="20"/>
          <w:szCs w:val="20"/>
        </w:rPr>
        <w:t>mended and restated certificate of incorporation and bylaws include provisions that:</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5D97A84" w14:textId="77777777">
        <w:trPr>
          <w:divId w:val="801002978"/>
        </w:trPr>
        <w:tc>
          <w:tcPr>
            <w:tcW w:w="227" w:type="pct"/>
            <w:noWrap/>
            <w:hideMark/>
          </w:tcPr>
          <w:p w14:paraId="3A04226F"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BA9D198"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4CDA82D1" w14:textId="77777777" w:rsidR="00000000" w:rsidRDefault="00B8284C">
            <w:pPr>
              <w:pStyle w:val="a3"/>
              <w:spacing w:before="120" w:beforeAutospacing="0" w:after="0" w:afterAutospacing="0"/>
              <w:rPr>
                <w:color w:val="000000"/>
                <w:sz w:val="20"/>
                <w:szCs w:val="20"/>
              </w:rPr>
            </w:pPr>
            <w:r>
              <w:rPr>
                <w:color w:val="000000"/>
                <w:sz w:val="20"/>
                <w:szCs w:val="20"/>
              </w:rPr>
              <w:t>authorize “blank check” preferred stock, which could be issued by the board without stockholder approval and may contain voting, liquidation, dividend and other rights</w:t>
            </w:r>
            <w:r>
              <w:rPr>
                <w:color w:val="000000"/>
                <w:sz w:val="20"/>
                <w:szCs w:val="20"/>
              </w:rPr>
              <w:t xml:space="preserve"> superior to our common stock;</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391B2F7" w14:textId="77777777">
        <w:tc>
          <w:tcPr>
            <w:tcW w:w="227" w:type="pct"/>
            <w:noWrap/>
            <w:hideMark/>
          </w:tcPr>
          <w:p w14:paraId="333E1E0E"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113BB8D"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1D0F0078" w14:textId="77777777" w:rsidR="00000000" w:rsidRDefault="00B8284C">
            <w:pPr>
              <w:pStyle w:val="a3"/>
              <w:spacing w:before="120" w:beforeAutospacing="0" w:after="0" w:afterAutospacing="0"/>
              <w:rPr>
                <w:color w:val="000000"/>
                <w:sz w:val="20"/>
                <w:szCs w:val="20"/>
              </w:rPr>
            </w:pPr>
            <w:r>
              <w:rPr>
                <w:color w:val="000000"/>
                <w:sz w:val="20"/>
                <w:szCs w:val="20"/>
              </w:rPr>
              <w:t>provide for a classified board of directors whose members serve staggered three-year terms;</w:t>
            </w:r>
          </w:p>
        </w:tc>
      </w:tr>
    </w:tbl>
    <w:p w14:paraId="678B907C" w14:textId="77777777" w:rsidR="00000000" w:rsidRDefault="00B8284C">
      <w:pPr>
        <w:pStyle w:val="a3"/>
        <w:spacing w:before="240" w:beforeAutospacing="0" w:after="0" w:afterAutospacing="0"/>
        <w:jc w:val="center"/>
        <w:rPr>
          <w:sz w:val="20"/>
          <w:szCs w:val="20"/>
        </w:rPr>
      </w:pPr>
      <w:r>
        <w:rPr>
          <w:sz w:val="20"/>
          <w:szCs w:val="20"/>
        </w:rPr>
        <w:t>50</w:t>
      </w:r>
    </w:p>
    <w:p w14:paraId="7032CE52" w14:textId="77777777" w:rsidR="00000000" w:rsidRDefault="00B8284C">
      <w:pPr>
        <w:rPr>
          <w:rFonts w:eastAsia="Times New Roman"/>
        </w:rPr>
      </w:pPr>
      <w:r>
        <w:rPr>
          <w:rFonts w:eastAsia="Times New Roman"/>
        </w:rPr>
        <w:pict w14:anchorId="3AE591CF">
          <v:rect id="_x0000_i1074" style="width:0;height:1.5pt" o:hralign="center" o:hrstd="t" o:hr="t" fillcolor="#a0a0a0" stroked="f"/>
        </w:pict>
      </w:r>
    </w:p>
    <w:p w14:paraId="6822017E"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41EF7A1" w14:textId="77777777">
        <w:trPr>
          <w:divId w:val="762651675"/>
        </w:trPr>
        <w:tc>
          <w:tcPr>
            <w:tcW w:w="227" w:type="pct"/>
            <w:noWrap/>
            <w:hideMark/>
          </w:tcPr>
          <w:p w14:paraId="7BA03994"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CCDD7CE"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0FDCC930" w14:textId="77777777" w:rsidR="00000000" w:rsidRDefault="00B8284C">
            <w:pPr>
              <w:pStyle w:val="a3"/>
              <w:spacing w:before="120" w:beforeAutospacing="0" w:after="0" w:afterAutospacing="0"/>
              <w:rPr>
                <w:color w:val="000000"/>
                <w:sz w:val="20"/>
                <w:szCs w:val="20"/>
              </w:rPr>
            </w:pPr>
            <w:r>
              <w:rPr>
                <w:color w:val="000000"/>
                <w:sz w:val="20"/>
                <w:szCs w:val="20"/>
              </w:rPr>
              <w:t>specify that special meetings of our stockholders can be called only by our board of directors, the chairperson of the board, the chief executive officer or the president;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CE86156" w14:textId="77777777">
        <w:tc>
          <w:tcPr>
            <w:tcW w:w="227" w:type="pct"/>
            <w:noWrap/>
            <w:hideMark/>
          </w:tcPr>
          <w:p w14:paraId="530E9003"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0B7A997"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0F1F247" w14:textId="77777777" w:rsidR="00000000" w:rsidRDefault="00B8284C">
            <w:pPr>
              <w:pStyle w:val="a3"/>
              <w:spacing w:before="120" w:beforeAutospacing="0" w:after="0" w:afterAutospacing="0"/>
              <w:rPr>
                <w:color w:val="000000"/>
                <w:sz w:val="20"/>
                <w:szCs w:val="20"/>
              </w:rPr>
            </w:pPr>
            <w:r>
              <w:rPr>
                <w:color w:val="000000"/>
                <w:sz w:val="20"/>
                <w:szCs w:val="20"/>
              </w:rPr>
              <w:t>prohibit stockholder action by written consent;</w:t>
            </w:r>
          </w:p>
        </w:tc>
      </w:tr>
    </w:tbl>
    <w:p w14:paraId="29EB0E63" w14:textId="77777777" w:rsidR="00000000" w:rsidRDefault="00B8284C">
      <w:pPr>
        <w:divId w:val="213505867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3C58A52" w14:textId="77777777">
        <w:trPr>
          <w:divId w:val="2135058672"/>
        </w:trPr>
        <w:tc>
          <w:tcPr>
            <w:tcW w:w="227" w:type="pct"/>
            <w:noWrap/>
            <w:hideMark/>
          </w:tcPr>
          <w:p w14:paraId="3993C667"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52F4078"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30C940BE" w14:textId="77777777" w:rsidR="00000000" w:rsidRDefault="00B8284C">
            <w:pPr>
              <w:pStyle w:val="a3"/>
              <w:spacing w:before="120" w:beforeAutospacing="0" w:after="0" w:afterAutospacing="0"/>
              <w:rPr>
                <w:color w:val="000000"/>
                <w:sz w:val="20"/>
                <w:szCs w:val="20"/>
              </w:rPr>
            </w:pPr>
            <w:r>
              <w:rPr>
                <w:color w:val="000000"/>
                <w:sz w:val="20"/>
                <w:szCs w:val="20"/>
              </w:rPr>
              <w:t>establish an advance not</w:t>
            </w:r>
            <w:r>
              <w:rPr>
                <w:color w:val="000000"/>
                <w:sz w:val="20"/>
                <w:szCs w:val="20"/>
              </w:rPr>
              <w:t>ice procedure for stockholder approvals to be brought before an annual meeting of our stockholders, including proposed nominations of persons for election to our board of directors;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138380E" w14:textId="77777777">
        <w:tc>
          <w:tcPr>
            <w:tcW w:w="227" w:type="pct"/>
            <w:noWrap/>
            <w:hideMark/>
          </w:tcPr>
          <w:p w14:paraId="3C5848B3"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1E9DDDC"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3F10ACE" w14:textId="77777777" w:rsidR="00000000" w:rsidRDefault="00B8284C">
            <w:pPr>
              <w:pStyle w:val="a3"/>
              <w:spacing w:before="120" w:beforeAutospacing="0" w:after="0" w:afterAutospacing="0"/>
              <w:rPr>
                <w:color w:val="000000"/>
                <w:sz w:val="20"/>
                <w:szCs w:val="20"/>
              </w:rPr>
            </w:pPr>
            <w:r>
              <w:rPr>
                <w:color w:val="000000"/>
                <w:sz w:val="20"/>
                <w:szCs w:val="20"/>
              </w:rPr>
              <w:t>provide that our directors may be removed only for cause;</w:t>
            </w:r>
          </w:p>
        </w:tc>
      </w:tr>
    </w:tbl>
    <w:p w14:paraId="14CB6C45" w14:textId="77777777" w:rsidR="00000000" w:rsidRDefault="00B8284C">
      <w:pPr>
        <w:divId w:val="159320449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283476" w14:textId="77777777">
        <w:trPr>
          <w:divId w:val="1593204493"/>
        </w:trPr>
        <w:tc>
          <w:tcPr>
            <w:tcW w:w="227" w:type="pct"/>
            <w:noWrap/>
            <w:hideMark/>
          </w:tcPr>
          <w:p w14:paraId="5B055E38"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7FC6B4C"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29AD4476" w14:textId="77777777" w:rsidR="00000000" w:rsidRDefault="00B8284C">
            <w:pPr>
              <w:pStyle w:val="a3"/>
              <w:spacing w:before="120" w:beforeAutospacing="0" w:after="0" w:afterAutospacing="0"/>
              <w:rPr>
                <w:color w:val="000000"/>
                <w:sz w:val="20"/>
                <w:szCs w:val="20"/>
              </w:rPr>
            </w:pPr>
            <w:r>
              <w:rPr>
                <w:color w:val="000000"/>
                <w:sz w:val="20"/>
                <w:szCs w:val="20"/>
              </w:rPr>
              <w:t>provide that vacancies on our board of directors may be filled only by a majority of directors then in office, even though less than a quorum;</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89E26E1" w14:textId="77777777">
        <w:tc>
          <w:tcPr>
            <w:tcW w:w="227" w:type="pct"/>
            <w:noWrap/>
            <w:hideMark/>
          </w:tcPr>
          <w:p w14:paraId="5C718BA6"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B075805"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33C85CD5" w14:textId="77777777" w:rsidR="00000000" w:rsidRDefault="00B8284C">
            <w:pPr>
              <w:pStyle w:val="a3"/>
              <w:spacing w:before="120" w:beforeAutospacing="0" w:after="0" w:afterAutospacing="0"/>
              <w:rPr>
                <w:color w:val="000000"/>
                <w:sz w:val="20"/>
                <w:szCs w:val="20"/>
              </w:rPr>
            </w:pPr>
            <w:r>
              <w:rPr>
                <w:color w:val="000000"/>
                <w:sz w:val="20"/>
                <w:szCs w:val="20"/>
              </w:rPr>
              <w:t>specify that no stockholder is permitted to cumulate votes at any election of directors;</w:t>
            </w:r>
          </w:p>
        </w:tc>
      </w:tr>
    </w:tbl>
    <w:p w14:paraId="564654DD" w14:textId="77777777" w:rsidR="00000000" w:rsidRDefault="00B8284C">
      <w:pPr>
        <w:divId w:val="17114590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8E494C2" w14:textId="77777777">
        <w:trPr>
          <w:divId w:val="171145906"/>
        </w:trPr>
        <w:tc>
          <w:tcPr>
            <w:tcW w:w="227" w:type="pct"/>
            <w:noWrap/>
            <w:hideMark/>
          </w:tcPr>
          <w:p w14:paraId="633274EE"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1BCB5B7"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5F93EC7E" w14:textId="77777777" w:rsidR="00000000" w:rsidRDefault="00B8284C">
            <w:pPr>
              <w:pStyle w:val="a3"/>
              <w:spacing w:before="120" w:beforeAutospacing="0" w:after="0" w:afterAutospacing="0"/>
              <w:rPr>
                <w:color w:val="000000"/>
                <w:sz w:val="20"/>
                <w:szCs w:val="20"/>
              </w:rPr>
            </w:pPr>
            <w:r>
              <w:rPr>
                <w:color w:val="000000"/>
                <w:sz w:val="20"/>
                <w:szCs w:val="20"/>
              </w:rPr>
              <w:t>authorize ou</w:t>
            </w:r>
            <w:r>
              <w:rPr>
                <w:color w:val="000000"/>
                <w:sz w:val="20"/>
                <w:szCs w:val="20"/>
              </w:rPr>
              <w:t>r board of directors to modify, alter or repeal our amended and restated bylaws;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B81636A" w14:textId="77777777">
        <w:tc>
          <w:tcPr>
            <w:tcW w:w="227" w:type="pct"/>
            <w:noWrap/>
            <w:hideMark/>
          </w:tcPr>
          <w:p w14:paraId="042BC167" w14:textId="77777777" w:rsidR="00000000" w:rsidRDefault="00B8284C">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DA7479D" w14:textId="77777777" w:rsidR="00000000" w:rsidRDefault="00B8284C">
            <w:pPr>
              <w:pStyle w:val="a3"/>
              <w:spacing w:before="120" w:beforeAutospacing="0" w:after="0" w:afterAutospacing="0"/>
              <w:rPr>
                <w:color w:val="000000"/>
                <w:sz w:val="20"/>
                <w:szCs w:val="20"/>
              </w:rPr>
            </w:pPr>
            <w:r>
              <w:rPr>
                <w:color w:val="000000"/>
                <w:sz w:val="20"/>
                <w:szCs w:val="20"/>
              </w:rPr>
              <w:t>•</w:t>
            </w:r>
          </w:p>
        </w:tc>
        <w:tc>
          <w:tcPr>
            <w:tcW w:w="0" w:type="auto"/>
            <w:hideMark/>
          </w:tcPr>
          <w:p w14:paraId="3573188B" w14:textId="77777777" w:rsidR="00000000" w:rsidRDefault="00B8284C">
            <w:pPr>
              <w:pStyle w:val="a3"/>
              <w:spacing w:before="120" w:beforeAutospacing="0" w:after="0" w:afterAutospacing="0"/>
              <w:rPr>
                <w:color w:val="000000"/>
                <w:sz w:val="20"/>
                <w:szCs w:val="20"/>
              </w:rPr>
            </w:pPr>
            <w:r>
              <w:rPr>
                <w:color w:val="000000"/>
                <w:sz w:val="20"/>
                <w:szCs w:val="20"/>
              </w:rPr>
              <w:t>require supermajority votes of the holders of our common stock to amend specified provisions of our charter documents.</w:t>
            </w:r>
          </w:p>
        </w:tc>
      </w:tr>
    </w:tbl>
    <w:p w14:paraId="4DCFA7F5" w14:textId="77777777" w:rsidR="00000000" w:rsidRDefault="00B8284C">
      <w:pPr>
        <w:pStyle w:val="a3"/>
        <w:spacing w:before="240" w:beforeAutospacing="0" w:after="0" w:afterAutospacing="0"/>
        <w:ind w:firstLine="556"/>
        <w:rPr>
          <w:color w:val="000000"/>
          <w:sz w:val="20"/>
          <w:szCs w:val="20"/>
        </w:rPr>
      </w:pPr>
      <w:r>
        <w:rPr>
          <w:color w:val="000000"/>
          <w:sz w:val="20"/>
          <w:szCs w:val="20"/>
        </w:rPr>
        <w:t>These provisions, alone or together, could de</w:t>
      </w:r>
      <w:r>
        <w:rPr>
          <w:color w:val="000000"/>
          <w:sz w:val="20"/>
          <w:szCs w:val="20"/>
        </w:rPr>
        <w:t>lay or prevent hostile takeovers and changes in control or changes in our management.</w:t>
      </w:r>
    </w:p>
    <w:p w14:paraId="326B42AA" w14:textId="77777777" w:rsidR="00000000" w:rsidRDefault="00B8284C">
      <w:pPr>
        <w:pStyle w:val="a3"/>
        <w:spacing w:before="240" w:beforeAutospacing="0" w:after="0" w:afterAutospacing="0"/>
        <w:ind w:firstLine="556"/>
        <w:rPr>
          <w:color w:val="000000"/>
          <w:sz w:val="20"/>
          <w:szCs w:val="20"/>
        </w:rPr>
      </w:pPr>
      <w:r>
        <w:rPr>
          <w:color w:val="000000"/>
          <w:sz w:val="20"/>
          <w:szCs w:val="20"/>
        </w:rPr>
        <w:t>In addition, because we are incorporated in Delaware, we are governed by the provisions of Section 203 of the Delaware General Corporation Law, which limits the ability o</w:t>
      </w:r>
      <w:r>
        <w:rPr>
          <w:color w:val="000000"/>
          <w:sz w:val="20"/>
          <w:szCs w:val="20"/>
        </w:rPr>
        <w:t>f stockholders owning in excess of 15% of our outstanding voting stock to merge or combine with us in certain circumstances.</w:t>
      </w:r>
    </w:p>
    <w:p w14:paraId="57E9335F" w14:textId="77777777" w:rsidR="00000000" w:rsidRDefault="00B8284C">
      <w:pPr>
        <w:pStyle w:val="a3"/>
        <w:spacing w:before="240" w:beforeAutospacing="0" w:after="0" w:afterAutospacing="0"/>
        <w:ind w:firstLine="556"/>
        <w:rPr>
          <w:color w:val="000000"/>
          <w:sz w:val="20"/>
          <w:szCs w:val="20"/>
        </w:rPr>
      </w:pPr>
      <w:r>
        <w:rPr>
          <w:color w:val="000000"/>
          <w:sz w:val="20"/>
          <w:szCs w:val="20"/>
        </w:rPr>
        <w:t xml:space="preserve">Any provision of our amended and restated certificate of incorporation or amended and restated bylaws or Delaware law that has the </w:t>
      </w:r>
      <w:r>
        <w:rPr>
          <w:color w:val="000000"/>
          <w:sz w:val="20"/>
          <w:szCs w:val="20"/>
        </w:rPr>
        <w:t>effect of delaying or deterring a change in control could limit the opportunity for our stockholders to receive a premium for their shares of our common stock, and could also affect the price that some investors are willing to pay for our common stock.</w:t>
      </w:r>
    </w:p>
    <w:p w14:paraId="2864A585" w14:textId="77777777" w:rsidR="00000000" w:rsidRDefault="00B8284C">
      <w:pPr>
        <w:pStyle w:val="a3"/>
        <w:spacing w:before="0" w:beforeAutospacing="0" w:after="0" w:afterAutospacing="0"/>
        <w:rPr>
          <w:sz w:val="18"/>
          <w:szCs w:val="18"/>
        </w:rPr>
      </w:pPr>
      <w:r>
        <w:rPr>
          <w:sz w:val="18"/>
          <w:szCs w:val="18"/>
        </w:rPr>
        <w:t> </w:t>
      </w:r>
    </w:p>
    <w:p w14:paraId="382EA945" w14:textId="77777777" w:rsidR="00000000" w:rsidRDefault="00B8284C">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3083AE79" w14:textId="77777777">
        <w:trPr>
          <w:divId w:val="2106685546"/>
        </w:trPr>
        <w:tc>
          <w:tcPr>
            <w:tcW w:w="453" w:type="pct"/>
            <w:noWrap/>
            <w:hideMark/>
          </w:tcPr>
          <w:p w14:paraId="7120A09E" w14:textId="77777777" w:rsidR="00000000" w:rsidRDefault="00B8284C">
            <w:pPr>
              <w:pStyle w:val="a3"/>
              <w:spacing w:before="0" w:beforeAutospacing="0" w:after="0" w:afterAutospacing="0"/>
              <w:rPr>
                <w:b/>
                <w:bCs/>
                <w:sz w:val="20"/>
                <w:szCs w:val="20"/>
              </w:rPr>
            </w:pPr>
            <w:r>
              <w:rPr>
                <w:b/>
                <w:bCs/>
                <w:sz w:val="20"/>
                <w:szCs w:val="20"/>
              </w:rPr>
              <w:t>Item 2.</w:t>
            </w:r>
          </w:p>
        </w:tc>
        <w:tc>
          <w:tcPr>
            <w:tcW w:w="0" w:type="auto"/>
            <w:hideMark/>
          </w:tcPr>
          <w:p w14:paraId="0BBEC477" w14:textId="77777777" w:rsidR="00000000" w:rsidRDefault="00B8284C">
            <w:pPr>
              <w:pStyle w:val="a3"/>
              <w:spacing w:before="0" w:beforeAutospacing="0" w:after="0" w:afterAutospacing="0"/>
              <w:rPr>
                <w:b/>
                <w:bCs/>
                <w:sz w:val="20"/>
                <w:szCs w:val="20"/>
              </w:rPr>
            </w:pPr>
            <w:r>
              <w:rPr>
                <w:b/>
                <w:bCs/>
                <w:sz w:val="20"/>
                <w:szCs w:val="20"/>
              </w:rPr>
              <w:t>Unregistered Sales of Equity Securities and Use of Proceeds</w:t>
            </w:r>
          </w:p>
        </w:tc>
      </w:tr>
    </w:tbl>
    <w:p w14:paraId="46C915FF" w14:textId="77777777" w:rsidR="00000000" w:rsidRDefault="00B8284C">
      <w:pPr>
        <w:pStyle w:val="a3"/>
        <w:spacing w:before="120" w:beforeAutospacing="0" w:after="0" w:afterAutospacing="0"/>
        <w:ind w:firstLine="556"/>
        <w:rPr>
          <w:sz w:val="20"/>
          <w:szCs w:val="20"/>
        </w:rPr>
      </w:pPr>
      <w:r>
        <w:rPr>
          <w:sz w:val="20"/>
          <w:szCs w:val="20"/>
        </w:rPr>
        <w:t>None.</w:t>
      </w:r>
    </w:p>
    <w:p w14:paraId="2B5DC0C3" w14:textId="77777777" w:rsidR="00000000" w:rsidRDefault="00B8284C">
      <w:pPr>
        <w:pStyle w:val="a3"/>
        <w:spacing w:before="0" w:beforeAutospacing="0" w:after="0" w:afterAutospacing="0"/>
        <w:rPr>
          <w:sz w:val="18"/>
          <w:szCs w:val="18"/>
        </w:rPr>
      </w:pPr>
      <w:r>
        <w:rPr>
          <w:sz w:val="18"/>
          <w:szCs w:val="18"/>
        </w:rPr>
        <w:t> </w:t>
      </w:r>
    </w:p>
    <w:p w14:paraId="46B8CC9C" w14:textId="77777777" w:rsidR="00000000" w:rsidRDefault="00B8284C">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5EA5E893" w14:textId="77777777">
        <w:trPr>
          <w:divId w:val="1409302743"/>
        </w:trPr>
        <w:tc>
          <w:tcPr>
            <w:tcW w:w="453" w:type="pct"/>
            <w:noWrap/>
            <w:hideMark/>
          </w:tcPr>
          <w:p w14:paraId="3A8E595C" w14:textId="77777777" w:rsidR="00000000" w:rsidRDefault="00B8284C">
            <w:pPr>
              <w:pStyle w:val="a3"/>
              <w:spacing w:before="0" w:beforeAutospacing="0" w:after="0" w:afterAutospacing="0"/>
              <w:rPr>
                <w:b/>
                <w:bCs/>
                <w:sz w:val="20"/>
                <w:szCs w:val="20"/>
              </w:rPr>
            </w:pPr>
            <w:r>
              <w:rPr>
                <w:b/>
                <w:bCs/>
                <w:sz w:val="20"/>
                <w:szCs w:val="20"/>
              </w:rPr>
              <w:t>Item 3.</w:t>
            </w:r>
          </w:p>
        </w:tc>
        <w:tc>
          <w:tcPr>
            <w:tcW w:w="0" w:type="auto"/>
            <w:hideMark/>
          </w:tcPr>
          <w:p w14:paraId="0206EC5A" w14:textId="77777777" w:rsidR="00000000" w:rsidRDefault="00B8284C">
            <w:pPr>
              <w:pStyle w:val="a3"/>
              <w:spacing w:before="0" w:beforeAutospacing="0" w:after="0" w:afterAutospacing="0"/>
              <w:rPr>
                <w:b/>
                <w:bCs/>
                <w:sz w:val="20"/>
                <w:szCs w:val="20"/>
              </w:rPr>
            </w:pPr>
            <w:r>
              <w:rPr>
                <w:b/>
                <w:bCs/>
                <w:sz w:val="20"/>
                <w:szCs w:val="20"/>
              </w:rPr>
              <w:t>Defaults on Senior Securities</w:t>
            </w:r>
          </w:p>
        </w:tc>
      </w:tr>
    </w:tbl>
    <w:p w14:paraId="1DD82BDE" w14:textId="77777777" w:rsidR="00000000" w:rsidRDefault="00B8284C">
      <w:pPr>
        <w:pStyle w:val="a3"/>
        <w:spacing w:before="120" w:beforeAutospacing="0" w:after="0" w:afterAutospacing="0"/>
        <w:ind w:firstLine="556"/>
        <w:rPr>
          <w:sz w:val="20"/>
          <w:szCs w:val="20"/>
        </w:rPr>
      </w:pPr>
      <w:r>
        <w:rPr>
          <w:sz w:val="20"/>
          <w:szCs w:val="20"/>
        </w:rPr>
        <w:t>None.</w:t>
      </w:r>
    </w:p>
    <w:p w14:paraId="0917B3AD" w14:textId="77777777" w:rsidR="00000000" w:rsidRDefault="00B8284C">
      <w:pPr>
        <w:pStyle w:val="a3"/>
        <w:spacing w:before="0" w:beforeAutospacing="0" w:after="0" w:afterAutospacing="0"/>
        <w:rPr>
          <w:sz w:val="18"/>
          <w:szCs w:val="18"/>
        </w:rPr>
      </w:pPr>
      <w:r>
        <w:rPr>
          <w:sz w:val="18"/>
          <w:szCs w:val="18"/>
        </w:rPr>
        <w:t> </w:t>
      </w:r>
    </w:p>
    <w:p w14:paraId="6D54A705" w14:textId="77777777" w:rsidR="00000000" w:rsidRDefault="00B8284C">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5BCAD726" w14:textId="77777777">
        <w:trPr>
          <w:divId w:val="1122768687"/>
        </w:trPr>
        <w:tc>
          <w:tcPr>
            <w:tcW w:w="453" w:type="pct"/>
            <w:noWrap/>
            <w:hideMark/>
          </w:tcPr>
          <w:p w14:paraId="63986D57" w14:textId="77777777" w:rsidR="00000000" w:rsidRDefault="00B8284C">
            <w:pPr>
              <w:pStyle w:val="a3"/>
              <w:spacing w:before="0" w:beforeAutospacing="0" w:after="0" w:afterAutospacing="0"/>
              <w:rPr>
                <w:b/>
                <w:bCs/>
                <w:sz w:val="20"/>
                <w:szCs w:val="20"/>
              </w:rPr>
            </w:pPr>
            <w:r>
              <w:rPr>
                <w:b/>
                <w:bCs/>
                <w:sz w:val="20"/>
                <w:szCs w:val="20"/>
              </w:rPr>
              <w:t>Item 4.</w:t>
            </w:r>
          </w:p>
        </w:tc>
        <w:tc>
          <w:tcPr>
            <w:tcW w:w="0" w:type="auto"/>
            <w:hideMark/>
          </w:tcPr>
          <w:p w14:paraId="69A78CA0" w14:textId="77777777" w:rsidR="00000000" w:rsidRDefault="00B8284C">
            <w:pPr>
              <w:pStyle w:val="a3"/>
              <w:spacing w:before="0" w:beforeAutospacing="0" w:after="0" w:afterAutospacing="0"/>
              <w:rPr>
                <w:b/>
                <w:bCs/>
                <w:sz w:val="20"/>
                <w:szCs w:val="20"/>
              </w:rPr>
            </w:pPr>
            <w:r>
              <w:rPr>
                <w:b/>
                <w:bCs/>
                <w:sz w:val="20"/>
                <w:szCs w:val="20"/>
              </w:rPr>
              <w:t>Mine Safety Disclosures</w:t>
            </w:r>
          </w:p>
        </w:tc>
      </w:tr>
    </w:tbl>
    <w:p w14:paraId="0FACC4C5" w14:textId="77777777" w:rsidR="00000000" w:rsidRDefault="00B8284C">
      <w:pPr>
        <w:pStyle w:val="a3"/>
        <w:spacing w:before="120" w:beforeAutospacing="0" w:after="0" w:afterAutospacing="0"/>
        <w:ind w:firstLine="556"/>
        <w:rPr>
          <w:sz w:val="20"/>
          <w:szCs w:val="20"/>
        </w:rPr>
      </w:pPr>
      <w:r>
        <w:rPr>
          <w:sz w:val="20"/>
          <w:szCs w:val="20"/>
        </w:rPr>
        <w:t>Not Applicable.</w:t>
      </w:r>
    </w:p>
    <w:p w14:paraId="7205659F" w14:textId="77777777" w:rsidR="00000000" w:rsidRDefault="00B8284C">
      <w:pPr>
        <w:pStyle w:val="a3"/>
        <w:spacing w:before="0" w:beforeAutospacing="0" w:after="0" w:afterAutospacing="0"/>
        <w:rPr>
          <w:sz w:val="18"/>
          <w:szCs w:val="18"/>
        </w:rPr>
      </w:pPr>
      <w:r>
        <w:rPr>
          <w:sz w:val="18"/>
          <w:szCs w:val="18"/>
        </w:rPr>
        <w:t> </w:t>
      </w:r>
    </w:p>
    <w:p w14:paraId="54187D78" w14:textId="77777777" w:rsidR="00000000" w:rsidRDefault="00B8284C">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7294E209" w14:textId="77777777">
        <w:trPr>
          <w:divId w:val="1665160769"/>
        </w:trPr>
        <w:tc>
          <w:tcPr>
            <w:tcW w:w="453" w:type="pct"/>
            <w:noWrap/>
            <w:hideMark/>
          </w:tcPr>
          <w:p w14:paraId="4A925669" w14:textId="77777777" w:rsidR="00000000" w:rsidRDefault="00B8284C">
            <w:pPr>
              <w:pStyle w:val="a3"/>
              <w:spacing w:before="0" w:beforeAutospacing="0" w:after="0" w:afterAutospacing="0"/>
              <w:rPr>
                <w:b/>
                <w:bCs/>
                <w:sz w:val="20"/>
                <w:szCs w:val="20"/>
              </w:rPr>
            </w:pPr>
            <w:r>
              <w:rPr>
                <w:b/>
                <w:bCs/>
                <w:sz w:val="20"/>
                <w:szCs w:val="20"/>
              </w:rPr>
              <w:t>Item 5.</w:t>
            </w:r>
          </w:p>
        </w:tc>
        <w:tc>
          <w:tcPr>
            <w:tcW w:w="0" w:type="auto"/>
            <w:hideMark/>
          </w:tcPr>
          <w:p w14:paraId="6B09D09C" w14:textId="77777777" w:rsidR="00000000" w:rsidRDefault="00B8284C">
            <w:pPr>
              <w:pStyle w:val="a3"/>
              <w:spacing w:before="0" w:beforeAutospacing="0" w:after="0" w:afterAutospacing="0"/>
              <w:rPr>
                <w:b/>
                <w:bCs/>
                <w:sz w:val="20"/>
                <w:szCs w:val="20"/>
              </w:rPr>
            </w:pPr>
            <w:r>
              <w:rPr>
                <w:b/>
                <w:bCs/>
                <w:sz w:val="20"/>
                <w:szCs w:val="20"/>
              </w:rPr>
              <w:t>Other Information</w:t>
            </w:r>
          </w:p>
        </w:tc>
      </w:tr>
    </w:tbl>
    <w:p w14:paraId="54B06CBA" w14:textId="77777777" w:rsidR="00000000" w:rsidRDefault="00B8284C">
      <w:pPr>
        <w:pStyle w:val="a3"/>
        <w:spacing w:before="120" w:beforeAutospacing="0" w:after="0" w:afterAutospacing="0"/>
        <w:ind w:firstLine="556"/>
        <w:rPr>
          <w:sz w:val="20"/>
          <w:szCs w:val="20"/>
        </w:rPr>
      </w:pPr>
      <w:r>
        <w:rPr>
          <w:sz w:val="20"/>
          <w:szCs w:val="20"/>
        </w:rPr>
        <w:t>None.</w:t>
      </w:r>
    </w:p>
    <w:p w14:paraId="0F480659" w14:textId="77777777" w:rsidR="00000000" w:rsidRDefault="00B8284C">
      <w:pPr>
        <w:pStyle w:val="a3"/>
        <w:spacing w:before="0" w:beforeAutospacing="0" w:after="0" w:afterAutospacing="0"/>
        <w:rPr>
          <w:sz w:val="18"/>
          <w:szCs w:val="18"/>
        </w:rPr>
      </w:pPr>
      <w:r>
        <w:rPr>
          <w:sz w:val="18"/>
          <w:szCs w:val="18"/>
        </w:rPr>
        <w:t> </w:t>
      </w:r>
    </w:p>
    <w:p w14:paraId="59283196" w14:textId="77777777" w:rsidR="00000000" w:rsidRDefault="00B8284C">
      <w:pPr>
        <w:pStyle w:val="a3"/>
        <w:spacing w:before="0" w:beforeAutospacing="0" w:after="0" w:afterAutospacing="0"/>
        <w:rPr>
          <w:sz w:val="18"/>
          <w:szCs w:val="18"/>
        </w:rPr>
      </w:pPr>
      <w:r>
        <w:rPr>
          <w:sz w:val="18"/>
          <w:szCs w:val="18"/>
        </w:rPr>
        <w:t> </w:t>
      </w:r>
    </w:p>
    <w:p w14:paraId="76033C9A" w14:textId="77777777" w:rsidR="00000000" w:rsidRDefault="00B8284C">
      <w:pPr>
        <w:pStyle w:val="a3"/>
        <w:spacing w:before="240" w:beforeAutospacing="0" w:after="0" w:afterAutospacing="0"/>
        <w:jc w:val="center"/>
        <w:rPr>
          <w:sz w:val="20"/>
          <w:szCs w:val="20"/>
        </w:rPr>
      </w:pPr>
      <w:r>
        <w:rPr>
          <w:sz w:val="20"/>
          <w:szCs w:val="20"/>
        </w:rPr>
        <w:t>51</w:t>
      </w:r>
    </w:p>
    <w:p w14:paraId="7538DC79" w14:textId="77777777" w:rsidR="00000000" w:rsidRDefault="00B8284C">
      <w:pPr>
        <w:rPr>
          <w:rFonts w:eastAsia="Times New Roman"/>
        </w:rPr>
      </w:pPr>
      <w:r>
        <w:rPr>
          <w:rFonts w:eastAsia="Times New Roman"/>
        </w:rPr>
        <w:pict w14:anchorId="14179209">
          <v:rect id="_x0000_i1075" style="width:0;height:1.5pt" o:hralign="center" o:hrstd="t" o:hr="t" fillcolor="#a0a0a0" stroked="f"/>
        </w:pict>
      </w:r>
    </w:p>
    <w:p w14:paraId="216F09F7"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0DC868F1" w14:textId="77777777">
        <w:trPr>
          <w:divId w:val="232087358"/>
        </w:trPr>
        <w:tc>
          <w:tcPr>
            <w:tcW w:w="453" w:type="pct"/>
            <w:noWrap/>
            <w:hideMark/>
          </w:tcPr>
          <w:p w14:paraId="3BDE13E2" w14:textId="77777777" w:rsidR="00000000" w:rsidRDefault="00B8284C">
            <w:pPr>
              <w:pStyle w:val="a3"/>
              <w:spacing w:before="0" w:beforeAutospacing="0" w:after="0" w:afterAutospacing="0"/>
              <w:rPr>
                <w:b/>
                <w:bCs/>
                <w:sz w:val="20"/>
                <w:szCs w:val="20"/>
              </w:rPr>
            </w:pPr>
            <w:r>
              <w:rPr>
                <w:b/>
                <w:bCs/>
                <w:sz w:val="20"/>
                <w:szCs w:val="20"/>
              </w:rPr>
              <w:t>Item 6.</w:t>
            </w:r>
          </w:p>
        </w:tc>
        <w:tc>
          <w:tcPr>
            <w:tcW w:w="0" w:type="auto"/>
            <w:hideMark/>
          </w:tcPr>
          <w:p w14:paraId="51ADA60F" w14:textId="77777777" w:rsidR="00000000" w:rsidRDefault="00B8284C">
            <w:pPr>
              <w:pStyle w:val="a3"/>
              <w:spacing w:before="0" w:beforeAutospacing="0" w:after="0" w:afterAutospacing="0"/>
              <w:rPr>
                <w:b/>
                <w:bCs/>
                <w:sz w:val="20"/>
                <w:szCs w:val="20"/>
              </w:rPr>
            </w:pPr>
            <w:r>
              <w:rPr>
                <w:b/>
                <w:bCs/>
                <w:sz w:val="20"/>
                <w:szCs w:val="20"/>
              </w:rPr>
              <w:t>Exhibits</w:t>
            </w:r>
          </w:p>
        </w:tc>
      </w:tr>
    </w:tbl>
    <w:p w14:paraId="5C6E90B5" w14:textId="77777777" w:rsidR="00000000" w:rsidRDefault="00B8284C">
      <w:pPr>
        <w:pStyle w:val="a3"/>
        <w:spacing w:before="120" w:beforeAutospacing="0" w:after="0" w:afterAutospacing="0"/>
        <w:ind w:firstLine="556"/>
        <w:rPr>
          <w:sz w:val="20"/>
          <w:szCs w:val="20"/>
        </w:rPr>
      </w:pPr>
      <w:r>
        <w:rPr>
          <w:sz w:val="20"/>
          <w:szCs w:val="20"/>
        </w:rPr>
        <w:t>The exhibits listed below are filed or incorporated by reference into this Report.</w:t>
      </w:r>
    </w:p>
    <w:p w14:paraId="18B26193"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50"/>
        <w:gridCol w:w="7506"/>
      </w:tblGrid>
      <w:tr w:rsidR="00000000" w14:paraId="459958C9" w14:textId="77777777">
        <w:trPr>
          <w:divId w:val="1825774847"/>
        </w:trPr>
        <w:tc>
          <w:tcPr>
            <w:tcW w:w="347" w:type="pct"/>
            <w:vAlign w:val="bottom"/>
            <w:hideMark/>
          </w:tcPr>
          <w:p w14:paraId="0E55F482" w14:textId="77777777" w:rsidR="00000000" w:rsidRDefault="00B8284C">
            <w:pPr>
              <w:pStyle w:val="a3"/>
              <w:spacing w:before="0" w:beforeAutospacing="0" w:after="0" w:afterAutospacing="0"/>
              <w:jc w:val="center"/>
              <w:rPr>
                <w:b/>
                <w:bCs/>
                <w:sz w:val="16"/>
                <w:szCs w:val="16"/>
              </w:rPr>
            </w:pPr>
            <w:r>
              <w:rPr>
                <w:b/>
                <w:bCs/>
                <w:sz w:val="16"/>
                <w:szCs w:val="16"/>
              </w:rPr>
              <w:t>Exhibit</w:t>
            </w:r>
          </w:p>
          <w:p w14:paraId="1291EA3C" w14:textId="77777777" w:rsidR="00000000" w:rsidRDefault="00B8284C">
            <w:pPr>
              <w:pStyle w:val="a3"/>
              <w:spacing w:before="0" w:beforeAutospacing="0" w:after="0" w:afterAutospacing="0"/>
              <w:jc w:val="center"/>
              <w:rPr>
                <w:b/>
                <w:bCs/>
                <w:sz w:val="16"/>
                <w:szCs w:val="16"/>
              </w:rPr>
            </w:pPr>
            <w:r>
              <w:rPr>
                <w:b/>
                <w:bCs/>
                <w:sz w:val="16"/>
                <w:szCs w:val="16"/>
              </w:rPr>
              <w:t>Number</w:t>
            </w:r>
          </w:p>
        </w:tc>
        <w:tc>
          <w:tcPr>
            <w:tcW w:w="50" w:type="pct"/>
            <w:vAlign w:val="bottom"/>
            <w:hideMark/>
          </w:tcPr>
          <w:p w14:paraId="02D3AC75" w14:textId="77777777" w:rsidR="00000000" w:rsidRDefault="00B8284C">
            <w:pPr>
              <w:pStyle w:val="a3"/>
              <w:spacing w:before="0" w:beforeAutospacing="0" w:after="0" w:afterAutospacing="0"/>
              <w:rPr>
                <w:sz w:val="16"/>
                <w:szCs w:val="16"/>
              </w:rPr>
            </w:pPr>
            <w:r>
              <w:rPr>
                <w:sz w:val="16"/>
                <w:szCs w:val="16"/>
              </w:rPr>
              <w:t> </w:t>
            </w:r>
          </w:p>
        </w:tc>
        <w:tc>
          <w:tcPr>
            <w:tcW w:w="4600" w:type="pct"/>
            <w:vAlign w:val="bottom"/>
            <w:hideMark/>
          </w:tcPr>
          <w:p w14:paraId="0D8BC1E0" w14:textId="77777777" w:rsidR="00000000" w:rsidRDefault="00B8284C">
            <w:pPr>
              <w:pStyle w:val="a3"/>
              <w:spacing w:before="0" w:beforeAutospacing="0" w:after="0" w:afterAutospacing="0"/>
              <w:jc w:val="center"/>
              <w:rPr>
                <w:b/>
                <w:bCs/>
                <w:sz w:val="16"/>
                <w:szCs w:val="16"/>
              </w:rPr>
            </w:pPr>
            <w:r>
              <w:rPr>
                <w:b/>
                <w:bCs/>
                <w:sz w:val="16"/>
                <w:szCs w:val="16"/>
              </w:rPr>
              <w:t>Exhibit Title</w:t>
            </w:r>
          </w:p>
        </w:tc>
      </w:tr>
      <w:tr w:rsidR="00000000" w14:paraId="13AA4A47" w14:textId="77777777">
        <w:trPr>
          <w:divId w:val="1825774847"/>
          <w:trHeight w:val="86"/>
        </w:trPr>
        <w:tc>
          <w:tcPr>
            <w:tcW w:w="347" w:type="pct"/>
            <w:vAlign w:val="bottom"/>
            <w:hideMark/>
          </w:tcPr>
          <w:p w14:paraId="26F00085" w14:textId="77777777" w:rsidR="00000000" w:rsidRDefault="00B8284C">
            <w:pPr>
              <w:pStyle w:val="a3"/>
              <w:spacing w:before="0" w:beforeAutospacing="0" w:after="0" w:afterAutospacing="0"/>
              <w:rPr>
                <w:sz w:val="6"/>
                <w:szCs w:val="6"/>
              </w:rPr>
            </w:pPr>
            <w:r>
              <w:rPr>
                <w:sz w:val="6"/>
                <w:szCs w:val="6"/>
              </w:rPr>
              <w:t> </w:t>
            </w:r>
          </w:p>
        </w:tc>
        <w:tc>
          <w:tcPr>
            <w:tcW w:w="50" w:type="pct"/>
            <w:vAlign w:val="bottom"/>
            <w:hideMark/>
          </w:tcPr>
          <w:p w14:paraId="6050BE90" w14:textId="77777777" w:rsidR="00000000" w:rsidRDefault="00B8284C">
            <w:pPr>
              <w:pStyle w:val="a3"/>
              <w:spacing w:before="0" w:beforeAutospacing="0" w:after="0" w:afterAutospacing="0"/>
              <w:rPr>
                <w:sz w:val="6"/>
                <w:szCs w:val="6"/>
              </w:rPr>
            </w:pPr>
            <w:r>
              <w:rPr>
                <w:sz w:val="6"/>
                <w:szCs w:val="6"/>
              </w:rPr>
              <w:t> </w:t>
            </w:r>
          </w:p>
        </w:tc>
        <w:tc>
          <w:tcPr>
            <w:tcW w:w="4600" w:type="pct"/>
            <w:vAlign w:val="bottom"/>
            <w:hideMark/>
          </w:tcPr>
          <w:p w14:paraId="14AB88C3" w14:textId="77777777" w:rsidR="00000000" w:rsidRDefault="00B8284C">
            <w:pPr>
              <w:pStyle w:val="a3"/>
              <w:spacing w:before="0" w:beforeAutospacing="0" w:after="0" w:afterAutospacing="0"/>
              <w:rPr>
                <w:sz w:val="6"/>
                <w:szCs w:val="6"/>
              </w:rPr>
            </w:pPr>
            <w:r>
              <w:rPr>
                <w:sz w:val="6"/>
                <w:szCs w:val="6"/>
              </w:rPr>
              <w:t> </w:t>
            </w:r>
          </w:p>
        </w:tc>
      </w:tr>
      <w:tr w:rsidR="00000000" w14:paraId="08BF0063" w14:textId="77777777">
        <w:trPr>
          <w:divId w:val="1825774847"/>
        </w:trPr>
        <w:tc>
          <w:tcPr>
            <w:tcW w:w="347" w:type="pct"/>
            <w:hideMark/>
          </w:tcPr>
          <w:p w14:paraId="06F04A6E" w14:textId="77777777" w:rsidR="00000000" w:rsidRDefault="00B8284C">
            <w:pPr>
              <w:pStyle w:val="a3"/>
              <w:spacing w:before="0" w:beforeAutospacing="0" w:after="0" w:afterAutospacing="0"/>
              <w:rPr>
                <w:sz w:val="6"/>
                <w:szCs w:val="6"/>
              </w:rPr>
            </w:pPr>
            <w:r>
              <w:rPr>
                <w:sz w:val="6"/>
                <w:szCs w:val="6"/>
              </w:rPr>
              <w:t> </w:t>
            </w:r>
          </w:p>
        </w:tc>
        <w:tc>
          <w:tcPr>
            <w:tcW w:w="50" w:type="pct"/>
            <w:vAlign w:val="bottom"/>
            <w:hideMark/>
          </w:tcPr>
          <w:p w14:paraId="4B64201F" w14:textId="77777777" w:rsidR="00000000" w:rsidRDefault="00B8284C">
            <w:pPr>
              <w:pStyle w:val="a3"/>
              <w:spacing w:before="0" w:beforeAutospacing="0" w:after="0" w:afterAutospacing="0"/>
              <w:rPr>
                <w:sz w:val="6"/>
                <w:szCs w:val="6"/>
              </w:rPr>
            </w:pPr>
            <w:r>
              <w:rPr>
                <w:sz w:val="6"/>
                <w:szCs w:val="6"/>
              </w:rPr>
              <w:t> </w:t>
            </w:r>
          </w:p>
        </w:tc>
        <w:tc>
          <w:tcPr>
            <w:tcW w:w="4600" w:type="pct"/>
            <w:vAlign w:val="bottom"/>
            <w:hideMark/>
          </w:tcPr>
          <w:p w14:paraId="5B312E03" w14:textId="77777777" w:rsidR="00000000" w:rsidRDefault="00B8284C">
            <w:pPr>
              <w:pStyle w:val="a3"/>
              <w:spacing w:before="0" w:beforeAutospacing="0" w:after="0" w:afterAutospacing="0"/>
              <w:rPr>
                <w:sz w:val="6"/>
                <w:szCs w:val="6"/>
              </w:rPr>
            </w:pPr>
            <w:r>
              <w:rPr>
                <w:sz w:val="6"/>
                <w:szCs w:val="6"/>
              </w:rPr>
              <w:t> </w:t>
            </w:r>
          </w:p>
        </w:tc>
      </w:tr>
      <w:tr w:rsidR="00000000" w14:paraId="61D6DA74" w14:textId="77777777">
        <w:trPr>
          <w:divId w:val="1825774847"/>
        </w:trPr>
        <w:tc>
          <w:tcPr>
            <w:tcW w:w="347" w:type="pct"/>
            <w:hideMark/>
          </w:tcPr>
          <w:p w14:paraId="227E7A88" w14:textId="77777777" w:rsidR="00000000" w:rsidRDefault="00B8284C">
            <w:pPr>
              <w:pStyle w:val="a3"/>
              <w:spacing w:before="0" w:beforeAutospacing="0" w:after="0" w:afterAutospacing="0"/>
              <w:rPr>
                <w:sz w:val="20"/>
                <w:szCs w:val="20"/>
              </w:rPr>
            </w:pPr>
            <w:r>
              <w:rPr>
                <w:sz w:val="20"/>
                <w:szCs w:val="20"/>
              </w:rPr>
              <w:t>    3.1(1)</w:t>
            </w:r>
          </w:p>
        </w:tc>
        <w:tc>
          <w:tcPr>
            <w:tcW w:w="50" w:type="pct"/>
            <w:vAlign w:val="bottom"/>
            <w:hideMark/>
          </w:tcPr>
          <w:p w14:paraId="692F7F75"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5E39935A" w14:textId="77777777" w:rsidR="00000000" w:rsidRDefault="00B8284C">
            <w:pPr>
              <w:pStyle w:val="a3"/>
              <w:spacing w:before="0" w:beforeAutospacing="0" w:after="0" w:afterAutospacing="0"/>
              <w:rPr>
                <w:sz w:val="20"/>
                <w:szCs w:val="20"/>
              </w:rPr>
            </w:pPr>
            <w:hyperlink r:id="rId4" w:history="1">
              <w:r>
                <w:rPr>
                  <w:rStyle w:val="a4"/>
                  <w:sz w:val="20"/>
                  <w:szCs w:val="20"/>
                </w:rPr>
                <w:t>Amended and Restated Certificate of Incorporation of the Registrant</w:t>
              </w:r>
            </w:hyperlink>
          </w:p>
        </w:tc>
      </w:tr>
      <w:tr w:rsidR="00000000" w14:paraId="330BE6FB" w14:textId="77777777">
        <w:trPr>
          <w:divId w:val="1825774847"/>
          <w:trHeight w:val="86"/>
        </w:trPr>
        <w:tc>
          <w:tcPr>
            <w:tcW w:w="347" w:type="pct"/>
            <w:hideMark/>
          </w:tcPr>
          <w:p w14:paraId="0A879086" w14:textId="77777777" w:rsidR="00000000" w:rsidRDefault="00B8284C">
            <w:pPr>
              <w:pStyle w:val="a3"/>
              <w:spacing w:before="0" w:beforeAutospacing="0" w:after="0" w:afterAutospacing="0"/>
              <w:rPr>
                <w:sz w:val="12"/>
                <w:szCs w:val="12"/>
              </w:rPr>
            </w:pPr>
            <w:r>
              <w:rPr>
                <w:sz w:val="12"/>
                <w:szCs w:val="12"/>
              </w:rPr>
              <w:t> </w:t>
            </w:r>
          </w:p>
        </w:tc>
        <w:tc>
          <w:tcPr>
            <w:tcW w:w="50" w:type="pct"/>
            <w:vAlign w:val="bottom"/>
            <w:hideMark/>
          </w:tcPr>
          <w:p w14:paraId="0DC02C3D" w14:textId="77777777" w:rsidR="00000000" w:rsidRDefault="00B8284C">
            <w:pPr>
              <w:pStyle w:val="a3"/>
              <w:spacing w:before="0" w:beforeAutospacing="0" w:after="0" w:afterAutospacing="0"/>
              <w:rPr>
                <w:sz w:val="12"/>
                <w:szCs w:val="12"/>
              </w:rPr>
            </w:pPr>
            <w:r>
              <w:rPr>
                <w:sz w:val="12"/>
                <w:szCs w:val="12"/>
              </w:rPr>
              <w:t> </w:t>
            </w:r>
          </w:p>
        </w:tc>
        <w:tc>
          <w:tcPr>
            <w:tcW w:w="4600" w:type="pct"/>
            <w:vAlign w:val="bottom"/>
            <w:hideMark/>
          </w:tcPr>
          <w:p w14:paraId="206DE58C" w14:textId="77777777" w:rsidR="00000000" w:rsidRDefault="00B8284C">
            <w:pPr>
              <w:pStyle w:val="a3"/>
              <w:spacing w:before="0" w:beforeAutospacing="0" w:after="0" w:afterAutospacing="0"/>
              <w:rPr>
                <w:sz w:val="12"/>
                <w:szCs w:val="12"/>
              </w:rPr>
            </w:pPr>
            <w:r>
              <w:rPr>
                <w:sz w:val="12"/>
                <w:szCs w:val="12"/>
              </w:rPr>
              <w:t> </w:t>
            </w:r>
          </w:p>
        </w:tc>
      </w:tr>
      <w:tr w:rsidR="00000000" w14:paraId="5DB70DB2" w14:textId="77777777">
        <w:trPr>
          <w:divId w:val="1825774847"/>
        </w:trPr>
        <w:tc>
          <w:tcPr>
            <w:tcW w:w="347" w:type="pct"/>
            <w:hideMark/>
          </w:tcPr>
          <w:p w14:paraId="6AA8EAB8" w14:textId="77777777" w:rsidR="00000000" w:rsidRDefault="00B8284C">
            <w:pPr>
              <w:pStyle w:val="a3"/>
              <w:spacing w:before="0" w:beforeAutospacing="0" w:after="0" w:afterAutospacing="0"/>
              <w:rPr>
                <w:sz w:val="20"/>
                <w:szCs w:val="20"/>
              </w:rPr>
            </w:pPr>
            <w:r>
              <w:rPr>
                <w:sz w:val="20"/>
                <w:szCs w:val="20"/>
              </w:rPr>
              <w:t>    3.2(2)</w:t>
            </w:r>
          </w:p>
        </w:tc>
        <w:tc>
          <w:tcPr>
            <w:tcW w:w="50" w:type="pct"/>
            <w:vAlign w:val="bottom"/>
            <w:hideMark/>
          </w:tcPr>
          <w:p w14:paraId="6D41963E"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082DBCF7" w14:textId="77777777" w:rsidR="00000000" w:rsidRDefault="00B8284C">
            <w:pPr>
              <w:pStyle w:val="a3"/>
              <w:spacing w:before="0" w:beforeAutospacing="0" w:after="0" w:afterAutospacing="0"/>
              <w:rPr>
                <w:sz w:val="20"/>
                <w:szCs w:val="20"/>
              </w:rPr>
            </w:pPr>
            <w:hyperlink r:id="rId5" w:history="1">
              <w:r>
                <w:rPr>
                  <w:rStyle w:val="a4"/>
                  <w:sz w:val="20"/>
                  <w:szCs w:val="20"/>
                </w:rPr>
                <w:t>Second Amended and Restated Bylaws of the Registrant</w:t>
              </w:r>
            </w:hyperlink>
          </w:p>
        </w:tc>
      </w:tr>
      <w:tr w:rsidR="00000000" w14:paraId="5E1E07A0" w14:textId="77777777">
        <w:trPr>
          <w:divId w:val="1825774847"/>
          <w:trHeight w:val="153"/>
        </w:trPr>
        <w:tc>
          <w:tcPr>
            <w:tcW w:w="347" w:type="pct"/>
            <w:hideMark/>
          </w:tcPr>
          <w:p w14:paraId="529547D2" w14:textId="77777777" w:rsidR="00000000" w:rsidRDefault="00B8284C">
            <w:pPr>
              <w:pStyle w:val="a3"/>
              <w:spacing w:before="0" w:beforeAutospacing="0" w:after="0" w:afterAutospacing="0"/>
              <w:rPr>
                <w:sz w:val="12"/>
                <w:szCs w:val="12"/>
              </w:rPr>
            </w:pPr>
            <w:r>
              <w:rPr>
                <w:sz w:val="12"/>
                <w:szCs w:val="12"/>
              </w:rPr>
              <w:t> </w:t>
            </w:r>
          </w:p>
        </w:tc>
        <w:tc>
          <w:tcPr>
            <w:tcW w:w="50" w:type="pct"/>
            <w:vAlign w:val="bottom"/>
            <w:hideMark/>
          </w:tcPr>
          <w:p w14:paraId="43F11B2E" w14:textId="77777777" w:rsidR="00000000" w:rsidRDefault="00B8284C">
            <w:pPr>
              <w:pStyle w:val="a3"/>
              <w:spacing w:before="0" w:beforeAutospacing="0" w:after="0" w:afterAutospacing="0"/>
              <w:rPr>
                <w:sz w:val="12"/>
                <w:szCs w:val="12"/>
              </w:rPr>
            </w:pPr>
            <w:r>
              <w:rPr>
                <w:sz w:val="12"/>
                <w:szCs w:val="12"/>
              </w:rPr>
              <w:t> </w:t>
            </w:r>
          </w:p>
        </w:tc>
        <w:tc>
          <w:tcPr>
            <w:tcW w:w="4600" w:type="pct"/>
            <w:vAlign w:val="bottom"/>
            <w:hideMark/>
          </w:tcPr>
          <w:p w14:paraId="13AC9007" w14:textId="77777777" w:rsidR="00000000" w:rsidRDefault="00B8284C">
            <w:pPr>
              <w:pStyle w:val="a3"/>
              <w:spacing w:before="0" w:beforeAutospacing="0" w:after="0" w:afterAutospacing="0"/>
              <w:rPr>
                <w:sz w:val="12"/>
                <w:szCs w:val="12"/>
              </w:rPr>
            </w:pPr>
            <w:r>
              <w:rPr>
                <w:sz w:val="12"/>
                <w:szCs w:val="12"/>
              </w:rPr>
              <w:t> </w:t>
            </w:r>
          </w:p>
        </w:tc>
      </w:tr>
      <w:tr w:rsidR="00000000" w14:paraId="24132C74" w14:textId="77777777">
        <w:trPr>
          <w:divId w:val="1825774847"/>
        </w:trPr>
        <w:tc>
          <w:tcPr>
            <w:tcW w:w="347" w:type="pct"/>
            <w:hideMark/>
          </w:tcPr>
          <w:p w14:paraId="41176FF9" w14:textId="77777777" w:rsidR="00000000" w:rsidRDefault="00B8284C">
            <w:pPr>
              <w:pStyle w:val="a3"/>
              <w:spacing w:before="0" w:beforeAutospacing="0" w:after="0" w:afterAutospacing="0"/>
              <w:rPr>
                <w:sz w:val="20"/>
                <w:szCs w:val="20"/>
              </w:rPr>
            </w:pPr>
            <w:r>
              <w:rPr>
                <w:sz w:val="20"/>
                <w:szCs w:val="20"/>
              </w:rPr>
              <w:t>  31.1(3)</w:t>
            </w:r>
          </w:p>
        </w:tc>
        <w:tc>
          <w:tcPr>
            <w:tcW w:w="50" w:type="pct"/>
            <w:vAlign w:val="bottom"/>
            <w:hideMark/>
          </w:tcPr>
          <w:p w14:paraId="3B2F7E0C"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28035CFD" w14:textId="77777777" w:rsidR="00000000" w:rsidRDefault="00B8284C">
            <w:pPr>
              <w:pStyle w:val="a3"/>
              <w:spacing w:before="0" w:beforeAutospacing="0" w:after="0" w:afterAutospacing="0"/>
              <w:rPr>
                <w:sz w:val="20"/>
                <w:szCs w:val="20"/>
              </w:rPr>
            </w:pPr>
            <w:hyperlink r:id="rId6" w:history="1">
              <w:r>
                <w:rPr>
                  <w:rStyle w:val="a4"/>
                  <w:sz w:val="20"/>
                  <w:szCs w:val="20"/>
                </w:rPr>
                <w:t>Certification of Principal Executive Officer pursuant to Rule 13a-14(a) or Rule 15d-14(a) of the Securities Exchange A</w:t>
              </w:r>
              <w:r>
                <w:rPr>
                  <w:rStyle w:val="a4"/>
                  <w:sz w:val="20"/>
                  <w:szCs w:val="20"/>
                </w:rPr>
                <w:t>ct of 1934, as amended</w:t>
              </w:r>
            </w:hyperlink>
          </w:p>
        </w:tc>
      </w:tr>
      <w:tr w:rsidR="00000000" w14:paraId="008F8637" w14:textId="77777777">
        <w:trPr>
          <w:divId w:val="1825774847"/>
          <w:trHeight w:val="86"/>
        </w:trPr>
        <w:tc>
          <w:tcPr>
            <w:tcW w:w="347" w:type="pct"/>
            <w:hideMark/>
          </w:tcPr>
          <w:p w14:paraId="0E9D301E" w14:textId="77777777" w:rsidR="00000000" w:rsidRDefault="00B8284C">
            <w:pPr>
              <w:pStyle w:val="a3"/>
              <w:spacing w:before="0" w:beforeAutospacing="0" w:after="0" w:afterAutospacing="0"/>
              <w:rPr>
                <w:sz w:val="12"/>
                <w:szCs w:val="12"/>
              </w:rPr>
            </w:pPr>
            <w:r>
              <w:rPr>
                <w:sz w:val="12"/>
                <w:szCs w:val="12"/>
              </w:rPr>
              <w:t> </w:t>
            </w:r>
          </w:p>
        </w:tc>
        <w:tc>
          <w:tcPr>
            <w:tcW w:w="50" w:type="pct"/>
            <w:vAlign w:val="bottom"/>
            <w:hideMark/>
          </w:tcPr>
          <w:p w14:paraId="3F4B976F" w14:textId="77777777" w:rsidR="00000000" w:rsidRDefault="00B8284C">
            <w:pPr>
              <w:pStyle w:val="a3"/>
              <w:spacing w:before="0" w:beforeAutospacing="0" w:after="0" w:afterAutospacing="0"/>
              <w:rPr>
                <w:sz w:val="12"/>
                <w:szCs w:val="12"/>
              </w:rPr>
            </w:pPr>
            <w:r>
              <w:rPr>
                <w:sz w:val="12"/>
                <w:szCs w:val="12"/>
              </w:rPr>
              <w:t> </w:t>
            </w:r>
          </w:p>
        </w:tc>
        <w:tc>
          <w:tcPr>
            <w:tcW w:w="4600" w:type="pct"/>
            <w:vAlign w:val="bottom"/>
            <w:hideMark/>
          </w:tcPr>
          <w:p w14:paraId="51FD616D" w14:textId="77777777" w:rsidR="00000000" w:rsidRDefault="00B8284C">
            <w:pPr>
              <w:pStyle w:val="a3"/>
              <w:spacing w:before="0" w:beforeAutospacing="0" w:after="0" w:afterAutospacing="0"/>
              <w:rPr>
                <w:sz w:val="12"/>
                <w:szCs w:val="12"/>
              </w:rPr>
            </w:pPr>
            <w:r>
              <w:rPr>
                <w:sz w:val="12"/>
                <w:szCs w:val="12"/>
              </w:rPr>
              <w:t> </w:t>
            </w:r>
          </w:p>
        </w:tc>
      </w:tr>
      <w:tr w:rsidR="00000000" w14:paraId="79E78941" w14:textId="77777777">
        <w:trPr>
          <w:divId w:val="1825774847"/>
        </w:trPr>
        <w:tc>
          <w:tcPr>
            <w:tcW w:w="347" w:type="pct"/>
            <w:hideMark/>
          </w:tcPr>
          <w:p w14:paraId="1D1CA9E0" w14:textId="77777777" w:rsidR="00000000" w:rsidRDefault="00B8284C">
            <w:pPr>
              <w:pStyle w:val="a3"/>
              <w:spacing w:before="0" w:beforeAutospacing="0" w:after="0" w:afterAutospacing="0"/>
              <w:rPr>
                <w:sz w:val="20"/>
                <w:szCs w:val="20"/>
              </w:rPr>
            </w:pPr>
            <w:r>
              <w:rPr>
                <w:sz w:val="20"/>
                <w:szCs w:val="20"/>
              </w:rPr>
              <w:t>  31.2(3)</w:t>
            </w:r>
          </w:p>
        </w:tc>
        <w:tc>
          <w:tcPr>
            <w:tcW w:w="50" w:type="pct"/>
            <w:vAlign w:val="bottom"/>
            <w:hideMark/>
          </w:tcPr>
          <w:p w14:paraId="6FADAB33"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748DAB0A" w14:textId="77777777" w:rsidR="00000000" w:rsidRDefault="00B8284C">
            <w:pPr>
              <w:pStyle w:val="a3"/>
              <w:spacing w:before="0" w:beforeAutospacing="0" w:after="0" w:afterAutospacing="0"/>
              <w:rPr>
                <w:sz w:val="20"/>
                <w:szCs w:val="20"/>
              </w:rPr>
            </w:pPr>
            <w:hyperlink r:id="rId7" w:history="1">
              <w:r>
                <w:rPr>
                  <w:rStyle w:val="a4"/>
                  <w:sz w:val="20"/>
                  <w:szCs w:val="20"/>
                </w:rPr>
                <w:t>Certification of Principal Financial Officer pursuant to Rule 13a-14(a) or Rule 15d-14(a) of the Securities Exchange Act of 1934, as amended</w:t>
              </w:r>
            </w:hyperlink>
          </w:p>
        </w:tc>
      </w:tr>
      <w:tr w:rsidR="00000000" w14:paraId="29B5853C" w14:textId="77777777">
        <w:trPr>
          <w:divId w:val="1825774847"/>
          <w:trHeight w:val="86"/>
        </w:trPr>
        <w:tc>
          <w:tcPr>
            <w:tcW w:w="347" w:type="pct"/>
            <w:hideMark/>
          </w:tcPr>
          <w:p w14:paraId="42896EBC" w14:textId="77777777" w:rsidR="00000000" w:rsidRDefault="00B8284C">
            <w:pPr>
              <w:pStyle w:val="a3"/>
              <w:spacing w:before="0" w:beforeAutospacing="0" w:after="0" w:afterAutospacing="0"/>
              <w:rPr>
                <w:sz w:val="12"/>
                <w:szCs w:val="12"/>
              </w:rPr>
            </w:pPr>
            <w:r>
              <w:rPr>
                <w:sz w:val="12"/>
                <w:szCs w:val="12"/>
              </w:rPr>
              <w:t> </w:t>
            </w:r>
          </w:p>
        </w:tc>
        <w:tc>
          <w:tcPr>
            <w:tcW w:w="50" w:type="pct"/>
            <w:vAlign w:val="bottom"/>
            <w:hideMark/>
          </w:tcPr>
          <w:p w14:paraId="2D6A0055" w14:textId="77777777" w:rsidR="00000000" w:rsidRDefault="00B8284C">
            <w:pPr>
              <w:pStyle w:val="a3"/>
              <w:spacing w:before="0" w:beforeAutospacing="0" w:after="0" w:afterAutospacing="0"/>
              <w:rPr>
                <w:sz w:val="12"/>
                <w:szCs w:val="12"/>
              </w:rPr>
            </w:pPr>
            <w:r>
              <w:rPr>
                <w:sz w:val="12"/>
                <w:szCs w:val="12"/>
              </w:rPr>
              <w:t> </w:t>
            </w:r>
          </w:p>
        </w:tc>
        <w:tc>
          <w:tcPr>
            <w:tcW w:w="4600" w:type="pct"/>
            <w:vAlign w:val="bottom"/>
            <w:hideMark/>
          </w:tcPr>
          <w:p w14:paraId="569B9525" w14:textId="77777777" w:rsidR="00000000" w:rsidRDefault="00B8284C">
            <w:pPr>
              <w:pStyle w:val="a3"/>
              <w:spacing w:before="0" w:beforeAutospacing="0" w:after="0" w:afterAutospacing="0"/>
              <w:rPr>
                <w:sz w:val="12"/>
                <w:szCs w:val="12"/>
              </w:rPr>
            </w:pPr>
            <w:r>
              <w:rPr>
                <w:sz w:val="12"/>
                <w:szCs w:val="12"/>
              </w:rPr>
              <w:t> </w:t>
            </w:r>
          </w:p>
        </w:tc>
      </w:tr>
      <w:tr w:rsidR="00000000" w14:paraId="06C22051" w14:textId="77777777">
        <w:trPr>
          <w:divId w:val="1825774847"/>
        </w:trPr>
        <w:tc>
          <w:tcPr>
            <w:tcW w:w="347" w:type="pct"/>
            <w:hideMark/>
          </w:tcPr>
          <w:p w14:paraId="33C50BA4" w14:textId="77777777" w:rsidR="00000000" w:rsidRDefault="00B8284C">
            <w:pPr>
              <w:pStyle w:val="a3"/>
              <w:spacing w:before="0" w:beforeAutospacing="0" w:after="0" w:afterAutospacing="0"/>
              <w:rPr>
                <w:sz w:val="20"/>
                <w:szCs w:val="20"/>
              </w:rPr>
            </w:pPr>
            <w:r>
              <w:rPr>
                <w:sz w:val="20"/>
                <w:szCs w:val="20"/>
              </w:rPr>
              <w:t>   32.1+</w:t>
            </w:r>
          </w:p>
        </w:tc>
        <w:tc>
          <w:tcPr>
            <w:tcW w:w="50" w:type="pct"/>
            <w:vAlign w:val="bottom"/>
            <w:hideMark/>
          </w:tcPr>
          <w:p w14:paraId="295C58F0"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56CCB82B" w14:textId="77777777" w:rsidR="00000000" w:rsidRDefault="00B8284C">
            <w:pPr>
              <w:pStyle w:val="a3"/>
              <w:spacing w:before="0" w:beforeAutospacing="0" w:after="0" w:afterAutospacing="0"/>
              <w:rPr>
                <w:sz w:val="20"/>
                <w:szCs w:val="20"/>
              </w:rPr>
            </w:pPr>
            <w:hyperlink r:id="rId8" w:history="1">
              <w:r>
                <w:rPr>
                  <w:rStyle w:val="a4"/>
                  <w:sz w:val="20"/>
                  <w:szCs w:val="20"/>
                </w:rPr>
                <w:t>Certification of Principal Executive Officer and Principal Fina</w:t>
              </w:r>
              <w:r>
                <w:rPr>
                  <w:rStyle w:val="a4"/>
                  <w:sz w:val="20"/>
                  <w:szCs w:val="20"/>
                </w:rPr>
                <w:t>ncial Officer pursuant to Section 906 of the Sarbanes-Oxley Act</w:t>
              </w:r>
            </w:hyperlink>
          </w:p>
        </w:tc>
      </w:tr>
      <w:tr w:rsidR="00000000" w14:paraId="64746689" w14:textId="77777777">
        <w:trPr>
          <w:divId w:val="1825774847"/>
          <w:trHeight w:val="86"/>
        </w:trPr>
        <w:tc>
          <w:tcPr>
            <w:tcW w:w="347" w:type="pct"/>
            <w:hideMark/>
          </w:tcPr>
          <w:p w14:paraId="605E7CF8" w14:textId="77777777" w:rsidR="00000000" w:rsidRDefault="00B8284C">
            <w:pPr>
              <w:pStyle w:val="a3"/>
              <w:spacing w:before="0" w:beforeAutospacing="0" w:after="0" w:afterAutospacing="0"/>
              <w:rPr>
                <w:sz w:val="6"/>
                <w:szCs w:val="6"/>
              </w:rPr>
            </w:pPr>
            <w:r>
              <w:rPr>
                <w:sz w:val="6"/>
                <w:szCs w:val="6"/>
              </w:rPr>
              <w:t> </w:t>
            </w:r>
          </w:p>
        </w:tc>
        <w:tc>
          <w:tcPr>
            <w:tcW w:w="50" w:type="pct"/>
            <w:vAlign w:val="bottom"/>
            <w:hideMark/>
          </w:tcPr>
          <w:p w14:paraId="23ED231E" w14:textId="77777777" w:rsidR="00000000" w:rsidRDefault="00B8284C">
            <w:pPr>
              <w:pStyle w:val="a3"/>
              <w:spacing w:before="0" w:beforeAutospacing="0" w:after="0" w:afterAutospacing="0"/>
              <w:rPr>
                <w:sz w:val="6"/>
                <w:szCs w:val="6"/>
              </w:rPr>
            </w:pPr>
            <w:r>
              <w:rPr>
                <w:sz w:val="6"/>
                <w:szCs w:val="6"/>
              </w:rPr>
              <w:t> </w:t>
            </w:r>
          </w:p>
        </w:tc>
        <w:tc>
          <w:tcPr>
            <w:tcW w:w="4600" w:type="pct"/>
            <w:vAlign w:val="bottom"/>
            <w:hideMark/>
          </w:tcPr>
          <w:p w14:paraId="5B68F463" w14:textId="77777777" w:rsidR="00000000" w:rsidRDefault="00B8284C">
            <w:pPr>
              <w:pStyle w:val="a3"/>
              <w:spacing w:before="0" w:beforeAutospacing="0" w:after="0" w:afterAutospacing="0"/>
              <w:rPr>
                <w:sz w:val="6"/>
                <w:szCs w:val="6"/>
              </w:rPr>
            </w:pPr>
            <w:r>
              <w:rPr>
                <w:sz w:val="6"/>
                <w:szCs w:val="6"/>
              </w:rPr>
              <w:t> </w:t>
            </w:r>
          </w:p>
        </w:tc>
      </w:tr>
      <w:tr w:rsidR="00000000" w14:paraId="1AD6EE21" w14:textId="77777777">
        <w:trPr>
          <w:divId w:val="1825774847"/>
          <w:trHeight w:val="86"/>
        </w:trPr>
        <w:tc>
          <w:tcPr>
            <w:tcW w:w="347" w:type="pct"/>
            <w:hideMark/>
          </w:tcPr>
          <w:p w14:paraId="608E772D" w14:textId="77777777" w:rsidR="00000000" w:rsidRDefault="00B8284C">
            <w:pPr>
              <w:pStyle w:val="a3"/>
              <w:spacing w:before="0" w:beforeAutospacing="0" w:after="0" w:afterAutospacing="0"/>
              <w:rPr>
                <w:sz w:val="6"/>
                <w:szCs w:val="6"/>
              </w:rPr>
            </w:pPr>
            <w:r>
              <w:rPr>
                <w:sz w:val="6"/>
                <w:szCs w:val="6"/>
              </w:rPr>
              <w:t> </w:t>
            </w:r>
          </w:p>
        </w:tc>
        <w:tc>
          <w:tcPr>
            <w:tcW w:w="50" w:type="pct"/>
            <w:vAlign w:val="bottom"/>
            <w:hideMark/>
          </w:tcPr>
          <w:p w14:paraId="547ED848" w14:textId="77777777" w:rsidR="00000000" w:rsidRDefault="00B8284C">
            <w:pPr>
              <w:pStyle w:val="a3"/>
              <w:spacing w:before="0" w:beforeAutospacing="0" w:after="0" w:afterAutospacing="0"/>
              <w:rPr>
                <w:sz w:val="6"/>
                <w:szCs w:val="6"/>
              </w:rPr>
            </w:pPr>
            <w:r>
              <w:rPr>
                <w:sz w:val="6"/>
                <w:szCs w:val="6"/>
              </w:rPr>
              <w:t> </w:t>
            </w:r>
          </w:p>
        </w:tc>
        <w:tc>
          <w:tcPr>
            <w:tcW w:w="4600" w:type="pct"/>
            <w:vAlign w:val="bottom"/>
            <w:hideMark/>
          </w:tcPr>
          <w:p w14:paraId="213C2151" w14:textId="77777777" w:rsidR="00000000" w:rsidRDefault="00B8284C">
            <w:pPr>
              <w:pStyle w:val="a3"/>
              <w:spacing w:before="0" w:beforeAutospacing="0" w:after="0" w:afterAutospacing="0"/>
              <w:rPr>
                <w:sz w:val="6"/>
                <w:szCs w:val="6"/>
              </w:rPr>
            </w:pPr>
            <w:r>
              <w:rPr>
                <w:sz w:val="6"/>
                <w:szCs w:val="6"/>
              </w:rPr>
              <w:t> </w:t>
            </w:r>
          </w:p>
        </w:tc>
      </w:tr>
      <w:tr w:rsidR="00000000" w14:paraId="213FB270" w14:textId="77777777">
        <w:trPr>
          <w:divId w:val="1825774847"/>
        </w:trPr>
        <w:tc>
          <w:tcPr>
            <w:tcW w:w="347" w:type="pct"/>
            <w:hideMark/>
          </w:tcPr>
          <w:p w14:paraId="427A2953" w14:textId="77777777" w:rsidR="00000000" w:rsidRDefault="00B8284C">
            <w:pPr>
              <w:pStyle w:val="a3"/>
              <w:spacing w:before="0" w:beforeAutospacing="0" w:after="0" w:afterAutospacing="0"/>
              <w:rPr>
                <w:sz w:val="20"/>
                <w:szCs w:val="20"/>
              </w:rPr>
            </w:pPr>
            <w:r>
              <w:rPr>
                <w:sz w:val="20"/>
                <w:szCs w:val="20"/>
              </w:rPr>
              <w:t>101.INS</w:t>
            </w:r>
          </w:p>
        </w:tc>
        <w:tc>
          <w:tcPr>
            <w:tcW w:w="50" w:type="pct"/>
            <w:vAlign w:val="bottom"/>
            <w:hideMark/>
          </w:tcPr>
          <w:p w14:paraId="63903DFA"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2FA67E15" w14:textId="77777777" w:rsidR="00000000" w:rsidRDefault="00B8284C">
            <w:pPr>
              <w:pStyle w:val="a3"/>
              <w:spacing w:before="0" w:beforeAutospacing="0" w:after="0" w:afterAutospacing="0"/>
              <w:rPr>
                <w:sz w:val="20"/>
                <w:szCs w:val="20"/>
              </w:rPr>
            </w:pPr>
            <w:r>
              <w:rPr>
                <w:sz w:val="20"/>
                <w:szCs w:val="20"/>
              </w:rPr>
              <w:t xml:space="preserve">Inline eXtensible Business Reporting Language (XBRL) Instance Document – </w:t>
            </w:r>
            <w:r>
              <w:rPr>
                <w:sz w:val="20"/>
                <w:szCs w:val="20"/>
              </w:rPr>
              <w:t>the instance document does not appear in the Interactive Data File because its XBRL tags are embedded within the Inline XBRL document.</w:t>
            </w:r>
          </w:p>
        </w:tc>
      </w:tr>
      <w:tr w:rsidR="00000000" w14:paraId="05421DF2" w14:textId="77777777">
        <w:trPr>
          <w:divId w:val="1825774847"/>
        </w:trPr>
        <w:tc>
          <w:tcPr>
            <w:tcW w:w="347" w:type="pct"/>
            <w:hideMark/>
          </w:tcPr>
          <w:p w14:paraId="23AD3F1E" w14:textId="77777777" w:rsidR="00000000" w:rsidRDefault="00B8284C">
            <w:pPr>
              <w:pStyle w:val="a3"/>
              <w:spacing w:before="0" w:beforeAutospacing="0" w:after="0" w:afterAutospacing="0"/>
              <w:rPr>
                <w:sz w:val="20"/>
                <w:szCs w:val="20"/>
              </w:rPr>
            </w:pPr>
            <w:r>
              <w:rPr>
                <w:sz w:val="20"/>
                <w:szCs w:val="20"/>
              </w:rPr>
              <w:t> </w:t>
            </w:r>
          </w:p>
        </w:tc>
        <w:tc>
          <w:tcPr>
            <w:tcW w:w="50" w:type="pct"/>
            <w:vAlign w:val="bottom"/>
            <w:hideMark/>
          </w:tcPr>
          <w:p w14:paraId="485B1FDD"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6AE24370" w14:textId="77777777" w:rsidR="00000000" w:rsidRDefault="00B8284C">
            <w:pPr>
              <w:pStyle w:val="a3"/>
              <w:spacing w:before="0" w:beforeAutospacing="0" w:after="0" w:afterAutospacing="0"/>
              <w:rPr>
                <w:sz w:val="20"/>
                <w:szCs w:val="20"/>
              </w:rPr>
            </w:pPr>
            <w:r>
              <w:rPr>
                <w:sz w:val="20"/>
                <w:szCs w:val="20"/>
              </w:rPr>
              <w:t> </w:t>
            </w:r>
          </w:p>
        </w:tc>
      </w:tr>
      <w:tr w:rsidR="00000000" w14:paraId="2B9B8473" w14:textId="77777777">
        <w:trPr>
          <w:divId w:val="1825774847"/>
        </w:trPr>
        <w:tc>
          <w:tcPr>
            <w:tcW w:w="347" w:type="pct"/>
            <w:hideMark/>
          </w:tcPr>
          <w:p w14:paraId="548382F0" w14:textId="77777777" w:rsidR="00000000" w:rsidRDefault="00B8284C">
            <w:pPr>
              <w:pStyle w:val="a3"/>
              <w:spacing w:before="0" w:beforeAutospacing="0" w:after="0" w:afterAutospacing="0"/>
              <w:rPr>
                <w:sz w:val="20"/>
                <w:szCs w:val="20"/>
              </w:rPr>
            </w:pPr>
            <w:r>
              <w:rPr>
                <w:sz w:val="20"/>
                <w:szCs w:val="20"/>
              </w:rPr>
              <w:t>101.SCH</w:t>
            </w:r>
          </w:p>
        </w:tc>
        <w:tc>
          <w:tcPr>
            <w:tcW w:w="50" w:type="pct"/>
            <w:vAlign w:val="bottom"/>
            <w:hideMark/>
          </w:tcPr>
          <w:p w14:paraId="5443099A"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2AD43FAC" w14:textId="77777777" w:rsidR="00000000" w:rsidRDefault="00B8284C">
            <w:pPr>
              <w:pStyle w:val="a3"/>
              <w:spacing w:before="0" w:beforeAutospacing="0" w:after="0" w:afterAutospacing="0"/>
              <w:rPr>
                <w:sz w:val="20"/>
                <w:szCs w:val="20"/>
              </w:rPr>
            </w:pPr>
            <w:r>
              <w:rPr>
                <w:sz w:val="20"/>
                <w:szCs w:val="20"/>
              </w:rPr>
              <w:t>Inline XBRL Taxonomy Extension Schema Document (3)</w:t>
            </w:r>
          </w:p>
        </w:tc>
      </w:tr>
      <w:tr w:rsidR="00000000" w14:paraId="0B6D8913" w14:textId="77777777">
        <w:trPr>
          <w:divId w:val="1825774847"/>
          <w:trHeight w:val="86"/>
        </w:trPr>
        <w:tc>
          <w:tcPr>
            <w:tcW w:w="347" w:type="pct"/>
            <w:hideMark/>
          </w:tcPr>
          <w:p w14:paraId="0834F6E3" w14:textId="77777777" w:rsidR="00000000" w:rsidRDefault="00B8284C">
            <w:pPr>
              <w:pStyle w:val="a3"/>
              <w:spacing w:before="0" w:beforeAutospacing="0" w:after="0" w:afterAutospacing="0"/>
              <w:rPr>
                <w:sz w:val="12"/>
                <w:szCs w:val="12"/>
              </w:rPr>
            </w:pPr>
            <w:r>
              <w:rPr>
                <w:sz w:val="12"/>
                <w:szCs w:val="12"/>
              </w:rPr>
              <w:t> </w:t>
            </w:r>
          </w:p>
        </w:tc>
        <w:tc>
          <w:tcPr>
            <w:tcW w:w="50" w:type="pct"/>
            <w:vAlign w:val="bottom"/>
            <w:hideMark/>
          </w:tcPr>
          <w:p w14:paraId="72F02466" w14:textId="77777777" w:rsidR="00000000" w:rsidRDefault="00B8284C">
            <w:pPr>
              <w:pStyle w:val="a3"/>
              <w:spacing w:before="0" w:beforeAutospacing="0" w:after="0" w:afterAutospacing="0"/>
              <w:rPr>
                <w:sz w:val="12"/>
                <w:szCs w:val="12"/>
              </w:rPr>
            </w:pPr>
            <w:r>
              <w:rPr>
                <w:sz w:val="12"/>
                <w:szCs w:val="12"/>
              </w:rPr>
              <w:t> </w:t>
            </w:r>
          </w:p>
        </w:tc>
        <w:tc>
          <w:tcPr>
            <w:tcW w:w="4600" w:type="pct"/>
            <w:vAlign w:val="bottom"/>
            <w:hideMark/>
          </w:tcPr>
          <w:p w14:paraId="01B15744" w14:textId="77777777" w:rsidR="00000000" w:rsidRDefault="00B8284C">
            <w:pPr>
              <w:pStyle w:val="a3"/>
              <w:spacing w:before="0" w:beforeAutospacing="0" w:after="0" w:afterAutospacing="0"/>
              <w:rPr>
                <w:sz w:val="12"/>
                <w:szCs w:val="12"/>
              </w:rPr>
            </w:pPr>
            <w:r>
              <w:rPr>
                <w:sz w:val="12"/>
                <w:szCs w:val="12"/>
              </w:rPr>
              <w:t> </w:t>
            </w:r>
          </w:p>
        </w:tc>
      </w:tr>
      <w:tr w:rsidR="00000000" w14:paraId="6B3BE12A" w14:textId="77777777">
        <w:trPr>
          <w:divId w:val="1825774847"/>
        </w:trPr>
        <w:tc>
          <w:tcPr>
            <w:tcW w:w="347" w:type="pct"/>
            <w:hideMark/>
          </w:tcPr>
          <w:p w14:paraId="04304851" w14:textId="77777777" w:rsidR="00000000" w:rsidRDefault="00B8284C">
            <w:pPr>
              <w:pStyle w:val="a3"/>
              <w:spacing w:before="0" w:beforeAutospacing="0" w:after="0" w:afterAutospacing="0"/>
              <w:rPr>
                <w:sz w:val="20"/>
                <w:szCs w:val="20"/>
              </w:rPr>
            </w:pPr>
            <w:r>
              <w:rPr>
                <w:sz w:val="20"/>
                <w:szCs w:val="20"/>
              </w:rPr>
              <w:t>101.CAL</w:t>
            </w:r>
          </w:p>
        </w:tc>
        <w:tc>
          <w:tcPr>
            <w:tcW w:w="50" w:type="pct"/>
            <w:vAlign w:val="bottom"/>
            <w:hideMark/>
          </w:tcPr>
          <w:p w14:paraId="4B530E8D"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4C621E94" w14:textId="77777777" w:rsidR="00000000" w:rsidRDefault="00B8284C">
            <w:pPr>
              <w:pStyle w:val="a3"/>
              <w:spacing w:before="0" w:beforeAutospacing="0" w:after="0" w:afterAutospacing="0"/>
              <w:rPr>
                <w:sz w:val="20"/>
                <w:szCs w:val="20"/>
              </w:rPr>
            </w:pPr>
            <w:r>
              <w:rPr>
                <w:sz w:val="20"/>
                <w:szCs w:val="20"/>
              </w:rPr>
              <w:t>Inline XBRL Taxonomy Extension Cal</w:t>
            </w:r>
            <w:r>
              <w:rPr>
                <w:sz w:val="20"/>
                <w:szCs w:val="20"/>
              </w:rPr>
              <w:t>culation Linkbase Document (3)</w:t>
            </w:r>
          </w:p>
        </w:tc>
      </w:tr>
      <w:tr w:rsidR="00000000" w14:paraId="0571DFDD" w14:textId="77777777">
        <w:trPr>
          <w:divId w:val="1825774847"/>
          <w:trHeight w:val="86"/>
        </w:trPr>
        <w:tc>
          <w:tcPr>
            <w:tcW w:w="347" w:type="pct"/>
            <w:hideMark/>
          </w:tcPr>
          <w:p w14:paraId="7339FA72" w14:textId="77777777" w:rsidR="00000000" w:rsidRDefault="00B8284C">
            <w:pPr>
              <w:pStyle w:val="a3"/>
              <w:spacing w:before="0" w:beforeAutospacing="0" w:after="0" w:afterAutospacing="0"/>
              <w:rPr>
                <w:sz w:val="12"/>
                <w:szCs w:val="12"/>
              </w:rPr>
            </w:pPr>
            <w:r>
              <w:rPr>
                <w:sz w:val="12"/>
                <w:szCs w:val="12"/>
              </w:rPr>
              <w:t> </w:t>
            </w:r>
          </w:p>
        </w:tc>
        <w:tc>
          <w:tcPr>
            <w:tcW w:w="50" w:type="pct"/>
            <w:vAlign w:val="bottom"/>
            <w:hideMark/>
          </w:tcPr>
          <w:p w14:paraId="1249E0BA" w14:textId="77777777" w:rsidR="00000000" w:rsidRDefault="00B8284C">
            <w:pPr>
              <w:pStyle w:val="a3"/>
              <w:spacing w:before="0" w:beforeAutospacing="0" w:after="0" w:afterAutospacing="0"/>
              <w:rPr>
                <w:sz w:val="12"/>
                <w:szCs w:val="12"/>
              </w:rPr>
            </w:pPr>
            <w:r>
              <w:rPr>
                <w:sz w:val="12"/>
                <w:szCs w:val="12"/>
              </w:rPr>
              <w:t> </w:t>
            </w:r>
          </w:p>
        </w:tc>
        <w:tc>
          <w:tcPr>
            <w:tcW w:w="4600" w:type="pct"/>
            <w:vAlign w:val="bottom"/>
            <w:hideMark/>
          </w:tcPr>
          <w:p w14:paraId="373EF60B" w14:textId="77777777" w:rsidR="00000000" w:rsidRDefault="00B8284C">
            <w:pPr>
              <w:pStyle w:val="a3"/>
              <w:spacing w:before="0" w:beforeAutospacing="0" w:after="0" w:afterAutospacing="0"/>
              <w:rPr>
                <w:sz w:val="12"/>
                <w:szCs w:val="12"/>
              </w:rPr>
            </w:pPr>
            <w:r>
              <w:rPr>
                <w:sz w:val="12"/>
                <w:szCs w:val="12"/>
              </w:rPr>
              <w:t> </w:t>
            </w:r>
          </w:p>
        </w:tc>
      </w:tr>
      <w:tr w:rsidR="00000000" w14:paraId="4B423B72" w14:textId="77777777">
        <w:trPr>
          <w:divId w:val="1825774847"/>
        </w:trPr>
        <w:tc>
          <w:tcPr>
            <w:tcW w:w="347" w:type="pct"/>
            <w:hideMark/>
          </w:tcPr>
          <w:p w14:paraId="7CA5C8EB" w14:textId="77777777" w:rsidR="00000000" w:rsidRDefault="00B8284C">
            <w:pPr>
              <w:pStyle w:val="a3"/>
              <w:spacing w:before="0" w:beforeAutospacing="0" w:after="0" w:afterAutospacing="0"/>
              <w:rPr>
                <w:sz w:val="20"/>
                <w:szCs w:val="20"/>
              </w:rPr>
            </w:pPr>
            <w:r>
              <w:rPr>
                <w:sz w:val="20"/>
                <w:szCs w:val="20"/>
              </w:rPr>
              <w:t>101.DEF</w:t>
            </w:r>
          </w:p>
        </w:tc>
        <w:tc>
          <w:tcPr>
            <w:tcW w:w="50" w:type="pct"/>
            <w:vAlign w:val="bottom"/>
            <w:hideMark/>
          </w:tcPr>
          <w:p w14:paraId="7F19E2F1"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1F243642" w14:textId="77777777" w:rsidR="00000000" w:rsidRDefault="00B8284C">
            <w:pPr>
              <w:pStyle w:val="a3"/>
              <w:spacing w:before="0" w:beforeAutospacing="0" w:after="0" w:afterAutospacing="0"/>
              <w:rPr>
                <w:sz w:val="20"/>
                <w:szCs w:val="20"/>
              </w:rPr>
            </w:pPr>
            <w:r>
              <w:rPr>
                <w:sz w:val="20"/>
                <w:szCs w:val="20"/>
              </w:rPr>
              <w:t>Inline XBRL Taxonomy Extension Definition Linkbase Document (3)</w:t>
            </w:r>
          </w:p>
        </w:tc>
      </w:tr>
      <w:tr w:rsidR="00000000" w14:paraId="0FA6EBED" w14:textId="77777777">
        <w:trPr>
          <w:divId w:val="1825774847"/>
          <w:trHeight w:val="86"/>
        </w:trPr>
        <w:tc>
          <w:tcPr>
            <w:tcW w:w="347" w:type="pct"/>
            <w:hideMark/>
          </w:tcPr>
          <w:p w14:paraId="46EF6A77" w14:textId="77777777" w:rsidR="00000000" w:rsidRDefault="00B8284C">
            <w:pPr>
              <w:pStyle w:val="a3"/>
              <w:spacing w:before="0" w:beforeAutospacing="0" w:after="0" w:afterAutospacing="0"/>
              <w:rPr>
                <w:sz w:val="12"/>
                <w:szCs w:val="12"/>
              </w:rPr>
            </w:pPr>
            <w:r>
              <w:rPr>
                <w:sz w:val="12"/>
                <w:szCs w:val="12"/>
              </w:rPr>
              <w:t> </w:t>
            </w:r>
          </w:p>
        </w:tc>
        <w:tc>
          <w:tcPr>
            <w:tcW w:w="50" w:type="pct"/>
            <w:vAlign w:val="bottom"/>
            <w:hideMark/>
          </w:tcPr>
          <w:p w14:paraId="69D44034" w14:textId="77777777" w:rsidR="00000000" w:rsidRDefault="00B8284C">
            <w:pPr>
              <w:pStyle w:val="a3"/>
              <w:spacing w:before="0" w:beforeAutospacing="0" w:after="0" w:afterAutospacing="0"/>
              <w:rPr>
                <w:sz w:val="12"/>
                <w:szCs w:val="12"/>
              </w:rPr>
            </w:pPr>
            <w:r>
              <w:rPr>
                <w:sz w:val="12"/>
                <w:szCs w:val="12"/>
              </w:rPr>
              <w:t> </w:t>
            </w:r>
          </w:p>
        </w:tc>
        <w:tc>
          <w:tcPr>
            <w:tcW w:w="4600" w:type="pct"/>
            <w:vAlign w:val="bottom"/>
            <w:hideMark/>
          </w:tcPr>
          <w:p w14:paraId="0EAFF717" w14:textId="77777777" w:rsidR="00000000" w:rsidRDefault="00B8284C">
            <w:pPr>
              <w:pStyle w:val="a3"/>
              <w:spacing w:before="0" w:beforeAutospacing="0" w:after="0" w:afterAutospacing="0"/>
              <w:rPr>
                <w:sz w:val="12"/>
                <w:szCs w:val="12"/>
              </w:rPr>
            </w:pPr>
            <w:r>
              <w:rPr>
                <w:sz w:val="12"/>
                <w:szCs w:val="12"/>
              </w:rPr>
              <w:t> </w:t>
            </w:r>
          </w:p>
        </w:tc>
      </w:tr>
      <w:tr w:rsidR="00000000" w14:paraId="5E241234" w14:textId="77777777">
        <w:trPr>
          <w:divId w:val="1825774847"/>
        </w:trPr>
        <w:tc>
          <w:tcPr>
            <w:tcW w:w="347" w:type="pct"/>
            <w:hideMark/>
          </w:tcPr>
          <w:p w14:paraId="11B589EA" w14:textId="77777777" w:rsidR="00000000" w:rsidRDefault="00B8284C">
            <w:pPr>
              <w:pStyle w:val="a3"/>
              <w:spacing w:before="0" w:beforeAutospacing="0" w:after="0" w:afterAutospacing="0"/>
              <w:rPr>
                <w:sz w:val="20"/>
                <w:szCs w:val="20"/>
              </w:rPr>
            </w:pPr>
            <w:r>
              <w:rPr>
                <w:sz w:val="20"/>
                <w:szCs w:val="20"/>
              </w:rPr>
              <w:t>101.LAB</w:t>
            </w:r>
          </w:p>
        </w:tc>
        <w:tc>
          <w:tcPr>
            <w:tcW w:w="50" w:type="pct"/>
            <w:vAlign w:val="bottom"/>
            <w:hideMark/>
          </w:tcPr>
          <w:p w14:paraId="7C788CED"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37C365C5" w14:textId="77777777" w:rsidR="00000000" w:rsidRDefault="00B8284C">
            <w:pPr>
              <w:pStyle w:val="a3"/>
              <w:spacing w:before="0" w:beforeAutospacing="0" w:after="0" w:afterAutospacing="0"/>
              <w:rPr>
                <w:sz w:val="20"/>
                <w:szCs w:val="20"/>
              </w:rPr>
            </w:pPr>
            <w:r>
              <w:rPr>
                <w:sz w:val="20"/>
                <w:szCs w:val="20"/>
              </w:rPr>
              <w:t>Inline XBRL Taxonomy Extension Label Linkbase Document (3)</w:t>
            </w:r>
          </w:p>
        </w:tc>
      </w:tr>
      <w:tr w:rsidR="00000000" w14:paraId="1E73BC76" w14:textId="77777777">
        <w:trPr>
          <w:divId w:val="1825774847"/>
          <w:trHeight w:val="86"/>
        </w:trPr>
        <w:tc>
          <w:tcPr>
            <w:tcW w:w="347" w:type="pct"/>
            <w:hideMark/>
          </w:tcPr>
          <w:p w14:paraId="28DB345A" w14:textId="77777777" w:rsidR="00000000" w:rsidRDefault="00B8284C">
            <w:pPr>
              <w:pStyle w:val="a3"/>
              <w:spacing w:before="0" w:beforeAutospacing="0" w:after="0" w:afterAutospacing="0"/>
              <w:rPr>
                <w:sz w:val="12"/>
                <w:szCs w:val="12"/>
              </w:rPr>
            </w:pPr>
            <w:r>
              <w:rPr>
                <w:sz w:val="12"/>
                <w:szCs w:val="12"/>
              </w:rPr>
              <w:t> </w:t>
            </w:r>
          </w:p>
        </w:tc>
        <w:tc>
          <w:tcPr>
            <w:tcW w:w="50" w:type="pct"/>
            <w:vAlign w:val="bottom"/>
            <w:hideMark/>
          </w:tcPr>
          <w:p w14:paraId="7C7423E7" w14:textId="77777777" w:rsidR="00000000" w:rsidRDefault="00B8284C">
            <w:pPr>
              <w:pStyle w:val="a3"/>
              <w:spacing w:before="0" w:beforeAutospacing="0" w:after="0" w:afterAutospacing="0"/>
              <w:rPr>
                <w:sz w:val="12"/>
                <w:szCs w:val="12"/>
              </w:rPr>
            </w:pPr>
            <w:r>
              <w:rPr>
                <w:sz w:val="12"/>
                <w:szCs w:val="12"/>
              </w:rPr>
              <w:t> </w:t>
            </w:r>
          </w:p>
        </w:tc>
        <w:tc>
          <w:tcPr>
            <w:tcW w:w="4600" w:type="pct"/>
            <w:vAlign w:val="bottom"/>
            <w:hideMark/>
          </w:tcPr>
          <w:p w14:paraId="0E925280" w14:textId="77777777" w:rsidR="00000000" w:rsidRDefault="00B8284C">
            <w:pPr>
              <w:pStyle w:val="a3"/>
              <w:spacing w:before="0" w:beforeAutospacing="0" w:after="0" w:afterAutospacing="0"/>
              <w:rPr>
                <w:sz w:val="12"/>
                <w:szCs w:val="12"/>
              </w:rPr>
            </w:pPr>
            <w:r>
              <w:rPr>
                <w:sz w:val="12"/>
                <w:szCs w:val="12"/>
              </w:rPr>
              <w:t> </w:t>
            </w:r>
          </w:p>
        </w:tc>
      </w:tr>
      <w:tr w:rsidR="00000000" w14:paraId="256E60FB" w14:textId="77777777">
        <w:trPr>
          <w:divId w:val="1825774847"/>
        </w:trPr>
        <w:tc>
          <w:tcPr>
            <w:tcW w:w="347" w:type="pct"/>
            <w:hideMark/>
          </w:tcPr>
          <w:p w14:paraId="5911CB0A" w14:textId="77777777" w:rsidR="00000000" w:rsidRDefault="00B8284C">
            <w:pPr>
              <w:pStyle w:val="a3"/>
              <w:spacing w:before="0" w:beforeAutospacing="0" w:after="0" w:afterAutospacing="0"/>
              <w:rPr>
                <w:sz w:val="20"/>
                <w:szCs w:val="20"/>
              </w:rPr>
            </w:pPr>
            <w:r>
              <w:rPr>
                <w:sz w:val="20"/>
                <w:szCs w:val="20"/>
              </w:rPr>
              <w:t>101.PRE</w:t>
            </w:r>
          </w:p>
        </w:tc>
        <w:tc>
          <w:tcPr>
            <w:tcW w:w="50" w:type="pct"/>
            <w:vAlign w:val="bottom"/>
            <w:hideMark/>
          </w:tcPr>
          <w:p w14:paraId="1AA7261D"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196DD418" w14:textId="77777777" w:rsidR="00000000" w:rsidRDefault="00B8284C">
            <w:pPr>
              <w:pStyle w:val="a3"/>
              <w:spacing w:before="0" w:beforeAutospacing="0" w:after="0" w:afterAutospacing="0"/>
              <w:rPr>
                <w:sz w:val="20"/>
                <w:szCs w:val="20"/>
              </w:rPr>
            </w:pPr>
            <w:r>
              <w:rPr>
                <w:sz w:val="20"/>
                <w:szCs w:val="20"/>
              </w:rPr>
              <w:t>Inline XBRL Taxonomy Extension Presentation Linkbase Document (3)</w:t>
            </w:r>
          </w:p>
        </w:tc>
      </w:tr>
      <w:tr w:rsidR="00000000" w14:paraId="2DA4582D" w14:textId="77777777">
        <w:trPr>
          <w:divId w:val="1825774847"/>
        </w:trPr>
        <w:tc>
          <w:tcPr>
            <w:tcW w:w="347" w:type="pct"/>
            <w:hideMark/>
          </w:tcPr>
          <w:p w14:paraId="168B42DF" w14:textId="77777777" w:rsidR="00000000" w:rsidRDefault="00B8284C">
            <w:pPr>
              <w:pStyle w:val="a3"/>
              <w:spacing w:before="0" w:beforeAutospacing="0" w:after="0" w:afterAutospacing="0"/>
              <w:rPr>
                <w:sz w:val="12"/>
                <w:szCs w:val="12"/>
              </w:rPr>
            </w:pPr>
            <w:r>
              <w:rPr>
                <w:sz w:val="12"/>
                <w:szCs w:val="12"/>
              </w:rPr>
              <w:t> </w:t>
            </w:r>
          </w:p>
        </w:tc>
        <w:tc>
          <w:tcPr>
            <w:tcW w:w="50" w:type="pct"/>
            <w:vAlign w:val="bottom"/>
            <w:hideMark/>
          </w:tcPr>
          <w:p w14:paraId="779115A3" w14:textId="77777777" w:rsidR="00000000" w:rsidRDefault="00B8284C">
            <w:pPr>
              <w:pStyle w:val="a3"/>
              <w:spacing w:before="0" w:beforeAutospacing="0" w:after="0" w:afterAutospacing="0"/>
              <w:rPr>
                <w:sz w:val="12"/>
                <w:szCs w:val="12"/>
              </w:rPr>
            </w:pPr>
            <w:r>
              <w:rPr>
                <w:sz w:val="12"/>
                <w:szCs w:val="12"/>
              </w:rPr>
              <w:t> </w:t>
            </w:r>
          </w:p>
        </w:tc>
        <w:tc>
          <w:tcPr>
            <w:tcW w:w="4600" w:type="pct"/>
            <w:vAlign w:val="bottom"/>
            <w:hideMark/>
          </w:tcPr>
          <w:p w14:paraId="13F80A00" w14:textId="77777777" w:rsidR="00000000" w:rsidRDefault="00B8284C">
            <w:pPr>
              <w:pStyle w:val="a3"/>
              <w:spacing w:before="0" w:beforeAutospacing="0" w:after="0" w:afterAutospacing="0"/>
              <w:rPr>
                <w:sz w:val="12"/>
                <w:szCs w:val="12"/>
              </w:rPr>
            </w:pPr>
            <w:r>
              <w:rPr>
                <w:sz w:val="12"/>
                <w:szCs w:val="12"/>
              </w:rPr>
              <w:t> </w:t>
            </w:r>
          </w:p>
        </w:tc>
      </w:tr>
      <w:tr w:rsidR="00000000" w14:paraId="4CC07695" w14:textId="77777777">
        <w:trPr>
          <w:divId w:val="1825774847"/>
        </w:trPr>
        <w:tc>
          <w:tcPr>
            <w:tcW w:w="347" w:type="pct"/>
            <w:hideMark/>
          </w:tcPr>
          <w:p w14:paraId="14D77657" w14:textId="77777777" w:rsidR="00000000" w:rsidRDefault="00B8284C">
            <w:pPr>
              <w:pStyle w:val="a3"/>
              <w:spacing w:before="0" w:beforeAutospacing="0" w:after="0" w:afterAutospacing="0"/>
              <w:rPr>
                <w:sz w:val="20"/>
                <w:szCs w:val="20"/>
              </w:rPr>
            </w:pPr>
            <w:r>
              <w:rPr>
                <w:sz w:val="20"/>
                <w:szCs w:val="20"/>
              </w:rPr>
              <w:t>104  </w:t>
            </w:r>
          </w:p>
        </w:tc>
        <w:tc>
          <w:tcPr>
            <w:tcW w:w="50" w:type="pct"/>
            <w:vAlign w:val="bottom"/>
            <w:hideMark/>
          </w:tcPr>
          <w:p w14:paraId="28E39FBA" w14:textId="77777777" w:rsidR="00000000" w:rsidRDefault="00B8284C">
            <w:pPr>
              <w:pStyle w:val="a3"/>
              <w:spacing w:before="0" w:beforeAutospacing="0" w:after="0" w:afterAutospacing="0"/>
              <w:rPr>
                <w:sz w:val="20"/>
                <w:szCs w:val="20"/>
              </w:rPr>
            </w:pPr>
            <w:r>
              <w:rPr>
                <w:sz w:val="20"/>
                <w:szCs w:val="20"/>
              </w:rPr>
              <w:t> </w:t>
            </w:r>
          </w:p>
        </w:tc>
        <w:tc>
          <w:tcPr>
            <w:tcW w:w="4600" w:type="pct"/>
            <w:vAlign w:val="bottom"/>
            <w:hideMark/>
          </w:tcPr>
          <w:p w14:paraId="3F737E48" w14:textId="77777777" w:rsidR="00000000" w:rsidRDefault="00B8284C">
            <w:pPr>
              <w:pStyle w:val="a3"/>
              <w:spacing w:before="0" w:beforeAutospacing="0" w:after="0" w:afterAutospacing="0"/>
              <w:rPr>
                <w:sz w:val="20"/>
                <w:szCs w:val="20"/>
              </w:rPr>
            </w:pPr>
            <w:r>
              <w:rPr>
                <w:sz w:val="20"/>
                <w:szCs w:val="20"/>
              </w:rPr>
              <w:t>Cover Page Interactive Data File (formatted as inline XBRL with applicable taxonomy extension information contained in Exhibits 101.)</w:t>
            </w:r>
          </w:p>
        </w:tc>
      </w:tr>
    </w:tbl>
    <w:p w14:paraId="0E921796"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34FDC6E0" w14:textId="77777777">
        <w:trPr>
          <w:divId w:val="80419730"/>
        </w:trPr>
        <w:tc>
          <w:tcPr>
            <w:tcW w:w="227" w:type="pct"/>
            <w:noWrap/>
            <w:hideMark/>
          </w:tcPr>
          <w:p w14:paraId="159F86B9" w14:textId="77777777" w:rsidR="00000000" w:rsidRDefault="00B8284C">
            <w:pPr>
              <w:pStyle w:val="a3"/>
              <w:spacing w:before="40" w:beforeAutospacing="0" w:after="0" w:afterAutospacing="0"/>
              <w:rPr>
                <w:sz w:val="20"/>
                <w:szCs w:val="20"/>
              </w:rPr>
            </w:pPr>
            <w:r>
              <w:rPr>
                <w:sz w:val="20"/>
                <w:szCs w:val="20"/>
              </w:rPr>
              <w:t>(1)</w:t>
            </w:r>
          </w:p>
        </w:tc>
        <w:tc>
          <w:tcPr>
            <w:tcW w:w="0" w:type="auto"/>
            <w:hideMark/>
          </w:tcPr>
          <w:p w14:paraId="240027A6" w14:textId="77777777" w:rsidR="00000000" w:rsidRDefault="00B8284C">
            <w:pPr>
              <w:pStyle w:val="a3"/>
              <w:spacing w:before="40" w:beforeAutospacing="0" w:after="0" w:afterAutospacing="0"/>
            </w:pPr>
            <w:r>
              <w:rPr>
                <w:sz w:val="20"/>
                <w:szCs w:val="20"/>
              </w:rPr>
              <w:t>Filed as Exhibit 3.1 to Registrant’s Form 10-K filed with the Securities and Exchange Commission on February 24, 2016 and incorporated herein by reference.</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14:paraId="1F380B68" w14:textId="77777777">
        <w:tc>
          <w:tcPr>
            <w:tcW w:w="227" w:type="pct"/>
            <w:noWrap/>
            <w:hideMark/>
          </w:tcPr>
          <w:p w14:paraId="06C3425D" w14:textId="77777777" w:rsidR="00000000" w:rsidRDefault="00B8284C">
            <w:pPr>
              <w:pStyle w:val="a3"/>
              <w:spacing w:before="0" w:beforeAutospacing="0" w:after="0" w:afterAutospacing="0"/>
              <w:rPr>
                <w:sz w:val="20"/>
                <w:szCs w:val="20"/>
              </w:rPr>
            </w:pPr>
            <w:r>
              <w:rPr>
                <w:sz w:val="20"/>
                <w:szCs w:val="20"/>
              </w:rPr>
              <w:t>(2)</w:t>
            </w:r>
          </w:p>
        </w:tc>
        <w:tc>
          <w:tcPr>
            <w:tcW w:w="0" w:type="auto"/>
            <w:hideMark/>
          </w:tcPr>
          <w:p w14:paraId="0BD5AC1A" w14:textId="77777777" w:rsidR="00000000" w:rsidRDefault="00B8284C">
            <w:pPr>
              <w:pStyle w:val="a3"/>
              <w:spacing w:before="0" w:beforeAutospacing="0" w:after="0" w:afterAutospacing="0"/>
            </w:pPr>
            <w:r>
              <w:rPr>
                <w:sz w:val="20"/>
                <w:szCs w:val="20"/>
              </w:rPr>
              <w:t>Filed as Exhibit 3.1 to Registrant’s Form 8-K filed with the Securities and Exchange Commissio</w:t>
            </w:r>
            <w:r>
              <w:rPr>
                <w:sz w:val="20"/>
                <w:szCs w:val="20"/>
              </w:rPr>
              <w:t>n on April 25, 2018 and incorporated herein by reference.</w:t>
            </w:r>
          </w:p>
        </w:tc>
      </w:tr>
    </w:tbl>
    <w:p w14:paraId="441A63D5" w14:textId="77777777" w:rsidR="00000000" w:rsidRDefault="00B8284C">
      <w:pPr>
        <w:divId w:val="125393000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173D7F83" w14:textId="77777777">
        <w:trPr>
          <w:divId w:val="1253930007"/>
        </w:trPr>
        <w:tc>
          <w:tcPr>
            <w:tcW w:w="227" w:type="pct"/>
            <w:noWrap/>
            <w:hideMark/>
          </w:tcPr>
          <w:p w14:paraId="4374AE0E" w14:textId="77777777" w:rsidR="00000000" w:rsidRDefault="00B8284C">
            <w:pPr>
              <w:pStyle w:val="a3"/>
              <w:spacing w:before="0" w:beforeAutospacing="0" w:after="0" w:afterAutospacing="0"/>
              <w:rPr>
                <w:sz w:val="20"/>
                <w:szCs w:val="20"/>
              </w:rPr>
            </w:pPr>
            <w:r>
              <w:rPr>
                <w:sz w:val="20"/>
                <w:szCs w:val="20"/>
              </w:rPr>
              <w:t>(3)</w:t>
            </w:r>
          </w:p>
        </w:tc>
        <w:tc>
          <w:tcPr>
            <w:tcW w:w="0" w:type="auto"/>
            <w:hideMark/>
          </w:tcPr>
          <w:p w14:paraId="6E463A75" w14:textId="77777777" w:rsidR="00000000" w:rsidRDefault="00B8284C">
            <w:pPr>
              <w:pStyle w:val="a3"/>
              <w:spacing w:before="0" w:beforeAutospacing="0" w:after="0" w:afterAutospacing="0"/>
              <w:rPr>
                <w:sz w:val="20"/>
                <w:szCs w:val="20"/>
              </w:rPr>
            </w:pPr>
            <w:r>
              <w:rPr>
                <w:sz w:val="20"/>
                <w:szCs w:val="20"/>
              </w:rPr>
              <w:t>Filed herewith.</w:t>
            </w:r>
          </w:p>
        </w:tc>
      </w:tr>
    </w:tbl>
    <w:p w14:paraId="2D51725F" w14:textId="77777777" w:rsidR="00000000" w:rsidRDefault="00B8284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25ED0C86" w14:textId="77777777">
        <w:trPr>
          <w:divId w:val="656764486"/>
        </w:trPr>
        <w:tc>
          <w:tcPr>
            <w:tcW w:w="227" w:type="pct"/>
            <w:noWrap/>
            <w:hideMark/>
          </w:tcPr>
          <w:p w14:paraId="289D7FAE" w14:textId="77777777" w:rsidR="00000000" w:rsidRDefault="00B8284C">
            <w:pPr>
              <w:pStyle w:val="a3"/>
              <w:spacing w:before="40" w:beforeAutospacing="0" w:after="0" w:afterAutospacing="0"/>
              <w:rPr>
                <w:sz w:val="20"/>
                <w:szCs w:val="20"/>
              </w:rPr>
            </w:pPr>
            <w:r>
              <w:rPr>
                <w:sz w:val="20"/>
                <w:szCs w:val="20"/>
              </w:rPr>
              <w:t>+</w:t>
            </w:r>
          </w:p>
        </w:tc>
        <w:tc>
          <w:tcPr>
            <w:tcW w:w="0" w:type="auto"/>
            <w:hideMark/>
          </w:tcPr>
          <w:p w14:paraId="3D37EF88" w14:textId="77777777" w:rsidR="00000000" w:rsidRDefault="00B8284C">
            <w:pPr>
              <w:pStyle w:val="a3"/>
              <w:spacing w:before="40" w:beforeAutospacing="0" w:after="0" w:afterAutospacing="0"/>
            </w:pPr>
            <w:r>
              <w:rPr>
                <w:sz w:val="20"/>
                <w:szCs w:val="20"/>
              </w:rPr>
              <w:t>The certifications furnished in Exhibit 32.1 hereto are deemed to accompany this Quarterly Report on Form 10-Q and will not be deemed “filed” for purposes of Section 18 of</w:t>
            </w:r>
            <w:r>
              <w:rPr>
                <w:sz w:val="20"/>
                <w:szCs w:val="20"/>
              </w:rPr>
              <w:t xml:space="preserve"> the Securities Exchange Act of 1934, as amended, except to the extent that the Registrant specifically incorporates it by reference. Such certifications will not be deemed to be incorporated by reference into any filings under the Securities Act of 1933, </w:t>
            </w:r>
            <w:r>
              <w:rPr>
                <w:sz w:val="20"/>
                <w:szCs w:val="20"/>
              </w:rPr>
              <w:t>as amended, or the Securities Exchange Act of 1934, as amended, except to the extent that the Registrant specifically incorporates it by reference.</w:t>
            </w:r>
          </w:p>
        </w:tc>
      </w:tr>
    </w:tbl>
    <w:p w14:paraId="12063B89" w14:textId="77777777" w:rsidR="00000000" w:rsidRDefault="00B8284C">
      <w:pPr>
        <w:pStyle w:val="a3"/>
        <w:spacing w:before="0" w:beforeAutospacing="0" w:after="0" w:afterAutospacing="0"/>
        <w:rPr>
          <w:sz w:val="20"/>
          <w:szCs w:val="20"/>
        </w:rPr>
      </w:pPr>
      <w:r>
        <w:rPr>
          <w:sz w:val="20"/>
          <w:szCs w:val="20"/>
        </w:rPr>
        <w:t> </w:t>
      </w:r>
    </w:p>
    <w:p w14:paraId="1426BBDB" w14:textId="77777777" w:rsidR="00000000" w:rsidRDefault="00B8284C">
      <w:pPr>
        <w:pStyle w:val="a3"/>
        <w:spacing w:before="240" w:beforeAutospacing="0" w:after="0" w:afterAutospacing="0"/>
        <w:jc w:val="center"/>
        <w:rPr>
          <w:sz w:val="20"/>
          <w:szCs w:val="20"/>
        </w:rPr>
      </w:pPr>
      <w:r>
        <w:rPr>
          <w:sz w:val="20"/>
          <w:szCs w:val="20"/>
        </w:rPr>
        <w:t>52</w:t>
      </w:r>
    </w:p>
    <w:p w14:paraId="2D01862B" w14:textId="77777777" w:rsidR="00000000" w:rsidRDefault="00B8284C">
      <w:pPr>
        <w:rPr>
          <w:rFonts w:eastAsia="Times New Roman"/>
        </w:rPr>
      </w:pPr>
      <w:r>
        <w:rPr>
          <w:rFonts w:eastAsia="Times New Roman"/>
        </w:rPr>
        <w:pict w14:anchorId="674A22F5">
          <v:rect id="_x0000_i1076" style="width:0;height:1.5pt" o:hralign="center" o:hrstd="t" o:hr="t" fillcolor="#a0a0a0" stroked="f"/>
        </w:pict>
      </w:r>
    </w:p>
    <w:p w14:paraId="2E84EFA5" w14:textId="77777777" w:rsidR="00000000" w:rsidRDefault="00B8284C">
      <w:pPr>
        <w:pStyle w:val="a3"/>
        <w:spacing w:before="0" w:beforeAutospacing="0" w:after="0" w:afterAutospacing="0"/>
        <w:rPr>
          <w:sz w:val="20"/>
          <w:szCs w:val="20"/>
        </w:rPr>
      </w:pPr>
      <w:r>
        <w:rPr>
          <w:sz w:val="20"/>
          <w:szCs w:val="20"/>
        </w:rPr>
        <w:t> </w:t>
      </w:r>
    </w:p>
    <w:p w14:paraId="3CEA667B" w14:textId="77777777" w:rsidR="00000000" w:rsidRDefault="00B8284C">
      <w:pPr>
        <w:pStyle w:val="a3"/>
        <w:spacing w:before="0" w:beforeAutospacing="0" w:after="0" w:afterAutospacing="0"/>
        <w:jc w:val="center"/>
        <w:rPr>
          <w:b/>
          <w:bCs/>
          <w:sz w:val="20"/>
          <w:szCs w:val="20"/>
        </w:rPr>
      </w:pPr>
      <w:r>
        <w:rPr>
          <w:b/>
          <w:bCs/>
          <w:sz w:val="20"/>
          <w:szCs w:val="20"/>
        </w:rPr>
        <w:t>SIGNATURES</w:t>
      </w:r>
    </w:p>
    <w:p w14:paraId="076A58D9" w14:textId="77777777" w:rsidR="00000000" w:rsidRDefault="00B8284C">
      <w:pPr>
        <w:pStyle w:val="a3"/>
        <w:spacing w:before="240" w:beforeAutospacing="0" w:after="0" w:afterAutospacing="0"/>
        <w:ind w:firstLine="556"/>
        <w:rPr>
          <w:sz w:val="20"/>
          <w:szCs w:val="20"/>
        </w:rPr>
      </w:pPr>
      <w:r>
        <w:rPr>
          <w:sz w:val="20"/>
          <w:szCs w:val="20"/>
        </w:rPr>
        <w:t>Pursuant to the requirements of the Securities Exchange Act of 1934, the registrant has duly caused this report to be signed on its behalf by the undersigned thereunto duly authorized.</w:t>
      </w:r>
    </w:p>
    <w:p w14:paraId="15DF4058" w14:textId="77777777" w:rsidR="00000000" w:rsidRDefault="00B8284C">
      <w:pPr>
        <w:pStyle w:val="a3"/>
        <w:spacing w:before="0" w:beforeAutospacing="0" w:after="0" w:afterAutospacing="0"/>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534"/>
        <w:gridCol w:w="50"/>
        <w:gridCol w:w="2738"/>
      </w:tblGrid>
      <w:tr w:rsidR="00000000" w14:paraId="0D895282" w14:textId="77777777">
        <w:trPr>
          <w:divId w:val="1017198850"/>
        </w:trPr>
        <w:tc>
          <w:tcPr>
            <w:tcW w:w="1900" w:type="pct"/>
            <w:gridSpan w:val="3"/>
            <w:vAlign w:val="bottom"/>
            <w:hideMark/>
          </w:tcPr>
          <w:p w14:paraId="30B43CB2" w14:textId="77777777" w:rsidR="00000000" w:rsidRDefault="00B8284C">
            <w:pPr>
              <w:pStyle w:val="a3"/>
              <w:spacing w:before="0" w:beforeAutospacing="0" w:after="0" w:afterAutospacing="0"/>
              <w:rPr>
                <w:b/>
                <w:bCs/>
                <w:sz w:val="20"/>
                <w:szCs w:val="20"/>
              </w:rPr>
            </w:pPr>
            <w:r>
              <w:rPr>
                <w:b/>
                <w:bCs/>
                <w:sz w:val="20"/>
                <w:szCs w:val="20"/>
              </w:rPr>
              <w:t>HUBSPOT, INC.</w:t>
            </w:r>
          </w:p>
        </w:tc>
      </w:tr>
      <w:tr w:rsidR="00000000" w14:paraId="6EA3A01E" w14:textId="77777777">
        <w:trPr>
          <w:divId w:val="1017198850"/>
        </w:trPr>
        <w:tc>
          <w:tcPr>
            <w:tcW w:w="50" w:type="pct"/>
            <w:vAlign w:val="center"/>
            <w:hideMark/>
          </w:tcPr>
          <w:p w14:paraId="682EF088" w14:textId="77777777" w:rsidR="00000000" w:rsidRDefault="00B8284C">
            <w:pPr>
              <w:pStyle w:val="a3"/>
              <w:spacing w:before="0" w:beforeAutospacing="0" w:after="0" w:afterAutospacing="0"/>
            </w:pPr>
            <w:r>
              <w:t> </w:t>
            </w:r>
          </w:p>
        </w:tc>
        <w:tc>
          <w:tcPr>
            <w:tcW w:w="1900" w:type="pct"/>
            <w:gridSpan w:val="2"/>
            <w:vAlign w:val="center"/>
            <w:hideMark/>
          </w:tcPr>
          <w:p w14:paraId="6BCE9128" w14:textId="77777777" w:rsidR="00000000" w:rsidRDefault="00B8284C">
            <w:pPr>
              <w:pStyle w:val="a3"/>
              <w:spacing w:before="0" w:beforeAutospacing="0" w:after="0" w:afterAutospacing="0"/>
            </w:pPr>
            <w:r>
              <w:t> </w:t>
            </w:r>
          </w:p>
        </w:tc>
      </w:tr>
      <w:tr w:rsidR="00000000" w14:paraId="2E702AE1" w14:textId="77777777">
        <w:trPr>
          <w:divId w:val="1017198850"/>
        </w:trPr>
        <w:tc>
          <w:tcPr>
            <w:tcW w:w="50" w:type="pct"/>
            <w:vAlign w:val="bottom"/>
            <w:hideMark/>
          </w:tcPr>
          <w:p w14:paraId="16429104" w14:textId="77777777" w:rsidR="00000000" w:rsidRDefault="00B8284C">
            <w:pPr>
              <w:pStyle w:val="a3"/>
              <w:spacing w:before="0" w:beforeAutospacing="0" w:after="0" w:afterAutospacing="0"/>
              <w:rPr>
                <w:sz w:val="20"/>
                <w:szCs w:val="20"/>
              </w:rPr>
            </w:pPr>
            <w:r>
              <w:rPr>
                <w:sz w:val="20"/>
                <w:szCs w:val="20"/>
              </w:rPr>
              <w:t>By:</w:t>
            </w:r>
          </w:p>
        </w:tc>
        <w:tc>
          <w:tcPr>
            <w:tcW w:w="50" w:type="pct"/>
            <w:vAlign w:val="bottom"/>
            <w:hideMark/>
          </w:tcPr>
          <w:p w14:paraId="12C21282" w14:textId="77777777" w:rsidR="00000000" w:rsidRDefault="00B8284C">
            <w:pPr>
              <w:pStyle w:val="a3"/>
              <w:spacing w:before="0" w:beforeAutospacing="0" w:after="0" w:afterAutospacing="0"/>
              <w:rPr>
                <w:sz w:val="20"/>
                <w:szCs w:val="20"/>
              </w:rPr>
            </w:pPr>
            <w:r>
              <w:rPr>
                <w:sz w:val="20"/>
                <w:szCs w:val="20"/>
              </w:rPr>
              <w:t> </w:t>
            </w:r>
          </w:p>
        </w:tc>
        <w:tc>
          <w:tcPr>
            <w:tcW w:w="1900" w:type="pct"/>
            <w:tcBorders>
              <w:bottom w:val="single" w:sz="6" w:space="0" w:color="000000"/>
            </w:tcBorders>
            <w:vAlign w:val="bottom"/>
            <w:hideMark/>
          </w:tcPr>
          <w:p w14:paraId="3A4CC6B7" w14:textId="77777777" w:rsidR="00000000" w:rsidRDefault="00B8284C">
            <w:pPr>
              <w:pStyle w:val="a3"/>
              <w:spacing w:before="0" w:beforeAutospacing="0" w:after="0" w:afterAutospacing="0"/>
              <w:rPr>
                <w:sz w:val="20"/>
                <w:szCs w:val="20"/>
              </w:rPr>
            </w:pPr>
            <w:r>
              <w:rPr>
                <w:sz w:val="20"/>
                <w:szCs w:val="20"/>
              </w:rPr>
              <w:t>/s/ Kate Bueker</w:t>
            </w:r>
          </w:p>
        </w:tc>
      </w:tr>
      <w:tr w:rsidR="00000000" w14:paraId="4F12034D" w14:textId="77777777">
        <w:trPr>
          <w:divId w:val="1017198850"/>
        </w:trPr>
        <w:tc>
          <w:tcPr>
            <w:tcW w:w="50" w:type="pct"/>
            <w:vAlign w:val="bottom"/>
            <w:hideMark/>
          </w:tcPr>
          <w:p w14:paraId="2029CFC2" w14:textId="77777777" w:rsidR="00000000" w:rsidRDefault="00B8284C">
            <w:pPr>
              <w:pStyle w:val="a3"/>
              <w:spacing w:before="0" w:beforeAutospacing="0" w:after="0" w:afterAutospacing="0"/>
              <w:rPr>
                <w:sz w:val="20"/>
                <w:szCs w:val="20"/>
              </w:rPr>
            </w:pPr>
            <w:r>
              <w:rPr>
                <w:sz w:val="20"/>
                <w:szCs w:val="20"/>
              </w:rPr>
              <w:t>Name:</w:t>
            </w:r>
          </w:p>
        </w:tc>
        <w:tc>
          <w:tcPr>
            <w:tcW w:w="50" w:type="pct"/>
            <w:vAlign w:val="bottom"/>
            <w:hideMark/>
          </w:tcPr>
          <w:p w14:paraId="7F140D08" w14:textId="77777777" w:rsidR="00000000" w:rsidRDefault="00B8284C">
            <w:pPr>
              <w:pStyle w:val="a3"/>
              <w:spacing w:before="0" w:beforeAutospacing="0" w:after="0" w:afterAutospacing="0"/>
              <w:rPr>
                <w:sz w:val="20"/>
                <w:szCs w:val="20"/>
              </w:rPr>
            </w:pPr>
            <w:r>
              <w:rPr>
                <w:sz w:val="20"/>
                <w:szCs w:val="20"/>
              </w:rPr>
              <w:t> </w:t>
            </w:r>
          </w:p>
        </w:tc>
        <w:tc>
          <w:tcPr>
            <w:tcW w:w="1900" w:type="pct"/>
            <w:tcBorders>
              <w:top w:val="single" w:sz="6" w:space="0" w:color="000000"/>
            </w:tcBorders>
            <w:vAlign w:val="bottom"/>
            <w:hideMark/>
          </w:tcPr>
          <w:p w14:paraId="3F44D7A7" w14:textId="77777777" w:rsidR="00000000" w:rsidRDefault="00B8284C">
            <w:pPr>
              <w:pStyle w:val="a3"/>
              <w:spacing w:before="0" w:beforeAutospacing="0" w:after="0" w:afterAutospacing="0"/>
              <w:rPr>
                <w:sz w:val="20"/>
                <w:szCs w:val="20"/>
              </w:rPr>
            </w:pPr>
            <w:r>
              <w:rPr>
                <w:sz w:val="20"/>
                <w:szCs w:val="20"/>
              </w:rPr>
              <w:t>Kate Bueker</w:t>
            </w:r>
          </w:p>
        </w:tc>
      </w:tr>
      <w:tr w:rsidR="00000000" w14:paraId="631EC642" w14:textId="77777777">
        <w:trPr>
          <w:divId w:val="1017198850"/>
        </w:trPr>
        <w:tc>
          <w:tcPr>
            <w:tcW w:w="50" w:type="pct"/>
            <w:hideMark/>
          </w:tcPr>
          <w:p w14:paraId="01156E74" w14:textId="77777777" w:rsidR="00000000" w:rsidRDefault="00B8284C">
            <w:pPr>
              <w:pStyle w:val="a3"/>
              <w:spacing w:before="0" w:beforeAutospacing="0" w:after="0" w:afterAutospacing="0"/>
              <w:rPr>
                <w:sz w:val="20"/>
                <w:szCs w:val="20"/>
              </w:rPr>
            </w:pPr>
            <w:r>
              <w:rPr>
                <w:sz w:val="20"/>
                <w:szCs w:val="20"/>
              </w:rPr>
              <w:t>Title:</w:t>
            </w:r>
          </w:p>
        </w:tc>
        <w:tc>
          <w:tcPr>
            <w:tcW w:w="50" w:type="pct"/>
            <w:vAlign w:val="bottom"/>
            <w:hideMark/>
          </w:tcPr>
          <w:p w14:paraId="2E3B0493" w14:textId="77777777" w:rsidR="00000000" w:rsidRDefault="00B8284C">
            <w:pPr>
              <w:pStyle w:val="a3"/>
              <w:spacing w:before="0" w:beforeAutospacing="0" w:after="0" w:afterAutospacing="0"/>
              <w:rPr>
                <w:sz w:val="20"/>
                <w:szCs w:val="20"/>
              </w:rPr>
            </w:pPr>
            <w:r>
              <w:rPr>
                <w:sz w:val="20"/>
                <w:szCs w:val="20"/>
              </w:rPr>
              <w:t> </w:t>
            </w:r>
          </w:p>
        </w:tc>
        <w:tc>
          <w:tcPr>
            <w:tcW w:w="1900" w:type="pct"/>
            <w:vAlign w:val="bottom"/>
            <w:hideMark/>
          </w:tcPr>
          <w:p w14:paraId="292B4A3B" w14:textId="77777777" w:rsidR="00000000" w:rsidRDefault="00B8284C">
            <w:pPr>
              <w:pStyle w:val="a3"/>
              <w:spacing w:before="0" w:beforeAutospacing="0" w:after="0" w:afterAutospacing="0"/>
              <w:rPr>
                <w:sz w:val="20"/>
                <w:szCs w:val="20"/>
              </w:rPr>
            </w:pPr>
            <w:r>
              <w:rPr>
                <w:sz w:val="20"/>
                <w:szCs w:val="20"/>
              </w:rPr>
              <w:t>Chief Financial Officer</w:t>
            </w:r>
          </w:p>
          <w:p w14:paraId="7CCB7BB4" w14:textId="77777777" w:rsidR="00000000" w:rsidRDefault="00B8284C">
            <w:pPr>
              <w:pStyle w:val="a3"/>
              <w:spacing w:before="0" w:beforeAutospacing="0" w:after="0" w:afterAutospacing="0"/>
              <w:rPr>
                <w:i/>
                <w:iCs/>
                <w:sz w:val="20"/>
                <w:szCs w:val="20"/>
              </w:rPr>
            </w:pPr>
            <w:r>
              <w:rPr>
                <w:i/>
                <w:iCs/>
                <w:sz w:val="20"/>
                <w:szCs w:val="20"/>
              </w:rPr>
              <w:t xml:space="preserve">(Principal Financial and Accounting </w:t>
            </w:r>
          </w:p>
          <w:p w14:paraId="2555AEC7" w14:textId="77777777" w:rsidR="00000000" w:rsidRDefault="00B8284C">
            <w:pPr>
              <w:pStyle w:val="a3"/>
              <w:spacing w:before="0" w:beforeAutospacing="0" w:after="0" w:afterAutospacing="0"/>
              <w:rPr>
                <w:i/>
                <w:iCs/>
                <w:sz w:val="20"/>
                <w:szCs w:val="20"/>
              </w:rPr>
            </w:pPr>
            <w:r>
              <w:rPr>
                <w:i/>
                <w:iCs/>
                <w:sz w:val="20"/>
                <w:szCs w:val="20"/>
              </w:rPr>
              <w:t>Officer and Authorized Signatory)</w:t>
            </w:r>
          </w:p>
        </w:tc>
      </w:tr>
    </w:tbl>
    <w:p w14:paraId="2EA8B422" w14:textId="77777777" w:rsidR="00000000" w:rsidRDefault="00B8284C">
      <w:pPr>
        <w:pStyle w:val="a3"/>
        <w:spacing w:before="0" w:beforeAutospacing="0" w:after="0" w:afterAutospacing="0"/>
      </w:pPr>
      <w:r>
        <w:t> </w:t>
      </w:r>
    </w:p>
    <w:p w14:paraId="1913543F" w14:textId="77777777" w:rsidR="00000000" w:rsidRDefault="00B8284C">
      <w:pPr>
        <w:pStyle w:val="a3"/>
        <w:spacing w:before="0" w:beforeAutospacing="0" w:after="0" w:afterAutospacing="0"/>
        <w:rPr>
          <w:sz w:val="20"/>
          <w:szCs w:val="20"/>
        </w:rPr>
      </w:pPr>
      <w:r>
        <w:rPr>
          <w:sz w:val="20"/>
          <w:szCs w:val="20"/>
        </w:rPr>
        <w:t>November 5, 2019</w:t>
      </w:r>
    </w:p>
    <w:p w14:paraId="1593AAD7" w14:textId="77777777" w:rsidR="00000000" w:rsidRDefault="00B8284C">
      <w:pPr>
        <w:pStyle w:val="a3"/>
        <w:spacing w:before="0" w:beforeAutospacing="0" w:after="0" w:afterAutospacing="0"/>
        <w:rPr>
          <w:sz w:val="20"/>
          <w:szCs w:val="20"/>
        </w:rPr>
      </w:pPr>
      <w:r>
        <w:rPr>
          <w:sz w:val="20"/>
          <w:szCs w:val="20"/>
        </w:rPr>
        <w:t> </w:t>
      </w:r>
    </w:p>
    <w:p w14:paraId="5D0DA530" w14:textId="77777777" w:rsidR="00B8284C" w:rsidRDefault="00B8284C">
      <w:pPr>
        <w:pStyle w:val="a3"/>
        <w:spacing w:before="240" w:beforeAutospacing="0" w:after="0" w:afterAutospacing="0"/>
        <w:jc w:val="center"/>
        <w:rPr>
          <w:sz w:val="20"/>
          <w:szCs w:val="20"/>
        </w:rPr>
      </w:pPr>
      <w:r>
        <w:rPr>
          <w:sz w:val="20"/>
          <w:szCs w:val="20"/>
        </w:rPr>
        <w:t> </w:t>
      </w:r>
    </w:p>
    <w:sectPr w:rsidR="00B8284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284C"/>
    <w:rsid w:val="00B8284C"/>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hubspot.com/20190930"/>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invest/2013-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1D805"/>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94">
      <w:marLeft w:val="0"/>
      <w:marRight w:val="0"/>
      <w:marTop w:val="0"/>
      <w:marBottom w:val="0"/>
      <w:divBdr>
        <w:top w:val="none" w:sz="0" w:space="0" w:color="auto"/>
        <w:left w:val="none" w:sz="0" w:space="0" w:color="auto"/>
        <w:bottom w:val="none" w:sz="0" w:space="0" w:color="auto"/>
        <w:right w:val="none" w:sz="0" w:space="0" w:color="auto"/>
      </w:divBdr>
    </w:div>
    <w:div w:id="62221739">
      <w:marLeft w:val="0"/>
      <w:marRight w:val="0"/>
      <w:marTop w:val="0"/>
      <w:marBottom w:val="0"/>
      <w:divBdr>
        <w:top w:val="none" w:sz="0" w:space="0" w:color="auto"/>
        <w:left w:val="none" w:sz="0" w:space="0" w:color="auto"/>
        <w:bottom w:val="none" w:sz="0" w:space="0" w:color="auto"/>
        <w:right w:val="none" w:sz="0" w:space="0" w:color="auto"/>
      </w:divBdr>
    </w:div>
    <w:div w:id="80419730">
      <w:marLeft w:val="0"/>
      <w:marRight w:val="0"/>
      <w:marTop w:val="0"/>
      <w:marBottom w:val="0"/>
      <w:divBdr>
        <w:top w:val="none" w:sz="0" w:space="0" w:color="auto"/>
        <w:left w:val="none" w:sz="0" w:space="0" w:color="auto"/>
        <w:bottom w:val="none" w:sz="0" w:space="0" w:color="auto"/>
        <w:right w:val="none" w:sz="0" w:space="0" w:color="auto"/>
      </w:divBdr>
    </w:div>
    <w:div w:id="83495115">
      <w:marLeft w:val="0"/>
      <w:marRight w:val="0"/>
      <w:marTop w:val="0"/>
      <w:marBottom w:val="0"/>
      <w:divBdr>
        <w:top w:val="none" w:sz="0" w:space="0" w:color="auto"/>
        <w:left w:val="none" w:sz="0" w:space="0" w:color="auto"/>
        <w:bottom w:val="none" w:sz="0" w:space="0" w:color="auto"/>
        <w:right w:val="none" w:sz="0" w:space="0" w:color="auto"/>
      </w:divBdr>
    </w:div>
    <w:div w:id="89278813">
      <w:marLeft w:val="0"/>
      <w:marRight w:val="0"/>
      <w:marTop w:val="0"/>
      <w:marBottom w:val="0"/>
      <w:divBdr>
        <w:top w:val="none" w:sz="0" w:space="0" w:color="auto"/>
        <w:left w:val="none" w:sz="0" w:space="0" w:color="auto"/>
        <w:bottom w:val="none" w:sz="0" w:space="0" w:color="auto"/>
        <w:right w:val="none" w:sz="0" w:space="0" w:color="auto"/>
      </w:divBdr>
    </w:div>
    <w:div w:id="101264411">
      <w:marLeft w:val="0"/>
      <w:marRight w:val="0"/>
      <w:marTop w:val="0"/>
      <w:marBottom w:val="0"/>
      <w:divBdr>
        <w:top w:val="none" w:sz="0" w:space="0" w:color="auto"/>
        <w:left w:val="none" w:sz="0" w:space="0" w:color="auto"/>
        <w:bottom w:val="none" w:sz="0" w:space="0" w:color="auto"/>
        <w:right w:val="none" w:sz="0" w:space="0" w:color="auto"/>
      </w:divBdr>
    </w:div>
    <w:div w:id="105200593">
      <w:marLeft w:val="0"/>
      <w:marRight w:val="0"/>
      <w:marTop w:val="0"/>
      <w:marBottom w:val="0"/>
      <w:divBdr>
        <w:top w:val="none" w:sz="0" w:space="0" w:color="auto"/>
        <w:left w:val="none" w:sz="0" w:space="0" w:color="auto"/>
        <w:bottom w:val="none" w:sz="0" w:space="0" w:color="auto"/>
        <w:right w:val="none" w:sz="0" w:space="0" w:color="auto"/>
      </w:divBdr>
    </w:div>
    <w:div w:id="171145906">
      <w:marLeft w:val="0"/>
      <w:marRight w:val="0"/>
      <w:marTop w:val="0"/>
      <w:marBottom w:val="0"/>
      <w:divBdr>
        <w:top w:val="none" w:sz="0" w:space="0" w:color="auto"/>
        <w:left w:val="none" w:sz="0" w:space="0" w:color="auto"/>
        <w:bottom w:val="none" w:sz="0" w:space="0" w:color="auto"/>
        <w:right w:val="none" w:sz="0" w:space="0" w:color="auto"/>
      </w:divBdr>
    </w:div>
    <w:div w:id="194002057">
      <w:marLeft w:val="0"/>
      <w:marRight w:val="0"/>
      <w:marTop w:val="0"/>
      <w:marBottom w:val="0"/>
      <w:divBdr>
        <w:top w:val="none" w:sz="0" w:space="0" w:color="auto"/>
        <w:left w:val="none" w:sz="0" w:space="0" w:color="auto"/>
        <w:bottom w:val="none" w:sz="0" w:space="0" w:color="auto"/>
        <w:right w:val="none" w:sz="0" w:space="0" w:color="auto"/>
      </w:divBdr>
    </w:div>
    <w:div w:id="209733317">
      <w:marLeft w:val="0"/>
      <w:marRight w:val="0"/>
      <w:marTop w:val="0"/>
      <w:marBottom w:val="0"/>
      <w:divBdr>
        <w:top w:val="none" w:sz="0" w:space="0" w:color="auto"/>
        <w:left w:val="none" w:sz="0" w:space="0" w:color="auto"/>
        <w:bottom w:val="none" w:sz="0" w:space="0" w:color="auto"/>
        <w:right w:val="none" w:sz="0" w:space="0" w:color="auto"/>
      </w:divBdr>
    </w:div>
    <w:div w:id="226456511">
      <w:marLeft w:val="0"/>
      <w:marRight w:val="0"/>
      <w:marTop w:val="0"/>
      <w:marBottom w:val="0"/>
      <w:divBdr>
        <w:top w:val="none" w:sz="0" w:space="0" w:color="auto"/>
        <w:left w:val="none" w:sz="0" w:space="0" w:color="auto"/>
        <w:bottom w:val="none" w:sz="0" w:space="0" w:color="auto"/>
        <w:right w:val="none" w:sz="0" w:space="0" w:color="auto"/>
      </w:divBdr>
    </w:div>
    <w:div w:id="232087358">
      <w:marLeft w:val="0"/>
      <w:marRight w:val="0"/>
      <w:marTop w:val="0"/>
      <w:marBottom w:val="0"/>
      <w:divBdr>
        <w:top w:val="none" w:sz="0" w:space="0" w:color="auto"/>
        <w:left w:val="none" w:sz="0" w:space="0" w:color="auto"/>
        <w:bottom w:val="none" w:sz="0" w:space="0" w:color="auto"/>
        <w:right w:val="none" w:sz="0" w:space="0" w:color="auto"/>
      </w:divBdr>
    </w:div>
    <w:div w:id="244340942">
      <w:marLeft w:val="0"/>
      <w:marRight w:val="0"/>
      <w:marTop w:val="0"/>
      <w:marBottom w:val="0"/>
      <w:divBdr>
        <w:top w:val="none" w:sz="0" w:space="0" w:color="auto"/>
        <w:left w:val="none" w:sz="0" w:space="0" w:color="auto"/>
        <w:bottom w:val="none" w:sz="0" w:space="0" w:color="auto"/>
        <w:right w:val="none" w:sz="0" w:space="0" w:color="auto"/>
      </w:divBdr>
    </w:div>
    <w:div w:id="256403462">
      <w:marLeft w:val="0"/>
      <w:marRight w:val="0"/>
      <w:marTop w:val="0"/>
      <w:marBottom w:val="0"/>
      <w:divBdr>
        <w:top w:val="none" w:sz="0" w:space="0" w:color="auto"/>
        <w:left w:val="none" w:sz="0" w:space="0" w:color="auto"/>
        <w:bottom w:val="none" w:sz="0" w:space="0" w:color="auto"/>
        <w:right w:val="none" w:sz="0" w:space="0" w:color="auto"/>
      </w:divBdr>
    </w:div>
    <w:div w:id="263728320">
      <w:marLeft w:val="0"/>
      <w:marRight w:val="0"/>
      <w:marTop w:val="0"/>
      <w:marBottom w:val="0"/>
      <w:divBdr>
        <w:top w:val="none" w:sz="0" w:space="0" w:color="auto"/>
        <w:left w:val="none" w:sz="0" w:space="0" w:color="auto"/>
        <w:bottom w:val="none" w:sz="0" w:space="0" w:color="auto"/>
        <w:right w:val="none" w:sz="0" w:space="0" w:color="auto"/>
      </w:divBdr>
    </w:div>
    <w:div w:id="268662436">
      <w:marLeft w:val="0"/>
      <w:marRight w:val="0"/>
      <w:marTop w:val="0"/>
      <w:marBottom w:val="0"/>
      <w:divBdr>
        <w:top w:val="none" w:sz="0" w:space="0" w:color="auto"/>
        <w:left w:val="none" w:sz="0" w:space="0" w:color="auto"/>
        <w:bottom w:val="none" w:sz="0" w:space="0" w:color="auto"/>
        <w:right w:val="none" w:sz="0" w:space="0" w:color="auto"/>
      </w:divBdr>
    </w:div>
    <w:div w:id="303973866">
      <w:marLeft w:val="0"/>
      <w:marRight w:val="0"/>
      <w:marTop w:val="0"/>
      <w:marBottom w:val="0"/>
      <w:divBdr>
        <w:top w:val="none" w:sz="0" w:space="0" w:color="auto"/>
        <w:left w:val="none" w:sz="0" w:space="0" w:color="auto"/>
        <w:bottom w:val="none" w:sz="0" w:space="0" w:color="auto"/>
        <w:right w:val="none" w:sz="0" w:space="0" w:color="auto"/>
      </w:divBdr>
    </w:div>
    <w:div w:id="315649968">
      <w:marLeft w:val="0"/>
      <w:marRight w:val="0"/>
      <w:marTop w:val="0"/>
      <w:marBottom w:val="0"/>
      <w:divBdr>
        <w:top w:val="none" w:sz="0" w:space="0" w:color="auto"/>
        <w:left w:val="none" w:sz="0" w:space="0" w:color="auto"/>
        <w:bottom w:val="none" w:sz="0" w:space="0" w:color="auto"/>
        <w:right w:val="none" w:sz="0" w:space="0" w:color="auto"/>
      </w:divBdr>
    </w:div>
    <w:div w:id="379283321">
      <w:marLeft w:val="0"/>
      <w:marRight w:val="0"/>
      <w:marTop w:val="0"/>
      <w:marBottom w:val="0"/>
      <w:divBdr>
        <w:top w:val="none" w:sz="0" w:space="0" w:color="auto"/>
        <w:left w:val="none" w:sz="0" w:space="0" w:color="auto"/>
        <w:bottom w:val="none" w:sz="0" w:space="0" w:color="auto"/>
        <w:right w:val="none" w:sz="0" w:space="0" w:color="auto"/>
      </w:divBdr>
    </w:div>
    <w:div w:id="396712005">
      <w:marLeft w:val="0"/>
      <w:marRight w:val="0"/>
      <w:marTop w:val="0"/>
      <w:marBottom w:val="0"/>
      <w:divBdr>
        <w:top w:val="none" w:sz="0" w:space="0" w:color="auto"/>
        <w:left w:val="none" w:sz="0" w:space="0" w:color="auto"/>
        <w:bottom w:val="none" w:sz="0" w:space="0" w:color="auto"/>
        <w:right w:val="none" w:sz="0" w:space="0" w:color="auto"/>
      </w:divBdr>
    </w:div>
    <w:div w:id="462693142">
      <w:marLeft w:val="0"/>
      <w:marRight w:val="0"/>
      <w:marTop w:val="0"/>
      <w:marBottom w:val="0"/>
      <w:divBdr>
        <w:top w:val="none" w:sz="0" w:space="0" w:color="auto"/>
        <w:left w:val="none" w:sz="0" w:space="0" w:color="auto"/>
        <w:bottom w:val="none" w:sz="0" w:space="0" w:color="auto"/>
        <w:right w:val="none" w:sz="0" w:space="0" w:color="auto"/>
      </w:divBdr>
    </w:div>
    <w:div w:id="476185384">
      <w:marLeft w:val="0"/>
      <w:marRight w:val="0"/>
      <w:marTop w:val="0"/>
      <w:marBottom w:val="0"/>
      <w:divBdr>
        <w:top w:val="none" w:sz="0" w:space="0" w:color="auto"/>
        <w:left w:val="none" w:sz="0" w:space="0" w:color="auto"/>
        <w:bottom w:val="none" w:sz="0" w:space="0" w:color="auto"/>
        <w:right w:val="none" w:sz="0" w:space="0" w:color="auto"/>
      </w:divBdr>
    </w:div>
    <w:div w:id="489833418">
      <w:marLeft w:val="0"/>
      <w:marRight w:val="0"/>
      <w:marTop w:val="0"/>
      <w:marBottom w:val="0"/>
      <w:divBdr>
        <w:top w:val="none" w:sz="0" w:space="0" w:color="auto"/>
        <w:left w:val="none" w:sz="0" w:space="0" w:color="auto"/>
        <w:bottom w:val="none" w:sz="0" w:space="0" w:color="auto"/>
        <w:right w:val="none" w:sz="0" w:space="0" w:color="auto"/>
      </w:divBdr>
    </w:div>
    <w:div w:id="493225935">
      <w:marLeft w:val="0"/>
      <w:marRight w:val="0"/>
      <w:marTop w:val="0"/>
      <w:marBottom w:val="0"/>
      <w:divBdr>
        <w:top w:val="none" w:sz="0" w:space="0" w:color="auto"/>
        <w:left w:val="none" w:sz="0" w:space="0" w:color="auto"/>
        <w:bottom w:val="none" w:sz="0" w:space="0" w:color="auto"/>
        <w:right w:val="none" w:sz="0" w:space="0" w:color="auto"/>
      </w:divBdr>
    </w:div>
    <w:div w:id="562831964">
      <w:marLeft w:val="0"/>
      <w:marRight w:val="0"/>
      <w:marTop w:val="0"/>
      <w:marBottom w:val="0"/>
      <w:divBdr>
        <w:top w:val="none" w:sz="0" w:space="0" w:color="auto"/>
        <w:left w:val="none" w:sz="0" w:space="0" w:color="auto"/>
        <w:bottom w:val="none" w:sz="0" w:space="0" w:color="auto"/>
        <w:right w:val="none" w:sz="0" w:space="0" w:color="auto"/>
      </w:divBdr>
    </w:div>
    <w:div w:id="574583224">
      <w:marLeft w:val="0"/>
      <w:marRight w:val="0"/>
      <w:marTop w:val="0"/>
      <w:marBottom w:val="0"/>
      <w:divBdr>
        <w:top w:val="none" w:sz="0" w:space="0" w:color="auto"/>
        <w:left w:val="none" w:sz="0" w:space="0" w:color="auto"/>
        <w:bottom w:val="none" w:sz="0" w:space="0" w:color="auto"/>
        <w:right w:val="none" w:sz="0" w:space="0" w:color="auto"/>
      </w:divBdr>
    </w:div>
    <w:div w:id="592400241">
      <w:marLeft w:val="0"/>
      <w:marRight w:val="0"/>
      <w:marTop w:val="0"/>
      <w:marBottom w:val="0"/>
      <w:divBdr>
        <w:top w:val="none" w:sz="0" w:space="0" w:color="auto"/>
        <w:left w:val="none" w:sz="0" w:space="0" w:color="auto"/>
        <w:bottom w:val="none" w:sz="0" w:space="0" w:color="auto"/>
        <w:right w:val="none" w:sz="0" w:space="0" w:color="auto"/>
      </w:divBdr>
    </w:div>
    <w:div w:id="606935668">
      <w:marLeft w:val="0"/>
      <w:marRight w:val="0"/>
      <w:marTop w:val="0"/>
      <w:marBottom w:val="0"/>
      <w:divBdr>
        <w:top w:val="none" w:sz="0" w:space="0" w:color="auto"/>
        <w:left w:val="none" w:sz="0" w:space="0" w:color="auto"/>
        <w:bottom w:val="none" w:sz="0" w:space="0" w:color="auto"/>
        <w:right w:val="none" w:sz="0" w:space="0" w:color="auto"/>
      </w:divBdr>
    </w:div>
    <w:div w:id="644244077">
      <w:marLeft w:val="0"/>
      <w:marRight w:val="0"/>
      <w:marTop w:val="0"/>
      <w:marBottom w:val="0"/>
      <w:divBdr>
        <w:top w:val="none" w:sz="0" w:space="0" w:color="auto"/>
        <w:left w:val="none" w:sz="0" w:space="0" w:color="auto"/>
        <w:bottom w:val="none" w:sz="0" w:space="0" w:color="auto"/>
        <w:right w:val="none" w:sz="0" w:space="0" w:color="auto"/>
      </w:divBdr>
    </w:div>
    <w:div w:id="654381165">
      <w:marLeft w:val="0"/>
      <w:marRight w:val="0"/>
      <w:marTop w:val="0"/>
      <w:marBottom w:val="0"/>
      <w:divBdr>
        <w:top w:val="none" w:sz="0" w:space="0" w:color="auto"/>
        <w:left w:val="none" w:sz="0" w:space="0" w:color="auto"/>
        <w:bottom w:val="none" w:sz="0" w:space="0" w:color="auto"/>
        <w:right w:val="none" w:sz="0" w:space="0" w:color="auto"/>
      </w:divBdr>
    </w:div>
    <w:div w:id="656764486">
      <w:marLeft w:val="0"/>
      <w:marRight w:val="0"/>
      <w:marTop w:val="0"/>
      <w:marBottom w:val="0"/>
      <w:divBdr>
        <w:top w:val="none" w:sz="0" w:space="0" w:color="auto"/>
        <w:left w:val="none" w:sz="0" w:space="0" w:color="auto"/>
        <w:bottom w:val="none" w:sz="0" w:space="0" w:color="auto"/>
        <w:right w:val="none" w:sz="0" w:space="0" w:color="auto"/>
      </w:divBdr>
    </w:div>
    <w:div w:id="661851828">
      <w:marLeft w:val="0"/>
      <w:marRight w:val="0"/>
      <w:marTop w:val="0"/>
      <w:marBottom w:val="0"/>
      <w:divBdr>
        <w:top w:val="none" w:sz="0" w:space="0" w:color="auto"/>
        <w:left w:val="none" w:sz="0" w:space="0" w:color="auto"/>
        <w:bottom w:val="none" w:sz="0" w:space="0" w:color="auto"/>
        <w:right w:val="none" w:sz="0" w:space="0" w:color="auto"/>
      </w:divBdr>
    </w:div>
    <w:div w:id="662009366">
      <w:marLeft w:val="0"/>
      <w:marRight w:val="0"/>
      <w:marTop w:val="0"/>
      <w:marBottom w:val="0"/>
      <w:divBdr>
        <w:top w:val="none" w:sz="0" w:space="0" w:color="auto"/>
        <w:left w:val="none" w:sz="0" w:space="0" w:color="auto"/>
        <w:bottom w:val="none" w:sz="0" w:space="0" w:color="auto"/>
        <w:right w:val="none" w:sz="0" w:space="0" w:color="auto"/>
      </w:divBdr>
    </w:div>
    <w:div w:id="664555801">
      <w:marLeft w:val="0"/>
      <w:marRight w:val="0"/>
      <w:marTop w:val="0"/>
      <w:marBottom w:val="0"/>
      <w:divBdr>
        <w:top w:val="none" w:sz="0" w:space="0" w:color="auto"/>
        <w:left w:val="none" w:sz="0" w:space="0" w:color="auto"/>
        <w:bottom w:val="none" w:sz="0" w:space="0" w:color="auto"/>
        <w:right w:val="none" w:sz="0" w:space="0" w:color="auto"/>
      </w:divBdr>
    </w:div>
    <w:div w:id="673647899">
      <w:marLeft w:val="0"/>
      <w:marRight w:val="0"/>
      <w:marTop w:val="0"/>
      <w:marBottom w:val="0"/>
      <w:divBdr>
        <w:top w:val="none" w:sz="0" w:space="0" w:color="auto"/>
        <w:left w:val="none" w:sz="0" w:space="0" w:color="auto"/>
        <w:bottom w:val="none" w:sz="0" w:space="0" w:color="auto"/>
        <w:right w:val="none" w:sz="0" w:space="0" w:color="auto"/>
      </w:divBdr>
    </w:div>
    <w:div w:id="699546309">
      <w:marLeft w:val="0"/>
      <w:marRight w:val="0"/>
      <w:marTop w:val="0"/>
      <w:marBottom w:val="0"/>
      <w:divBdr>
        <w:top w:val="none" w:sz="0" w:space="0" w:color="auto"/>
        <w:left w:val="none" w:sz="0" w:space="0" w:color="auto"/>
        <w:bottom w:val="none" w:sz="0" w:space="0" w:color="auto"/>
        <w:right w:val="none" w:sz="0" w:space="0" w:color="auto"/>
      </w:divBdr>
    </w:div>
    <w:div w:id="724642008">
      <w:marLeft w:val="0"/>
      <w:marRight w:val="0"/>
      <w:marTop w:val="0"/>
      <w:marBottom w:val="0"/>
      <w:divBdr>
        <w:top w:val="none" w:sz="0" w:space="0" w:color="auto"/>
        <w:left w:val="none" w:sz="0" w:space="0" w:color="auto"/>
        <w:bottom w:val="none" w:sz="0" w:space="0" w:color="auto"/>
        <w:right w:val="none" w:sz="0" w:space="0" w:color="auto"/>
      </w:divBdr>
    </w:div>
    <w:div w:id="762651675">
      <w:marLeft w:val="0"/>
      <w:marRight w:val="0"/>
      <w:marTop w:val="0"/>
      <w:marBottom w:val="0"/>
      <w:divBdr>
        <w:top w:val="none" w:sz="0" w:space="0" w:color="auto"/>
        <w:left w:val="none" w:sz="0" w:space="0" w:color="auto"/>
        <w:bottom w:val="none" w:sz="0" w:space="0" w:color="auto"/>
        <w:right w:val="none" w:sz="0" w:space="0" w:color="auto"/>
      </w:divBdr>
    </w:div>
    <w:div w:id="777915948">
      <w:marLeft w:val="0"/>
      <w:marRight w:val="0"/>
      <w:marTop w:val="0"/>
      <w:marBottom w:val="0"/>
      <w:divBdr>
        <w:top w:val="none" w:sz="0" w:space="0" w:color="auto"/>
        <w:left w:val="none" w:sz="0" w:space="0" w:color="auto"/>
        <w:bottom w:val="none" w:sz="0" w:space="0" w:color="auto"/>
        <w:right w:val="none" w:sz="0" w:space="0" w:color="auto"/>
      </w:divBdr>
    </w:div>
    <w:div w:id="801002978">
      <w:marLeft w:val="0"/>
      <w:marRight w:val="0"/>
      <w:marTop w:val="0"/>
      <w:marBottom w:val="0"/>
      <w:divBdr>
        <w:top w:val="none" w:sz="0" w:space="0" w:color="auto"/>
        <w:left w:val="none" w:sz="0" w:space="0" w:color="auto"/>
        <w:bottom w:val="none" w:sz="0" w:space="0" w:color="auto"/>
        <w:right w:val="none" w:sz="0" w:space="0" w:color="auto"/>
      </w:divBdr>
    </w:div>
    <w:div w:id="825898989">
      <w:marLeft w:val="0"/>
      <w:marRight w:val="0"/>
      <w:marTop w:val="0"/>
      <w:marBottom w:val="0"/>
      <w:divBdr>
        <w:top w:val="none" w:sz="0" w:space="0" w:color="auto"/>
        <w:left w:val="none" w:sz="0" w:space="0" w:color="auto"/>
        <w:bottom w:val="none" w:sz="0" w:space="0" w:color="auto"/>
        <w:right w:val="none" w:sz="0" w:space="0" w:color="auto"/>
      </w:divBdr>
    </w:div>
    <w:div w:id="840466244">
      <w:marLeft w:val="0"/>
      <w:marRight w:val="0"/>
      <w:marTop w:val="0"/>
      <w:marBottom w:val="0"/>
      <w:divBdr>
        <w:top w:val="none" w:sz="0" w:space="0" w:color="auto"/>
        <w:left w:val="none" w:sz="0" w:space="0" w:color="auto"/>
        <w:bottom w:val="none" w:sz="0" w:space="0" w:color="auto"/>
        <w:right w:val="none" w:sz="0" w:space="0" w:color="auto"/>
      </w:divBdr>
    </w:div>
    <w:div w:id="898710705">
      <w:marLeft w:val="0"/>
      <w:marRight w:val="0"/>
      <w:marTop w:val="0"/>
      <w:marBottom w:val="0"/>
      <w:divBdr>
        <w:top w:val="none" w:sz="0" w:space="0" w:color="auto"/>
        <w:left w:val="none" w:sz="0" w:space="0" w:color="auto"/>
        <w:bottom w:val="none" w:sz="0" w:space="0" w:color="auto"/>
        <w:right w:val="none" w:sz="0" w:space="0" w:color="auto"/>
      </w:divBdr>
    </w:div>
    <w:div w:id="905459143">
      <w:marLeft w:val="0"/>
      <w:marRight w:val="0"/>
      <w:marTop w:val="0"/>
      <w:marBottom w:val="0"/>
      <w:divBdr>
        <w:top w:val="none" w:sz="0" w:space="0" w:color="auto"/>
        <w:left w:val="none" w:sz="0" w:space="0" w:color="auto"/>
        <w:bottom w:val="none" w:sz="0" w:space="0" w:color="auto"/>
        <w:right w:val="none" w:sz="0" w:space="0" w:color="auto"/>
      </w:divBdr>
    </w:div>
    <w:div w:id="906652417">
      <w:marLeft w:val="0"/>
      <w:marRight w:val="0"/>
      <w:marTop w:val="0"/>
      <w:marBottom w:val="0"/>
      <w:divBdr>
        <w:top w:val="none" w:sz="0" w:space="0" w:color="auto"/>
        <w:left w:val="none" w:sz="0" w:space="0" w:color="auto"/>
        <w:bottom w:val="none" w:sz="0" w:space="0" w:color="auto"/>
        <w:right w:val="none" w:sz="0" w:space="0" w:color="auto"/>
      </w:divBdr>
    </w:div>
    <w:div w:id="910850295">
      <w:marLeft w:val="0"/>
      <w:marRight w:val="0"/>
      <w:marTop w:val="0"/>
      <w:marBottom w:val="0"/>
      <w:divBdr>
        <w:top w:val="none" w:sz="0" w:space="0" w:color="auto"/>
        <w:left w:val="none" w:sz="0" w:space="0" w:color="auto"/>
        <w:bottom w:val="none" w:sz="0" w:space="0" w:color="auto"/>
        <w:right w:val="none" w:sz="0" w:space="0" w:color="auto"/>
      </w:divBdr>
    </w:div>
    <w:div w:id="912155843">
      <w:marLeft w:val="0"/>
      <w:marRight w:val="0"/>
      <w:marTop w:val="0"/>
      <w:marBottom w:val="0"/>
      <w:divBdr>
        <w:top w:val="none" w:sz="0" w:space="0" w:color="auto"/>
        <w:left w:val="none" w:sz="0" w:space="0" w:color="auto"/>
        <w:bottom w:val="none" w:sz="0" w:space="0" w:color="auto"/>
        <w:right w:val="none" w:sz="0" w:space="0" w:color="auto"/>
      </w:divBdr>
    </w:div>
    <w:div w:id="949555041">
      <w:marLeft w:val="0"/>
      <w:marRight w:val="0"/>
      <w:marTop w:val="0"/>
      <w:marBottom w:val="0"/>
      <w:divBdr>
        <w:top w:val="none" w:sz="0" w:space="0" w:color="auto"/>
        <w:left w:val="none" w:sz="0" w:space="0" w:color="auto"/>
        <w:bottom w:val="none" w:sz="0" w:space="0" w:color="auto"/>
        <w:right w:val="none" w:sz="0" w:space="0" w:color="auto"/>
      </w:divBdr>
    </w:div>
    <w:div w:id="962232125">
      <w:marLeft w:val="0"/>
      <w:marRight w:val="0"/>
      <w:marTop w:val="0"/>
      <w:marBottom w:val="0"/>
      <w:divBdr>
        <w:top w:val="none" w:sz="0" w:space="0" w:color="auto"/>
        <w:left w:val="none" w:sz="0" w:space="0" w:color="auto"/>
        <w:bottom w:val="none" w:sz="0" w:space="0" w:color="auto"/>
        <w:right w:val="none" w:sz="0" w:space="0" w:color="auto"/>
      </w:divBdr>
    </w:div>
    <w:div w:id="966009616">
      <w:marLeft w:val="0"/>
      <w:marRight w:val="0"/>
      <w:marTop w:val="0"/>
      <w:marBottom w:val="0"/>
      <w:divBdr>
        <w:top w:val="none" w:sz="0" w:space="0" w:color="auto"/>
        <w:left w:val="none" w:sz="0" w:space="0" w:color="auto"/>
        <w:bottom w:val="none" w:sz="0" w:space="0" w:color="auto"/>
        <w:right w:val="none" w:sz="0" w:space="0" w:color="auto"/>
      </w:divBdr>
    </w:div>
    <w:div w:id="970985681">
      <w:marLeft w:val="0"/>
      <w:marRight w:val="0"/>
      <w:marTop w:val="0"/>
      <w:marBottom w:val="0"/>
      <w:divBdr>
        <w:top w:val="none" w:sz="0" w:space="0" w:color="auto"/>
        <w:left w:val="none" w:sz="0" w:space="0" w:color="auto"/>
        <w:bottom w:val="none" w:sz="0" w:space="0" w:color="auto"/>
        <w:right w:val="none" w:sz="0" w:space="0" w:color="auto"/>
      </w:divBdr>
    </w:div>
    <w:div w:id="1017198850">
      <w:marLeft w:val="0"/>
      <w:marRight w:val="0"/>
      <w:marTop w:val="0"/>
      <w:marBottom w:val="0"/>
      <w:divBdr>
        <w:top w:val="none" w:sz="0" w:space="0" w:color="auto"/>
        <w:left w:val="none" w:sz="0" w:space="0" w:color="auto"/>
        <w:bottom w:val="none" w:sz="0" w:space="0" w:color="auto"/>
        <w:right w:val="none" w:sz="0" w:space="0" w:color="auto"/>
      </w:divBdr>
    </w:div>
    <w:div w:id="1018431873">
      <w:marLeft w:val="0"/>
      <w:marRight w:val="0"/>
      <w:marTop w:val="0"/>
      <w:marBottom w:val="0"/>
      <w:divBdr>
        <w:top w:val="none" w:sz="0" w:space="0" w:color="auto"/>
        <w:left w:val="none" w:sz="0" w:space="0" w:color="auto"/>
        <w:bottom w:val="none" w:sz="0" w:space="0" w:color="auto"/>
        <w:right w:val="none" w:sz="0" w:space="0" w:color="auto"/>
      </w:divBdr>
    </w:div>
    <w:div w:id="1057582561">
      <w:marLeft w:val="0"/>
      <w:marRight w:val="0"/>
      <w:marTop w:val="0"/>
      <w:marBottom w:val="0"/>
      <w:divBdr>
        <w:top w:val="none" w:sz="0" w:space="0" w:color="auto"/>
        <w:left w:val="none" w:sz="0" w:space="0" w:color="auto"/>
        <w:bottom w:val="none" w:sz="0" w:space="0" w:color="auto"/>
        <w:right w:val="none" w:sz="0" w:space="0" w:color="auto"/>
      </w:divBdr>
    </w:div>
    <w:div w:id="1068267235">
      <w:marLeft w:val="0"/>
      <w:marRight w:val="0"/>
      <w:marTop w:val="0"/>
      <w:marBottom w:val="0"/>
      <w:divBdr>
        <w:top w:val="none" w:sz="0" w:space="0" w:color="auto"/>
        <w:left w:val="none" w:sz="0" w:space="0" w:color="auto"/>
        <w:bottom w:val="none" w:sz="0" w:space="0" w:color="auto"/>
        <w:right w:val="none" w:sz="0" w:space="0" w:color="auto"/>
      </w:divBdr>
    </w:div>
    <w:div w:id="1088422470">
      <w:marLeft w:val="0"/>
      <w:marRight w:val="0"/>
      <w:marTop w:val="0"/>
      <w:marBottom w:val="0"/>
      <w:divBdr>
        <w:top w:val="none" w:sz="0" w:space="0" w:color="auto"/>
        <w:left w:val="none" w:sz="0" w:space="0" w:color="auto"/>
        <w:bottom w:val="none" w:sz="0" w:space="0" w:color="auto"/>
        <w:right w:val="none" w:sz="0" w:space="0" w:color="auto"/>
      </w:divBdr>
    </w:div>
    <w:div w:id="1122768687">
      <w:marLeft w:val="0"/>
      <w:marRight w:val="0"/>
      <w:marTop w:val="0"/>
      <w:marBottom w:val="0"/>
      <w:divBdr>
        <w:top w:val="none" w:sz="0" w:space="0" w:color="auto"/>
        <w:left w:val="none" w:sz="0" w:space="0" w:color="auto"/>
        <w:bottom w:val="none" w:sz="0" w:space="0" w:color="auto"/>
        <w:right w:val="none" w:sz="0" w:space="0" w:color="auto"/>
      </w:divBdr>
    </w:div>
    <w:div w:id="1125805622">
      <w:marLeft w:val="0"/>
      <w:marRight w:val="0"/>
      <w:marTop w:val="0"/>
      <w:marBottom w:val="0"/>
      <w:divBdr>
        <w:top w:val="none" w:sz="0" w:space="0" w:color="auto"/>
        <w:left w:val="none" w:sz="0" w:space="0" w:color="auto"/>
        <w:bottom w:val="none" w:sz="0" w:space="0" w:color="auto"/>
        <w:right w:val="none" w:sz="0" w:space="0" w:color="auto"/>
      </w:divBdr>
    </w:div>
    <w:div w:id="1148203241">
      <w:marLeft w:val="0"/>
      <w:marRight w:val="0"/>
      <w:marTop w:val="0"/>
      <w:marBottom w:val="0"/>
      <w:divBdr>
        <w:top w:val="none" w:sz="0" w:space="0" w:color="auto"/>
        <w:left w:val="none" w:sz="0" w:space="0" w:color="auto"/>
        <w:bottom w:val="none" w:sz="0" w:space="0" w:color="auto"/>
        <w:right w:val="none" w:sz="0" w:space="0" w:color="auto"/>
      </w:divBdr>
    </w:div>
    <w:div w:id="1173648223">
      <w:marLeft w:val="0"/>
      <w:marRight w:val="0"/>
      <w:marTop w:val="0"/>
      <w:marBottom w:val="0"/>
      <w:divBdr>
        <w:top w:val="none" w:sz="0" w:space="0" w:color="auto"/>
        <w:left w:val="none" w:sz="0" w:space="0" w:color="auto"/>
        <w:bottom w:val="none" w:sz="0" w:space="0" w:color="auto"/>
        <w:right w:val="none" w:sz="0" w:space="0" w:color="auto"/>
      </w:divBdr>
    </w:div>
    <w:div w:id="1182082759">
      <w:marLeft w:val="0"/>
      <w:marRight w:val="0"/>
      <w:marTop w:val="0"/>
      <w:marBottom w:val="0"/>
      <w:divBdr>
        <w:top w:val="none" w:sz="0" w:space="0" w:color="auto"/>
        <w:left w:val="none" w:sz="0" w:space="0" w:color="auto"/>
        <w:bottom w:val="none" w:sz="0" w:space="0" w:color="auto"/>
        <w:right w:val="none" w:sz="0" w:space="0" w:color="auto"/>
      </w:divBdr>
    </w:div>
    <w:div w:id="1188329502">
      <w:marLeft w:val="0"/>
      <w:marRight w:val="0"/>
      <w:marTop w:val="0"/>
      <w:marBottom w:val="0"/>
      <w:divBdr>
        <w:top w:val="none" w:sz="0" w:space="0" w:color="auto"/>
        <w:left w:val="none" w:sz="0" w:space="0" w:color="auto"/>
        <w:bottom w:val="none" w:sz="0" w:space="0" w:color="auto"/>
        <w:right w:val="none" w:sz="0" w:space="0" w:color="auto"/>
      </w:divBdr>
    </w:div>
    <w:div w:id="1235972027">
      <w:marLeft w:val="0"/>
      <w:marRight w:val="0"/>
      <w:marTop w:val="0"/>
      <w:marBottom w:val="0"/>
      <w:divBdr>
        <w:top w:val="none" w:sz="0" w:space="0" w:color="auto"/>
        <w:left w:val="none" w:sz="0" w:space="0" w:color="auto"/>
        <w:bottom w:val="none" w:sz="0" w:space="0" w:color="auto"/>
        <w:right w:val="none" w:sz="0" w:space="0" w:color="auto"/>
      </w:divBdr>
    </w:div>
    <w:div w:id="1236866003">
      <w:marLeft w:val="0"/>
      <w:marRight w:val="0"/>
      <w:marTop w:val="0"/>
      <w:marBottom w:val="0"/>
      <w:divBdr>
        <w:top w:val="none" w:sz="0" w:space="0" w:color="auto"/>
        <w:left w:val="none" w:sz="0" w:space="0" w:color="auto"/>
        <w:bottom w:val="none" w:sz="0" w:space="0" w:color="auto"/>
        <w:right w:val="none" w:sz="0" w:space="0" w:color="auto"/>
      </w:divBdr>
    </w:div>
    <w:div w:id="1253930007">
      <w:marLeft w:val="0"/>
      <w:marRight w:val="0"/>
      <w:marTop w:val="0"/>
      <w:marBottom w:val="0"/>
      <w:divBdr>
        <w:top w:val="none" w:sz="0" w:space="0" w:color="auto"/>
        <w:left w:val="none" w:sz="0" w:space="0" w:color="auto"/>
        <w:bottom w:val="none" w:sz="0" w:space="0" w:color="auto"/>
        <w:right w:val="none" w:sz="0" w:space="0" w:color="auto"/>
      </w:divBdr>
    </w:div>
    <w:div w:id="1264069354">
      <w:marLeft w:val="0"/>
      <w:marRight w:val="0"/>
      <w:marTop w:val="0"/>
      <w:marBottom w:val="0"/>
      <w:divBdr>
        <w:top w:val="none" w:sz="0" w:space="0" w:color="auto"/>
        <w:left w:val="none" w:sz="0" w:space="0" w:color="auto"/>
        <w:bottom w:val="none" w:sz="0" w:space="0" w:color="auto"/>
        <w:right w:val="none" w:sz="0" w:space="0" w:color="auto"/>
      </w:divBdr>
    </w:div>
    <w:div w:id="1313365629">
      <w:marLeft w:val="0"/>
      <w:marRight w:val="0"/>
      <w:marTop w:val="0"/>
      <w:marBottom w:val="0"/>
      <w:divBdr>
        <w:top w:val="none" w:sz="0" w:space="0" w:color="auto"/>
        <w:left w:val="none" w:sz="0" w:space="0" w:color="auto"/>
        <w:bottom w:val="none" w:sz="0" w:space="0" w:color="auto"/>
        <w:right w:val="none" w:sz="0" w:space="0" w:color="auto"/>
      </w:divBdr>
    </w:div>
    <w:div w:id="1351030879">
      <w:marLeft w:val="0"/>
      <w:marRight w:val="0"/>
      <w:marTop w:val="0"/>
      <w:marBottom w:val="0"/>
      <w:divBdr>
        <w:top w:val="none" w:sz="0" w:space="0" w:color="auto"/>
        <w:left w:val="none" w:sz="0" w:space="0" w:color="auto"/>
        <w:bottom w:val="none" w:sz="0" w:space="0" w:color="auto"/>
        <w:right w:val="none" w:sz="0" w:space="0" w:color="auto"/>
      </w:divBdr>
    </w:div>
    <w:div w:id="1362900243">
      <w:marLeft w:val="0"/>
      <w:marRight w:val="0"/>
      <w:marTop w:val="0"/>
      <w:marBottom w:val="0"/>
      <w:divBdr>
        <w:top w:val="none" w:sz="0" w:space="0" w:color="auto"/>
        <w:left w:val="none" w:sz="0" w:space="0" w:color="auto"/>
        <w:bottom w:val="none" w:sz="0" w:space="0" w:color="auto"/>
        <w:right w:val="none" w:sz="0" w:space="0" w:color="auto"/>
      </w:divBdr>
    </w:div>
    <w:div w:id="1364205577">
      <w:marLeft w:val="0"/>
      <w:marRight w:val="0"/>
      <w:marTop w:val="0"/>
      <w:marBottom w:val="0"/>
      <w:divBdr>
        <w:top w:val="none" w:sz="0" w:space="0" w:color="auto"/>
        <w:left w:val="none" w:sz="0" w:space="0" w:color="auto"/>
        <w:bottom w:val="none" w:sz="0" w:space="0" w:color="auto"/>
        <w:right w:val="none" w:sz="0" w:space="0" w:color="auto"/>
      </w:divBdr>
    </w:div>
    <w:div w:id="1369380323">
      <w:marLeft w:val="0"/>
      <w:marRight w:val="0"/>
      <w:marTop w:val="0"/>
      <w:marBottom w:val="0"/>
      <w:divBdr>
        <w:top w:val="none" w:sz="0" w:space="0" w:color="auto"/>
        <w:left w:val="none" w:sz="0" w:space="0" w:color="auto"/>
        <w:bottom w:val="none" w:sz="0" w:space="0" w:color="auto"/>
        <w:right w:val="none" w:sz="0" w:space="0" w:color="auto"/>
      </w:divBdr>
    </w:div>
    <w:div w:id="1403596501">
      <w:marLeft w:val="0"/>
      <w:marRight w:val="0"/>
      <w:marTop w:val="0"/>
      <w:marBottom w:val="0"/>
      <w:divBdr>
        <w:top w:val="none" w:sz="0" w:space="0" w:color="auto"/>
        <w:left w:val="none" w:sz="0" w:space="0" w:color="auto"/>
        <w:bottom w:val="none" w:sz="0" w:space="0" w:color="auto"/>
        <w:right w:val="none" w:sz="0" w:space="0" w:color="auto"/>
      </w:divBdr>
    </w:div>
    <w:div w:id="1404645189">
      <w:marLeft w:val="0"/>
      <w:marRight w:val="0"/>
      <w:marTop w:val="0"/>
      <w:marBottom w:val="0"/>
      <w:divBdr>
        <w:top w:val="none" w:sz="0" w:space="0" w:color="auto"/>
        <w:left w:val="none" w:sz="0" w:space="0" w:color="auto"/>
        <w:bottom w:val="none" w:sz="0" w:space="0" w:color="auto"/>
        <w:right w:val="none" w:sz="0" w:space="0" w:color="auto"/>
      </w:divBdr>
    </w:div>
    <w:div w:id="1409302743">
      <w:marLeft w:val="0"/>
      <w:marRight w:val="0"/>
      <w:marTop w:val="0"/>
      <w:marBottom w:val="0"/>
      <w:divBdr>
        <w:top w:val="none" w:sz="0" w:space="0" w:color="auto"/>
        <w:left w:val="none" w:sz="0" w:space="0" w:color="auto"/>
        <w:bottom w:val="none" w:sz="0" w:space="0" w:color="auto"/>
        <w:right w:val="none" w:sz="0" w:space="0" w:color="auto"/>
      </w:divBdr>
    </w:div>
    <w:div w:id="1448768270">
      <w:marLeft w:val="0"/>
      <w:marRight w:val="0"/>
      <w:marTop w:val="0"/>
      <w:marBottom w:val="0"/>
      <w:divBdr>
        <w:top w:val="none" w:sz="0" w:space="0" w:color="auto"/>
        <w:left w:val="none" w:sz="0" w:space="0" w:color="auto"/>
        <w:bottom w:val="none" w:sz="0" w:space="0" w:color="auto"/>
        <w:right w:val="none" w:sz="0" w:space="0" w:color="auto"/>
      </w:divBdr>
    </w:div>
    <w:div w:id="1522162863">
      <w:marLeft w:val="0"/>
      <w:marRight w:val="0"/>
      <w:marTop w:val="0"/>
      <w:marBottom w:val="0"/>
      <w:divBdr>
        <w:top w:val="none" w:sz="0" w:space="0" w:color="auto"/>
        <w:left w:val="none" w:sz="0" w:space="0" w:color="auto"/>
        <w:bottom w:val="none" w:sz="0" w:space="0" w:color="auto"/>
        <w:right w:val="none" w:sz="0" w:space="0" w:color="auto"/>
      </w:divBdr>
    </w:div>
    <w:div w:id="1564441923">
      <w:marLeft w:val="0"/>
      <w:marRight w:val="0"/>
      <w:marTop w:val="0"/>
      <w:marBottom w:val="0"/>
      <w:divBdr>
        <w:top w:val="none" w:sz="0" w:space="0" w:color="auto"/>
        <w:left w:val="none" w:sz="0" w:space="0" w:color="auto"/>
        <w:bottom w:val="none" w:sz="0" w:space="0" w:color="auto"/>
        <w:right w:val="none" w:sz="0" w:space="0" w:color="auto"/>
      </w:divBdr>
    </w:div>
    <w:div w:id="1593204493">
      <w:marLeft w:val="0"/>
      <w:marRight w:val="0"/>
      <w:marTop w:val="0"/>
      <w:marBottom w:val="0"/>
      <w:divBdr>
        <w:top w:val="none" w:sz="0" w:space="0" w:color="auto"/>
        <w:left w:val="none" w:sz="0" w:space="0" w:color="auto"/>
        <w:bottom w:val="none" w:sz="0" w:space="0" w:color="auto"/>
        <w:right w:val="none" w:sz="0" w:space="0" w:color="auto"/>
      </w:divBdr>
    </w:div>
    <w:div w:id="1595750741">
      <w:marLeft w:val="0"/>
      <w:marRight w:val="0"/>
      <w:marTop w:val="0"/>
      <w:marBottom w:val="0"/>
      <w:divBdr>
        <w:top w:val="none" w:sz="0" w:space="0" w:color="auto"/>
        <w:left w:val="none" w:sz="0" w:space="0" w:color="auto"/>
        <w:bottom w:val="none" w:sz="0" w:space="0" w:color="auto"/>
        <w:right w:val="none" w:sz="0" w:space="0" w:color="auto"/>
      </w:divBdr>
    </w:div>
    <w:div w:id="1634095669">
      <w:marLeft w:val="0"/>
      <w:marRight w:val="0"/>
      <w:marTop w:val="0"/>
      <w:marBottom w:val="0"/>
      <w:divBdr>
        <w:top w:val="none" w:sz="0" w:space="0" w:color="auto"/>
        <w:left w:val="none" w:sz="0" w:space="0" w:color="auto"/>
        <w:bottom w:val="none" w:sz="0" w:space="0" w:color="auto"/>
        <w:right w:val="none" w:sz="0" w:space="0" w:color="auto"/>
      </w:divBdr>
    </w:div>
    <w:div w:id="1660233820">
      <w:marLeft w:val="0"/>
      <w:marRight w:val="0"/>
      <w:marTop w:val="0"/>
      <w:marBottom w:val="0"/>
      <w:divBdr>
        <w:top w:val="none" w:sz="0" w:space="0" w:color="auto"/>
        <w:left w:val="none" w:sz="0" w:space="0" w:color="auto"/>
        <w:bottom w:val="none" w:sz="0" w:space="0" w:color="auto"/>
        <w:right w:val="none" w:sz="0" w:space="0" w:color="auto"/>
      </w:divBdr>
    </w:div>
    <w:div w:id="1665160769">
      <w:marLeft w:val="0"/>
      <w:marRight w:val="0"/>
      <w:marTop w:val="0"/>
      <w:marBottom w:val="0"/>
      <w:divBdr>
        <w:top w:val="none" w:sz="0" w:space="0" w:color="auto"/>
        <w:left w:val="none" w:sz="0" w:space="0" w:color="auto"/>
        <w:bottom w:val="none" w:sz="0" w:space="0" w:color="auto"/>
        <w:right w:val="none" w:sz="0" w:space="0" w:color="auto"/>
      </w:divBdr>
    </w:div>
    <w:div w:id="1675916190">
      <w:marLeft w:val="0"/>
      <w:marRight w:val="0"/>
      <w:marTop w:val="0"/>
      <w:marBottom w:val="0"/>
      <w:divBdr>
        <w:top w:val="none" w:sz="0" w:space="0" w:color="auto"/>
        <w:left w:val="none" w:sz="0" w:space="0" w:color="auto"/>
        <w:bottom w:val="none" w:sz="0" w:space="0" w:color="auto"/>
        <w:right w:val="none" w:sz="0" w:space="0" w:color="auto"/>
      </w:divBdr>
    </w:div>
    <w:div w:id="1725448024">
      <w:marLeft w:val="0"/>
      <w:marRight w:val="0"/>
      <w:marTop w:val="0"/>
      <w:marBottom w:val="0"/>
      <w:divBdr>
        <w:top w:val="none" w:sz="0" w:space="0" w:color="auto"/>
        <w:left w:val="none" w:sz="0" w:space="0" w:color="auto"/>
        <w:bottom w:val="none" w:sz="0" w:space="0" w:color="auto"/>
        <w:right w:val="none" w:sz="0" w:space="0" w:color="auto"/>
      </w:divBdr>
    </w:div>
    <w:div w:id="1776168437">
      <w:marLeft w:val="0"/>
      <w:marRight w:val="0"/>
      <w:marTop w:val="0"/>
      <w:marBottom w:val="0"/>
      <w:divBdr>
        <w:top w:val="none" w:sz="0" w:space="0" w:color="auto"/>
        <w:left w:val="none" w:sz="0" w:space="0" w:color="auto"/>
        <w:bottom w:val="none" w:sz="0" w:space="0" w:color="auto"/>
        <w:right w:val="none" w:sz="0" w:space="0" w:color="auto"/>
      </w:divBdr>
    </w:div>
    <w:div w:id="1794130361">
      <w:marLeft w:val="0"/>
      <w:marRight w:val="0"/>
      <w:marTop w:val="0"/>
      <w:marBottom w:val="0"/>
      <w:divBdr>
        <w:top w:val="none" w:sz="0" w:space="0" w:color="auto"/>
        <w:left w:val="none" w:sz="0" w:space="0" w:color="auto"/>
        <w:bottom w:val="none" w:sz="0" w:space="0" w:color="auto"/>
        <w:right w:val="none" w:sz="0" w:space="0" w:color="auto"/>
      </w:divBdr>
    </w:div>
    <w:div w:id="1825774847">
      <w:marLeft w:val="0"/>
      <w:marRight w:val="0"/>
      <w:marTop w:val="0"/>
      <w:marBottom w:val="0"/>
      <w:divBdr>
        <w:top w:val="none" w:sz="0" w:space="0" w:color="auto"/>
        <w:left w:val="none" w:sz="0" w:space="0" w:color="auto"/>
        <w:bottom w:val="none" w:sz="0" w:space="0" w:color="auto"/>
        <w:right w:val="none" w:sz="0" w:space="0" w:color="auto"/>
      </w:divBdr>
    </w:div>
    <w:div w:id="1832023034">
      <w:marLeft w:val="0"/>
      <w:marRight w:val="0"/>
      <w:marTop w:val="0"/>
      <w:marBottom w:val="0"/>
      <w:divBdr>
        <w:top w:val="none" w:sz="0" w:space="0" w:color="auto"/>
        <w:left w:val="none" w:sz="0" w:space="0" w:color="auto"/>
        <w:bottom w:val="none" w:sz="0" w:space="0" w:color="auto"/>
        <w:right w:val="none" w:sz="0" w:space="0" w:color="auto"/>
      </w:divBdr>
    </w:div>
    <w:div w:id="1833985104">
      <w:marLeft w:val="0"/>
      <w:marRight w:val="0"/>
      <w:marTop w:val="0"/>
      <w:marBottom w:val="0"/>
      <w:divBdr>
        <w:top w:val="none" w:sz="0" w:space="0" w:color="auto"/>
        <w:left w:val="none" w:sz="0" w:space="0" w:color="auto"/>
        <w:bottom w:val="none" w:sz="0" w:space="0" w:color="auto"/>
        <w:right w:val="none" w:sz="0" w:space="0" w:color="auto"/>
      </w:divBdr>
    </w:div>
    <w:div w:id="1836723171">
      <w:marLeft w:val="0"/>
      <w:marRight w:val="0"/>
      <w:marTop w:val="0"/>
      <w:marBottom w:val="0"/>
      <w:divBdr>
        <w:top w:val="none" w:sz="0" w:space="0" w:color="auto"/>
        <w:left w:val="none" w:sz="0" w:space="0" w:color="auto"/>
        <w:bottom w:val="none" w:sz="0" w:space="0" w:color="auto"/>
        <w:right w:val="none" w:sz="0" w:space="0" w:color="auto"/>
      </w:divBdr>
    </w:div>
    <w:div w:id="1856529095">
      <w:marLeft w:val="0"/>
      <w:marRight w:val="0"/>
      <w:marTop w:val="0"/>
      <w:marBottom w:val="0"/>
      <w:divBdr>
        <w:top w:val="none" w:sz="0" w:space="0" w:color="auto"/>
        <w:left w:val="none" w:sz="0" w:space="0" w:color="auto"/>
        <w:bottom w:val="none" w:sz="0" w:space="0" w:color="auto"/>
        <w:right w:val="none" w:sz="0" w:space="0" w:color="auto"/>
      </w:divBdr>
    </w:div>
    <w:div w:id="1878660830">
      <w:marLeft w:val="0"/>
      <w:marRight w:val="0"/>
      <w:marTop w:val="0"/>
      <w:marBottom w:val="0"/>
      <w:divBdr>
        <w:top w:val="none" w:sz="0" w:space="0" w:color="auto"/>
        <w:left w:val="none" w:sz="0" w:space="0" w:color="auto"/>
        <w:bottom w:val="none" w:sz="0" w:space="0" w:color="auto"/>
        <w:right w:val="none" w:sz="0" w:space="0" w:color="auto"/>
      </w:divBdr>
    </w:div>
    <w:div w:id="1898972617">
      <w:marLeft w:val="0"/>
      <w:marRight w:val="0"/>
      <w:marTop w:val="0"/>
      <w:marBottom w:val="0"/>
      <w:divBdr>
        <w:top w:val="none" w:sz="0" w:space="0" w:color="auto"/>
        <w:left w:val="none" w:sz="0" w:space="0" w:color="auto"/>
        <w:bottom w:val="none" w:sz="0" w:space="0" w:color="auto"/>
        <w:right w:val="none" w:sz="0" w:space="0" w:color="auto"/>
      </w:divBdr>
    </w:div>
    <w:div w:id="1902519693">
      <w:marLeft w:val="0"/>
      <w:marRight w:val="0"/>
      <w:marTop w:val="0"/>
      <w:marBottom w:val="0"/>
      <w:divBdr>
        <w:top w:val="none" w:sz="0" w:space="0" w:color="auto"/>
        <w:left w:val="none" w:sz="0" w:space="0" w:color="auto"/>
        <w:bottom w:val="none" w:sz="0" w:space="0" w:color="auto"/>
        <w:right w:val="none" w:sz="0" w:space="0" w:color="auto"/>
      </w:divBdr>
    </w:div>
    <w:div w:id="1912234266">
      <w:marLeft w:val="0"/>
      <w:marRight w:val="0"/>
      <w:marTop w:val="0"/>
      <w:marBottom w:val="0"/>
      <w:divBdr>
        <w:top w:val="none" w:sz="0" w:space="0" w:color="auto"/>
        <w:left w:val="none" w:sz="0" w:space="0" w:color="auto"/>
        <w:bottom w:val="none" w:sz="0" w:space="0" w:color="auto"/>
        <w:right w:val="none" w:sz="0" w:space="0" w:color="auto"/>
      </w:divBdr>
    </w:div>
    <w:div w:id="1914848588">
      <w:marLeft w:val="0"/>
      <w:marRight w:val="0"/>
      <w:marTop w:val="0"/>
      <w:marBottom w:val="0"/>
      <w:divBdr>
        <w:top w:val="none" w:sz="0" w:space="0" w:color="auto"/>
        <w:left w:val="none" w:sz="0" w:space="0" w:color="auto"/>
        <w:bottom w:val="none" w:sz="0" w:space="0" w:color="auto"/>
        <w:right w:val="none" w:sz="0" w:space="0" w:color="auto"/>
      </w:divBdr>
    </w:div>
    <w:div w:id="1918051675">
      <w:marLeft w:val="0"/>
      <w:marRight w:val="0"/>
      <w:marTop w:val="0"/>
      <w:marBottom w:val="0"/>
      <w:divBdr>
        <w:top w:val="none" w:sz="0" w:space="0" w:color="auto"/>
        <w:left w:val="none" w:sz="0" w:space="0" w:color="auto"/>
        <w:bottom w:val="none" w:sz="0" w:space="0" w:color="auto"/>
        <w:right w:val="none" w:sz="0" w:space="0" w:color="auto"/>
      </w:divBdr>
    </w:div>
    <w:div w:id="1922793456">
      <w:marLeft w:val="0"/>
      <w:marRight w:val="0"/>
      <w:marTop w:val="0"/>
      <w:marBottom w:val="0"/>
      <w:divBdr>
        <w:top w:val="none" w:sz="0" w:space="0" w:color="auto"/>
        <w:left w:val="none" w:sz="0" w:space="0" w:color="auto"/>
        <w:bottom w:val="none" w:sz="0" w:space="0" w:color="auto"/>
        <w:right w:val="none" w:sz="0" w:space="0" w:color="auto"/>
      </w:divBdr>
    </w:div>
    <w:div w:id="1936790278">
      <w:marLeft w:val="0"/>
      <w:marRight w:val="0"/>
      <w:marTop w:val="0"/>
      <w:marBottom w:val="0"/>
      <w:divBdr>
        <w:top w:val="none" w:sz="0" w:space="0" w:color="auto"/>
        <w:left w:val="none" w:sz="0" w:space="0" w:color="auto"/>
        <w:bottom w:val="none" w:sz="0" w:space="0" w:color="auto"/>
        <w:right w:val="none" w:sz="0" w:space="0" w:color="auto"/>
      </w:divBdr>
    </w:div>
    <w:div w:id="1952280888">
      <w:marLeft w:val="0"/>
      <w:marRight w:val="0"/>
      <w:marTop w:val="0"/>
      <w:marBottom w:val="0"/>
      <w:divBdr>
        <w:top w:val="none" w:sz="0" w:space="0" w:color="auto"/>
        <w:left w:val="none" w:sz="0" w:space="0" w:color="auto"/>
        <w:bottom w:val="none" w:sz="0" w:space="0" w:color="auto"/>
        <w:right w:val="none" w:sz="0" w:space="0" w:color="auto"/>
      </w:divBdr>
    </w:div>
    <w:div w:id="1963071085">
      <w:marLeft w:val="0"/>
      <w:marRight w:val="0"/>
      <w:marTop w:val="0"/>
      <w:marBottom w:val="0"/>
      <w:divBdr>
        <w:top w:val="none" w:sz="0" w:space="0" w:color="auto"/>
        <w:left w:val="none" w:sz="0" w:space="0" w:color="auto"/>
        <w:bottom w:val="none" w:sz="0" w:space="0" w:color="auto"/>
        <w:right w:val="none" w:sz="0" w:space="0" w:color="auto"/>
      </w:divBdr>
    </w:div>
    <w:div w:id="1992319789">
      <w:marLeft w:val="0"/>
      <w:marRight w:val="0"/>
      <w:marTop w:val="0"/>
      <w:marBottom w:val="0"/>
      <w:divBdr>
        <w:top w:val="none" w:sz="0" w:space="0" w:color="auto"/>
        <w:left w:val="none" w:sz="0" w:space="0" w:color="auto"/>
        <w:bottom w:val="none" w:sz="0" w:space="0" w:color="auto"/>
        <w:right w:val="none" w:sz="0" w:space="0" w:color="auto"/>
      </w:divBdr>
    </w:div>
    <w:div w:id="2010055894">
      <w:marLeft w:val="0"/>
      <w:marRight w:val="0"/>
      <w:marTop w:val="0"/>
      <w:marBottom w:val="0"/>
      <w:divBdr>
        <w:top w:val="none" w:sz="0" w:space="0" w:color="auto"/>
        <w:left w:val="none" w:sz="0" w:space="0" w:color="auto"/>
        <w:bottom w:val="none" w:sz="0" w:space="0" w:color="auto"/>
        <w:right w:val="none" w:sz="0" w:space="0" w:color="auto"/>
      </w:divBdr>
    </w:div>
    <w:div w:id="2049992936">
      <w:marLeft w:val="0"/>
      <w:marRight w:val="0"/>
      <w:marTop w:val="0"/>
      <w:marBottom w:val="0"/>
      <w:divBdr>
        <w:top w:val="none" w:sz="0" w:space="0" w:color="auto"/>
        <w:left w:val="none" w:sz="0" w:space="0" w:color="auto"/>
        <w:bottom w:val="none" w:sz="0" w:space="0" w:color="auto"/>
        <w:right w:val="none" w:sz="0" w:space="0" w:color="auto"/>
      </w:divBdr>
    </w:div>
    <w:div w:id="2051680427">
      <w:marLeft w:val="0"/>
      <w:marRight w:val="0"/>
      <w:marTop w:val="0"/>
      <w:marBottom w:val="0"/>
      <w:divBdr>
        <w:top w:val="none" w:sz="0" w:space="0" w:color="auto"/>
        <w:left w:val="none" w:sz="0" w:space="0" w:color="auto"/>
        <w:bottom w:val="none" w:sz="0" w:space="0" w:color="auto"/>
        <w:right w:val="none" w:sz="0" w:space="0" w:color="auto"/>
      </w:divBdr>
    </w:div>
    <w:div w:id="2059819213">
      <w:marLeft w:val="0"/>
      <w:marRight w:val="0"/>
      <w:marTop w:val="0"/>
      <w:marBottom w:val="0"/>
      <w:divBdr>
        <w:top w:val="none" w:sz="0" w:space="0" w:color="auto"/>
        <w:left w:val="none" w:sz="0" w:space="0" w:color="auto"/>
        <w:bottom w:val="none" w:sz="0" w:space="0" w:color="auto"/>
        <w:right w:val="none" w:sz="0" w:space="0" w:color="auto"/>
      </w:divBdr>
    </w:div>
    <w:div w:id="2075617467">
      <w:marLeft w:val="0"/>
      <w:marRight w:val="0"/>
      <w:marTop w:val="0"/>
      <w:marBottom w:val="0"/>
      <w:divBdr>
        <w:top w:val="none" w:sz="0" w:space="0" w:color="auto"/>
        <w:left w:val="none" w:sz="0" w:space="0" w:color="auto"/>
        <w:bottom w:val="none" w:sz="0" w:space="0" w:color="auto"/>
        <w:right w:val="none" w:sz="0" w:space="0" w:color="auto"/>
      </w:divBdr>
    </w:div>
    <w:div w:id="2106685546">
      <w:marLeft w:val="0"/>
      <w:marRight w:val="0"/>
      <w:marTop w:val="0"/>
      <w:marBottom w:val="0"/>
      <w:divBdr>
        <w:top w:val="none" w:sz="0" w:space="0" w:color="auto"/>
        <w:left w:val="none" w:sz="0" w:space="0" w:color="auto"/>
        <w:bottom w:val="none" w:sz="0" w:space="0" w:color="auto"/>
        <w:right w:val="none" w:sz="0" w:space="0" w:color="auto"/>
      </w:divBdr>
    </w:div>
    <w:div w:id="2107575383">
      <w:marLeft w:val="0"/>
      <w:marRight w:val="0"/>
      <w:marTop w:val="0"/>
      <w:marBottom w:val="0"/>
      <w:divBdr>
        <w:top w:val="none" w:sz="0" w:space="0" w:color="auto"/>
        <w:left w:val="none" w:sz="0" w:space="0" w:color="auto"/>
        <w:bottom w:val="none" w:sz="0" w:space="0" w:color="auto"/>
        <w:right w:val="none" w:sz="0" w:space="0" w:color="auto"/>
      </w:divBdr>
    </w:div>
    <w:div w:id="2122260758">
      <w:marLeft w:val="0"/>
      <w:marRight w:val="0"/>
      <w:marTop w:val="0"/>
      <w:marBottom w:val="0"/>
      <w:divBdr>
        <w:top w:val="none" w:sz="0" w:space="0" w:color="auto"/>
        <w:left w:val="none" w:sz="0" w:space="0" w:color="auto"/>
        <w:bottom w:val="none" w:sz="0" w:space="0" w:color="auto"/>
        <w:right w:val="none" w:sz="0" w:space="0" w:color="auto"/>
      </w:divBdr>
    </w:div>
    <w:div w:id="2132627855">
      <w:marLeft w:val="0"/>
      <w:marRight w:val="0"/>
      <w:marTop w:val="0"/>
      <w:marBottom w:val="0"/>
      <w:divBdr>
        <w:top w:val="none" w:sz="0" w:space="0" w:color="auto"/>
        <w:left w:val="none" w:sz="0" w:space="0" w:color="auto"/>
        <w:bottom w:val="none" w:sz="0" w:space="0" w:color="auto"/>
        <w:right w:val="none" w:sz="0" w:space="0" w:color="auto"/>
      </w:divBdr>
    </w:div>
    <w:div w:id="2135058672">
      <w:marLeft w:val="0"/>
      <w:marRight w:val="0"/>
      <w:marTop w:val="0"/>
      <w:marBottom w:val="0"/>
      <w:divBdr>
        <w:top w:val="none" w:sz="0" w:space="0" w:color="auto"/>
        <w:left w:val="none" w:sz="0" w:space="0" w:color="auto"/>
        <w:bottom w:val="none" w:sz="0" w:space="0" w:color="auto"/>
        <w:right w:val="none" w:sz="0" w:space="0" w:color="auto"/>
      </w:divBdr>
    </w:div>
    <w:div w:id="214611741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ubs-ex321_6.htm" TargetMode="External"/><Relationship Id="rId3" Type="http://schemas.openxmlformats.org/officeDocument/2006/relationships/webSettings" Target="webSettings.xml"/><Relationship Id="rId7" Type="http://schemas.openxmlformats.org/officeDocument/2006/relationships/hyperlink" Target="hubs-ex312_8.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ubs-ex311_7.htm" TargetMode="External"/><Relationship Id="rId5" Type="http://schemas.openxmlformats.org/officeDocument/2006/relationships/hyperlink" Target="http://www.sec.gov/Archives/edgar/data/1404655/000156459018009049/hubs-ex31_30.htm" TargetMode="External"/><Relationship Id="rId10" Type="http://schemas.openxmlformats.org/officeDocument/2006/relationships/theme" Target="theme/theme1.xml"/><Relationship Id="rId4" Type="http://schemas.openxmlformats.org/officeDocument/2006/relationships/hyperlink" Target="http://www.sec.gov/Archives/edgar/data/1404655/000156459016013204/hubs-ex31_768.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35135</Words>
  <Characters>200276</Characters>
  <Application>Microsoft Office Word</Application>
  <DocSecurity>0</DocSecurity>
  <Lines>1668</Lines>
  <Paragraphs>469</Paragraphs>
  <ScaleCrop>false</ScaleCrop>
  <Company/>
  <LinksUpToDate>false</LinksUpToDate>
  <CharactersWithSpaces>234942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hubs-10q_20190930.htm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