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309A2">
      <w:pPr>
        <w:divId w:val="110127814"/>
        <w:rPr>
          <w:rFonts w:eastAsia="Times New Roman"/>
          <w:vanish/>
        </w:rPr>
      </w:pPr>
      <w:r>
        <w:rPr>
          <w:rFonts w:eastAsia="Times New Roman"/>
          <w:vanish/>
        </w:rPr>
        <w:t>P2Yhttp://fasb.org/us-gaap/2021-01-31#OtherAssetsP1YP2Yhttp://fasb.org/us-gaap/2021-01-31#OtherAssetsfour years0001404655FYThree daysfalsetwo years0001404655</w:t>
      </w:r>
      <w:r>
        <w:rPr>
          <w:rFonts w:eastAsia="Times New Roman"/>
          <w:vanish/>
        </w:rPr>
        <w:t>hubs:ZeroPointThreeSevenFivePercentConvertibleSeniorNotesDueTwoThousandTwentyFiveAsLiabilityComponentMember2021-12-310001404655hubs:ZeroPointThreeSevenFivePercentConvertibleSeniorNotesDueTwoThousandTwentyFiveMemberus-gaap:PrivatePlacementMember2020-06-3000</w:t>
      </w:r>
      <w:r>
        <w:rPr>
          <w:rFonts w:eastAsia="Times New Roman"/>
          <w:vanish/>
        </w:rPr>
        <w:t>01404655us-gaap:GeographicConcentrationRiskMemberus-gaap:SalesRevenueNetMemberhubs:RestOfTheWorldMember2020-01-012020-12-3100014046552020-12-3100014046552019-12-310001404655us-gaap:GeographicConcentrationRiskMemberus-gaap:SalesRevenueNetMemberhubs:RestOfTh</w:t>
      </w:r>
      <w:r>
        <w:rPr>
          <w:rFonts w:eastAsia="Times New Roman"/>
          <w:vanish/>
        </w:rPr>
        <w:t>eWorldMember2021-01-012021-12-310001404655stpr:MA2021-01-012021-12-310001404655us-gaap:RestrictedStockUnitsRSUMember2021-01-012021-12-310001404655us-gaap:CommonStockMemberhubs:ZeroPointTwoFivePercentConvertibleSeniorNotesDueTwoThousandTwentyTwoMember2020-0</w:t>
      </w:r>
      <w:r>
        <w:rPr>
          <w:rFonts w:eastAsia="Times New Roman"/>
          <w:vanish/>
        </w:rPr>
        <w:t>6-012020-06-300001404655srt:MinimumMember2021-01-012021-12-310001404655srt:AsiaPacificMember2020-01-012020-12-310001404655us-gaap:AdditionalPaidInCapitalMember2019-01-012019-12-310001404655hubs:ZeroPointThreeSevenFivePercentConvertibleSeniorNotesDueTwoThou</w:t>
      </w:r>
      <w:r>
        <w:rPr>
          <w:rFonts w:eastAsia="Times New Roman"/>
          <w:vanish/>
        </w:rPr>
        <w:t>sandTwentyFiveAsEquityComponentMember2020-12-310001404655us-gaap:SellingAndMarketingExpenseMember2020-01-012020-12-310001404655us-gaap:CommercialPaperMember2021-12-310001404655us-gaap:EmployeeStockOptionMember2020-12-3100014046552018-12-310001404655us-gaap</w:t>
      </w:r>
      <w:r>
        <w:rPr>
          <w:rFonts w:eastAsia="Times New Roman"/>
          <w:vanish/>
        </w:rPr>
        <w:t>:FurnitureAndFixturesMember2021-12-310001404655us-gaap:AccumulatedNetUnrealizedInvestmentGainLossMember2021-12-310001404655us-gaap:GeneralAndAdministrativeExpenseMemberhubs:PieSyncNVMember2019-10-312019-10-310001404655us-gaap:RetainedEarningsMember2020-12-</w:t>
      </w:r>
      <w:r>
        <w:rPr>
          <w:rFonts w:eastAsia="Times New Roman"/>
          <w:vanish/>
        </w:rPr>
        <w:t>310001404655srt:MaximumMemberus-gaap:RestrictedStockUnitsRSUMember2021-01-012021-12-310001404655hubs:StrategicInvestmentsMember2021-12-310001404655us-gaap:EmployeeStockOptionMember2020-01-012020-12-310001404655hubs:ZeroPointTwoFivePercentConvertibleSeniorN</w:t>
      </w:r>
      <w:r>
        <w:rPr>
          <w:rFonts w:eastAsia="Times New Roman"/>
          <w:vanish/>
        </w:rPr>
        <w:t>otesDueTwoThousandTwentyTwoAsLiabilityComponentMember2020-01-012020-12-310001404655us-gaap:RestrictedStockUnitsRSUMemberhubs:TwoThousandAndFourteenEquityIncentivePlanMember2021-12-3100014046552021-06-300001404655us-gaap:ServiceMember2019-01-012019-12-31000</w:t>
      </w:r>
      <w:r>
        <w:rPr>
          <w:rFonts w:eastAsia="Times New Roman"/>
          <w:vanish/>
        </w:rPr>
        <w:t>1404655us-gaap:CertificatesOfDepositMember2020-12-310001404655us-gaap:AccumulatedOtherComprehensiveIncomeMember2021-12-310001404655hubs:ZeroPointTwoFivePercentConvertibleSeniorNotesDueTwoThousandTwentyTwoAsLiabilityComponentMemberus-gaap:CommonStockMember2</w:t>
      </w:r>
      <w:r>
        <w:rPr>
          <w:rFonts w:eastAsia="Times New Roman"/>
          <w:vanish/>
        </w:rPr>
        <w:t>021-01-012021-12-310001404655hubs:StrategicInvestmentsMember2020-12-310001404655hubs:ComputerEquipmentAndPurchasedSoftwareMember2021-01-012021-12-310001404655us-gaap:FurnitureAndFixturesMember2021-01-012021-12-310001404655hubs:TwoThousandSevenEquityIncenti</w:t>
      </w:r>
      <w:r>
        <w:rPr>
          <w:rFonts w:eastAsia="Times New Roman"/>
          <w:vanish/>
        </w:rPr>
        <w:t>vePlanMember2021-12-310001404655us-gaap:RestrictedStockUnitsRSUMember2020-01-012020-12-310001404655hubs:ComputerEquipmentAndPurchasedSoftwareMember2020-12-310001404655hubs:CostOfServicesRevenueMember2019-01-012019-12-310001404655srt:MaximumMemberhubs:TwoTh</w:t>
      </w:r>
      <w:r>
        <w:rPr>
          <w:rFonts w:eastAsia="Times New Roman"/>
          <w:vanish/>
        </w:rPr>
        <w:t>ousandAndFourteenEquityIncentivePlanMember2014-09-252014-09-250001404655us-gaap:CustomerRelationshipsMemberhubs:HustleConMediaIncMember2021-02-092021-02-090001404655hubs:ZeroPointThreeSevenFivePercentConvertibleSeniorNotesDueTwoThousandTwentyFiveMemberhubs</w:t>
      </w:r>
      <w:r>
        <w:rPr>
          <w:rFonts w:eastAsia="Times New Roman"/>
          <w:vanish/>
        </w:rPr>
        <w:t>:CappedCallOptionsMember2020-06-300001404655us-gaap:EmployeeStockMember2021-12-310001404655us-gaap:GeographicConcentrationRiskMemberus-gaap:SalesRevenueNetMemberhubs:OutsideOfAmericasMember2019-01-012019-12-310001404655us-gaap:AccumulatedOtherComprehensive</w:t>
      </w:r>
      <w:r>
        <w:rPr>
          <w:rFonts w:eastAsia="Times New Roman"/>
          <w:vanish/>
        </w:rPr>
        <w:t>IncomeMember2020-12-310001404655us-gaap:CommonStockMemberhubs:ZeroPointTwoFivePercentConvertibleSeniorNotesDueTwoThousandTwentyTwoMember2021-12-310001404655us-gaap:RestrictedStockUnitsRSUMembersrt:MinimumMember2021-01-012021-12-310001404655us-gaap:Subscrip</w:t>
      </w:r>
      <w:r>
        <w:rPr>
          <w:rFonts w:eastAsia="Times New Roman"/>
          <w:vanish/>
        </w:rPr>
        <w:t>tionAndCirculationMember2019-01-012019-12-310001404655srt:AmericasMember2021-12-310001404655us-gaap:EmployeeStockMembersrt:MaximumMember2019-01-012019-12-310001404655us-gaap:GeographicConcentrationRiskMemberhubs:OutsideOfAmericasMemberus-gaap:AssetsTotalMe</w:t>
      </w:r>
      <w:r>
        <w:rPr>
          <w:rFonts w:eastAsia="Times New Roman"/>
          <w:vanish/>
        </w:rPr>
        <w:t>mber2020-01-012020-12-310001404655srt:MinimumMemberus-gaap:SoftwareAndSoftwareDevelopmentCostsMember2021-01-012021-12-310001404655us-gaap:AccumulatedNetUnrealizedInvestmentGainLossMember2021-01-012021-12-310001404655us-gaap:SubscriptionAndCirculationMember</w:t>
      </w:r>
      <w:r>
        <w:rPr>
          <w:rFonts w:eastAsia="Times New Roman"/>
          <w:vanish/>
        </w:rPr>
        <w:t>2020-01-012020-12-310001404655us-gaap:EmployeeStockOptionMember2021-01-012021-12-310001404655us-gaap:FairValueInputsLevel1Member2020-12-310001404655us-gaap:WarrantMemberhubs:TwoThousandAndTwentyTwoNotesConvertibleNoteHedgesMember2020-06-012020-06-300001404</w:t>
      </w:r>
      <w:r>
        <w:rPr>
          <w:rFonts w:eastAsia="Times New Roman"/>
          <w:vanish/>
        </w:rPr>
        <w:t>655us-gaap:SalesRevenueNetMemberus-gaap:CustomerConcentrationRiskMember2021-01-012021-12-310001404655us-gaap:CommonStockMember2021-12-310001404655us-gaap:FairValueInputsLevel2Memberus-gaap:CertificatesOfDepositMember2020-12-310001404655hubs:TwoThousandAndF</w:t>
      </w:r>
      <w:r>
        <w:rPr>
          <w:rFonts w:eastAsia="Times New Roman"/>
          <w:vanish/>
        </w:rPr>
        <w:t>ourteenEquityIncentivePlanMemberus-gaap:CommonStockMember2021-12-310001404655us-gaap:CommonStockMember2021-01-012021-12-310001404655us-gaap:TradeNamesMember2020-12-310001404655hubs:ZeroPointThreeSevenFivePercentConvertibleSeniorNotesDueTwoThousandTwentyFiv</w:t>
      </w:r>
      <w:r>
        <w:rPr>
          <w:rFonts w:eastAsia="Times New Roman"/>
          <w:vanish/>
        </w:rPr>
        <w:t>eMemberus-gaap:SubsequentEventMember2022-02-110001404655hubs:INBOUNDEventObligationsMember2021-12-310001404655us-gaap:TradeNamesMember2021-01-012021-12-310001404655us-gaap:USTreasurySecuritiesMember2021-12-310001404655us-gaap:StateAndLocalJurisdictionMembe</w:t>
      </w:r>
      <w:r>
        <w:rPr>
          <w:rFonts w:eastAsia="Times New Roman"/>
          <w:vanish/>
        </w:rPr>
        <w:t>r2021-12-310001404655us-gaap:RetainedEarningsMember2019-12-310001404655us-gaap:EmployeeStockMembersrt:MaximumMember2020-01-012020-12-310001404655srt:MaximumMemberhubs:ZeroPointTwoFivePercentConvertibleSeniorNotesDueTwoThousandTwentyTwoMember2021-12-3100014</w:t>
      </w:r>
      <w:r>
        <w:rPr>
          <w:rFonts w:eastAsia="Times New Roman"/>
          <w:vanish/>
        </w:rPr>
        <w:t>04655us-gaap:USTreasurySecuritiesMember2020-12-310001404655us-gaap:FairValueInputsLevel2Memberus-gaap:CommercialPaperMember2021-12-310001404655srt:EuropeMember2020-01-012020-12-310001404655hubs:TwoThousandAndFourteenEquityIncentivePlanMember2014-09-252014-</w:t>
      </w:r>
      <w:r>
        <w:rPr>
          <w:rFonts w:eastAsia="Times New Roman"/>
          <w:vanish/>
        </w:rPr>
        <w:t>09-250001404655hubs:EmployeeRelatedComputerEquipmentMember2020-12-3100014046552021-12-310001404655us-gaap:CustomerRelationshipsMember2021-01-012021-12-310001404655hubs:PieSyncNVMember2021-01-012021-12-310001404655us-gaap:FairValueInputsLevel2Memberus-gaap:</w:t>
      </w:r>
      <w:r>
        <w:rPr>
          <w:rFonts w:eastAsia="Times New Roman"/>
          <w:vanish/>
        </w:rPr>
        <w:t>MoneyMarketFundsMember2020-12-310001404655us-gaap:FairValueInputsLevel2Member2020-12-310001404655us-gaap:AccumulatedTranslationAdjustmentMember2021-01-012021-12-310001404655us-gaap:TechnologyBasedIntangibleAssetsMember2020-12-310001404655us-gaap:Technology</w:t>
      </w:r>
      <w:r>
        <w:rPr>
          <w:rFonts w:eastAsia="Times New Roman"/>
          <w:vanish/>
        </w:rPr>
        <w:t>BasedIntangibleAssetsMember2021-12-310001404655hubs:ZeroPointTwoFivePercentConvertibleSeniorNotesDueTwoThousandTwentyTwoMember2021-12-310001404655hubs:USTreasurySecuritiesExcludingCashAndCashEquivalentsMember2021-12-310001404655us-gaap:RestrictedStockUnits</w:t>
      </w:r>
      <w:r>
        <w:rPr>
          <w:rFonts w:eastAsia="Times New Roman"/>
          <w:vanish/>
        </w:rPr>
        <w:t>RSUMember2020-01-012020-12-310001404655us-gaap:OperatingExpenseMemberhubs:PieSyncNVMember2020-01-012020-12-310001404655us-gaap:FairValueInputsLevel2Memberus-gaap:USTreasurySecuritiesMember2020-12-310001404655hubs:ZeroPointThreeSevenFivePercentConvertibleSe</w:t>
      </w:r>
      <w:r>
        <w:rPr>
          <w:rFonts w:eastAsia="Times New Roman"/>
          <w:vanish/>
        </w:rPr>
        <w:t>niorNotesDueTwoThousandTwentyFiveMember2020-06-012020-06-300001404655us-gaap:FairValueInputsLevel2Memberus-gaap:MoneyMarketFundsMember2021-12-310001404655us-gaap:SellingAndMarketingExpenseMember2019-01-012019-12-310001404655us-gaap:ConstructionInProgressMe</w:t>
      </w:r>
      <w:r>
        <w:rPr>
          <w:rFonts w:eastAsia="Times New Roman"/>
          <w:vanish/>
        </w:rPr>
        <w:t>mber2020-12-310001404655hubs:ZeroPointThreeSevenFivePercentConvertibleSeniorNotesDueTwoThousandTwentyFiveAsLiabilityComponentMember2021-01-012021-12-310001404655srt:MinimumMemberus-gaap:EmployeeStockOptionMember2020-01-012020-12-310001404655us-gaap:CommonS</w:t>
      </w:r>
      <w:r>
        <w:rPr>
          <w:rFonts w:eastAsia="Times New Roman"/>
          <w:vanish/>
        </w:rPr>
        <w:t>tockMember2020-01-012020-12-310001404655hubs:ZeroPointThreeSevenFivePercentConvertibleSeniorNotesDueTwoThousandTwentyFiveAsEquityComponentMember2021-12-310001404655srt:MaximumMemberus-gaap:EmployeeStockOptionMember2020-01-012020-12-310001404655us-gaap:Fair</w:t>
      </w:r>
      <w:r>
        <w:rPr>
          <w:rFonts w:eastAsia="Times New Roman"/>
          <w:vanish/>
        </w:rPr>
        <w:t>ValueInputsLevel2Memberus-gaap:CommercialPaperMember2020-12-310001404655us-gaap:CustomerConcentrationRiskMemberus-gaap:AccountsReceivableMember2020-01-012020-12-310001404655hubs:EmployeeRelatedComputerEquipmentMember2021-12-310001404655us-gaap:RestrictedSt</w:t>
      </w:r>
      <w:r>
        <w:rPr>
          <w:rFonts w:eastAsia="Times New Roman"/>
          <w:vanish/>
        </w:rPr>
        <w:t>ockUnitsRSUMember2021-12-310001404655hubs:HustleConMediaIncMember2021-02-092021-02-090001404655us-gaap:AccumulatedTranslationAdjustmentMember2020-01-012020-12-310001404655us-gaap:TreasuryStockMember2020-01-012020-12-310001404655us-gaap:RetainedEarningsMemb</w:t>
      </w:r>
      <w:r>
        <w:rPr>
          <w:rFonts w:eastAsia="Times New Roman"/>
          <w:vanish/>
        </w:rPr>
        <w:t>er2021-12-310001404655srt:MinimumMember2021-12-310001404655hubs:ZeroPointThreeSevenFivePercentConvertibleSeniorNotesDueTwoThousandTwentyFiveMemberhubs:CappedCallOptionsMember2020-06-012020-06-300001404655us-gaap:DomesticCountryMember2020-12-310001404655us-</w:t>
      </w:r>
      <w:r>
        <w:rPr>
          <w:rFonts w:eastAsia="Times New Roman"/>
          <w:vanish/>
        </w:rPr>
        <w:t>gaap:SoftwareDevelopmentMember2021-01-012021-12-310001404655hubs:CostOfServicesRevenueMember2021-01-012021-12-310001404655srt:MaximumMemberhubs:EmployeeRelatedComputerEquipmentMember2021-01-012021-12-310001404655srt:AsiaPacificMember2020-12-310001404655us-</w:t>
      </w:r>
      <w:r>
        <w:rPr>
          <w:rFonts w:eastAsia="Times New Roman"/>
          <w:vanish/>
        </w:rPr>
        <w:t>gaap:CorporateBondSecuritiesMember2020-12-310001404655hubs:ZeroPointThreeSevenFivePercentConvertibleSeniorNotesDueTwoThousandTwentyFiveMemberus-gaap:FairValueInputsLevel2Member2021-12-310001404655srt:MaximumMemberhubs:ZeroPointTwoFivePercentConvertibleSeni</w:t>
      </w:r>
      <w:r>
        <w:rPr>
          <w:rFonts w:eastAsia="Times New Roman"/>
          <w:vanish/>
        </w:rPr>
        <w:t>orNotesDueTwoThousandTwentyTwoMember2021-01-012021-12-310001404655us-gaap:AccumulatedOtherComprehensiveIncomeMember2019-12-310001404655hubs:PieSyncNVMember2019-10-312019-10-310001404655hubs:ZeroPointThreeSevenFivePercentConvertibleSeniorNotesDueTwoThousand</w:t>
      </w:r>
      <w:r>
        <w:rPr>
          <w:rFonts w:eastAsia="Times New Roman"/>
          <w:vanish/>
        </w:rPr>
        <w:t>TwentyFiveMemberhubs:LiabilityComponentMember2020-06-300001404655hubs:ZeroPointTwoFivePercentConvertibleSeniorNotesDueTwoThousandTwentyTwoAsLiabilityComponentMemberus-gaap:AdditionalPaidInCapitalMember2020-01-012020-12-310001404655hubs:ZeroPointThreeSevenF</w:t>
      </w:r>
      <w:r>
        <w:rPr>
          <w:rFonts w:eastAsia="Times New Roman"/>
          <w:vanish/>
        </w:rPr>
        <w:t>ivePercentConvertibleSeniorNotesDueTwoThousandTwentyFiveMember2020-06-300001404655us-gaap:ResearchAndDevelopmentExpenseMember2019-01-012019-12-310001404655hubs:USTreasurySecuritiesExcludingCashAndCashEquivalentsMember2020-12-310001404655us-gaap:CustomerRel</w:t>
      </w:r>
      <w:r>
        <w:rPr>
          <w:rFonts w:eastAsia="Times New Roman"/>
          <w:vanish/>
        </w:rPr>
        <w:t>ationshipsMember2020-12-310001404655us-gaap:AdditionalPaidInCapitalMember2018-12-310001404655us-gaap:AccumulatedOtherComprehensiveIncomeMember2019-01-012019-12-310001404655us-gaap:SoftwareDevelopmentMember2020-12-310001404655srt:AmericasMember2019-01-01201</w:t>
      </w:r>
      <w:r>
        <w:rPr>
          <w:rFonts w:eastAsia="Times New Roman"/>
          <w:vanish/>
        </w:rPr>
        <w:t>9-12-310001404655us-gaap:EmployeeStockMember2020-01-012020-12-310001404655hubs:ZeroPointThreeSevenFivePercentConvertibleSeniorNotesDueTwoThousandTwentyFiveMemberus-gaap:OverAllotmentOptionMember2020-06-300001404655us-gaap:AccumulatedNetUnrealizedInvestment</w:t>
      </w:r>
      <w:r>
        <w:rPr>
          <w:rFonts w:eastAsia="Times New Roman"/>
          <w:vanish/>
        </w:rPr>
        <w:t>GainLossMember2019-12-310001404655us-gaap:EmployeeStockMember2019-12-3100014046552020-01-012021-12-310001404655hubs:PieSyncNVMember2019-10-310001404655us-gaap:RestrictedStockUnitsRSUMember2020-12-310001404655us-gaap:ServiceMember2021-01-012021-12-310001404</w:t>
      </w:r>
      <w:r>
        <w:rPr>
          <w:rFonts w:eastAsia="Times New Roman"/>
          <w:vanish/>
        </w:rPr>
        <w:t>655us-gaap:TreasuryStockMember2020-12-310001404655srt:AsiaPacificMember2021-12-310001404655hubs:ZeroPointTwoFivePercentConvertibleSeniorNotesDueTwoThousandTwentyTwoAsLiabilityComponentMember2021-12-310001404655us-gaap:FairValueInputsLevel2Memberus-gaap:USG</w:t>
      </w:r>
      <w:r>
        <w:rPr>
          <w:rFonts w:eastAsia="Times New Roman"/>
          <w:vanish/>
        </w:rPr>
        <w:t>overnmentAgenciesShorttermDebtSecuritiesMember2021-12-310001404655us-gaap:AccumulatedTranslationAdjustmentMember2020-12-310001404655us-gaap:AccumulatedNetUnrealizedInvestmentGainLossMember2020-12-310001404655us-gaap:CommonStockMember2019-01-012019-12-31000</w:t>
      </w:r>
      <w:r>
        <w:rPr>
          <w:rFonts w:eastAsia="Times New Roman"/>
          <w:vanish/>
        </w:rPr>
        <w:t>1404655hubs:TwoThousandAndFourteenEquityIncentivePlanMemberus-gaap:CommonStockMember2014-09-250001404655us-gaap:ResearchAndDevelopmentExpenseMember2020-01-012020-12-310001404655srt:MinimumMemberhubs:EmployeeRelatedComputerEquipmentMember2021-01-012021-12-3</w:t>
      </w:r>
      <w:r>
        <w:rPr>
          <w:rFonts w:eastAsia="Times New Roman"/>
          <w:vanish/>
        </w:rPr>
        <w:t>10001404655us-gaap:GeneralAndAdministrativeExpenseMember2019-01-012019-12-310001404655srt:AmericasMember2020-01-012020-12-310001404655hubs:TwoThousandAndTwentyTwoNotesConvertibleNoteHedgesMemberus-gaap:CommonStockMember2020-06-012020-06-300001404655us-gaap</w:t>
      </w:r>
      <w:r>
        <w:rPr>
          <w:rFonts w:eastAsia="Times New Roman"/>
          <w:vanish/>
        </w:rPr>
        <w:t>:RestrictedStockUnitsRSUMember2019-01-012019-12-310001404655srt:AmericasMember2020-12-310001404655hubs:ZeroPointTwoFivePercentConvertibleSeniorNotesDueTwoThousandTwentyTwoMember2020-01-012020-12-310001404655hubs:ZeroPointThreeSevenFivePercentConvertibleSen</w:t>
      </w:r>
      <w:r>
        <w:rPr>
          <w:rFonts w:eastAsia="Times New Roman"/>
          <w:vanish/>
        </w:rPr>
        <w:t>iorNotesDueTwoThousandTwentyFiveMembersrt:MaximumMember2021-01-012021-12-310001404655hubs:ZeroPointTwoFivePercentConvertibleSeniorNotesDueTwoThousandTwentyTwoMember2017-05-310001404655hubs:ZeroPointTwoFivePercentConvertibleSeniorNotesDueTwoThousandTwentyTw</w:t>
      </w:r>
      <w:r>
        <w:rPr>
          <w:rFonts w:eastAsia="Times New Roman"/>
          <w:vanish/>
        </w:rPr>
        <w:t>oAsEquityComponentMember2021-01-012021-12-310001404655hubs:TwoThousandSevenEquityIncentivePlanMembersrt:MaximumMember2019-01-012019-12-310001404655us-gaap:TradeNamesMember2021-12-310001404655hubs:TwoThousandAndTwentyTwoNotesPartialRepurchaseMember2020-06-3</w:t>
      </w:r>
      <w:r>
        <w:rPr>
          <w:rFonts w:eastAsia="Times New Roman"/>
          <w:vanish/>
        </w:rPr>
        <w:t>00001404655us-gaap:SoftwareDevelopmentMember2020-01-012020-12-310001404655us-gaap:EmployeeStockOptionMember2020-01-012020-12-310001404655hubs:CostOfSubscriptionRevenuesMember2019-01-012019-12-310001404655hubs:TwoThousandSevenEquityIncentivePlanMemberus-gaa</w:t>
      </w:r>
      <w:r>
        <w:rPr>
          <w:rFonts w:eastAsia="Times New Roman"/>
          <w:vanish/>
        </w:rPr>
        <w:t>p:RestrictedStockUnitsRSUMember2021-12-310001404655hubs:ZeroPointThreeSevenFivePercentConvertibleSeniorNotesDueTwoThousandTwentyFiveMember2020-01-012020-12-310001404655us-gaap:SubsequentEventMemberhubs:ZeroPointTwoFivePercentConvertibleSeniorNotesDueTwoTho</w:t>
      </w:r>
      <w:r>
        <w:rPr>
          <w:rFonts w:eastAsia="Times New Roman"/>
          <w:vanish/>
        </w:rPr>
        <w:t>usandTwentyTwoMember2022-02-110001404655hubs:ConvertibleSeniorNotesDueTwoThousandTwentyFiveMember2021-01-012021-12-3100014046552021-01-012021-12-310001404655us-gaap:RetainedEarningsMember2018-12-310001404655us-gaap:TreasuryStockMember2021-12-310001404655us</w:t>
      </w:r>
      <w:r>
        <w:rPr>
          <w:rFonts w:eastAsia="Times New Roman"/>
          <w:vanish/>
        </w:rPr>
        <w:t>-gaap:GeographicConcentrationRiskMemberhubs:OutsideOfAmericasMemberus-gaap:AssetsTotalMember2021-01-012021-12-310001404655srt:AsiaPacificMember2021-01-012021-12-310001404655us-gaap:CommonStockMember2019-12-310001404655hubs:CostOfServicesRevenueMember2020-0</w:t>
      </w:r>
      <w:r>
        <w:rPr>
          <w:rFonts w:eastAsia="Times New Roman"/>
          <w:vanish/>
        </w:rPr>
        <w:t>1-012020-12-310001404655us-gaap:LeaseholdImprovementsMember2021-01-012021-12-310001404655us-gaap:FairValueInputsLevel2Memberhubs:ZeroPointTwoFivePercentConvertibleSeniorNotesDueTwoThousandTwentyTwoMember2021-12-310001404655us-gaap:EmployeeStockMember2019-0</w:t>
      </w:r>
      <w:r>
        <w:rPr>
          <w:rFonts w:eastAsia="Times New Roman"/>
          <w:vanish/>
        </w:rPr>
        <w:t>1-012019-12-310001404655us-gaap:LeaseholdImprovementsMember2020-12-310001404655hubs:ZeroPointThreeSevenFivePercentConvertibleSeniorNotesDueTwoThousandTwentyFiveAsLiabilityComponentMember2020-01-012020-12-310001404655us-gaap:RetainedEarningsMember2020-01-01</w:t>
      </w:r>
      <w:r>
        <w:rPr>
          <w:rFonts w:eastAsia="Times New Roman"/>
          <w:vanish/>
        </w:rPr>
        <w:t>2020-12-310001404655us-gaap:EmployeeStockMember2021-01-012021-12-310001404655us-gaap:EmployeeStockMembersrt:MinimumMember2021-01-012021-12-310001404655hubs:ZeroPointThreeSevenFivePercentConvertibleSeniorNotesDueTwoThousandTwentyFiveMember2021-12-3100014046</w:t>
      </w:r>
      <w:r>
        <w:rPr>
          <w:rFonts w:eastAsia="Times New Roman"/>
          <w:vanish/>
        </w:rPr>
        <w:t>55hubs:ComputerEquipmentAndPurchasedSoftwareMember2021-12-310001404655hubs:ZeroPointThreeSevenFivePercentConvertibleSeniorNotesDueTwoThousandTwentyFiveMember2021-01-012021-12-310001404655us-gaap:EmployeeStockOptionMember2021-12-310001404655us-gaap:Accumula</w:t>
      </w:r>
      <w:r>
        <w:rPr>
          <w:rFonts w:eastAsia="Times New Roman"/>
          <w:vanish/>
        </w:rPr>
        <w:t>tedTranslationAdjustmentMember2021-12-310001404655hubs:ZeroPointThreeSevenFivePercentConvertibleSeniorNotesDueTwoThousandTwentyFiveAsLiabilityComponentMember2020-12-310001404655us-gaap:CommonStockMember2020-12-310001404655us-gaap:PrivatePlacementMemberhubs</w:t>
      </w:r>
      <w:r>
        <w:rPr>
          <w:rFonts w:eastAsia="Times New Roman"/>
          <w:vanish/>
        </w:rPr>
        <w:t>:ZeroPointTwoFivePercentConvertibleSeniorNotesDueTwoThousandTwentyTwoMember2017-05-310001404655srt:MaximumMemberus-gaap:SoftwareAndSoftwareDevelopmentCostsMember2021-01-012021-12-310001404655hubs:TwoThousandAndTwentyTwoNotesConvertibleNoteHedgesMemberus-ga</w:t>
      </w:r>
      <w:r>
        <w:rPr>
          <w:rFonts w:eastAsia="Times New Roman"/>
          <w:vanish/>
        </w:rPr>
        <w:t>ap:CommonStockMember2021-01-012021-12-310001404655hubs:AccruedExpensesAndOtherCurrentLiabilitiesMember2020-12-310001404655us-gaap:TechnologyBasedIntangibleAssetsMember2021-01-012021-12-310001404655hubs:ZeroPointTwoFivePercentConvertibleSeniorNotesDueTwoTho</w:t>
      </w:r>
      <w:r>
        <w:rPr>
          <w:rFonts w:eastAsia="Times New Roman"/>
          <w:vanish/>
        </w:rPr>
        <w:t>usandTwentyTwoAsLiabilityComponentMember2020-12-310001404655us-gaap:FairValueInputsLevel2Memberus-gaap:CorporateBondSecuritiesMember2021-12-310001404655srt:MaximumMemberus-gaap:TechnologyBasedIntangibleAssetsMember2021-01-012021-12-310001404655us-gaap:Serv</w:t>
      </w:r>
      <w:r>
        <w:rPr>
          <w:rFonts w:eastAsia="Times New Roman"/>
          <w:vanish/>
        </w:rPr>
        <w:t>iceMember2020-01-012020-12-310001404655us-gaap:CustomerRelationshipsMember2021-12-310001404655srt:EuropeMember2019-01-012019-12-3100014046552020-01-012020-12-310001404655us-gaap:EmployeeStockMembersrt:MinimumMember2019-01-012019-12-310001404655srt:MaximumM</w:t>
      </w:r>
      <w:r>
        <w:rPr>
          <w:rFonts w:eastAsia="Times New Roman"/>
          <w:vanish/>
        </w:rPr>
        <w:t>emberus-gaap:EmployeeStockOptionMember2019-01-012019-12-310001404655us-gaap:CustomerRelationshipsMembersrt:MinimumMember2021-01-012021-12-310001404655us-gaap:AccumulatedOtherComprehensiveIncomeMember2021-01-012021-12-310001404655us-gaap:SellingAndMarketing</w:t>
      </w:r>
      <w:r>
        <w:rPr>
          <w:rFonts w:eastAsia="Times New Roman"/>
          <w:vanish/>
        </w:rPr>
        <w:t>ExpenseMember2021-01-012021-12-310001404655hubs:ZeroPointTwoFivePercentConvertibleSeniorNotesDueTwoThousandTwentyTwoAsLiabilityComponentMember2021-01-012021-12-310001404655us-gaap:CorporateBondSecuritiesMember2021-12-3100014046552022-01-310001404655us-gaap</w:t>
      </w:r>
      <w:r>
        <w:rPr>
          <w:rFonts w:eastAsia="Times New Roman"/>
          <w:vanish/>
        </w:rPr>
        <w:t>:RetainedEarningsMember2021-01-012021-12-310001404655us-gaap:GeneralAndAdministrativeExpenseMember2021-01-012021-12-310001404655us-gaap:MoneyMarketFundsMember2020-12-310001404655us-gaap:AccumulatedOtherComprehensiveIncomeMember2018-12-310001404655hubs:Zero</w:t>
      </w:r>
      <w:r>
        <w:rPr>
          <w:rFonts w:eastAsia="Times New Roman"/>
          <w:vanish/>
        </w:rPr>
        <w:t>PointTwoFivePercentConvertibleSeniorNotesDueTwoThousandTwentyTwoAsLiabilityComponentMemberus-gaap:SubsequentEventMember2022-02-110001404655us-gaap:EmployeeStockMember2020-12-310001404655us-gaap:FairValueInputsLevel2Memberus-gaap:CorporateBondSecuritiesMemb</w:t>
      </w:r>
      <w:r>
        <w:rPr>
          <w:rFonts w:eastAsia="Times New Roman"/>
          <w:vanish/>
        </w:rPr>
        <w:t>er2020-12-310001404655hubs:ZeroPointTwoFivePercentConvertibleSeniorNotesDueTwoThousandTwentyTwoAsLiabilityComponentMemberus-gaap:CommonStockMember2020-01-012020-12-310001404655hubs:TwoThousandSevenEquityIncentivePlanMemberus-gaap:CommonStockMember2021-12-3</w:t>
      </w:r>
      <w:r>
        <w:rPr>
          <w:rFonts w:eastAsia="Times New Roman"/>
          <w:vanish/>
        </w:rPr>
        <w:t>10001404655us-gaap:SoftwareDevelopmentMember2019-01-012019-12-310001404655us-gaap:FairValueInputsLevel2Memberus-gaap:USTreasurySecuritiesMember2021-12-310001404655us-gaap:StateAndLocalJurisdictionMember2021-01-012021-12-310001404655hubs:StrategicInvestment</w:t>
      </w:r>
      <w:r>
        <w:rPr>
          <w:rFonts w:eastAsia="Times New Roman"/>
          <w:vanish/>
        </w:rPr>
        <w:t>sMember2020-01-012020-12-310001404655us-gaap:CommonStockMemberhubs:ZeroPointTwoFivePercentConvertibleSeniorNotesDueTwoThousandTwentyTwoMember2021-01-012021-12-310001404655hubs:ZeroPointTwoFivePercentConvertibleSeniorNotesDueTwoThousandTwentyTwoAsEquityComp</w:t>
      </w:r>
      <w:r>
        <w:rPr>
          <w:rFonts w:eastAsia="Times New Roman"/>
          <w:vanish/>
        </w:rPr>
        <w:t>onentMember2021-12-310001404655srt:MaximumMember2021-12-310001404655us-gaap:SoftwareDevelopmentMember2021-12-310001404655hubs:HustleConMediaIncMember2021-01-012021-12-310001404655hubs:ZeroPointTwoFivePercentConvertibleSeniorNotesDueTwoThousandTwentyTwoAsLi</w:t>
      </w:r>
      <w:r>
        <w:rPr>
          <w:rFonts w:eastAsia="Times New Roman"/>
          <w:vanish/>
        </w:rPr>
        <w:t>abilityComponentMemberus-gaap:AdditionalPaidInCapitalMember2021-01-012021-12-310001404655hubs:ZeroPointTwoFivePercentConvertibleSeniorNotesDueTwoThousandTwentyTwoAsEquityComponentMember2020-12-310001404655us-gaap:EmployeeStockOptionMember2019-01-012019-12-</w:t>
      </w:r>
      <w:r>
        <w:rPr>
          <w:rFonts w:eastAsia="Times New Roman"/>
          <w:vanish/>
        </w:rPr>
        <w:t>310001404655us-gaap:FurnitureAndFixturesMember2020-12-310001404655hubs:HustleConMediaIncMember2021-02-090001404655hubs:ZeroPointTwoFivePercentConvertibleSeniorNotesDueTwoThousandTwentyTwoMember2021-01-012021-12-310001404655us-gaap:EmployeeStockOptionMember</w:t>
      </w:r>
      <w:r>
        <w:rPr>
          <w:rFonts w:eastAsia="Times New Roman"/>
          <w:vanish/>
        </w:rPr>
        <w:t>2019-01-012019-12-310001404655srt:MinimumMemberus-gaap:EmployeeStockOptionMember2021-01-012021-12-310001404655hubs:ZeroPointThreeSevenFivePercentConvertibleSeniorNotesDueTwoThousandTwentyFiveMemberhubs:EquityComponentMember2020-06-300001404655us-gaap:Emplo</w:t>
      </w:r>
      <w:r>
        <w:rPr>
          <w:rFonts w:eastAsia="Times New Roman"/>
          <w:vanish/>
        </w:rPr>
        <w:t>yeeStockMembersrt:MaximumMember2021-01-012021-12-310001404655us-gaap:DomesticCountryMember2021-12-310001404655us-gaap:AdditionalPaidInCapitalMember2020-12-310001404655hubs:ZeroPointThreeSevenFivePercentConvertibleSeniorNotesDueTwoThousandTwentyFiveAsEquity</w:t>
      </w:r>
      <w:r>
        <w:rPr>
          <w:rFonts w:eastAsia="Times New Roman"/>
          <w:vanish/>
        </w:rPr>
        <w:t>ComponentMember2021-01-012021-12-310001404655hubs:ZeroPointTwoFivePercentConvertibleSeniorNotesDueTwoThousandTwentyTwoMember2017-05-012017-05-310001404655us-gaap:AdditionalPaidInCapitalMember2021-01-012021-12-310001404655us-gaap:ConvertibleDebtSecuritiesMe</w:t>
      </w:r>
      <w:r>
        <w:rPr>
          <w:rFonts w:eastAsia="Times New Roman"/>
          <w:vanish/>
        </w:rPr>
        <w:t>mber2020-01-012020-12-310001404655us-gaap:AccumulatedNetUnrealizedInvestmentGainLossMember2020-01-012020-12-310001404655hubs:ProductRelatedObligationsMember2021-12-310001404655us-gaap:AdditionalPaidInCapitalMember2019-12-310001404655us-gaap:GeographicConce</w:t>
      </w:r>
      <w:r>
        <w:rPr>
          <w:rFonts w:eastAsia="Times New Roman"/>
          <w:vanish/>
        </w:rPr>
        <w:t>ntrationRiskMemberus-gaap:SalesRevenueNetMemberhubs:RestOfTheWorldMember2019-01-012019-12-310001404655hubs:TwoThousandAndTwentyTwoNotesConvertibleNoteHedgesMember2020-06-012020-06-300001404655us-gaap:CustomerConcentrationRiskMemberus-gaap:AccountsReceivabl</w:t>
      </w:r>
      <w:r>
        <w:rPr>
          <w:rFonts w:eastAsia="Times New Roman"/>
          <w:vanish/>
        </w:rPr>
        <w:t>eMember2021-01-012021-12-310001404655us-gaap:WarrantMemberhubs:TwoThousandAndTwentyTwoNotesConvertibleNoteHedgesMember2021-01-012021-12-310001404655hubs:BlackEconomicDevelopmentFundMember2021-12-310001404655hubs:CostOfSubscriptionRevenuesMember2021-01-0120</w:t>
      </w:r>
      <w:r>
        <w:rPr>
          <w:rFonts w:eastAsia="Times New Roman"/>
          <w:vanish/>
        </w:rPr>
        <w:t>21-12-310001404655us-gaap:ConvertibleDebtSecuritiesMember2019-01-012019-12-310001404655hubs:DevelopedTechnologyMemberhubs:PieSyncNVMember2019-10-310001404655us-gaap:OverAllotmentOptionMemberhubs:ZeroPointTwoFivePercentConvertibleSeniorNotesDueTwoThousandTw</w:t>
      </w:r>
      <w:r>
        <w:rPr>
          <w:rFonts w:eastAsia="Times New Roman"/>
          <w:vanish/>
        </w:rPr>
        <w:t>entyTwoMember2017-05-3100014046552021-11-302021-11-300001404655hubs:TwoThousandAndTwentyTwoNotesPartialRepurchaseMember2020-06-012020-06-300001404655srt:EuropeMember2021-01-012021-12-3100014046552022-02-110001404655srt:MinimumMemberhubs:ZeroPointTwoFivePer</w:t>
      </w:r>
      <w:r>
        <w:rPr>
          <w:rFonts w:eastAsia="Times New Roman"/>
          <w:vanish/>
        </w:rPr>
        <w:t>centConvertibleSeniorNotesDueTwoThousandTwentyTwoMember2021-12-310001404655hubs:ZeroPointTwoFivePercentConvertibleSeniorNotesDueTwoThousandTwentyTwoMember2020-06-300001404655us-gaap:EmployeeStockOptionMember2021-01-012021-12-310001404655us-gaap:Convertible</w:t>
      </w:r>
      <w:r>
        <w:rPr>
          <w:rFonts w:eastAsia="Times New Roman"/>
          <w:vanish/>
        </w:rPr>
        <w:t>DebtSecuritiesMember2021-01-012021-12-310001404655us-gaap:USGovernmentAgenciesShorttermDebtSecuritiesMember2021-12-310001404655us-gaap:CustomerRelationshipsMembersrt:MaximumMember2021-01-012021-12-3100014046552019-01-012019-12-310001404655srt:MaximumMember</w:t>
      </w:r>
      <w:r>
        <w:rPr>
          <w:rFonts w:eastAsia="Times New Roman"/>
          <w:vanish/>
        </w:rPr>
        <w:t>us-gaap:EmployeeStockOptionMember2021-01-012021-12-310001404655hubs:ZeroPointTwoFivePercentConvertibleSeniorNotesDueTwoThousandTwentyTwoMember2019-01-012019-12-310001404655hubs:AccruedExpensesAndOtherCurrentLiabilitiesMember2021-12-310001404655us-gaap:Comm</w:t>
      </w:r>
      <w:r>
        <w:rPr>
          <w:rFonts w:eastAsia="Times New Roman"/>
          <w:vanish/>
        </w:rPr>
        <w:t>ercialPaperMember2020-12-310001404655us-gaap:FairValueInputsLevel2Member2021-12-310001404655us-gaap:DomesticCountryMember2021-01-012021-12-310001404655us-gaap:SubscriptionAndCirculationMember2021-01-012021-12-310001404655us-gaap:GeographicConcentrationRisk</w:t>
      </w:r>
      <w:r>
        <w:rPr>
          <w:rFonts w:eastAsia="Times New Roman"/>
          <w:vanish/>
        </w:rPr>
        <w:t>Memberus-gaap:SalesRevenueNetMemberhubs:OutsideOfAmericasMember2021-01-012021-12-310001404655us-gaap:CommonStockMember2018-12-310001404655hubs:ZeroPointThreeSevenFivePercentConvertibleSeniorNotesDueTwoThousandTwentyFiveMembersrt:MaximumMemberhubs:CappedCal</w:t>
      </w:r>
      <w:r>
        <w:rPr>
          <w:rFonts w:eastAsia="Times New Roman"/>
          <w:vanish/>
        </w:rPr>
        <w:t>lOptionsMember2020-06-012020-06-300001404655us-gaap:AdditionalPaidInCapitalMember2020-01-012020-12-310001404655srt:AmericasMember2021-01-012021-12-310001404655srt:MinimumMemberus-gaap:TechnologyBasedIntangibleAssetsMember2021-01-012021-12-310001404655us-ga</w:t>
      </w:r>
      <w:r>
        <w:rPr>
          <w:rFonts w:eastAsia="Times New Roman"/>
          <w:vanish/>
        </w:rPr>
        <w:t>ap:EmployeeStockMembersrt:MinimumMember2020-01-012020-12-3100014046552022-01-012021-12-310001404655hubs:CostOfSubscriptionRevenuesMember2020-01-012020-12-310001404655us-gaap:CommercialPaperNotIncludedWithCashAndCashEquivalentsMember2021-12-310001404655us-g</w:t>
      </w:r>
      <w:r>
        <w:rPr>
          <w:rFonts w:eastAsia="Times New Roman"/>
          <w:vanish/>
        </w:rPr>
        <w:t>aap:AccumulatedOtherComprehensiveIncomeMember2020-01-012020-12-310001404655srt:EuropeMember2021-12-310001404655us-gaap:MoneyMarketFundsMemberus-gaap:FairValueInputsLevel1Member2020-12-310001404655srt:MinimumMemberus-gaap:EmployeeStockOptionMember2019-01-01</w:t>
      </w:r>
      <w:r>
        <w:rPr>
          <w:rFonts w:eastAsia="Times New Roman"/>
          <w:vanish/>
        </w:rPr>
        <w:t>2019-12-310001404655us-gaap:RestrictedStockUnitsRSUMember2021-01-012021-12-310001404655us-gaap:AdditionalPaidInCapitalMemberhubs:ZeroPointThreeSevenFivePercentConvertibleSeniorNotesDueTwoThousandTwentyFiveAsLiabilityComponentMember2020-01-012020-12-3100014</w:t>
      </w:r>
      <w:r>
        <w:rPr>
          <w:rFonts w:eastAsia="Times New Roman"/>
          <w:vanish/>
        </w:rPr>
        <w:t>04655us-gaap:AccumulatedTranslationAdjustmentMember2019-12-310001404655us-gaap:SalesRevenueNetMemberus-gaap:CustomerConcentrationRiskMember2020-01-012020-12-310001404655us-gaap:ResearchAndDevelopmentExpenseMember2021-01-012021-12-310001404655us-gaap:Commer</w:t>
      </w:r>
      <w:r>
        <w:rPr>
          <w:rFonts w:eastAsia="Times New Roman"/>
          <w:vanish/>
        </w:rPr>
        <w:t>cialPaperNotIncludedWithCashAndCashEquivalentsMember2020-12-310001404655us-gaap:MoneyMarketFundsMemberus-gaap:FairValueInputsLevel1Member2021-12-310001404655us-gaap:TreasuryStockMember2021-01-012021-12-310001404655srt:MaximumMember2021-01-012021-12-3100014</w:t>
      </w:r>
      <w:r>
        <w:rPr>
          <w:rFonts w:eastAsia="Times New Roman"/>
          <w:vanish/>
        </w:rPr>
        <w:t>04655srt:AsiaPacificMember2019-01-012019-12-310001404655us-gaap:GeneralAndAdministrativeExpenseMember2020-01-012020-12-310001404655hubs:PieSyncNVMemberus-gaap:TechnologyBasedIntangibleAssetsMember2021-01-012021-12-310001404655us-gaap:AdditionalPaidInCapita</w:t>
      </w:r>
      <w:r>
        <w:rPr>
          <w:rFonts w:eastAsia="Times New Roman"/>
          <w:vanish/>
        </w:rPr>
        <w:t>lMember2021-12-310001404655us-gaap:MoneyMarketFundsMember2021-12-310001404655us-gaap:ConstructionInProgressMember2021-12-310001404655hubs:ConvertibleSeniorNotesDueTwoThousandTwentyFiveMember2020-01-012020-12-310001404655hubs:PieSyncNVMemberus-gaap:Operatin</w:t>
      </w:r>
      <w:r>
        <w:rPr>
          <w:rFonts w:eastAsia="Times New Roman"/>
          <w:vanish/>
        </w:rPr>
        <w:t>gExpenseMember2021-01-012021-12-310001404655hubs:ZeroPointTwoFivePercentConvertibleSeniorNotesDueTwoThousandTwentyTwoMember2020-06-012020-06-300001404655us-gaap:FairValueInputsLevel1Member2021-12-310001404655us-gaap:RestrictedStockUnitsRSUMember2019-01-012</w:t>
      </w:r>
      <w:r>
        <w:rPr>
          <w:rFonts w:eastAsia="Times New Roman"/>
          <w:vanish/>
        </w:rPr>
        <w:t>019-12-310001404655us-gaap:GeographicConcentrationRiskMemberus-gaap:SalesRevenueNetMemberhubs:OutsideOfAmericasMember2020-01-012020-12-310001404655us-gaap:LeaseholdImprovementsMember2021-12-310001404655srt:EuropeMember2020-12-310001404655us-gaap:RetainedEa</w:t>
      </w:r>
      <w:r>
        <w:rPr>
          <w:rFonts w:eastAsia="Times New Roman"/>
          <w:vanish/>
        </w:rPr>
        <w:t>rningsMember2019-01-012019-12-31hubs:ReportingUnitiso4217:USDxbrli:sharesxbrli:purexbrli:sharesutr:Diso4217:USDhubs:Customerhubs:Segment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pBdr>
          <w:top w:val="double" w:sz="6" w:space="1" w:color="auto"/>
        </w:pBdr>
        <w:spacing w:before="0" w:beforeAutospacing="0" w:after="0" w:afterAutospacing="0" w:line="20" w:lineRule="atLeast"/>
        <w:rPr>
          <w:sz w:val="20"/>
          <w:szCs w:val="20"/>
        </w:rPr>
      </w:pPr>
      <w:r>
        <w:rPr>
          <w:sz w:val="20"/>
          <w:szCs w:val="20"/>
        </w:rPr>
        <w:t> </w:t>
      </w:r>
    </w:p>
    <w:p w:rsidR="00000000" w:rsidRDefault="00A309A2">
      <w:pPr>
        <w:pStyle w:val="a3"/>
        <w:spacing w:before="0" w:beforeAutospacing="0" w:after="0" w:afterAutospacing="0" w:line="20" w:lineRule="atLeast"/>
        <w:rPr>
          <w:sz w:val="20"/>
          <w:szCs w:val="20"/>
        </w:rPr>
      </w:pPr>
      <w:r>
        <w:rPr>
          <w:sz w:val="6"/>
          <w:szCs w:val="6"/>
        </w:rPr>
        <w:t> </w:t>
      </w:r>
    </w:p>
    <w:p w:rsidR="00000000" w:rsidRDefault="00A309A2">
      <w:pPr>
        <w:pStyle w:val="a3"/>
        <w:spacing w:before="60" w:beforeAutospacing="0" w:after="0" w:afterAutospacing="0"/>
        <w:jc w:val="center"/>
        <w:rPr>
          <w:sz w:val="20"/>
          <w:szCs w:val="20"/>
        </w:rPr>
      </w:pPr>
      <w:r>
        <w:rPr>
          <w:b/>
          <w:bCs/>
          <w:sz w:val="32"/>
          <w:szCs w:val="32"/>
        </w:rPr>
        <w:t>UNITED STATE</w:t>
      </w:r>
      <w:r>
        <w:rPr>
          <w:b/>
          <w:bCs/>
          <w:sz w:val="32"/>
          <w:szCs w:val="32"/>
        </w:rPr>
        <w:t>S</w:t>
      </w:r>
    </w:p>
    <w:p w:rsidR="00000000" w:rsidRDefault="00A309A2">
      <w:pPr>
        <w:pStyle w:val="a3"/>
        <w:spacing w:before="0" w:beforeAutospacing="0" w:after="0" w:afterAutospacing="0"/>
        <w:jc w:val="center"/>
        <w:rPr>
          <w:sz w:val="20"/>
          <w:szCs w:val="20"/>
        </w:rPr>
      </w:pPr>
      <w:r>
        <w:rPr>
          <w:b/>
          <w:bCs/>
          <w:sz w:val="32"/>
          <w:szCs w:val="32"/>
        </w:rPr>
        <w:t>SECURITIES AND EXCHANGE COMMISSIO</w:t>
      </w:r>
      <w:r>
        <w:rPr>
          <w:b/>
          <w:bCs/>
          <w:sz w:val="32"/>
          <w:szCs w:val="32"/>
        </w:rPr>
        <w:t>N</w:t>
      </w:r>
    </w:p>
    <w:p w:rsidR="00000000" w:rsidRDefault="00A309A2">
      <w:pPr>
        <w:pStyle w:val="a3"/>
        <w:spacing w:before="80" w:beforeAutospacing="0" w:after="0" w:afterAutospacing="0"/>
        <w:jc w:val="center"/>
        <w:rPr>
          <w:sz w:val="20"/>
          <w:szCs w:val="20"/>
        </w:rPr>
      </w:pPr>
      <w:r>
        <w:rPr>
          <w:b/>
          <w:bCs/>
          <w:sz w:val="20"/>
          <w:szCs w:val="20"/>
        </w:rPr>
        <w:t>Washington, D.C. 2054</w:t>
      </w:r>
      <w:r>
        <w:rPr>
          <w:b/>
          <w:bCs/>
          <w:sz w:val="20"/>
          <w:szCs w:val="20"/>
        </w:rPr>
        <w:t>9</w:t>
      </w:r>
    </w:p>
    <w:p w:rsidR="00000000" w:rsidRDefault="00A309A2">
      <w:pPr>
        <w:pStyle w:val="a3"/>
        <w:pBdr>
          <w:bottom w:val="single" w:sz="8" w:space="1" w:color="auto"/>
        </w:pBdr>
        <w:spacing w:before="0" w:beforeAutospacing="0" w:after="0" w:afterAutospacing="0" w:line="20" w:lineRule="atLeast"/>
        <w:ind w:left="4762" w:right="4762"/>
        <w:jc w:val="center"/>
        <w:rPr>
          <w:sz w:val="20"/>
          <w:szCs w:val="20"/>
        </w:rPr>
      </w:pPr>
      <w:r>
        <w:rPr>
          <w:sz w:val="6"/>
          <w:szCs w:val="6"/>
        </w:rPr>
        <w:t> </w:t>
      </w:r>
    </w:p>
    <w:p w:rsidR="00000000" w:rsidRDefault="00A309A2">
      <w:pPr>
        <w:pStyle w:val="a3"/>
        <w:spacing w:before="60" w:beforeAutospacing="0" w:after="0" w:afterAutospacing="0"/>
        <w:jc w:val="center"/>
        <w:rPr>
          <w:sz w:val="20"/>
          <w:szCs w:val="20"/>
        </w:rPr>
      </w:pPr>
      <w:r>
        <w:rPr>
          <w:b/>
          <w:bCs/>
          <w:sz w:val="32"/>
          <w:szCs w:val="32"/>
        </w:rPr>
        <w:t>FORM</w:t>
      </w:r>
      <w:r>
        <w:rPr>
          <w:b/>
          <w:bCs/>
          <w:sz w:val="32"/>
          <w:szCs w:val="32"/>
        </w:rPr>
        <w:t xml:space="preserve"> </w:t>
      </w:r>
      <w:r>
        <w:rPr>
          <w:b/>
          <w:bCs/>
          <w:sz w:val="32"/>
          <w:szCs w:val="32"/>
        </w:rPr>
        <w:t>10-</w:t>
      </w:r>
      <w:r>
        <w:rPr>
          <w:b/>
          <w:bCs/>
          <w:sz w:val="32"/>
          <w:szCs w:val="32"/>
        </w:rPr>
        <w:t>K</w:t>
      </w:r>
    </w:p>
    <w:p w:rsidR="00000000" w:rsidRDefault="00A309A2">
      <w:pPr>
        <w:pStyle w:val="a3"/>
        <w:pBdr>
          <w:bottom w:val="single" w:sz="8" w:space="1" w:color="auto"/>
        </w:pBdr>
        <w:spacing w:before="0" w:beforeAutospacing="0" w:after="0" w:afterAutospacing="0" w:line="20" w:lineRule="atLeast"/>
        <w:ind w:left="4762" w:right="4762"/>
        <w:jc w:val="center"/>
        <w:rPr>
          <w:sz w:val="20"/>
          <w:szCs w:val="20"/>
        </w:rPr>
      </w:pPr>
      <w:r>
        <w:rPr>
          <w:sz w:val="6"/>
          <w:szCs w:val="6"/>
        </w:rPr>
        <w:t> </w:t>
      </w:r>
    </w:p>
    <w:p w:rsidR="00000000" w:rsidRDefault="00A309A2">
      <w:pPr>
        <w:pStyle w:val="a3"/>
        <w:spacing w:before="60" w:beforeAutospacing="0" w:after="0" w:afterAutospacing="0"/>
        <w:rPr>
          <w:sz w:val="20"/>
          <w:szCs w:val="20"/>
        </w:rPr>
      </w:pPr>
      <w:r>
        <w:rPr>
          <w:b/>
          <w:bCs/>
          <w:sz w:val="20"/>
          <w:szCs w:val="20"/>
        </w:rPr>
        <w:t>(MARK ONE</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A309A2">
            <w:pPr>
              <w:rPr>
                <w:sz w:val="20"/>
                <w:szCs w:val="20"/>
              </w:rPr>
            </w:pPr>
          </w:p>
        </w:tc>
        <w:tc>
          <w:tcPr>
            <w:tcW w:w="4799" w:type="pct"/>
            <w:vAlign w:val="center"/>
            <w:hideMark/>
          </w:tcPr>
          <w:p w:rsidR="00000000" w:rsidRDefault="00A309A2">
            <w:pPr>
              <w:rPr>
                <w:rFonts w:eastAsia="Times New Roman"/>
                <w:sz w:val="20"/>
                <w:szCs w:val="20"/>
              </w:rPr>
            </w:pP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A309A2">
            <w:pPr>
              <w:pStyle w:val="a3"/>
              <w:spacing w:before="0" w:beforeAutospacing="0" w:after="0" w:afterAutospacing="0"/>
              <w:rPr>
                <w:sz w:val="20"/>
                <w:szCs w:val="20"/>
              </w:rPr>
            </w:pPr>
            <w:r>
              <w:rPr>
                <w:b/>
                <w:bCs/>
                <w:sz w:val="20"/>
                <w:szCs w:val="20"/>
              </w:rPr>
              <w:t>ANNUAL REPORT PURSUANT TO SECTION 13 OR 15(d) OF THE SECURITIES EXCHANGE ACT OF 193</w:t>
            </w:r>
            <w:r>
              <w:rPr>
                <w:b/>
                <w:bCs/>
                <w:sz w:val="20"/>
                <w:szCs w:val="20"/>
              </w:rPr>
              <w:t>4</w:t>
            </w:r>
          </w:p>
        </w:tc>
      </w:tr>
    </w:tbl>
    <w:p w:rsidR="00000000" w:rsidRDefault="00A309A2">
      <w:pPr>
        <w:pStyle w:val="a3"/>
        <w:spacing w:before="60" w:beforeAutospacing="0" w:after="0" w:afterAutospacing="0"/>
        <w:jc w:val="center"/>
        <w:rPr>
          <w:sz w:val="20"/>
          <w:szCs w:val="20"/>
        </w:rPr>
      </w:pPr>
      <w:r>
        <w:rPr>
          <w:b/>
          <w:bCs/>
          <w:sz w:val="18"/>
          <w:szCs w:val="18"/>
        </w:rPr>
        <w:t>FOR THE FISCAL YEAR ENDED</w:t>
      </w:r>
      <w:r>
        <w:rPr>
          <w:b/>
          <w:bCs/>
          <w:sz w:val="18"/>
          <w:szCs w:val="18"/>
        </w:rPr>
        <w:t xml:space="preserve"> </w:t>
      </w:r>
      <w:r>
        <w:rPr>
          <w:b/>
          <w:bCs/>
          <w:sz w:val="18"/>
          <w:szCs w:val="18"/>
        </w:rPr>
        <w:t>DECEMBER 3</w:t>
      </w:r>
      <w:r>
        <w:rPr>
          <w:b/>
          <w:bCs/>
          <w:sz w:val="18"/>
          <w:szCs w:val="18"/>
        </w:rPr>
        <w:t>1</w:t>
      </w:r>
      <w:r>
        <w:rPr>
          <w:b/>
          <w:bCs/>
          <w:sz w:val="18"/>
          <w:szCs w:val="18"/>
        </w:rPr>
        <w:t>,</w:t>
      </w:r>
      <w:r>
        <w:rPr>
          <w:b/>
          <w:bCs/>
          <w:sz w:val="18"/>
          <w:szCs w:val="18"/>
        </w:rPr>
        <w:t xml:space="preserve"> </w:t>
      </w:r>
      <w:r>
        <w:rPr>
          <w:b/>
          <w:bCs/>
          <w:sz w:val="18"/>
          <w:szCs w:val="18"/>
        </w:rPr>
        <w:t>202</w:t>
      </w:r>
      <w:r>
        <w:rPr>
          <w:b/>
          <w:bCs/>
          <w:sz w:val="18"/>
          <w:szCs w:val="18"/>
        </w:rPr>
        <w:t>1</w:t>
      </w:r>
      <w:r>
        <w:rPr>
          <w:b/>
          <w:bCs/>
          <w:sz w:val="18"/>
          <w:szCs w:val="18"/>
        </w:rPr>
        <w:t xml:space="preserve"> </w:t>
      </w:r>
    </w:p>
    <w:p w:rsidR="00000000" w:rsidRDefault="00A309A2">
      <w:pPr>
        <w:pStyle w:val="a3"/>
        <w:spacing w:before="60" w:beforeAutospacing="0" w:after="0" w:afterAutospacing="0"/>
        <w:jc w:val="center"/>
        <w:rPr>
          <w:sz w:val="20"/>
          <w:szCs w:val="20"/>
        </w:rPr>
      </w:pPr>
      <w:r>
        <w:rPr>
          <w:b/>
          <w:bCs/>
          <w:sz w:val="18"/>
          <w:szCs w:val="18"/>
        </w:rPr>
        <w:t>O</w:t>
      </w:r>
      <w:r>
        <w:rPr>
          <w:b/>
          <w:bCs/>
          <w:sz w:val="18"/>
          <w:szCs w:val="18"/>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A309A2">
            <w:pPr>
              <w:rPr>
                <w:sz w:val="20"/>
                <w:szCs w:val="20"/>
              </w:rPr>
            </w:pPr>
          </w:p>
        </w:tc>
        <w:tc>
          <w:tcPr>
            <w:tcW w:w="4799" w:type="pct"/>
            <w:vAlign w:val="center"/>
            <w:hideMark/>
          </w:tcPr>
          <w:p w:rsidR="00000000" w:rsidRDefault="00A309A2">
            <w:pPr>
              <w:rPr>
                <w:rFonts w:eastAsia="Times New Roman"/>
                <w:sz w:val="20"/>
                <w:szCs w:val="20"/>
              </w:rPr>
            </w:pPr>
          </w:p>
        </w:tc>
      </w:tr>
      <w:tr w:rsidR="00000000">
        <w:trPr>
          <w:trHeight w:val="200"/>
          <w:tblCellSpacing w:w="15" w:type="dxa"/>
        </w:trPr>
        <w:tc>
          <w:tcPr>
            <w:tcW w:w="0" w:type="auto"/>
            <w:hideMark/>
          </w:tcPr>
          <w:p w:rsidR="00000000" w:rsidRDefault="00A309A2">
            <w:pPr>
              <w:pStyle w:val="a3"/>
              <w:spacing w:before="6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A309A2">
            <w:pPr>
              <w:pStyle w:val="a3"/>
              <w:spacing w:before="6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A309A2">
      <w:pPr>
        <w:pStyle w:val="a3"/>
        <w:spacing w:before="60" w:beforeAutospacing="0" w:after="0" w:afterAutospacing="0"/>
        <w:jc w:val="center"/>
        <w:rPr>
          <w:sz w:val="20"/>
          <w:szCs w:val="20"/>
        </w:rPr>
      </w:pPr>
      <w:r>
        <w:rPr>
          <w:b/>
          <w:bCs/>
          <w:sz w:val="18"/>
          <w:szCs w:val="18"/>
        </w:rPr>
        <w:t>FOR THE TRANSITION PERIOD F</w:t>
      </w:r>
      <w:r>
        <w:rPr>
          <w:b/>
          <w:bCs/>
          <w:sz w:val="18"/>
          <w:szCs w:val="18"/>
        </w:rPr>
        <w:t>ROM T</w:t>
      </w:r>
      <w:r>
        <w:rPr>
          <w:b/>
          <w:bCs/>
          <w:sz w:val="18"/>
          <w:szCs w:val="18"/>
        </w:rPr>
        <w:t>O</w:t>
      </w:r>
      <w:r>
        <w:rPr>
          <w:b/>
          <w:bCs/>
          <w:sz w:val="18"/>
          <w:szCs w:val="18"/>
        </w:rPr>
        <w:t xml:space="preserve"> </w:t>
      </w:r>
    </w:p>
    <w:p w:rsidR="00000000" w:rsidRDefault="00A309A2">
      <w:pPr>
        <w:pStyle w:val="a3"/>
        <w:spacing w:before="60"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001-3668</w:t>
      </w:r>
      <w:r>
        <w:rPr>
          <w:b/>
          <w:bCs/>
          <w:sz w:val="18"/>
          <w:szCs w:val="18"/>
        </w:rPr>
        <w:t>0</w:t>
      </w:r>
    </w:p>
    <w:p w:rsidR="00000000" w:rsidRDefault="00A309A2">
      <w:pPr>
        <w:pStyle w:val="a3"/>
        <w:pBdr>
          <w:bottom w:val="single" w:sz="8" w:space="1" w:color="auto"/>
        </w:pBdr>
        <w:spacing w:before="0" w:beforeAutospacing="0" w:after="0" w:afterAutospacing="0" w:line="20" w:lineRule="atLeast"/>
        <w:ind w:left="4762" w:right="4762"/>
        <w:jc w:val="center"/>
        <w:rPr>
          <w:sz w:val="20"/>
          <w:szCs w:val="20"/>
        </w:rPr>
      </w:pPr>
      <w:r>
        <w:rPr>
          <w:sz w:val="6"/>
          <w:szCs w:val="6"/>
        </w:rPr>
        <w:t> </w:t>
      </w:r>
    </w:p>
    <w:p w:rsidR="00000000" w:rsidRDefault="00A309A2">
      <w:pPr>
        <w:pStyle w:val="a3"/>
        <w:spacing w:before="60" w:beforeAutospacing="0" w:after="0" w:afterAutospacing="0"/>
        <w:jc w:val="center"/>
        <w:rPr>
          <w:sz w:val="20"/>
          <w:szCs w:val="20"/>
        </w:rPr>
      </w:pPr>
      <w:r>
        <w:rPr>
          <w:b/>
          <w:bCs/>
          <w:sz w:val="42"/>
          <w:szCs w:val="42"/>
        </w:rPr>
        <w:t>HubSpot, Inc</w:t>
      </w:r>
      <w:r>
        <w:rPr>
          <w:b/>
          <w:bCs/>
          <w:sz w:val="42"/>
          <w:szCs w:val="42"/>
        </w:rPr>
        <w:t>.</w:t>
      </w:r>
    </w:p>
    <w:p w:rsidR="00000000" w:rsidRDefault="00A309A2">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A309A2">
      <w:pPr>
        <w:pStyle w:val="a3"/>
        <w:pBdr>
          <w:bottom w:val="single" w:sz="8" w:space="1" w:color="auto"/>
        </w:pBdr>
        <w:spacing w:before="0" w:beforeAutospacing="0" w:after="0" w:afterAutospacing="0" w:line="20" w:lineRule="atLeast"/>
        <w:ind w:left="4762" w:right="4762"/>
        <w:jc w:val="center"/>
        <w:rPr>
          <w:sz w:val="20"/>
          <w:szCs w:val="20"/>
        </w:rPr>
      </w:pPr>
      <w:r>
        <w:rPr>
          <w:sz w:val="6"/>
          <w:szCs w:val="6"/>
        </w:rPr>
        <w:t> </w:t>
      </w:r>
    </w:p>
    <w:p w:rsidR="00000000" w:rsidRDefault="00A309A2">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trPr>
          <w:tblCellSpacing w:w="15" w:type="dxa"/>
        </w:trPr>
        <w:tc>
          <w:tcPr>
            <w:tcW w:w="2449" w:type="pct"/>
            <w:vAlign w:val="center"/>
            <w:hideMark/>
          </w:tcPr>
          <w:p w:rsidR="00000000" w:rsidRDefault="00A309A2">
            <w:pPr>
              <w:rPr>
                <w:sz w:val="20"/>
                <w:szCs w:val="20"/>
              </w:rPr>
            </w:pPr>
          </w:p>
        </w:tc>
        <w:tc>
          <w:tcPr>
            <w:tcW w:w="100" w:type="pct"/>
            <w:vAlign w:val="center"/>
            <w:hideMark/>
          </w:tcPr>
          <w:p w:rsidR="00000000" w:rsidRDefault="00A309A2">
            <w:pPr>
              <w:rPr>
                <w:rFonts w:eastAsia="Times New Roman"/>
                <w:sz w:val="20"/>
                <w:szCs w:val="20"/>
              </w:rPr>
            </w:pPr>
          </w:p>
        </w:tc>
        <w:tc>
          <w:tcPr>
            <w:tcW w:w="2449" w:type="pct"/>
            <w:vAlign w:val="center"/>
            <w:hideMark/>
          </w:tcPr>
          <w:p w:rsidR="00000000" w:rsidRDefault="00A309A2">
            <w:pPr>
              <w:rPr>
                <w:rFonts w:eastAsia="Times New Roman"/>
                <w:sz w:val="20"/>
                <w:szCs w:val="20"/>
              </w:rPr>
            </w:pPr>
          </w:p>
        </w:tc>
      </w:tr>
      <w:tr w:rsidR="00000000">
        <w:trPr>
          <w:trHeight w:val="180"/>
          <w:tblCellSpacing w:w="15" w:type="dxa"/>
        </w:trPr>
        <w:tc>
          <w:tcPr>
            <w:tcW w:w="0" w:type="auto"/>
            <w:hideMark/>
          </w:tcPr>
          <w:p w:rsidR="00000000" w:rsidRDefault="00A309A2">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vAlign w:val="bottom"/>
            <w:hideMark/>
          </w:tcPr>
          <w:p w:rsidR="00000000" w:rsidRDefault="00A309A2">
            <w:pPr>
              <w:pStyle w:val="a3"/>
              <w:spacing w:before="0" w:beforeAutospacing="0" w:after="0" w:afterAutospacing="0"/>
              <w:jc w:val="center"/>
              <w:rPr>
                <w:sz w:val="18"/>
                <w:szCs w:val="18"/>
              </w:rPr>
            </w:pPr>
            <w:r>
              <w:rPr>
                <w:sz w:val="18"/>
                <w:szCs w:val="18"/>
              </w:rPr>
              <w:t> </w:t>
            </w:r>
          </w:p>
        </w:tc>
        <w:tc>
          <w:tcPr>
            <w:tcW w:w="0" w:type="auto"/>
            <w:hideMark/>
          </w:tcPr>
          <w:p w:rsidR="00000000" w:rsidRDefault="00A309A2">
            <w:pPr>
              <w:pStyle w:val="a3"/>
              <w:spacing w:before="0" w:beforeAutospacing="0" w:after="0" w:afterAutospacing="0"/>
              <w:jc w:val="center"/>
              <w:rPr>
                <w:sz w:val="20"/>
                <w:szCs w:val="20"/>
              </w:rPr>
            </w:pPr>
            <w:r>
              <w:rPr>
                <w:b/>
                <w:bCs/>
                <w:sz w:val="18"/>
                <w:szCs w:val="18"/>
              </w:rPr>
              <w:t>20-263279</w:t>
            </w:r>
            <w:r>
              <w:rPr>
                <w:b/>
                <w:bCs/>
                <w:sz w:val="18"/>
                <w:szCs w:val="18"/>
              </w:rPr>
              <w:t>1</w:t>
            </w:r>
          </w:p>
        </w:tc>
      </w:tr>
      <w:tr w:rsidR="00000000">
        <w:trPr>
          <w:trHeight w:val="140"/>
          <w:tblCellSpacing w:w="15" w:type="dxa"/>
        </w:trPr>
        <w:tc>
          <w:tcPr>
            <w:tcW w:w="0" w:type="auto"/>
            <w:hideMark/>
          </w:tcPr>
          <w:p w:rsidR="00000000" w:rsidRDefault="00A309A2">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A309A2">
            <w:pPr>
              <w:pStyle w:val="a3"/>
              <w:spacing w:before="0" w:beforeAutospacing="0" w:after="0" w:afterAutospacing="0"/>
              <w:jc w:val="center"/>
              <w:rPr>
                <w:sz w:val="14"/>
                <w:szCs w:val="14"/>
              </w:rPr>
            </w:pPr>
            <w:r>
              <w:rPr>
                <w:b/>
                <w:bCs/>
                <w:sz w:val="14"/>
                <w:szCs w:val="14"/>
              </w:rPr>
              <w:t>incorporation or organization</w:t>
            </w:r>
            <w:r>
              <w:rPr>
                <w:b/>
                <w:bCs/>
                <w:sz w:val="14"/>
                <w:szCs w:val="14"/>
              </w:rPr>
              <w:t>)</w:t>
            </w:r>
          </w:p>
        </w:tc>
        <w:tc>
          <w:tcPr>
            <w:tcW w:w="0" w:type="auto"/>
            <w:vAlign w:val="bottom"/>
            <w:hideMark/>
          </w:tcPr>
          <w:p w:rsidR="00000000" w:rsidRDefault="00A309A2">
            <w:pPr>
              <w:pStyle w:val="a3"/>
              <w:spacing w:before="0" w:beforeAutospacing="0" w:after="0" w:afterAutospacing="0"/>
              <w:jc w:val="center"/>
              <w:rPr>
                <w:sz w:val="14"/>
                <w:szCs w:val="14"/>
              </w:rPr>
            </w:pPr>
            <w:r>
              <w:rPr>
                <w:sz w:val="14"/>
                <w:szCs w:val="14"/>
              </w:rPr>
              <w:t> </w:t>
            </w:r>
          </w:p>
        </w:tc>
        <w:tc>
          <w:tcPr>
            <w:tcW w:w="0" w:type="auto"/>
            <w:hideMark/>
          </w:tcPr>
          <w:p w:rsidR="00000000" w:rsidRDefault="00A309A2">
            <w:pPr>
              <w:pStyle w:val="a3"/>
              <w:spacing w:before="0" w:beforeAutospacing="0" w:after="0" w:afterAutospacing="0"/>
              <w:jc w:val="center"/>
              <w:rPr>
                <w:sz w:val="14"/>
                <w:szCs w:val="14"/>
              </w:rPr>
            </w:pPr>
            <w:r>
              <w:rPr>
                <w:b/>
                <w:bCs/>
                <w:sz w:val="14"/>
                <w:szCs w:val="14"/>
              </w:rPr>
              <w:t>(I.R.S. Employe</w:t>
            </w:r>
            <w:r>
              <w:rPr>
                <w:b/>
                <w:bCs/>
                <w:sz w:val="14"/>
                <w:szCs w:val="14"/>
              </w:rPr>
              <w:t>r</w:t>
            </w:r>
          </w:p>
          <w:p w:rsidR="00000000" w:rsidRDefault="00A309A2">
            <w:pPr>
              <w:pStyle w:val="a3"/>
              <w:spacing w:before="0" w:beforeAutospacing="0" w:after="0" w:afterAutospacing="0"/>
              <w:jc w:val="center"/>
              <w:rPr>
                <w:sz w:val="14"/>
                <w:szCs w:val="14"/>
              </w:rPr>
            </w:pPr>
            <w:r>
              <w:rPr>
                <w:b/>
                <w:bCs/>
                <w:sz w:val="14"/>
                <w:szCs w:val="14"/>
              </w:rPr>
              <w:t>Identification No.</w:t>
            </w:r>
            <w:r>
              <w:rPr>
                <w:b/>
                <w:bCs/>
                <w:sz w:val="14"/>
                <w:szCs w:val="14"/>
              </w:rPr>
              <w:t>)</w:t>
            </w:r>
          </w:p>
        </w:tc>
      </w:tr>
    </w:tbl>
    <w:p w:rsidR="00000000" w:rsidRDefault="00A309A2">
      <w:pPr>
        <w:pStyle w:val="a3"/>
        <w:spacing w:before="0" w:beforeAutospacing="0" w:after="0" w:afterAutospacing="0"/>
        <w:rPr>
          <w:sz w:val="20"/>
          <w:szCs w:val="20"/>
        </w:rPr>
      </w:pPr>
      <w:r>
        <w:rPr>
          <w:sz w:val="6"/>
          <w:szCs w:val="6"/>
        </w:rPr>
        <w:t> </w:t>
      </w:r>
    </w:p>
    <w:p w:rsidR="00000000" w:rsidRDefault="00A309A2">
      <w:pPr>
        <w:pStyle w:val="a3"/>
        <w:spacing w:before="0" w:beforeAutospacing="0" w:after="0" w:afterAutospacing="0"/>
        <w:jc w:val="center"/>
        <w:rPr>
          <w:sz w:val="20"/>
          <w:szCs w:val="20"/>
        </w:rPr>
      </w:pPr>
      <w:r>
        <w:rPr>
          <w:b/>
          <w:bCs/>
          <w:sz w:val="20"/>
          <w:szCs w:val="20"/>
        </w:rPr>
        <w:t>25 First Stree</w:t>
      </w:r>
      <w:r>
        <w:rPr>
          <w:b/>
          <w:bCs/>
          <w:sz w:val="20"/>
          <w:szCs w:val="20"/>
        </w:rPr>
        <w:t>t</w:t>
      </w:r>
    </w:p>
    <w:p w:rsidR="00000000" w:rsidRDefault="00A309A2">
      <w:pPr>
        <w:pStyle w:val="a3"/>
        <w:spacing w:before="0" w:beforeAutospacing="0" w:after="0" w:afterAutospacing="0"/>
        <w:jc w:val="center"/>
        <w:rPr>
          <w:sz w:val="20"/>
          <w:szCs w:val="20"/>
        </w:rPr>
      </w:pPr>
      <w:r>
        <w:rPr>
          <w:b/>
          <w:bCs/>
          <w:sz w:val="20"/>
          <w:szCs w:val="20"/>
        </w:rPr>
        <w:t>Cambridg</w:t>
      </w:r>
      <w:r>
        <w:rPr>
          <w:b/>
          <w:bCs/>
          <w:sz w:val="20"/>
          <w:szCs w:val="20"/>
        </w:rPr>
        <w:t>e</w:t>
      </w:r>
      <w:r>
        <w:rPr>
          <w:b/>
          <w:bCs/>
          <w:sz w:val="20"/>
          <w:szCs w:val="20"/>
        </w:rPr>
        <w:t>,</w:t>
      </w:r>
      <w:r>
        <w:rPr>
          <w:b/>
          <w:bCs/>
          <w:sz w:val="20"/>
          <w:szCs w:val="20"/>
        </w:rPr>
        <w:t xml:space="preserve"> </w:t>
      </w:r>
      <w:r>
        <w:rPr>
          <w:b/>
          <w:bCs/>
          <w:sz w:val="20"/>
          <w:szCs w:val="20"/>
        </w:rPr>
        <w:t>Massachusett</w:t>
      </w:r>
      <w:r>
        <w:rPr>
          <w:b/>
          <w:bCs/>
          <w:sz w:val="20"/>
          <w:szCs w:val="20"/>
        </w:rPr>
        <w:t>s</w:t>
      </w:r>
      <w:r>
        <w:rPr>
          <w:b/>
          <w:bCs/>
          <w:sz w:val="20"/>
          <w:szCs w:val="20"/>
        </w:rPr>
        <w:t>,</w:t>
      </w:r>
      <w:r>
        <w:rPr>
          <w:b/>
          <w:bCs/>
          <w:sz w:val="20"/>
          <w:szCs w:val="20"/>
        </w:rPr>
        <w:t xml:space="preserve"> </w:t>
      </w:r>
      <w:r>
        <w:rPr>
          <w:b/>
          <w:bCs/>
          <w:sz w:val="20"/>
          <w:szCs w:val="20"/>
        </w:rPr>
        <w:t>0214</w:t>
      </w:r>
      <w:r>
        <w:rPr>
          <w:b/>
          <w:bCs/>
          <w:sz w:val="20"/>
          <w:szCs w:val="20"/>
        </w:rPr>
        <w:t>1</w:t>
      </w:r>
    </w:p>
    <w:p w:rsidR="00000000" w:rsidRDefault="00A309A2">
      <w:pPr>
        <w:pStyle w:val="a3"/>
        <w:spacing w:before="0" w:beforeAutospacing="0" w:after="0" w:afterAutospacing="0"/>
        <w:jc w:val="center"/>
        <w:rPr>
          <w:sz w:val="20"/>
          <w:szCs w:val="20"/>
        </w:rPr>
      </w:pPr>
      <w:r>
        <w:rPr>
          <w:b/>
          <w:bCs/>
          <w:sz w:val="16"/>
          <w:szCs w:val="16"/>
        </w:rPr>
        <w:t>(Address of principal executive offices</w:t>
      </w:r>
      <w:r>
        <w:rPr>
          <w:b/>
          <w:bCs/>
          <w:sz w:val="16"/>
          <w:szCs w:val="16"/>
        </w:rPr>
        <w:t>)</w:t>
      </w:r>
    </w:p>
    <w:p w:rsidR="00000000" w:rsidRDefault="00A309A2">
      <w:pPr>
        <w:pStyle w:val="a3"/>
        <w:spacing w:before="60" w:beforeAutospacing="0" w:after="0" w:afterAutospacing="0"/>
        <w:jc w:val="center"/>
        <w:rPr>
          <w:sz w:val="20"/>
          <w:szCs w:val="20"/>
        </w:rPr>
      </w:pPr>
      <w:r>
        <w:rPr>
          <w:b/>
          <w:bCs/>
          <w:sz w:val="20"/>
          <w:szCs w:val="20"/>
        </w:rPr>
        <w:t>(</w:t>
      </w:r>
      <w:r>
        <w:rPr>
          <w:b/>
          <w:bCs/>
          <w:sz w:val="20"/>
          <w:szCs w:val="20"/>
        </w:rPr>
        <w:t>88</w:t>
      </w:r>
      <w:r>
        <w:rPr>
          <w:b/>
          <w:bCs/>
          <w:sz w:val="20"/>
          <w:szCs w:val="20"/>
        </w:rPr>
        <w:t>8</w:t>
      </w:r>
      <w:r>
        <w:rPr>
          <w:b/>
          <w:bCs/>
          <w:sz w:val="20"/>
          <w:szCs w:val="20"/>
        </w:rPr>
        <w:t>)</w:t>
      </w:r>
      <w:r>
        <w:rPr>
          <w:b/>
          <w:bCs/>
          <w:sz w:val="20"/>
          <w:szCs w:val="20"/>
        </w:rPr>
        <w:t xml:space="preserve"> </w:t>
      </w:r>
      <w:r>
        <w:rPr>
          <w:b/>
          <w:bCs/>
          <w:sz w:val="20"/>
          <w:szCs w:val="20"/>
        </w:rPr>
        <w:t>482-776</w:t>
      </w:r>
      <w:r>
        <w:rPr>
          <w:b/>
          <w:bCs/>
          <w:sz w:val="20"/>
          <w:szCs w:val="20"/>
        </w:rPr>
        <w:t>8</w:t>
      </w:r>
    </w:p>
    <w:p w:rsidR="00000000" w:rsidRDefault="00A309A2">
      <w:pPr>
        <w:pStyle w:val="a3"/>
        <w:spacing w:before="0" w:beforeAutospacing="0" w:after="0" w:afterAutospacing="0"/>
        <w:jc w:val="center"/>
        <w:rPr>
          <w:sz w:val="20"/>
          <w:szCs w:val="20"/>
        </w:rPr>
      </w:pPr>
      <w:r>
        <w:rPr>
          <w:b/>
          <w:bCs/>
          <w:sz w:val="16"/>
          <w:szCs w:val="16"/>
        </w:rPr>
        <w:t>(Registrant’s telephone number, including area code</w:t>
      </w:r>
      <w:r>
        <w:rPr>
          <w:b/>
          <w:bCs/>
          <w:sz w:val="16"/>
          <w:szCs w:val="16"/>
        </w:rPr>
        <w:t>)</w:t>
      </w:r>
    </w:p>
    <w:p w:rsidR="00000000" w:rsidRDefault="00A309A2">
      <w:pPr>
        <w:pStyle w:val="a3"/>
        <w:spacing w:before="60" w:beforeAutospacing="0" w:after="0" w:afterAutospacing="0"/>
        <w:jc w:val="center"/>
        <w:rPr>
          <w:sz w:val="20"/>
          <w:szCs w:val="20"/>
        </w:rPr>
      </w:pPr>
      <w:r>
        <w:rPr>
          <w:b/>
          <w:bCs/>
          <w:sz w:val="20"/>
          <w:szCs w:val="20"/>
        </w:rPr>
        <w:t>Securities registered pursuant to Section 12(b) of the Act</w:t>
      </w:r>
      <w:r>
        <w:rPr>
          <w:b/>
          <w:bCs/>
          <w:sz w:val="20"/>
          <w:szCs w:val="20"/>
        </w:rPr>
        <w:t>:</w:t>
      </w:r>
    </w:p>
    <w:p w:rsidR="00000000" w:rsidRDefault="00A309A2">
      <w:pPr>
        <w:pStyle w:val="a3"/>
        <w:spacing w:before="0" w:beforeAutospacing="0" w:after="0" w:afterAutospacing="0"/>
        <w:rPr>
          <w:sz w:val="20"/>
          <w:szCs w:val="20"/>
        </w:rPr>
      </w:pPr>
      <w:r>
        <w:rPr>
          <w:sz w:val="6"/>
          <w:szCs w:val="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88"/>
        <w:gridCol w:w="111"/>
        <w:gridCol w:w="2307"/>
        <w:gridCol w:w="111"/>
        <w:gridCol w:w="2889"/>
      </w:tblGrid>
      <w:tr w:rsidR="00000000">
        <w:trPr>
          <w:tblCellSpacing w:w="15" w:type="dxa"/>
        </w:trPr>
        <w:tc>
          <w:tcPr>
            <w:tcW w:w="1749"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1400"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1749" w:type="pct"/>
            <w:vAlign w:val="center"/>
            <w:hideMark/>
          </w:tcPr>
          <w:p w:rsidR="00000000" w:rsidRDefault="00A309A2">
            <w:pPr>
              <w:rPr>
                <w:rFonts w:eastAsia="Times New Roman"/>
                <w:sz w:val="20"/>
                <w:szCs w:val="20"/>
              </w:rPr>
            </w:pPr>
          </w:p>
        </w:tc>
      </w:tr>
      <w:tr w:rsidR="00000000">
        <w:trPr>
          <w:trHeight w:val="259"/>
          <w:tblCellSpacing w:w="15" w:type="dxa"/>
        </w:trPr>
        <w:tc>
          <w:tcPr>
            <w:tcW w:w="0" w:type="auto"/>
            <w:tcBorders>
              <w:bottom w:val="single" w:sz="4" w:space="0" w:color="auto"/>
            </w:tcBorders>
            <w:vAlign w:val="bottom"/>
            <w:hideMark/>
          </w:tcPr>
          <w:p w:rsidR="00000000" w:rsidRDefault="00A309A2">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hideMark/>
          </w:tcPr>
          <w:p w:rsidR="00000000" w:rsidRDefault="00A309A2">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A309A2">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hideMark/>
          </w:tcPr>
          <w:p w:rsidR="00000000" w:rsidRDefault="00A309A2">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A309A2">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44"/>
          <w:tblCellSpacing w:w="15" w:type="dxa"/>
        </w:trPr>
        <w:tc>
          <w:tcPr>
            <w:tcW w:w="0" w:type="auto"/>
            <w:hideMark/>
          </w:tcPr>
          <w:p w:rsidR="00000000" w:rsidRDefault="00A309A2">
            <w:pPr>
              <w:pStyle w:val="a3"/>
              <w:spacing w:before="0" w:beforeAutospacing="0" w:after="0" w:afterAutospacing="0"/>
              <w:jc w:val="center"/>
              <w:rPr>
                <w:sz w:val="20"/>
                <w:szCs w:val="20"/>
              </w:rPr>
            </w:pPr>
            <w:r>
              <w:rPr>
                <w:b/>
                <w:bCs/>
                <w:sz w:val="14"/>
                <w:szCs w:val="14"/>
              </w:rPr>
              <w:t>Common Stock, par value $0.001 per shar</w:t>
            </w:r>
            <w:r>
              <w:rPr>
                <w:b/>
                <w:bCs/>
                <w:sz w:val="14"/>
                <w:szCs w:val="14"/>
              </w:rPr>
              <w:t>e</w:t>
            </w:r>
          </w:p>
        </w:tc>
        <w:tc>
          <w:tcPr>
            <w:tcW w:w="0" w:type="auto"/>
            <w:hideMark/>
          </w:tcPr>
          <w:p w:rsidR="00000000" w:rsidRDefault="00A309A2">
            <w:pPr>
              <w:pStyle w:val="a3"/>
              <w:spacing w:before="0" w:beforeAutospacing="0" w:after="0" w:afterAutospacing="0"/>
              <w:jc w:val="center"/>
              <w:rPr>
                <w:sz w:val="14"/>
                <w:szCs w:val="14"/>
              </w:rPr>
            </w:pPr>
            <w:r>
              <w:rPr>
                <w:sz w:val="14"/>
                <w:szCs w:val="14"/>
              </w:rPr>
              <w:t> </w:t>
            </w:r>
          </w:p>
        </w:tc>
        <w:tc>
          <w:tcPr>
            <w:tcW w:w="0" w:type="auto"/>
            <w:hideMark/>
          </w:tcPr>
          <w:p w:rsidR="00000000" w:rsidRDefault="00A309A2">
            <w:pPr>
              <w:pStyle w:val="a3"/>
              <w:spacing w:before="0" w:beforeAutospacing="0" w:after="0" w:afterAutospacing="0"/>
              <w:jc w:val="center"/>
              <w:rPr>
                <w:sz w:val="20"/>
                <w:szCs w:val="20"/>
              </w:rPr>
            </w:pPr>
            <w:r>
              <w:rPr>
                <w:b/>
                <w:bCs/>
                <w:sz w:val="14"/>
                <w:szCs w:val="14"/>
              </w:rPr>
              <w:t>HUB</w:t>
            </w:r>
            <w:r>
              <w:rPr>
                <w:b/>
                <w:bCs/>
                <w:sz w:val="14"/>
                <w:szCs w:val="14"/>
              </w:rPr>
              <w:t>S</w:t>
            </w:r>
          </w:p>
        </w:tc>
        <w:tc>
          <w:tcPr>
            <w:tcW w:w="0" w:type="auto"/>
            <w:hideMark/>
          </w:tcPr>
          <w:p w:rsidR="00000000" w:rsidRDefault="00A309A2">
            <w:pPr>
              <w:pStyle w:val="a3"/>
              <w:spacing w:before="0" w:beforeAutospacing="0" w:after="0" w:afterAutospacing="0"/>
              <w:jc w:val="center"/>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b/>
                <w:bCs/>
                <w:sz w:val="14"/>
                <w:szCs w:val="14"/>
              </w:rPr>
              <w:t>New York Stock Exchang</w:t>
            </w:r>
            <w:r>
              <w:rPr>
                <w:b/>
                <w:bCs/>
                <w:sz w:val="14"/>
                <w:szCs w:val="14"/>
              </w:rPr>
              <w:t>e</w:t>
            </w:r>
          </w:p>
        </w:tc>
      </w:tr>
    </w:tbl>
    <w:p w:rsidR="00000000" w:rsidRDefault="00A309A2">
      <w:pPr>
        <w:pStyle w:val="a3"/>
        <w:spacing w:before="0" w:beforeAutospacing="0" w:after="0" w:afterAutospacing="0"/>
        <w:rPr>
          <w:sz w:val="20"/>
          <w:szCs w:val="20"/>
        </w:rPr>
      </w:pPr>
      <w:r>
        <w:rPr>
          <w:sz w:val="6"/>
          <w:szCs w:val="6"/>
        </w:rPr>
        <w:t> </w:t>
      </w:r>
    </w:p>
    <w:p w:rsidR="00000000" w:rsidRDefault="00A309A2">
      <w:pPr>
        <w:pStyle w:val="a3"/>
        <w:spacing w:before="0" w:beforeAutospacing="0" w:after="0" w:afterAutospacing="0"/>
        <w:jc w:val="center"/>
        <w:rPr>
          <w:sz w:val="20"/>
          <w:szCs w:val="20"/>
        </w:rPr>
      </w:pPr>
      <w:r>
        <w:rPr>
          <w:b/>
          <w:bCs/>
          <w:sz w:val="18"/>
          <w:szCs w:val="18"/>
        </w:rPr>
        <w:t>Securities registered pursuant to Section 12(g) of the Act: None</w:t>
      </w:r>
      <w:r>
        <w:rPr>
          <w:b/>
          <w:bCs/>
          <w:sz w:val="18"/>
          <w:szCs w:val="18"/>
        </w:rPr>
        <w:t>.</w:t>
      </w:r>
    </w:p>
    <w:p w:rsidR="00000000" w:rsidRDefault="00A309A2">
      <w:pPr>
        <w:pStyle w:val="a3"/>
        <w:pBdr>
          <w:bottom w:val="single" w:sz="8" w:space="1" w:color="auto"/>
        </w:pBdr>
        <w:spacing w:before="0" w:beforeAutospacing="0" w:after="0" w:afterAutospacing="0"/>
        <w:ind w:left="4762" w:right="4762"/>
        <w:jc w:val="center"/>
        <w:rPr>
          <w:sz w:val="20"/>
          <w:szCs w:val="20"/>
        </w:rPr>
      </w:pPr>
      <w:r>
        <w:rPr>
          <w:sz w:val="6"/>
          <w:szCs w:val="6"/>
        </w:rPr>
        <w:t> </w:t>
      </w:r>
    </w:p>
    <w:p w:rsidR="00000000" w:rsidRDefault="00A309A2">
      <w:pPr>
        <w:pStyle w:val="a3"/>
        <w:spacing w:before="0" w:beforeAutospacing="0" w:after="0" w:afterAutospacing="0"/>
        <w:ind w:firstLine="555"/>
        <w:rPr>
          <w:sz w:val="20"/>
          <w:szCs w:val="20"/>
        </w:rPr>
      </w:pPr>
      <w:r>
        <w:rPr>
          <w:sz w:val="18"/>
          <w:szCs w:val="18"/>
        </w:rPr>
        <w:t>Indicate by check mark if the registrant is a well-known seasoned issuer, as defined in Rule 405 of the Securities Act.</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A309A2">
      <w:pPr>
        <w:pStyle w:val="a3"/>
        <w:spacing w:before="0" w:beforeAutospacing="0" w:after="0" w:afterAutospacing="0"/>
        <w:ind w:firstLine="555"/>
        <w:rPr>
          <w:sz w:val="20"/>
          <w:szCs w:val="20"/>
        </w:rPr>
      </w:pPr>
      <w:r>
        <w:rPr>
          <w:sz w:val="18"/>
          <w:szCs w:val="18"/>
        </w:rPr>
        <w:t xml:space="preserve">Indicate by check mark if the registrant is not required to file reports pursuant to Section 13 or Section 15(d) of the Act. </w:t>
      </w:r>
      <w:r>
        <w:rPr>
          <w:sz w:val="18"/>
          <w:szCs w:val="18"/>
        </w:rPr>
        <w:t xml:space="preserve">YES </w:t>
      </w:r>
      <w:r>
        <w:rPr>
          <w:rFonts w:ascii="Segoe UI Symbol" w:hAnsi="Segoe UI Symbol" w:cs="Segoe UI Symbol"/>
          <w:sz w:val="18"/>
          <w:szCs w:val="18"/>
        </w:rPr>
        <w:t>☐</w:t>
      </w:r>
      <w:r>
        <w:rPr>
          <w:sz w:val="18"/>
          <w:szCs w:val="18"/>
        </w:rPr>
        <w:t xml:space="preserve"> </w:t>
      </w:r>
      <w:r>
        <w:rPr>
          <w:caps/>
          <w:sz w:val="18"/>
          <w:szCs w:val="18"/>
        </w:rPr>
        <w:t>N</w:t>
      </w:r>
      <w:r>
        <w:rPr>
          <w:caps/>
          <w:sz w:val="18"/>
          <w:szCs w:val="18"/>
        </w:rPr>
        <w:t>o</w:t>
      </w:r>
      <w:r>
        <w:rPr>
          <w:sz w:val="18"/>
          <w:szCs w:val="18"/>
        </w:rPr>
        <w:t xml:space="preserve"> </w:t>
      </w:r>
      <w:r>
        <w:rPr>
          <w:rFonts w:ascii="Segoe UI Symbol" w:hAnsi="Segoe UI Symbol" w:cs="Segoe UI Symbol"/>
          <w:sz w:val="18"/>
          <w:szCs w:val="18"/>
        </w:rPr>
        <w:t>☒</w:t>
      </w:r>
    </w:p>
    <w:p w:rsidR="00000000" w:rsidRDefault="00A309A2">
      <w:pPr>
        <w:pStyle w:val="a3"/>
        <w:spacing w:before="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w:t>
      </w:r>
      <w:r>
        <w:rPr>
          <w:sz w:val="18"/>
          <w:szCs w:val="18"/>
        </w:rPr>
        <w:t>d to file such reports), and (2) has been subject to such filing requirements for the past 90 days.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A309A2">
      <w:pPr>
        <w:pStyle w:val="a3"/>
        <w:spacing w:before="0" w:beforeAutospacing="0" w:after="0" w:afterAutospacing="0"/>
        <w:ind w:firstLine="555"/>
        <w:rPr>
          <w:sz w:val="20"/>
          <w:szCs w:val="20"/>
        </w:rPr>
      </w:pPr>
      <w:r>
        <w:rPr>
          <w:sz w:val="18"/>
          <w:szCs w:val="18"/>
        </w:rPr>
        <w:t xml:space="preserve">Indicate by check mark whether the registrant has submitted electronically every Interactive Data File required to be submitted pursuant to Rule </w:t>
      </w:r>
      <w:r>
        <w:rPr>
          <w:sz w:val="18"/>
          <w:szCs w:val="18"/>
        </w:rPr>
        <w:t>405 of Regulation S-T (§232.405 of this chapter) during the preceding 12 months (or for such shorter period that the registrant was required to submit such files).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A309A2">
      <w:pPr>
        <w:pStyle w:val="a3"/>
        <w:spacing w:before="0" w:beforeAutospacing="0" w:after="0" w:afterAutospacing="0"/>
        <w:ind w:firstLine="555"/>
        <w:rPr>
          <w:sz w:val="20"/>
          <w:szCs w:val="20"/>
        </w:rPr>
      </w:pPr>
      <w:r>
        <w:rPr>
          <w:sz w:val="18"/>
          <w:szCs w:val="18"/>
        </w:rPr>
        <w:t>Indicate by check mark whether the registrant is a large accelerated filer, an ac</w:t>
      </w:r>
      <w:r>
        <w:rPr>
          <w:sz w:val="18"/>
          <w:szCs w:val="18"/>
        </w:rPr>
        <w:t>celerated filer, a non-accelerated filer, a smaller reporting company, or an emerging growth company. See the definitions of “large accelerated filer,” “accelerated filer,” “smaller reporting company,” and “emerging growth company” in Rule 12b-2 of the Exc</w:t>
      </w:r>
      <w:r>
        <w:rPr>
          <w:sz w:val="18"/>
          <w:szCs w:val="18"/>
        </w:rPr>
        <w:t>hange Act</w:t>
      </w:r>
      <w:r>
        <w:rPr>
          <w:sz w:val="18"/>
          <w:szCs w:val="18"/>
        </w:rPr>
        <w:t>:</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7"/>
        <w:gridCol w:w="110"/>
        <w:gridCol w:w="4064"/>
        <w:gridCol w:w="190"/>
        <w:gridCol w:w="1802"/>
        <w:gridCol w:w="110"/>
        <w:gridCol w:w="213"/>
      </w:tblGrid>
      <w:tr w:rsidR="00000000">
        <w:trPr>
          <w:tblCellSpacing w:w="15" w:type="dxa"/>
        </w:trPr>
        <w:tc>
          <w:tcPr>
            <w:tcW w:w="1099"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2500" w:type="pct"/>
            <w:vAlign w:val="center"/>
            <w:hideMark/>
          </w:tcPr>
          <w:p w:rsidR="00000000" w:rsidRDefault="00A309A2">
            <w:pPr>
              <w:rPr>
                <w:rFonts w:eastAsia="Times New Roman"/>
                <w:sz w:val="20"/>
                <w:szCs w:val="20"/>
              </w:rPr>
            </w:pPr>
          </w:p>
        </w:tc>
        <w:tc>
          <w:tcPr>
            <w:tcW w:w="100" w:type="pct"/>
            <w:vAlign w:val="center"/>
            <w:hideMark/>
          </w:tcPr>
          <w:p w:rsidR="00000000" w:rsidRDefault="00A309A2">
            <w:pPr>
              <w:rPr>
                <w:rFonts w:eastAsia="Times New Roman"/>
                <w:sz w:val="20"/>
                <w:szCs w:val="20"/>
              </w:rPr>
            </w:pPr>
          </w:p>
        </w:tc>
        <w:tc>
          <w:tcPr>
            <w:tcW w:w="1099"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100"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16"/>
                <w:szCs w:val="16"/>
              </w:rPr>
              <w:t>Large accelerated file</w:t>
            </w:r>
            <w:r>
              <w:rPr>
                <w:sz w:val="16"/>
                <w:szCs w:val="16"/>
              </w:rPr>
              <w:t>r</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Segoe UI Symbol" w:hAnsi="Segoe UI Symbol" w:cs="Segoe UI Symbol"/>
                <w:sz w:val="16"/>
                <w:szCs w:val="16"/>
              </w:rPr>
              <w:t>☒</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Accelerated file</w:t>
            </w:r>
            <w:r>
              <w:rPr>
                <w:sz w:val="16"/>
                <w:szCs w:val="16"/>
              </w:rPr>
              <w:t>r</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Segoe UI Symbol" w:hAnsi="Segoe UI Symbol" w:cs="Segoe UI Symbol"/>
                <w:sz w:val="16"/>
                <w:szCs w:val="16"/>
              </w:rPr>
              <w:t>☐</w:t>
            </w:r>
          </w:p>
        </w:tc>
      </w:tr>
      <w:tr w:rsidR="00000000">
        <w:trPr>
          <w:tblCellSpacing w:w="15" w:type="dxa"/>
        </w:trPr>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Non-accelerated file</w:t>
            </w:r>
            <w:r>
              <w:rPr>
                <w:sz w:val="16"/>
                <w:szCs w:val="16"/>
              </w:rPr>
              <w:t>r</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Segoe UI Symbol" w:hAnsi="Segoe UI Symbol" w:cs="Segoe UI Symbol"/>
                <w:sz w:val="16"/>
                <w:szCs w:val="16"/>
              </w:rPr>
              <w:t>☐</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Smaller reporting compan</w:t>
            </w:r>
            <w:r>
              <w:rPr>
                <w:sz w:val="16"/>
                <w:szCs w:val="16"/>
              </w:rPr>
              <w:t>y</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0"/>
                <w:szCs w:val="20"/>
              </w:rPr>
            </w:pPr>
            <w:r>
              <w:rPr>
                <w:rFonts w:ascii="Segoe UI Symbol" w:hAnsi="Segoe UI Symbol" w:cs="Segoe UI Symbol"/>
                <w:sz w:val="16"/>
                <w:szCs w:val="16"/>
              </w:rPr>
              <w:t>☐</w:t>
            </w:r>
          </w:p>
        </w:tc>
      </w:tr>
      <w:tr w:rsidR="00000000">
        <w:trPr>
          <w:tblCellSpacing w:w="15" w:type="dxa"/>
        </w:trPr>
        <w:tc>
          <w:tcPr>
            <w:tcW w:w="0" w:type="auto"/>
            <w:vAlign w:val="bottom"/>
            <w:hideMark/>
          </w:tcPr>
          <w:p w:rsidR="00000000" w:rsidRDefault="00A309A2">
            <w:pPr>
              <w:pStyle w:val="a3"/>
              <w:spacing w:before="0" w:beforeAutospacing="0" w:after="0" w:afterAutospacing="0"/>
              <w:rPr>
                <w:sz w:val="6"/>
                <w:szCs w:val="6"/>
              </w:rPr>
            </w:pPr>
            <w:r>
              <w:rPr>
                <w:sz w:val="6"/>
                <w:szCs w:val="6"/>
              </w:rPr>
              <w:lastRenderedPageBreak/>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rFonts w:ascii="Wingdings" w:hAnsi="Wingdings"/>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sz w:val="6"/>
                <w:szCs w:val="6"/>
              </w:rPr>
              <w:t> </w:t>
            </w:r>
          </w:p>
        </w:tc>
        <w:tc>
          <w:tcPr>
            <w:tcW w:w="0" w:type="auto"/>
            <w:vAlign w:val="bottom"/>
            <w:hideMark/>
          </w:tcPr>
          <w:p w:rsidR="00000000" w:rsidRDefault="00A309A2">
            <w:pPr>
              <w:pStyle w:val="a3"/>
              <w:spacing w:before="0" w:beforeAutospacing="0" w:after="0" w:afterAutospacing="0"/>
              <w:rPr>
                <w:sz w:val="6"/>
                <w:szCs w:val="6"/>
              </w:rPr>
            </w:pPr>
            <w:r>
              <w:rPr>
                <w:rFonts w:ascii="Wingdings" w:hAnsi="Wingdings"/>
                <w:sz w:val="6"/>
                <w:szCs w:val="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Wingdings" w:hAnsi="Wingdings"/>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Emerging growth compan</w:t>
            </w:r>
            <w:r>
              <w:rPr>
                <w:sz w:val="16"/>
                <w:szCs w:val="16"/>
              </w:rPr>
              <w:t>y</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0"/>
                <w:szCs w:val="20"/>
              </w:rPr>
            </w:pPr>
            <w:r>
              <w:rPr>
                <w:rFonts w:ascii="Segoe UI Symbol" w:hAnsi="Segoe UI Symbol" w:cs="Segoe UI Symbol"/>
                <w:sz w:val="16"/>
                <w:szCs w:val="16"/>
              </w:rPr>
              <w:t>☐</w:t>
            </w:r>
          </w:p>
        </w:tc>
      </w:tr>
    </w:tbl>
    <w:p w:rsidR="00000000" w:rsidRDefault="00A309A2">
      <w:pPr>
        <w:pStyle w:val="a3"/>
        <w:spacing w:before="0" w:beforeAutospacing="0" w:after="0" w:afterAutospacing="0"/>
        <w:rPr>
          <w:sz w:val="20"/>
          <w:szCs w:val="20"/>
        </w:rPr>
      </w:pPr>
      <w:r>
        <w:rPr>
          <w:sz w:val="6"/>
          <w:szCs w:val="6"/>
        </w:rPr>
        <w:t> </w:t>
      </w:r>
    </w:p>
    <w:p w:rsidR="00000000" w:rsidRDefault="00A309A2">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rsidR="00000000" w:rsidRDefault="00A309A2">
      <w:pPr>
        <w:pStyle w:val="a3"/>
        <w:spacing w:before="0" w:beforeAutospacing="0" w:after="0" w:afterAutospacing="0"/>
        <w:ind w:firstLine="555"/>
        <w:rPr>
          <w:sz w:val="20"/>
          <w:szCs w:val="20"/>
        </w:rPr>
      </w:pPr>
      <w:r>
        <w:rPr>
          <w:sz w:val="18"/>
          <w:szCs w:val="18"/>
        </w:rPr>
        <w:t>Ind</w:t>
      </w:r>
      <w:r>
        <w:rPr>
          <w:sz w:val="18"/>
          <w:szCs w:val="18"/>
        </w:rPr>
        <w:t xml:space="preserve">icate by check mark whether the registrant has filed a report on and attestation to its management’s assessment of the effectiveness of its internal controls over financial reporting under Section 404(b) of the Sarbanes-Oxley Act (15 U.S.C 7262(b)) by the </w:t>
      </w:r>
      <w:r>
        <w:rPr>
          <w:sz w:val="18"/>
          <w:szCs w:val="18"/>
        </w:rPr>
        <w:t>registered public accounting firm that prepared or issued its audit report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A309A2">
      <w:pPr>
        <w:pStyle w:val="a3"/>
        <w:spacing w:before="0" w:beforeAutospacing="0" w:after="0" w:afterAutospacing="0"/>
        <w:ind w:firstLine="555"/>
        <w:rPr>
          <w:sz w:val="20"/>
          <w:szCs w:val="20"/>
        </w:rPr>
      </w:pPr>
      <w:r>
        <w:rPr>
          <w:sz w:val="18"/>
          <w:szCs w:val="18"/>
        </w:rPr>
        <w:t>Indicate by check mark whether the registrant is a shell company (as defined in Rule 12b-2 of the Exchange Act). YES</w:t>
      </w:r>
      <w:r>
        <w:rPr>
          <w:sz w:val="18"/>
          <w:szCs w:val="18"/>
        </w:rPr>
        <w:t xml:space="preserve"> </w:t>
      </w:r>
      <w:r>
        <w:rPr>
          <w:rFonts w:ascii="Segoe UI Symbol" w:hAnsi="Segoe UI Symbol" w:cs="Segoe UI Symbol"/>
          <w:sz w:val="16"/>
          <w:szCs w:val="16"/>
        </w:rPr>
        <w:t>☐</w:t>
      </w:r>
      <w:r>
        <w:rPr>
          <w:sz w:val="18"/>
          <w:szCs w:val="18"/>
        </w:rPr>
        <w:t xml:space="preserve"> NO</w:t>
      </w:r>
      <w:r>
        <w:rPr>
          <w:sz w:val="18"/>
          <w:szCs w:val="18"/>
        </w:rPr>
        <w:t xml:space="preserve"> </w:t>
      </w:r>
      <w:r>
        <w:rPr>
          <w:rFonts w:ascii="Segoe UI Symbol" w:hAnsi="Segoe UI Symbol" w:cs="Segoe UI Symbol"/>
          <w:sz w:val="18"/>
          <w:szCs w:val="18"/>
        </w:rPr>
        <w:t>☒</w:t>
      </w:r>
    </w:p>
    <w:p w:rsidR="00000000" w:rsidRDefault="00A309A2">
      <w:pPr>
        <w:pStyle w:val="a3"/>
        <w:spacing w:before="0" w:beforeAutospacing="0" w:after="0" w:afterAutospacing="0"/>
        <w:ind w:firstLine="555"/>
        <w:rPr>
          <w:sz w:val="20"/>
          <w:szCs w:val="20"/>
        </w:rPr>
      </w:pPr>
      <w:r>
        <w:rPr>
          <w:sz w:val="18"/>
          <w:szCs w:val="18"/>
        </w:rPr>
        <w:t>The aggregate market value of common stock hel</w:t>
      </w:r>
      <w:r>
        <w:rPr>
          <w:sz w:val="18"/>
          <w:szCs w:val="18"/>
        </w:rPr>
        <w:t>d by non-affiliates of the registrant, based on the closing price of the registrant’s common stock on June 30, 2021, as reported by the New York Stock Exchange on such date was approxi</w:t>
      </w:r>
      <w:r>
        <w:rPr>
          <w:sz w:val="18"/>
          <w:szCs w:val="18"/>
        </w:rPr>
        <w:t>m</w:t>
      </w:r>
      <w:r>
        <w:rPr>
          <w:sz w:val="18"/>
          <w:szCs w:val="18"/>
        </w:rPr>
        <w:t xml:space="preserve">ately </w:t>
      </w:r>
      <w:r>
        <w:rPr>
          <w:sz w:val="18"/>
          <w:szCs w:val="18"/>
        </w:rPr>
        <w:t>$</w:t>
      </w:r>
      <w:r>
        <w:rPr>
          <w:sz w:val="18"/>
          <w:szCs w:val="18"/>
        </w:rPr>
        <w:t>25,969,281,58</w:t>
      </w:r>
      <w:r>
        <w:rPr>
          <w:sz w:val="18"/>
          <w:szCs w:val="18"/>
        </w:rPr>
        <w:t>3</w:t>
      </w:r>
      <w:r>
        <w:rPr>
          <w:sz w:val="18"/>
          <w:szCs w:val="18"/>
        </w:rPr>
        <w:t>. Sha</w:t>
      </w:r>
      <w:r>
        <w:rPr>
          <w:sz w:val="18"/>
          <w:szCs w:val="18"/>
        </w:rPr>
        <w:t>r</w:t>
      </w:r>
      <w:r>
        <w:rPr>
          <w:sz w:val="18"/>
          <w:szCs w:val="18"/>
        </w:rPr>
        <w:t xml:space="preserve">es of the registrant’s common stock held by </w:t>
      </w:r>
      <w:r>
        <w:rPr>
          <w:sz w:val="18"/>
          <w:szCs w:val="18"/>
        </w:rPr>
        <w:t>each executive officer, director and holder of 5% or more of the outstanding common stock have been excluded in that such persons may be deemed to be affiliates. This calculation does not reflect a determination that certain persons are affiliates of the r</w:t>
      </w:r>
      <w:r>
        <w:rPr>
          <w:sz w:val="18"/>
          <w:szCs w:val="18"/>
        </w:rPr>
        <w:t>egistrant for any other purpose</w:t>
      </w:r>
      <w:r>
        <w:rPr>
          <w:sz w:val="18"/>
          <w:szCs w:val="18"/>
        </w:rPr>
        <w:t>.</w:t>
      </w:r>
    </w:p>
    <w:p w:rsidR="00000000" w:rsidRDefault="00A309A2">
      <w:pPr>
        <w:pStyle w:val="a3"/>
        <w:spacing w:before="0" w:beforeAutospacing="0" w:after="0" w:afterAutospacing="0"/>
        <w:ind w:firstLine="555"/>
        <w:rPr>
          <w:sz w:val="20"/>
          <w:szCs w:val="20"/>
        </w:rPr>
      </w:pPr>
      <w:r>
        <w:rPr>
          <w:sz w:val="18"/>
          <w:szCs w:val="18"/>
        </w:rPr>
        <w:t>On February 11, 2022, the registrant had</w:t>
      </w:r>
      <w:r>
        <w:rPr>
          <w:sz w:val="18"/>
          <w:szCs w:val="18"/>
        </w:rPr>
        <w:t xml:space="preserve"> </w:t>
      </w:r>
      <w:r>
        <w:rPr>
          <w:sz w:val="18"/>
          <w:szCs w:val="18"/>
        </w:rPr>
        <w:t>47,569,39</w:t>
      </w:r>
      <w:r>
        <w:rPr>
          <w:sz w:val="18"/>
          <w:szCs w:val="18"/>
        </w:rPr>
        <w:t>0</w:t>
      </w:r>
      <w:r>
        <w:rPr>
          <w:sz w:val="18"/>
          <w:szCs w:val="18"/>
        </w:rPr>
        <w:t xml:space="preserve"> shares of common stock outstanding</w:t>
      </w:r>
      <w:r>
        <w:rPr>
          <w:sz w:val="18"/>
          <w:szCs w:val="18"/>
        </w:rPr>
        <w:t>.</w:t>
      </w:r>
    </w:p>
    <w:p w:rsidR="00000000" w:rsidRDefault="00A309A2">
      <w:pPr>
        <w:pStyle w:val="a3"/>
        <w:spacing w:before="40" w:beforeAutospacing="0" w:after="0" w:afterAutospacing="0"/>
        <w:jc w:val="center"/>
        <w:divId w:val="2125268092"/>
        <w:rPr>
          <w:sz w:val="20"/>
          <w:szCs w:val="20"/>
        </w:rPr>
      </w:pPr>
      <w:r>
        <w:rPr>
          <w:b/>
          <w:bCs/>
          <w:sz w:val="18"/>
          <w:szCs w:val="18"/>
        </w:rPr>
        <w:t>DOCUMENTS INCORPORATED BY REFERENC</w:t>
      </w:r>
      <w:r>
        <w:rPr>
          <w:b/>
          <w:bCs/>
          <w:sz w:val="18"/>
          <w:szCs w:val="18"/>
        </w:rPr>
        <w:t>E</w:t>
      </w:r>
    </w:p>
    <w:p w:rsidR="00000000" w:rsidRDefault="00A309A2">
      <w:pPr>
        <w:pStyle w:val="a3"/>
        <w:spacing w:before="0" w:beforeAutospacing="0" w:after="0" w:afterAutospacing="0"/>
        <w:ind w:firstLine="555"/>
        <w:divId w:val="2125268092"/>
        <w:rPr>
          <w:sz w:val="20"/>
          <w:szCs w:val="20"/>
        </w:rPr>
      </w:pPr>
      <w:r>
        <w:rPr>
          <w:sz w:val="18"/>
          <w:szCs w:val="18"/>
        </w:rPr>
        <w:t>Portions of the registrant’s definitive Proxy Statement for its 2021 Annual Meeting of Stockholders</w:t>
      </w:r>
      <w:r>
        <w:rPr>
          <w:sz w:val="18"/>
          <w:szCs w:val="18"/>
        </w:rPr>
        <w:t xml:space="preserve"> are incorporated by reference in Part III of this Annual Report on Form 10-K. Such Proxy Statement will be filed with the U.S. Securities and Exchange Commission within 120 days after the end of the fiscal year to which this report relates. Except with re</w:t>
      </w:r>
      <w:r>
        <w:rPr>
          <w:sz w:val="18"/>
          <w:szCs w:val="18"/>
        </w:rPr>
        <w:t>spect to information specifically incorporated by reference in this Form 10-K, the Proxy Statement is not deemed to be filed as part of this Form 10-K</w:t>
      </w:r>
      <w:r>
        <w:rPr>
          <w:sz w:val="18"/>
          <w:szCs w:val="18"/>
        </w:rPr>
        <w:t>.</w:t>
      </w:r>
    </w:p>
    <w:p w:rsidR="00000000" w:rsidRDefault="00A309A2">
      <w:pPr>
        <w:pStyle w:val="a3"/>
        <w:pBdr>
          <w:bottom w:val="double" w:sz="6" w:space="1" w:color="auto"/>
        </w:pBdr>
        <w:spacing w:before="0" w:beforeAutospacing="0" w:after="0" w:afterAutospacing="0" w:line="20" w:lineRule="atLeast"/>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1</w:t>
      </w:r>
    </w:p>
    <w:p w:rsidR="00000000" w:rsidRDefault="00A309A2">
      <w:pPr>
        <w:rPr>
          <w:rFonts w:eastAsia="Times New Roman"/>
        </w:rPr>
      </w:pPr>
      <w:r>
        <w:rPr>
          <w:rFonts w:eastAsia="Times New Roman"/>
        </w:rPr>
        <w:pict>
          <v:rect id="_x0000_i102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A309A2">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5"/>
        <w:gridCol w:w="111"/>
        <w:gridCol w:w="6775"/>
        <w:gridCol w:w="111"/>
        <w:gridCol w:w="614"/>
      </w:tblGrid>
      <w:tr w:rsidR="00000000">
        <w:trPr>
          <w:tblCellSpacing w:w="15" w:type="dxa"/>
        </w:trPr>
        <w:tc>
          <w:tcPr>
            <w:tcW w:w="400"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4149"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350"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hideMark/>
          </w:tcPr>
          <w:p w:rsidR="00000000" w:rsidRDefault="00A309A2">
            <w:pPr>
              <w:pStyle w:val="a3"/>
              <w:spacing w:before="0" w:beforeAutospacing="0" w:after="0" w:afterAutospacing="0"/>
              <w:rPr>
                <w:sz w:val="16"/>
                <w:szCs w:val="16"/>
              </w:rPr>
            </w:pPr>
            <w:r>
              <w:rPr>
                <w:sz w:val="16"/>
                <w:szCs w:val="16"/>
              </w:rPr>
              <w:t> </w:t>
            </w:r>
          </w:p>
        </w:tc>
        <w:tc>
          <w:tcPr>
            <w:tcW w:w="0" w:type="auto"/>
            <w:tcBorders>
              <w:bottom w:val="single" w:sz="4" w:space="0" w:color="auto"/>
            </w:tcBorders>
            <w:vAlign w:val="bottom"/>
            <w:hideMark/>
          </w:tcPr>
          <w:p w:rsidR="00000000" w:rsidRDefault="00A309A2">
            <w:pPr>
              <w:pStyle w:val="a3"/>
              <w:spacing w:before="0" w:beforeAutospacing="0" w:after="0" w:afterAutospacing="0"/>
              <w:jc w:val="center"/>
              <w:rPr>
                <w:sz w:val="16"/>
                <w:szCs w:val="16"/>
              </w:rPr>
            </w:pPr>
            <w:r>
              <w:rPr>
                <w:b/>
                <w:bCs/>
                <w:sz w:val="16"/>
                <w:szCs w:val="16"/>
              </w:rPr>
              <w:t>Page No</w:t>
            </w:r>
            <w:r>
              <w:rPr>
                <w:b/>
                <w:bCs/>
                <w:sz w:val="16"/>
                <w:szCs w:val="16"/>
              </w:rPr>
              <w:t>.</w:t>
            </w:r>
          </w:p>
        </w:tc>
      </w:tr>
      <w:tr w:rsidR="00000000">
        <w:trPr>
          <w:trHeight w:val="200"/>
          <w:tblCellSpacing w:w="15" w:type="dxa"/>
        </w:trPr>
        <w:tc>
          <w:tcPr>
            <w:tcW w:w="0" w:type="auto"/>
            <w:gridSpan w:val="3"/>
            <w:hideMark/>
          </w:tcPr>
          <w:p w:rsidR="00000000" w:rsidRDefault="00A309A2">
            <w:pPr>
              <w:pStyle w:val="a3"/>
              <w:spacing w:before="0" w:beforeAutospacing="0" w:after="0" w:afterAutospacing="0"/>
              <w:jc w:val="center"/>
              <w:rPr>
                <w:sz w:val="20"/>
                <w:szCs w:val="20"/>
              </w:rPr>
            </w:pPr>
            <w:hyperlink w:anchor="part_1" w:history="1">
              <w:r>
                <w:rPr>
                  <w:rStyle w:val="a4"/>
                  <w:b/>
                  <w:bCs/>
                  <w:sz w:val="20"/>
                  <w:szCs w:val="20"/>
                </w:rPr>
                <w:t xml:space="preserve">PART </w:t>
              </w:r>
              <w:r>
                <w:rPr>
                  <w:rStyle w:val="a4"/>
                  <w:b/>
                  <w:bCs/>
                  <w:sz w:val="20"/>
                  <w:szCs w:val="20"/>
                </w:rPr>
                <w:t>I</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rPr>
                <w:sz w:val="12"/>
                <w:szCs w:val="12"/>
              </w:rPr>
            </w:pPr>
            <w:r>
              <w:rPr>
                <w:sz w:val="12"/>
                <w:szCs w:val="12"/>
              </w:rPr>
              <w:t> </w:t>
            </w:r>
          </w:p>
        </w:tc>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i_business" w:history="1">
              <w:r>
                <w:rPr>
                  <w:rStyle w:val="a4"/>
                  <w:sz w:val="20"/>
                  <w:szCs w:val="20"/>
                </w:rPr>
                <w:t>Busines</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1A</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1B</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b_unresolved_staff_comments" w:history="1">
              <w:r>
                <w:rPr>
                  <w:rStyle w:val="a4"/>
                  <w:sz w:val="20"/>
                  <w:szCs w:val="20"/>
                </w:rPr>
                <w:t>Unresolved Staff Comment</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2</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2_properties" w:history="1">
              <w:r>
                <w:rPr>
                  <w:rStyle w:val="a4"/>
                  <w:sz w:val="20"/>
                  <w:szCs w:val="20"/>
                </w:rPr>
                <w:t>Propertie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3</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3_legal_proceedings" w:history="1">
              <w:r>
                <w:rPr>
                  <w:rStyle w:val="a4"/>
                  <w:sz w:val="20"/>
                  <w:szCs w:val="20"/>
                </w:rPr>
                <w:t>Legal Proceeding</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4</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4_mine_safety_disclosures_mine_saf" w:history="1">
              <w:r>
                <w:rPr>
                  <w:rStyle w:val="a4"/>
                  <w:sz w:val="20"/>
                  <w:szCs w:val="20"/>
                </w:rPr>
                <w:t>Mine Safety Disclosure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7</w:t>
            </w:r>
          </w:p>
        </w:tc>
      </w:tr>
      <w:tr w:rsidR="00000000">
        <w:trPr>
          <w:tblCellSpacing w:w="15" w:type="dxa"/>
        </w:trPr>
        <w:tc>
          <w:tcPr>
            <w:tcW w:w="0" w:type="auto"/>
            <w:gridSpan w:val="3"/>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3"/>
            <w:hideMark/>
          </w:tcPr>
          <w:p w:rsidR="00000000" w:rsidRDefault="00A309A2">
            <w:pPr>
              <w:pStyle w:val="a3"/>
              <w:spacing w:before="0" w:beforeAutospacing="0" w:after="0" w:afterAutospacing="0"/>
              <w:jc w:val="center"/>
              <w:rPr>
                <w:sz w:val="20"/>
                <w:szCs w:val="20"/>
              </w:rPr>
            </w:pPr>
            <w:hyperlink w:anchor="part_ii" w:history="1">
              <w:r>
                <w:rPr>
                  <w:rStyle w:val="a4"/>
                  <w:b/>
                  <w:bCs/>
                  <w:sz w:val="20"/>
                  <w:szCs w:val="20"/>
                </w:rPr>
                <w:t>PART I</w:t>
              </w:r>
              <w:r>
                <w:rPr>
                  <w:rStyle w:val="a4"/>
                  <w:b/>
                  <w:bCs/>
                  <w:sz w:val="20"/>
                  <w:szCs w:val="20"/>
                </w:rPr>
                <w:t>I</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gridSpan w:val="3"/>
            <w:hideMark/>
          </w:tcPr>
          <w:p w:rsidR="00000000" w:rsidRDefault="00A309A2">
            <w:pPr>
              <w:pStyle w:val="a3"/>
              <w:spacing w:before="0" w:beforeAutospacing="0" w:after="0" w:afterAutospacing="0"/>
              <w:jc w:val="center"/>
              <w:rPr>
                <w:sz w:val="12"/>
                <w:szCs w:val="12"/>
              </w:rPr>
            </w:pPr>
            <w:r>
              <w:rPr>
                <w:sz w:val="12"/>
                <w:szCs w:val="12"/>
              </w:rPr>
              <w:t> </w:t>
            </w:r>
          </w:p>
        </w:tc>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5</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5_market_for_registrants_common_eq" w:history="1">
              <w:r>
                <w:rPr>
                  <w:rStyle w:val="a4"/>
                  <w:sz w:val="20"/>
                  <w:szCs w:val="20"/>
                </w:rPr>
                <w:t xml:space="preserve">Market for Registrant’s Common Equity, Related Stockholder Matters and Issuer Purchases of Equity </w:t>
              </w:r>
              <w:r>
                <w:rPr>
                  <w:color w:val="0000FF"/>
                  <w:sz w:val="20"/>
                  <w:szCs w:val="20"/>
                  <w:u w:val="single"/>
                </w:rPr>
                <w:br/>
              </w:r>
              <w:r>
                <w:rPr>
                  <w:rStyle w:val="a4"/>
                  <w:sz w:val="20"/>
                  <w:szCs w:val="20"/>
                </w:rPr>
                <w:t>Securitie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8</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6</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6_selected_consolidated_financial_" w:history="1">
              <w:r>
                <w:rPr>
                  <w:rStyle w:val="a4"/>
                  <w:sz w:val="20"/>
                  <w:szCs w:val="20"/>
                </w:rPr>
                <w:t>Select</w:t>
              </w:r>
              <w:r>
                <w:rPr>
                  <w:rStyle w:val="a4"/>
                  <w:sz w:val="20"/>
                  <w:szCs w:val="20"/>
                </w:rPr>
                <w:t>ed Financial Dat</w:t>
              </w:r>
              <w:r>
                <w:rPr>
                  <w:rStyle w:val="a4"/>
                  <w:sz w:val="20"/>
                  <w:szCs w:val="20"/>
                </w:rPr>
                <w:t>a</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0</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7</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7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1</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lastRenderedPageBreak/>
              <w:t>ITEM 7A</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7a_qualitative_quantitative_disclo" w:history="1">
              <w:r>
                <w:rPr>
                  <w:rStyle w:val="a4"/>
                  <w:sz w:val="20"/>
                  <w:szCs w:val="20"/>
                </w:rPr>
                <w:t>Quantitative and Qualitative Disclosures About Market Ris</w:t>
              </w:r>
              <w:r>
                <w:rPr>
                  <w:rStyle w:val="a4"/>
                  <w:sz w:val="20"/>
                  <w:szCs w:val="20"/>
                </w:rPr>
                <w:t>k</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7</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8</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8_financial_statements" w:history="1">
              <w:r>
                <w:rPr>
                  <w:rStyle w:val="a4"/>
                  <w:sz w:val="20"/>
                  <w:szCs w:val="20"/>
                </w:rPr>
                <w:t>Financial Statements and Supplementary Dat</w:t>
              </w:r>
              <w:r>
                <w:rPr>
                  <w:rStyle w:val="a4"/>
                  <w:sz w:val="20"/>
                  <w:szCs w:val="20"/>
                </w:rPr>
                <w:t>a</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9</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9_changes_in_disagreements_with_ac" w:history="1">
              <w:r>
                <w:rPr>
                  <w:rStyle w:val="a4"/>
                  <w:sz w:val="20"/>
                  <w:szCs w:val="20"/>
                </w:rPr>
                <w:t>Changes in and Disagreements with Accountants on Accounting and Financial Disclosure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4</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9A</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9a_controls_procedures" w:history="1">
              <w:r>
                <w:rPr>
                  <w:rStyle w:val="a4"/>
                  <w:sz w:val="20"/>
                  <w:szCs w:val="20"/>
                </w:rPr>
                <w:t>Controls and Procedure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4</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9B</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9b_or_information" w:history="1">
              <w:r>
                <w:rPr>
                  <w:rStyle w:val="a4"/>
                  <w:sz w:val="20"/>
                  <w:szCs w:val="20"/>
                </w:rPr>
                <w:t>Other Informatio</w:t>
              </w:r>
              <w:r>
                <w:rPr>
                  <w:rStyle w:val="a4"/>
                  <w:sz w:val="20"/>
                  <w:szCs w:val="20"/>
                </w:rPr>
                <w:t>n</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5</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9C</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9c" w:history="1">
              <w:r>
                <w:rPr>
                  <w:rStyle w:val="a4"/>
                  <w:sz w:val="20"/>
                  <w:szCs w:val="20"/>
                </w:rPr>
                <w:t>Disclosure Regarding Foreign Jurisdictions that Prevent Inspection</w:t>
              </w:r>
              <w:r>
                <w:rPr>
                  <w:rStyle w:val="a4"/>
                  <w:sz w:val="20"/>
                  <w:szCs w:val="20"/>
                </w:rPr>
                <w:t>s</w:t>
              </w:r>
              <w:r>
                <w:rPr>
                  <w:rStyle w:val="a4"/>
                  <w:sz w:val="20"/>
                  <w:szCs w:val="20"/>
                </w:rPr>
                <w:t xml:space="preserve"> </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5</w:t>
            </w:r>
          </w:p>
        </w:tc>
      </w:tr>
      <w:tr w:rsidR="00000000">
        <w:trPr>
          <w:tblCellSpacing w:w="15" w:type="dxa"/>
        </w:trPr>
        <w:tc>
          <w:tcPr>
            <w:tcW w:w="0" w:type="auto"/>
            <w:gridSpan w:val="3"/>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3"/>
            <w:hideMark/>
          </w:tcPr>
          <w:p w:rsidR="00000000" w:rsidRDefault="00A309A2">
            <w:pPr>
              <w:pStyle w:val="a3"/>
              <w:spacing w:before="0" w:beforeAutospacing="0" w:after="0" w:afterAutospacing="0"/>
              <w:jc w:val="center"/>
              <w:rPr>
                <w:sz w:val="20"/>
                <w:szCs w:val="20"/>
              </w:rPr>
            </w:pPr>
            <w:hyperlink w:anchor="part_iii" w:history="1">
              <w:r>
                <w:rPr>
                  <w:rStyle w:val="a4"/>
                  <w:b/>
                  <w:bCs/>
                  <w:sz w:val="20"/>
                  <w:szCs w:val="20"/>
                </w:rPr>
                <w:t>PART II</w:t>
              </w:r>
              <w:r>
                <w:rPr>
                  <w:rStyle w:val="a4"/>
                  <w:b/>
                  <w:bCs/>
                  <w:sz w:val="20"/>
                  <w:szCs w:val="20"/>
                </w:rPr>
                <w:t>I</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gridSpan w:val="3"/>
            <w:hideMark/>
          </w:tcPr>
          <w:p w:rsidR="00000000" w:rsidRDefault="00A309A2">
            <w:pPr>
              <w:pStyle w:val="a3"/>
              <w:spacing w:before="0" w:beforeAutospacing="0" w:after="0" w:afterAutospacing="0"/>
              <w:jc w:val="center"/>
              <w:rPr>
                <w:sz w:val="12"/>
                <w:szCs w:val="12"/>
              </w:rPr>
            </w:pPr>
            <w:r>
              <w:rPr>
                <w:sz w:val="12"/>
                <w:szCs w:val="12"/>
              </w:rPr>
              <w:t> </w:t>
            </w:r>
          </w:p>
        </w:tc>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10</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0_directors_executive_ficers_corp" w:history="1">
              <w:r>
                <w:rPr>
                  <w:rStyle w:val="a4"/>
                  <w:sz w:val="20"/>
                  <w:szCs w:val="20"/>
                </w:rPr>
                <w:t>Directors, Executive Officers and Corporate Governanc</w:t>
              </w:r>
              <w:r>
                <w:rPr>
                  <w:rStyle w:val="a4"/>
                  <w:sz w:val="20"/>
                  <w:szCs w:val="20"/>
                </w:rPr>
                <w:t>e</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6</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11</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1" w:history="1">
              <w:r>
                <w:rPr>
                  <w:rStyle w:val="a4"/>
                  <w:sz w:val="20"/>
                  <w:szCs w:val="20"/>
                </w:rPr>
                <w:t>Executive Compensatio</w:t>
              </w:r>
              <w:r>
                <w:rPr>
                  <w:rStyle w:val="a4"/>
                  <w:sz w:val="20"/>
                  <w:szCs w:val="20"/>
                </w:rPr>
                <w:t>n</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6</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12</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2_security_ownership_certain_bene" w:history="1">
              <w:r>
                <w:rPr>
                  <w:rStyle w:val="a4"/>
                  <w:sz w:val="20"/>
                  <w:szCs w:val="20"/>
                </w:rPr>
                <w:t>Security Ownership of Certain Beneficial Owners and Management and Related Stockholder Matter</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6</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13</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3_certain_relationships_related_t" w:history="1">
              <w:r>
                <w:rPr>
                  <w:rStyle w:val="a4"/>
                  <w:sz w:val="20"/>
                  <w:szCs w:val="20"/>
                </w:rPr>
                <w:t>Certain Relationships and Related Transactions, and Director Independenc</w:t>
              </w:r>
              <w:r>
                <w:rPr>
                  <w:rStyle w:val="a4"/>
                  <w:sz w:val="20"/>
                  <w:szCs w:val="20"/>
                </w:rPr>
                <w:t>e</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6</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14</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4_principal_accountant_fees_servi" w:history="1">
              <w:r>
                <w:rPr>
                  <w:rStyle w:val="a4"/>
                  <w:sz w:val="20"/>
                  <w:szCs w:val="20"/>
                </w:rPr>
                <w:t>Principal Accounting Fees and Service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6</w:t>
            </w:r>
          </w:p>
        </w:tc>
      </w:tr>
      <w:tr w:rsidR="00000000">
        <w:trPr>
          <w:tblCellSpacing w:w="15" w:type="dxa"/>
        </w:trPr>
        <w:tc>
          <w:tcPr>
            <w:tcW w:w="0" w:type="auto"/>
            <w:gridSpan w:val="3"/>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3"/>
            <w:hideMark/>
          </w:tcPr>
          <w:p w:rsidR="00000000" w:rsidRDefault="00A309A2">
            <w:pPr>
              <w:pStyle w:val="a3"/>
              <w:spacing w:before="0" w:beforeAutospacing="0" w:after="0" w:afterAutospacing="0"/>
              <w:jc w:val="center"/>
              <w:rPr>
                <w:sz w:val="20"/>
                <w:szCs w:val="20"/>
              </w:rPr>
            </w:pPr>
            <w:hyperlink w:anchor="part_iv" w:history="1">
              <w:r>
                <w:rPr>
                  <w:rStyle w:val="a4"/>
                  <w:b/>
                  <w:bCs/>
                  <w:sz w:val="20"/>
                  <w:szCs w:val="20"/>
                </w:rPr>
                <w:t>PART I</w:t>
              </w:r>
              <w:r>
                <w:rPr>
                  <w:rStyle w:val="a4"/>
                  <w:b/>
                  <w:bCs/>
                  <w:sz w:val="20"/>
                  <w:szCs w:val="20"/>
                </w:rPr>
                <w:t>V</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gridSpan w:val="3"/>
            <w:hideMark/>
          </w:tcPr>
          <w:p w:rsidR="00000000" w:rsidRDefault="00A309A2">
            <w:pPr>
              <w:pStyle w:val="a3"/>
              <w:spacing w:before="0" w:beforeAutospacing="0" w:after="0" w:afterAutospacing="0"/>
              <w:jc w:val="center"/>
              <w:rPr>
                <w:sz w:val="12"/>
                <w:szCs w:val="12"/>
              </w:rPr>
            </w:pPr>
            <w:r>
              <w:rPr>
                <w:sz w:val="12"/>
                <w:szCs w:val="12"/>
              </w:rPr>
              <w:t> </w:t>
            </w:r>
          </w:p>
        </w:tc>
        <w:tc>
          <w:tcPr>
            <w:tcW w:w="0" w:type="auto"/>
            <w:hideMark/>
          </w:tcPr>
          <w:p w:rsidR="00000000" w:rsidRDefault="00A309A2">
            <w:pPr>
              <w:pStyle w:val="a3"/>
              <w:spacing w:before="0" w:beforeAutospacing="0" w:after="0" w:afterAutospacing="0"/>
              <w:rPr>
                <w:sz w:val="12"/>
                <w:szCs w:val="12"/>
              </w:rPr>
            </w:pPr>
            <w:r>
              <w:rPr>
                <w:sz w:val="12"/>
                <w:szCs w:val="12"/>
              </w:rPr>
              <w:t> </w:t>
            </w:r>
          </w:p>
        </w:tc>
        <w:tc>
          <w:tcPr>
            <w:tcW w:w="0" w:type="auto"/>
            <w:vAlign w:val="bottom"/>
            <w:hideMark/>
          </w:tcPr>
          <w:p w:rsidR="00000000" w:rsidRDefault="00A309A2">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15</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5_exhibits_financial_statement_sc" w:history="1">
              <w:r>
                <w:rPr>
                  <w:rStyle w:val="a4"/>
                  <w:sz w:val="20"/>
                  <w:szCs w:val="20"/>
                </w:rPr>
                <w:t>Exhibits, Financial Statement Schedule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7</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ITEM 16</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hyperlink w:anchor="item_16_10k_summary" w:history="1">
              <w:r>
                <w:rPr>
                  <w:rStyle w:val="a4"/>
                  <w:sz w:val="20"/>
                  <w:szCs w:val="20"/>
                </w:rPr>
                <w:t>10-K Summar</w:t>
              </w:r>
              <w:r>
                <w:rPr>
                  <w:rStyle w:val="a4"/>
                  <w:sz w:val="20"/>
                  <w:szCs w:val="20"/>
                </w:rPr>
                <w:t>y</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7</w:t>
            </w:r>
          </w:p>
        </w:tc>
      </w:tr>
      <w:tr w:rsidR="00000000">
        <w:trPr>
          <w:trHeight w:val="200"/>
          <w:tblCellSpacing w:w="15" w:type="dxa"/>
        </w:trPr>
        <w:tc>
          <w:tcPr>
            <w:tcW w:w="0" w:type="auto"/>
            <w:gridSpan w:val="3"/>
            <w:hideMark/>
          </w:tcPr>
          <w:p w:rsidR="00000000" w:rsidRDefault="00A309A2">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1</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2</w:t>
      </w:r>
    </w:p>
    <w:p w:rsidR="00000000" w:rsidRDefault="00A309A2">
      <w:pPr>
        <w:rPr>
          <w:rFonts w:eastAsia="Times New Roman"/>
        </w:rPr>
      </w:pPr>
      <w:r>
        <w:rPr>
          <w:rFonts w:eastAsia="Times New Roman"/>
        </w:rPr>
        <w:pict>
          <v:rect id="_x0000_i102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SPECIAL NOTE REGARDING FORWARD-LOOKING STATEMENT</w:t>
      </w:r>
      <w:r>
        <w:rPr>
          <w:b/>
          <w:bCs/>
          <w:sz w:val="20"/>
          <w:szCs w:val="20"/>
        </w:rPr>
        <w:t>S</w:t>
      </w:r>
    </w:p>
    <w:p w:rsidR="00000000" w:rsidRDefault="00A309A2">
      <w:pPr>
        <w:pStyle w:val="a3"/>
        <w:spacing w:before="240" w:beforeAutospacing="0" w:after="0" w:afterAutospacing="0"/>
        <w:ind w:firstLine="555"/>
        <w:rPr>
          <w:sz w:val="20"/>
          <w:szCs w:val="20"/>
        </w:rPr>
      </w:pPr>
      <w:r>
        <w:rPr>
          <w:sz w:val="20"/>
          <w:szCs w:val="20"/>
        </w:rPr>
        <w:t xml:space="preserve">This Annual Report on Form 10-K contains forward-looking statements within the meaning of Section 27A of the Securities Act of 1933, as amended, and Section 21E of the </w:t>
      </w:r>
      <w:r>
        <w:rPr>
          <w:sz w:val="20"/>
          <w:szCs w:val="20"/>
        </w:rPr>
        <w:t>Securities Exchange Act of 1934, as amended, and these statements involve substantial risks and uncertainties. All statements other than statements of historical fact contained in this Annual Report on Form 10-K are forward-looking statements. Forward-look</w:t>
      </w:r>
      <w:r>
        <w:rPr>
          <w:sz w:val="20"/>
          <w:szCs w:val="20"/>
        </w:rPr>
        <w:t>ing statements generally relate to future events or our future financial or operating performance. In some cases, you can identify forward-looking statements because they contain words such as “may,” “should,” “expects,” “plans,” “anticipates,” “could,” “i</w:t>
      </w:r>
      <w:r>
        <w:rPr>
          <w:sz w:val="20"/>
          <w:szCs w:val="20"/>
        </w:rPr>
        <w:t>ntends,” “target,” “projects,” “contemplates,” “believes,” “estimates,” “predicts,” “potential” or “continue” or the negative of these words or other similar terms or expressions that concern our expectations, strategy, plans or intentions. Forward-looking</w:t>
      </w:r>
      <w:r>
        <w:rPr>
          <w:sz w:val="20"/>
          <w:szCs w:val="20"/>
        </w:rPr>
        <w:t xml:space="preserve"> statements contained in this Annual Report on Form 10-K include, but are not limited to, statements about</w:t>
      </w:r>
      <w:r>
        <w:rPr>
          <w:sz w:val="20"/>
          <w:szCs w:val="20"/>
        </w:rPr>
        <w:t>:</w:t>
      </w:r>
    </w:p>
    <w:p w:rsidR="00000000" w:rsidRDefault="00A309A2">
      <w:pPr>
        <w:divId w:val="345401570"/>
        <w:rPr>
          <w:rFonts w:eastAsia="Times New Roman"/>
        </w:rPr>
      </w:pPr>
      <w:r>
        <w:rPr>
          <w:rFonts w:eastAsia="Times New Roman"/>
          <w:sz w:val="20"/>
          <w:szCs w:val="20"/>
        </w:rPr>
        <w:t>•</w:t>
      </w:r>
    </w:p>
    <w:p w:rsidR="00000000" w:rsidRDefault="00A309A2">
      <w:pPr>
        <w:divId w:val="712461665"/>
        <w:rPr>
          <w:rFonts w:eastAsia="Times New Roman"/>
        </w:rPr>
      </w:pPr>
      <w:r>
        <w:rPr>
          <w:rFonts w:eastAsia="Times New Roman"/>
          <w:sz w:val="20"/>
          <w:szCs w:val="20"/>
        </w:rPr>
        <w:t>our future financial performance, including our expectations regarding our revenue, cost of revenue, gross margin and operating expenses</w:t>
      </w:r>
      <w:r>
        <w:rPr>
          <w:rFonts w:eastAsia="Times New Roman"/>
          <w:sz w:val="20"/>
          <w:szCs w:val="20"/>
        </w:rPr>
        <w:t>;</w:t>
      </w:r>
    </w:p>
    <w:p w:rsidR="00000000" w:rsidRDefault="00A309A2">
      <w:pPr>
        <w:divId w:val="1566255999"/>
        <w:rPr>
          <w:rFonts w:eastAsia="Times New Roman"/>
        </w:rPr>
      </w:pPr>
      <w:r>
        <w:rPr>
          <w:rFonts w:eastAsia="Times New Roman"/>
          <w:sz w:val="20"/>
          <w:szCs w:val="20"/>
        </w:rPr>
        <w:lastRenderedPageBreak/>
        <w:t>•</w:t>
      </w:r>
    </w:p>
    <w:p w:rsidR="00000000" w:rsidRDefault="00A309A2">
      <w:pPr>
        <w:divId w:val="1215502530"/>
        <w:rPr>
          <w:rFonts w:eastAsia="Times New Roman"/>
        </w:rPr>
      </w:pPr>
      <w:r>
        <w:rPr>
          <w:rFonts w:eastAsia="Times New Roman"/>
          <w:sz w:val="20"/>
          <w:szCs w:val="20"/>
        </w:rPr>
        <w:t>mainta</w:t>
      </w:r>
      <w:r>
        <w:rPr>
          <w:rFonts w:eastAsia="Times New Roman"/>
          <w:sz w:val="20"/>
          <w:szCs w:val="20"/>
        </w:rPr>
        <w:t>ining and expanding our customer base and increasing our average subscription revenue per customer</w:t>
      </w:r>
      <w:r>
        <w:rPr>
          <w:rFonts w:eastAsia="Times New Roman"/>
          <w:sz w:val="20"/>
          <w:szCs w:val="20"/>
        </w:rPr>
        <w:t>;</w:t>
      </w:r>
    </w:p>
    <w:p w:rsidR="00000000" w:rsidRDefault="00A309A2">
      <w:pPr>
        <w:divId w:val="902721561"/>
        <w:rPr>
          <w:rFonts w:eastAsia="Times New Roman"/>
        </w:rPr>
      </w:pPr>
      <w:r>
        <w:rPr>
          <w:rFonts w:eastAsia="Times New Roman"/>
          <w:sz w:val="20"/>
          <w:szCs w:val="20"/>
        </w:rPr>
        <w:t>•</w:t>
      </w:r>
    </w:p>
    <w:p w:rsidR="00000000" w:rsidRDefault="00A309A2">
      <w:pPr>
        <w:divId w:val="1115559572"/>
        <w:rPr>
          <w:rFonts w:eastAsia="Times New Roman"/>
        </w:rPr>
      </w:pPr>
      <w:r>
        <w:rPr>
          <w:rFonts w:eastAsia="Times New Roman"/>
          <w:sz w:val="20"/>
          <w:szCs w:val="20"/>
        </w:rPr>
        <w:t>the impact of competition in our industry and innovation by our competitors</w:t>
      </w:r>
      <w:r>
        <w:rPr>
          <w:rFonts w:eastAsia="Times New Roman"/>
          <w:sz w:val="20"/>
          <w:szCs w:val="20"/>
        </w:rPr>
        <w:t>;</w:t>
      </w:r>
    </w:p>
    <w:p w:rsidR="00000000" w:rsidRDefault="00A309A2">
      <w:pPr>
        <w:divId w:val="1274820431"/>
        <w:rPr>
          <w:rFonts w:eastAsia="Times New Roman"/>
        </w:rPr>
      </w:pPr>
      <w:r>
        <w:rPr>
          <w:rFonts w:eastAsia="Times New Roman"/>
          <w:sz w:val="20"/>
          <w:szCs w:val="20"/>
        </w:rPr>
        <w:t>•</w:t>
      </w:r>
    </w:p>
    <w:p w:rsidR="00000000" w:rsidRDefault="00A309A2">
      <w:pPr>
        <w:divId w:val="606615918"/>
        <w:rPr>
          <w:rFonts w:eastAsia="Times New Roman"/>
        </w:rPr>
      </w:pPr>
      <w:r>
        <w:rPr>
          <w:rFonts w:eastAsia="Times New Roman"/>
          <w:sz w:val="20"/>
          <w:szCs w:val="20"/>
        </w:rPr>
        <w:t>our anticipated growth and expectations regarding our ability to manage our</w:t>
      </w:r>
      <w:r>
        <w:rPr>
          <w:rFonts w:eastAsia="Times New Roman"/>
          <w:sz w:val="20"/>
          <w:szCs w:val="20"/>
        </w:rPr>
        <w:t xml:space="preserve"> future growth</w:t>
      </w:r>
      <w:r>
        <w:rPr>
          <w:rFonts w:eastAsia="Times New Roman"/>
          <w:sz w:val="20"/>
          <w:szCs w:val="20"/>
        </w:rPr>
        <w:t>;</w:t>
      </w:r>
    </w:p>
    <w:p w:rsidR="00000000" w:rsidRDefault="00A309A2">
      <w:pPr>
        <w:divId w:val="1629970369"/>
        <w:rPr>
          <w:rFonts w:eastAsia="Times New Roman"/>
        </w:rPr>
      </w:pPr>
      <w:r>
        <w:rPr>
          <w:rFonts w:eastAsia="Times New Roman"/>
          <w:sz w:val="20"/>
          <w:szCs w:val="20"/>
        </w:rPr>
        <w:t>•</w:t>
      </w:r>
    </w:p>
    <w:p w:rsidR="00000000" w:rsidRDefault="00A309A2">
      <w:pPr>
        <w:divId w:val="1929387693"/>
        <w:rPr>
          <w:rFonts w:eastAsia="Times New Roman"/>
        </w:rPr>
      </w:pPr>
      <w:r>
        <w:rPr>
          <w:rFonts w:eastAsia="Times New Roman"/>
          <w:sz w:val="20"/>
          <w:szCs w:val="20"/>
        </w:rPr>
        <w:t>our expectations regarding the potential impact of the COVID-19 pandemic on our business, operations, and the markets in which we and our partners and customers operate</w:t>
      </w:r>
      <w:r>
        <w:rPr>
          <w:rFonts w:eastAsia="Times New Roman"/>
          <w:sz w:val="20"/>
          <w:szCs w:val="20"/>
        </w:rPr>
        <w:t>;</w:t>
      </w:r>
      <w:r>
        <w:rPr>
          <w:rFonts w:eastAsia="Times New Roman"/>
          <w:sz w:val="20"/>
          <w:szCs w:val="20"/>
        </w:rPr>
        <w:t xml:space="preserve"> </w:t>
      </w:r>
    </w:p>
    <w:p w:rsidR="00000000" w:rsidRDefault="00A309A2">
      <w:pPr>
        <w:divId w:val="1208645611"/>
        <w:rPr>
          <w:rFonts w:eastAsia="Times New Roman"/>
        </w:rPr>
      </w:pPr>
      <w:r>
        <w:rPr>
          <w:rFonts w:eastAsia="Times New Roman"/>
          <w:sz w:val="20"/>
          <w:szCs w:val="20"/>
        </w:rPr>
        <w:t>•</w:t>
      </w:r>
    </w:p>
    <w:p w:rsidR="00000000" w:rsidRDefault="00A309A2">
      <w:pPr>
        <w:divId w:val="425928999"/>
        <w:rPr>
          <w:rFonts w:eastAsia="Times New Roman"/>
        </w:rPr>
      </w:pPr>
      <w:r>
        <w:rPr>
          <w:rFonts w:eastAsia="Times New Roman"/>
          <w:sz w:val="20"/>
          <w:szCs w:val="20"/>
        </w:rPr>
        <w:t>our anticipated areas of investments, including sales and marketi</w:t>
      </w:r>
      <w:r>
        <w:rPr>
          <w:rFonts w:eastAsia="Times New Roman"/>
          <w:sz w:val="20"/>
          <w:szCs w:val="20"/>
        </w:rPr>
        <w:t>ng, research and development, customer service and support, data center infrastructure and service capabilities, and expectations relating to such investments</w:t>
      </w:r>
      <w:r>
        <w:rPr>
          <w:rFonts w:eastAsia="Times New Roman"/>
          <w:sz w:val="20"/>
          <w:szCs w:val="20"/>
        </w:rPr>
        <w:t>;</w:t>
      </w:r>
    </w:p>
    <w:p w:rsidR="00000000" w:rsidRDefault="00A309A2">
      <w:pPr>
        <w:divId w:val="1507742907"/>
        <w:rPr>
          <w:rFonts w:eastAsia="Times New Roman"/>
        </w:rPr>
      </w:pPr>
      <w:r>
        <w:rPr>
          <w:rFonts w:eastAsia="Times New Roman"/>
          <w:sz w:val="20"/>
          <w:szCs w:val="20"/>
        </w:rPr>
        <w:t>•</w:t>
      </w:r>
    </w:p>
    <w:p w:rsidR="00000000" w:rsidRDefault="00A309A2">
      <w:pPr>
        <w:divId w:val="733814852"/>
        <w:rPr>
          <w:rFonts w:eastAsia="Times New Roman"/>
        </w:rPr>
      </w:pPr>
      <w:r>
        <w:rPr>
          <w:rFonts w:eastAsia="Times New Roman"/>
          <w:sz w:val="20"/>
          <w:szCs w:val="20"/>
        </w:rPr>
        <w:t>our predictions about industry and market trends</w:t>
      </w:r>
      <w:r>
        <w:rPr>
          <w:rFonts w:eastAsia="Times New Roman"/>
          <w:sz w:val="20"/>
          <w:szCs w:val="20"/>
        </w:rPr>
        <w:t>;</w:t>
      </w:r>
    </w:p>
    <w:p w:rsidR="00000000" w:rsidRDefault="00A309A2">
      <w:pPr>
        <w:divId w:val="1032532155"/>
        <w:rPr>
          <w:rFonts w:eastAsia="Times New Roman"/>
        </w:rPr>
      </w:pPr>
      <w:r>
        <w:rPr>
          <w:rFonts w:eastAsia="Times New Roman"/>
          <w:sz w:val="20"/>
          <w:szCs w:val="20"/>
        </w:rPr>
        <w:t>•</w:t>
      </w:r>
    </w:p>
    <w:p w:rsidR="00000000" w:rsidRDefault="00A309A2">
      <w:pPr>
        <w:divId w:val="542794810"/>
        <w:rPr>
          <w:rFonts w:eastAsia="Times New Roman"/>
        </w:rPr>
      </w:pPr>
      <w:r>
        <w:rPr>
          <w:rFonts w:eastAsia="Times New Roman"/>
          <w:sz w:val="20"/>
          <w:szCs w:val="20"/>
        </w:rPr>
        <w:t xml:space="preserve">our ability to anticipate and address the </w:t>
      </w:r>
      <w:r>
        <w:rPr>
          <w:rFonts w:eastAsia="Times New Roman"/>
          <w:sz w:val="20"/>
          <w:szCs w:val="20"/>
        </w:rPr>
        <w:t>evolution of technology and the technological needs of our customers, to roll-out upgrades to our existing software platform and to develop new and enhanced applications to meet the needs of our customers</w:t>
      </w:r>
      <w:r>
        <w:rPr>
          <w:rFonts w:eastAsia="Times New Roman"/>
          <w:sz w:val="20"/>
          <w:szCs w:val="20"/>
        </w:rPr>
        <w:t>;</w:t>
      </w:r>
    </w:p>
    <w:p w:rsidR="00000000" w:rsidRDefault="00A309A2">
      <w:pPr>
        <w:divId w:val="1463616828"/>
        <w:rPr>
          <w:rFonts w:eastAsia="Times New Roman"/>
        </w:rPr>
      </w:pPr>
      <w:r>
        <w:rPr>
          <w:rFonts w:eastAsia="Times New Roman"/>
          <w:sz w:val="20"/>
          <w:szCs w:val="20"/>
        </w:rPr>
        <w:t>•</w:t>
      </w:r>
    </w:p>
    <w:p w:rsidR="00000000" w:rsidRDefault="00A309A2">
      <w:pPr>
        <w:divId w:val="415635193"/>
        <w:rPr>
          <w:rFonts w:eastAsia="Times New Roman"/>
        </w:rPr>
      </w:pPr>
      <w:r>
        <w:rPr>
          <w:rFonts w:eastAsia="Times New Roman"/>
          <w:sz w:val="20"/>
          <w:szCs w:val="20"/>
        </w:rPr>
        <w:t>our ability to maintain our brand and inbound marketing, selling and servicing thought leadership position</w:t>
      </w:r>
      <w:r>
        <w:rPr>
          <w:rFonts w:eastAsia="Times New Roman"/>
          <w:sz w:val="20"/>
          <w:szCs w:val="20"/>
        </w:rPr>
        <w:t>;</w:t>
      </w:r>
    </w:p>
    <w:p w:rsidR="00000000" w:rsidRDefault="00A309A2">
      <w:pPr>
        <w:divId w:val="654191108"/>
        <w:rPr>
          <w:rFonts w:eastAsia="Times New Roman"/>
        </w:rPr>
      </w:pPr>
      <w:r>
        <w:rPr>
          <w:rFonts w:eastAsia="Times New Roman"/>
          <w:sz w:val="20"/>
          <w:szCs w:val="20"/>
        </w:rPr>
        <w:t>•</w:t>
      </w:r>
    </w:p>
    <w:p w:rsidR="00000000" w:rsidRDefault="00A309A2">
      <w:pPr>
        <w:divId w:val="1474828624"/>
        <w:rPr>
          <w:rFonts w:eastAsia="Times New Roman"/>
        </w:rPr>
      </w:pPr>
      <w:r>
        <w:rPr>
          <w:rFonts w:eastAsia="Times New Roman"/>
          <w:sz w:val="20"/>
          <w:szCs w:val="20"/>
        </w:rPr>
        <w:t>the impact of our corporate culture and our ability to attract, hire and retain necessary qualified employees to expand our operations</w:t>
      </w:r>
      <w:r>
        <w:rPr>
          <w:rFonts w:eastAsia="Times New Roman"/>
          <w:sz w:val="20"/>
          <w:szCs w:val="20"/>
        </w:rPr>
        <w:t>;</w:t>
      </w:r>
    </w:p>
    <w:p w:rsidR="00000000" w:rsidRDefault="00A309A2">
      <w:pPr>
        <w:divId w:val="1247809109"/>
        <w:rPr>
          <w:rFonts w:eastAsia="Times New Roman"/>
        </w:rPr>
      </w:pPr>
      <w:r>
        <w:rPr>
          <w:rFonts w:eastAsia="Times New Roman"/>
          <w:sz w:val="20"/>
          <w:szCs w:val="20"/>
        </w:rPr>
        <w:t>•</w:t>
      </w:r>
    </w:p>
    <w:p w:rsidR="00000000" w:rsidRDefault="00A309A2">
      <w:pPr>
        <w:divId w:val="1944261762"/>
        <w:rPr>
          <w:rFonts w:eastAsia="Times New Roman"/>
        </w:rPr>
      </w:pPr>
      <w:r>
        <w:rPr>
          <w:rFonts w:eastAsia="Times New Roman"/>
          <w:sz w:val="20"/>
          <w:szCs w:val="20"/>
        </w:rPr>
        <w:t>the anticipated effect on our business of litigation to which we are or may become a party</w:t>
      </w:r>
      <w:r>
        <w:rPr>
          <w:rFonts w:eastAsia="Times New Roman"/>
          <w:sz w:val="20"/>
          <w:szCs w:val="20"/>
        </w:rPr>
        <w:t>;</w:t>
      </w:r>
    </w:p>
    <w:p w:rsidR="00000000" w:rsidRDefault="00A309A2">
      <w:pPr>
        <w:divId w:val="394818379"/>
        <w:rPr>
          <w:rFonts w:eastAsia="Times New Roman"/>
        </w:rPr>
      </w:pPr>
      <w:r>
        <w:rPr>
          <w:rFonts w:eastAsia="Times New Roman"/>
          <w:sz w:val="20"/>
          <w:szCs w:val="20"/>
        </w:rPr>
        <w:t>•</w:t>
      </w:r>
    </w:p>
    <w:p w:rsidR="00000000" w:rsidRDefault="00A309A2">
      <w:pPr>
        <w:divId w:val="1395080070"/>
        <w:rPr>
          <w:rFonts w:eastAsia="Times New Roman"/>
        </w:rPr>
      </w:pPr>
      <w:r>
        <w:rPr>
          <w:rFonts w:eastAsia="Times New Roman"/>
          <w:sz w:val="20"/>
          <w:szCs w:val="20"/>
        </w:rPr>
        <w:t>our ability to successfu</w:t>
      </w:r>
      <w:r>
        <w:rPr>
          <w:rFonts w:eastAsia="Times New Roman"/>
          <w:sz w:val="20"/>
          <w:szCs w:val="20"/>
        </w:rPr>
        <w:t>lly acquire and integrate companies and assets</w:t>
      </w:r>
      <w:r>
        <w:rPr>
          <w:rFonts w:eastAsia="Times New Roman"/>
          <w:sz w:val="20"/>
          <w:szCs w:val="20"/>
        </w:rPr>
        <w:t>;</w:t>
      </w:r>
    </w:p>
    <w:p w:rsidR="00000000" w:rsidRDefault="00A309A2">
      <w:pPr>
        <w:divId w:val="386034683"/>
        <w:rPr>
          <w:rFonts w:eastAsia="Times New Roman"/>
        </w:rPr>
      </w:pPr>
      <w:r>
        <w:rPr>
          <w:rFonts w:eastAsia="Times New Roman"/>
          <w:sz w:val="20"/>
          <w:szCs w:val="20"/>
        </w:rPr>
        <w:t>•</w:t>
      </w:r>
    </w:p>
    <w:p w:rsidR="00000000" w:rsidRDefault="00A309A2">
      <w:pPr>
        <w:divId w:val="602222649"/>
        <w:rPr>
          <w:rFonts w:eastAsia="Times New Roman"/>
        </w:rPr>
      </w:pPr>
      <w:r>
        <w:rPr>
          <w:rFonts w:eastAsia="Times New Roman"/>
          <w:sz w:val="20"/>
          <w:szCs w:val="20"/>
        </w:rPr>
        <w:t>our plans regarding declaring or paying cash dividends in the foreseeable future; an</w:t>
      </w:r>
      <w:r>
        <w:rPr>
          <w:rFonts w:eastAsia="Times New Roman"/>
          <w:sz w:val="20"/>
          <w:szCs w:val="20"/>
        </w:rPr>
        <w:t>d</w:t>
      </w:r>
    </w:p>
    <w:p w:rsidR="00000000" w:rsidRDefault="00A309A2">
      <w:pPr>
        <w:divId w:val="623075057"/>
        <w:rPr>
          <w:rFonts w:eastAsia="Times New Roman"/>
        </w:rPr>
      </w:pPr>
      <w:r>
        <w:rPr>
          <w:rFonts w:eastAsia="Times New Roman"/>
          <w:sz w:val="20"/>
          <w:szCs w:val="20"/>
        </w:rPr>
        <w:t>•</w:t>
      </w:r>
    </w:p>
    <w:p w:rsidR="00000000" w:rsidRDefault="00A309A2">
      <w:pPr>
        <w:divId w:val="432015131"/>
        <w:rPr>
          <w:rFonts w:eastAsia="Times New Roman"/>
        </w:rPr>
      </w:pPr>
      <w:r>
        <w:rPr>
          <w:rFonts w:eastAsia="Times New Roman"/>
          <w:sz w:val="20"/>
          <w:szCs w:val="20"/>
        </w:rPr>
        <w:t>our ability to stay abreast of new or modified laws and regulations that currently apply or become applicable to our b</w:t>
      </w:r>
      <w:r>
        <w:rPr>
          <w:rFonts w:eastAsia="Times New Roman"/>
          <w:sz w:val="20"/>
          <w:szCs w:val="20"/>
        </w:rPr>
        <w:t>usiness both in the United States and internationally</w:t>
      </w:r>
      <w:r>
        <w:rPr>
          <w:rFonts w:eastAsia="Times New Roman"/>
          <w:sz w:val="20"/>
          <w:szCs w:val="20"/>
        </w:rPr>
        <w:t>.</w:t>
      </w:r>
    </w:p>
    <w:p w:rsidR="00000000" w:rsidRDefault="00A309A2">
      <w:pPr>
        <w:pStyle w:val="a3"/>
        <w:spacing w:before="240" w:beforeAutospacing="0" w:after="0" w:afterAutospacing="0"/>
        <w:jc w:val="center"/>
        <w:rPr>
          <w:sz w:val="20"/>
          <w:szCs w:val="20"/>
        </w:rPr>
      </w:pPr>
      <w:r>
        <w:rPr>
          <w:sz w:val="20"/>
          <w:szCs w:val="20"/>
        </w:rPr>
        <w:t>1</w:t>
      </w:r>
    </w:p>
    <w:p w:rsidR="00000000" w:rsidRDefault="00A309A2">
      <w:pPr>
        <w:rPr>
          <w:rFonts w:eastAsia="Times New Roman"/>
        </w:rPr>
      </w:pPr>
      <w:r>
        <w:rPr>
          <w:rFonts w:eastAsia="Times New Roman"/>
        </w:rPr>
        <w:pict>
          <v:rect id="_x0000_i102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We caution you that the foregoing list may not contain all of the forward-looking statements made in this Annual Report on Form 10-K</w:t>
      </w:r>
      <w:r>
        <w:rPr>
          <w:sz w:val="20"/>
          <w:szCs w:val="20"/>
        </w:rPr>
        <w:t>.</w:t>
      </w:r>
    </w:p>
    <w:p w:rsidR="00000000" w:rsidRDefault="00A309A2">
      <w:pPr>
        <w:pStyle w:val="a3"/>
        <w:spacing w:before="240" w:beforeAutospacing="0" w:after="0" w:afterAutospacing="0"/>
        <w:ind w:firstLine="555"/>
        <w:rPr>
          <w:sz w:val="20"/>
          <w:szCs w:val="20"/>
        </w:rPr>
      </w:pPr>
      <w:r>
        <w:rPr>
          <w:sz w:val="20"/>
          <w:szCs w:val="20"/>
        </w:rPr>
        <w:t>You should not rely upon f</w:t>
      </w:r>
      <w:r>
        <w:rPr>
          <w:sz w:val="20"/>
          <w:szCs w:val="20"/>
        </w:rPr>
        <w:t>orward-looking statements as predictions of future events. We have based the forward-looking statements contained in this Annual Report on Form 10-K primarily on our current expectations and projections about future events and trends that we believe may af</w:t>
      </w:r>
      <w:r>
        <w:rPr>
          <w:sz w:val="20"/>
          <w:szCs w:val="20"/>
        </w:rPr>
        <w:t>fect our business, financial condition, results of operations and prospects. The outcome of the events described in these forward-looking statements is subject to risks, uncertainties and other factors described in “Risk Factors” and elsewhere in this Annu</w:t>
      </w:r>
      <w:r>
        <w:rPr>
          <w:sz w:val="20"/>
          <w:szCs w:val="20"/>
        </w:rPr>
        <w:t>al Report on Form 10-K. Moreover, we operate in a very competitive and rapidly changing environment. New risks and uncertainties emerge from time to time, and it is not possible for us to predict all risks and uncertainties that could have an impact on the</w:t>
      </w:r>
      <w:r>
        <w:rPr>
          <w:sz w:val="20"/>
          <w:szCs w:val="20"/>
        </w:rPr>
        <w:t xml:space="preserve"> forward-looking statements contained in this Annual Report on Form 10-K. The results, events and circumstances reflected in the forward-looking statements may not be achieved or occur, and actual </w:t>
      </w:r>
      <w:r>
        <w:rPr>
          <w:sz w:val="20"/>
          <w:szCs w:val="20"/>
        </w:rPr>
        <w:lastRenderedPageBreak/>
        <w:t>results, events or circumstances could differ materially fr</w:t>
      </w:r>
      <w:r>
        <w:rPr>
          <w:sz w:val="20"/>
          <w:szCs w:val="20"/>
        </w:rPr>
        <w:t>om those described in the forward-looking statements</w:t>
      </w:r>
      <w:r>
        <w:rPr>
          <w:sz w:val="20"/>
          <w:szCs w:val="20"/>
        </w:rPr>
        <w:t>.</w:t>
      </w:r>
    </w:p>
    <w:p w:rsidR="00000000" w:rsidRDefault="00A309A2">
      <w:pPr>
        <w:pStyle w:val="a3"/>
        <w:spacing w:before="240" w:beforeAutospacing="0" w:after="0" w:afterAutospacing="0"/>
        <w:ind w:firstLine="555"/>
        <w:rPr>
          <w:sz w:val="20"/>
          <w:szCs w:val="20"/>
        </w:rPr>
      </w:pPr>
      <w:r>
        <w:rPr>
          <w:sz w:val="20"/>
          <w:szCs w:val="20"/>
        </w:rPr>
        <w:t>The forward-looking statements made in this Annual Report on Form 10-K relate only to events as of the date on which the statements are made. We undertake no obligation to update any forward-looking sta</w:t>
      </w:r>
      <w:r>
        <w:rPr>
          <w:sz w:val="20"/>
          <w:szCs w:val="20"/>
        </w:rPr>
        <w:t>tements made in this Annual Report on Form 10-K to reflect events or circumstances after the date of this Annual Report on Form 10-K or to reflect new information or the occurrence of unanticipated events, except as required by law</w:t>
      </w:r>
      <w:r>
        <w:rPr>
          <w:sz w:val="20"/>
          <w:szCs w:val="20"/>
        </w:rPr>
        <w:t>.</w:t>
      </w:r>
    </w:p>
    <w:p w:rsidR="00000000" w:rsidRDefault="00A309A2">
      <w:pPr>
        <w:pStyle w:val="a3"/>
        <w:spacing w:before="240" w:beforeAutospacing="0" w:after="0" w:afterAutospacing="0"/>
        <w:ind w:firstLine="555"/>
        <w:rPr>
          <w:sz w:val="20"/>
          <w:szCs w:val="20"/>
        </w:rPr>
      </w:pPr>
      <w:r>
        <w:rPr>
          <w:sz w:val="20"/>
          <w:szCs w:val="20"/>
        </w:rPr>
        <w:t>We may not actually ach</w:t>
      </w:r>
      <w:r>
        <w:rPr>
          <w:sz w:val="20"/>
          <w:szCs w:val="20"/>
        </w:rPr>
        <w:t>ieve the plans, intentions or expectations disclosed in our forward-looking statements and you should not place undue reliance on our forward-looking statements. Our forward-looking statements do not reflect the potential impact of any future acquisitions,</w:t>
      </w:r>
      <w:r>
        <w:rPr>
          <w:sz w:val="20"/>
          <w:szCs w:val="20"/>
        </w:rPr>
        <w:t xml:space="preserve"> mergers, dispositions, joint ventures, or investments we may make</w:t>
      </w:r>
      <w:r>
        <w:rPr>
          <w:sz w:val="20"/>
          <w:szCs w:val="20"/>
        </w:rPr>
        <w:t>.</w:t>
      </w:r>
    </w:p>
    <w:p w:rsidR="00000000" w:rsidRDefault="00A309A2">
      <w:pPr>
        <w:pStyle w:val="a3"/>
        <w:spacing w:before="240" w:beforeAutospacing="0" w:after="0" w:afterAutospacing="0"/>
        <w:ind w:firstLine="555"/>
        <w:rPr>
          <w:sz w:val="20"/>
          <w:szCs w:val="20"/>
        </w:rPr>
      </w:pPr>
      <w:r>
        <w:rPr>
          <w:sz w:val="20"/>
          <w:szCs w:val="20"/>
        </w:rPr>
        <w:t>In this Annual Report on Form 10-K, the terms “HubSpot,” “we,” “us,” and “our” refer to HubSpot, Inc. and its subsidiaries, unless the context indicates otherwise</w:t>
      </w:r>
      <w:r>
        <w:rPr>
          <w:sz w:val="20"/>
          <w:szCs w:val="20"/>
        </w:rPr>
        <w:t>.</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2</w:t>
      </w:r>
    </w:p>
    <w:p w:rsidR="00000000" w:rsidRDefault="00A309A2">
      <w:pPr>
        <w:rPr>
          <w:rFonts w:eastAsia="Times New Roman"/>
        </w:rPr>
      </w:pPr>
      <w:r>
        <w:rPr>
          <w:rFonts w:eastAsia="Times New Roman"/>
        </w:rPr>
        <w:pict>
          <v:rect id="_x0000_i102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120" w:beforeAutospacing="0" w:after="0" w:afterAutospacing="0"/>
        <w:rPr>
          <w:sz w:val="20"/>
          <w:szCs w:val="20"/>
        </w:rPr>
      </w:pPr>
      <w:r>
        <w:rPr>
          <w:b/>
          <w:bCs/>
          <w:sz w:val="20"/>
          <w:szCs w:val="20"/>
        </w:rPr>
        <w:t>Risk Factor Summar</w:t>
      </w:r>
      <w:r>
        <w:rPr>
          <w:b/>
          <w:bCs/>
          <w:sz w:val="20"/>
          <w:szCs w:val="20"/>
        </w:rPr>
        <w:t>y</w:t>
      </w:r>
      <w:r>
        <w:rPr>
          <w:b/>
          <w:bCs/>
          <w:sz w:val="20"/>
          <w:szCs w:val="20"/>
        </w:rPr>
        <w:t xml:space="preserve"> </w:t>
      </w:r>
    </w:p>
    <w:p w:rsidR="00000000" w:rsidRDefault="00A309A2">
      <w:pPr>
        <w:pStyle w:val="a3"/>
        <w:spacing w:before="120" w:beforeAutospacing="0" w:after="0" w:afterAutospacing="0"/>
        <w:ind w:firstLine="555"/>
        <w:rPr>
          <w:sz w:val="20"/>
          <w:szCs w:val="20"/>
        </w:rPr>
      </w:pPr>
      <w:r>
        <w:rPr>
          <w:i/>
          <w:iCs/>
          <w:sz w:val="20"/>
          <w:szCs w:val="20"/>
        </w:rPr>
        <w:t>The risk factors detailed in Item 1A entitled “Risk Factors” in this Annual Report on Form 10-K are the risks that we believe are material to our investors and a reader should carefully con</w:t>
      </w:r>
      <w:r>
        <w:rPr>
          <w:i/>
          <w:iCs/>
          <w:sz w:val="20"/>
          <w:szCs w:val="20"/>
        </w:rPr>
        <w:t>sider them. Those risks are not all of the risks we face and other factors not presently known to us or that we currently believe are immaterial may also affect our business if they occur. The following is a summary of the risk factors detailed in Item 1A</w:t>
      </w:r>
      <w:r>
        <w:rPr>
          <w:i/>
          <w:iCs/>
          <w:sz w:val="20"/>
          <w:szCs w:val="20"/>
        </w:rPr>
        <w:t>:</w:t>
      </w:r>
    </w:p>
    <w:p w:rsidR="00000000" w:rsidRDefault="00A309A2">
      <w:pPr>
        <w:divId w:val="1822192151"/>
        <w:rPr>
          <w:rFonts w:eastAsia="Times New Roman"/>
        </w:rPr>
      </w:pPr>
      <w:r>
        <w:rPr>
          <w:rFonts w:eastAsia="Times New Roman"/>
          <w:sz w:val="20"/>
          <w:szCs w:val="20"/>
        </w:rPr>
        <w:t>•</w:t>
      </w:r>
    </w:p>
    <w:p w:rsidR="00000000" w:rsidRDefault="00A309A2">
      <w:pPr>
        <w:divId w:val="1842504323"/>
        <w:rPr>
          <w:rFonts w:eastAsia="Times New Roman"/>
        </w:rPr>
      </w:pPr>
      <w:r>
        <w:rPr>
          <w:rFonts w:eastAsia="Times New Roman"/>
          <w:sz w:val="20"/>
          <w:szCs w:val="20"/>
        </w:rPr>
        <w:t>We are dependent upon customer renewals, the addition of new customers, increased revenue from existing customers and the continued growth of the market for a CRM Platform</w:t>
      </w:r>
      <w:r>
        <w:rPr>
          <w:rFonts w:eastAsia="Times New Roman"/>
          <w:sz w:val="20"/>
          <w:szCs w:val="20"/>
        </w:rPr>
        <w:t>.</w:t>
      </w:r>
    </w:p>
    <w:p w:rsidR="00000000" w:rsidRDefault="00A309A2">
      <w:pPr>
        <w:divId w:val="226231433"/>
        <w:rPr>
          <w:rFonts w:eastAsia="Times New Roman"/>
        </w:rPr>
      </w:pPr>
      <w:r>
        <w:rPr>
          <w:rFonts w:eastAsia="Times New Roman"/>
          <w:sz w:val="20"/>
          <w:szCs w:val="20"/>
        </w:rPr>
        <w:lastRenderedPageBreak/>
        <w:t>•</w:t>
      </w:r>
    </w:p>
    <w:p w:rsidR="00000000" w:rsidRDefault="00A309A2">
      <w:pPr>
        <w:divId w:val="170612686"/>
        <w:rPr>
          <w:rFonts w:eastAsia="Times New Roman"/>
        </w:rPr>
      </w:pPr>
      <w:r>
        <w:rPr>
          <w:rFonts w:eastAsia="Times New Roman"/>
          <w:sz w:val="20"/>
          <w:szCs w:val="20"/>
        </w:rPr>
        <w:t>We face significant competition from both established and new companies offeri</w:t>
      </w:r>
      <w:r>
        <w:rPr>
          <w:rFonts w:eastAsia="Times New Roman"/>
          <w:sz w:val="20"/>
          <w:szCs w:val="20"/>
        </w:rPr>
        <w:t>ng marketing, sales and customer service software and other related applications, as well as internally developed software, which may harm our ability to add new customers, retain existing customers and grow our business</w:t>
      </w:r>
      <w:r>
        <w:rPr>
          <w:rFonts w:eastAsia="Times New Roman"/>
          <w:sz w:val="20"/>
          <w:szCs w:val="20"/>
        </w:rPr>
        <w:t>.</w:t>
      </w:r>
    </w:p>
    <w:p w:rsidR="00000000" w:rsidRDefault="00A309A2">
      <w:pPr>
        <w:divId w:val="902832484"/>
        <w:rPr>
          <w:rFonts w:eastAsia="Times New Roman"/>
        </w:rPr>
      </w:pPr>
      <w:r>
        <w:rPr>
          <w:rFonts w:eastAsia="Times New Roman"/>
          <w:sz w:val="20"/>
          <w:szCs w:val="20"/>
        </w:rPr>
        <w:t>•</w:t>
      </w:r>
    </w:p>
    <w:p w:rsidR="00000000" w:rsidRDefault="00A309A2">
      <w:pPr>
        <w:divId w:val="2057005605"/>
        <w:rPr>
          <w:rFonts w:eastAsia="Times New Roman"/>
        </w:rPr>
      </w:pPr>
      <w:r>
        <w:rPr>
          <w:rFonts w:eastAsia="Times New Roman"/>
          <w:sz w:val="20"/>
          <w:szCs w:val="20"/>
        </w:rPr>
        <w:t>Failure to effectively develop a</w:t>
      </w:r>
      <w:r>
        <w:rPr>
          <w:rFonts w:eastAsia="Times New Roman"/>
          <w:sz w:val="20"/>
          <w:szCs w:val="20"/>
        </w:rPr>
        <w:t>nd expand our marketing, sales, customer service, operations, and content management capabilities could harm our ability to increase our customer base and achieve broader market acceptance of our platform</w:t>
      </w:r>
      <w:r>
        <w:rPr>
          <w:rFonts w:eastAsia="Times New Roman"/>
          <w:sz w:val="20"/>
          <w:szCs w:val="20"/>
        </w:rPr>
        <w:t>.</w:t>
      </w:r>
    </w:p>
    <w:p w:rsidR="00000000" w:rsidRDefault="00A309A2">
      <w:pPr>
        <w:divId w:val="1188715116"/>
        <w:rPr>
          <w:rFonts w:eastAsia="Times New Roman"/>
        </w:rPr>
      </w:pPr>
      <w:r>
        <w:rPr>
          <w:rFonts w:eastAsia="Times New Roman"/>
          <w:sz w:val="20"/>
          <w:szCs w:val="20"/>
        </w:rPr>
        <w:t>•</w:t>
      </w:r>
    </w:p>
    <w:p w:rsidR="00000000" w:rsidRDefault="00A309A2">
      <w:pPr>
        <w:divId w:val="2044742433"/>
        <w:rPr>
          <w:rFonts w:eastAsia="Times New Roman"/>
        </w:rPr>
      </w:pPr>
      <w:r>
        <w:rPr>
          <w:rFonts w:eastAsia="Times New Roman"/>
          <w:sz w:val="20"/>
          <w:szCs w:val="20"/>
        </w:rPr>
        <w:t>If we fail to adapt and respond effectively to r</w:t>
      </w:r>
      <w:r>
        <w:rPr>
          <w:rFonts w:eastAsia="Times New Roman"/>
          <w:sz w:val="20"/>
          <w:szCs w:val="20"/>
        </w:rPr>
        <w:t>apidly changing technology, evolving industry standards and changing customer needs or requirements, our CRM Platform may become less competitive</w:t>
      </w:r>
      <w:r>
        <w:rPr>
          <w:rFonts w:eastAsia="Times New Roman"/>
          <w:sz w:val="20"/>
          <w:szCs w:val="20"/>
        </w:rPr>
        <w:t>.</w:t>
      </w:r>
    </w:p>
    <w:p w:rsidR="00000000" w:rsidRDefault="00A309A2">
      <w:pPr>
        <w:divId w:val="10495588"/>
        <w:rPr>
          <w:rFonts w:eastAsia="Times New Roman"/>
        </w:rPr>
      </w:pPr>
      <w:r>
        <w:rPr>
          <w:rFonts w:eastAsia="Times New Roman"/>
          <w:sz w:val="20"/>
          <w:szCs w:val="20"/>
        </w:rPr>
        <w:t>•</w:t>
      </w:r>
    </w:p>
    <w:p w:rsidR="00000000" w:rsidRDefault="00A309A2">
      <w:pPr>
        <w:divId w:val="2096121537"/>
        <w:rPr>
          <w:rFonts w:eastAsia="Times New Roman"/>
        </w:rPr>
      </w:pPr>
      <w:r>
        <w:rPr>
          <w:rFonts w:eastAsia="Times New Roman"/>
          <w:sz w:val="20"/>
          <w:szCs w:val="20"/>
        </w:rPr>
        <w:t>Our ability to introduce new products and features is dependent on adequate research and development resources. If we do not adequately fund our research and development efforts, we may not be able to compete effectively and our business and operating resu</w:t>
      </w:r>
      <w:r>
        <w:rPr>
          <w:rFonts w:eastAsia="Times New Roman"/>
          <w:sz w:val="20"/>
          <w:szCs w:val="20"/>
        </w:rPr>
        <w:t>lts may be harmed</w:t>
      </w:r>
      <w:r>
        <w:rPr>
          <w:rFonts w:eastAsia="Times New Roman"/>
          <w:sz w:val="20"/>
          <w:szCs w:val="20"/>
        </w:rPr>
        <w:t>.</w:t>
      </w:r>
    </w:p>
    <w:p w:rsidR="00000000" w:rsidRDefault="00A309A2">
      <w:pPr>
        <w:divId w:val="252128380"/>
        <w:rPr>
          <w:rFonts w:eastAsia="Times New Roman"/>
        </w:rPr>
      </w:pPr>
      <w:r>
        <w:rPr>
          <w:rFonts w:eastAsia="Times New Roman"/>
          <w:sz w:val="20"/>
          <w:szCs w:val="20"/>
        </w:rPr>
        <w:t>•</w:t>
      </w:r>
    </w:p>
    <w:p w:rsidR="00000000" w:rsidRDefault="00A309A2">
      <w:pPr>
        <w:divId w:val="1873305770"/>
        <w:rPr>
          <w:rFonts w:eastAsia="Times New Roman"/>
        </w:rPr>
      </w:pPr>
      <w:r>
        <w:rPr>
          <w:rFonts w:eastAsia="Times New Roman"/>
          <w:sz w:val="20"/>
          <w:szCs w:val="20"/>
        </w:rPr>
        <w:t>Interruptions or delays in service from our third-party data center providers could impair our ability to deliver our platform to our customers, resulting in customer dissatisfaction, damage to our reputation, loss of customers, limite</w:t>
      </w:r>
      <w:r>
        <w:rPr>
          <w:rFonts w:eastAsia="Times New Roman"/>
          <w:sz w:val="20"/>
          <w:szCs w:val="20"/>
        </w:rPr>
        <w:t>d growth, and reduction in revenue</w:t>
      </w:r>
      <w:r>
        <w:rPr>
          <w:rFonts w:eastAsia="Times New Roman"/>
          <w:sz w:val="20"/>
          <w:szCs w:val="20"/>
        </w:rPr>
        <w:t>.</w:t>
      </w:r>
    </w:p>
    <w:p w:rsidR="00000000" w:rsidRDefault="00A309A2">
      <w:pPr>
        <w:divId w:val="639306905"/>
        <w:rPr>
          <w:rFonts w:eastAsia="Times New Roman"/>
        </w:rPr>
      </w:pPr>
      <w:r>
        <w:rPr>
          <w:rFonts w:eastAsia="Times New Roman"/>
          <w:sz w:val="20"/>
          <w:szCs w:val="20"/>
        </w:rPr>
        <w:t>•</w:t>
      </w:r>
    </w:p>
    <w:p w:rsidR="00000000" w:rsidRDefault="00A309A2">
      <w:pPr>
        <w:divId w:val="371346178"/>
        <w:rPr>
          <w:rFonts w:eastAsia="Times New Roman"/>
        </w:rPr>
      </w:pPr>
      <w:r>
        <w:rPr>
          <w:rFonts w:eastAsia="Times New Roman"/>
          <w:sz w:val="20"/>
          <w:szCs w:val="20"/>
        </w:rPr>
        <w:t>If our CRM Platform has outages or fails due to defects or similar problems, and if we fail to correct any defect or other software problems, we could lose customers, become subject to service performance or warranty c</w:t>
      </w:r>
      <w:r>
        <w:rPr>
          <w:rFonts w:eastAsia="Times New Roman"/>
          <w:sz w:val="20"/>
          <w:szCs w:val="20"/>
        </w:rPr>
        <w:t>laims or incur significant costs</w:t>
      </w:r>
      <w:r>
        <w:rPr>
          <w:rFonts w:eastAsia="Times New Roman"/>
          <w:sz w:val="20"/>
          <w:szCs w:val="20"/>
        </w:rPr>
        <w:t>.</w:t>
      </w:r>
    </w:p>
    <w:p w:rsidR="00000000" w:rsidRDefault="00A309A2">
      <w:pPr>
        <w:divId w:val="421417627"/>
        <w:rPr>
          <w:rFonts w:eastAsia="Times New Roman"/>
        </w:rPr>
      </w:pPr>
      <w:r>
        <w:rPr>
          <w:rFonts w:eastAsia="Times New Roman"/>
          <w:sz w:val="20"/>
          <w:szCs w:val="20"/>
        </w:rPr>
        <w:t>•</w:t>
      </w:r>
    </w:p>
    <w:p w:rsidR="00000000" w:rsidRDefault="00A309A2">
      <w:pPr>
        <w:divId w:val="1312521502"/>
        <w:rPr>
          <w:rFonts w:eastAsia="Times New Roman"/>
        </w:rPr>
      </w:pPr>
      <w:r>
        <w:rPr>
          <w:rFonts w:eastAsia="Times New Roman"/>
          <w:sz w:val="20"/>
          <w:szCs w:val="20"/>
        </w:rPr>
        <w:t>If our or our customers’ security measures are compromised or unauthorized access to data of our customers or their customers is otherwise obtained, our CRM Platform may be perceived as not being secure, our customers ma</w:t>
      </w:r>
      <w:r>
        <w:rPr>
          <w:rFonts w:eastAsia="Times New Roman"/>
          <w:sz w:val="20"/>
          <w:szCs w:val="20"/>
        </w:rPr>
        <w:t>y be harmed and may curtail or cease their use of our platform, our reputation may be damaged and we may incur significant liabilities</w:t>
      </w:r>
      <w:r>
        <w:rPr>
          <w:rFonts w:eastAsia="Times New Roman"/>
          <w:sz w:val="20"/>
          <w:szCs w:val="20"/>
        </w:rPr>
        <w:t>.</w:t>
      </w:r>
    </w:p>
    <w:p w:rsidR="00000000" w:rsidRDefault="00A309A2">
      <w:pPr>
        <w:divId w:val="1471241152"/>
        <w:rPr>
          <w:rFonts w:eastAsia="Times New Roman"/>
        </w:rPr>
      </w:pPr>
      <w:r>
        <w:rPr>
          <w:rFonts w:eastAsia="Times New Roman"/>
          <w:sz w:val="20"/>
          <w:szCs w:val="20"/>
        </w:rPr>
        <w:t>•</w:t>
      </w:r>
    </w:p>
    <w:p w:rsidR="00000000" w:rsidRDefault="00A309A2">
      <w:pPr>
        <w:divId w:val="838543198"/>
        <w:rPr>
          <w:rFonts w:eastAsia="Times New Roman"/>
        </w:rPr>
      </w:pPr>
      <w:r>
        <w:rPr>
          <w:rFonts w:eastAsia="Times New Roman"/>
          <w:sz w:val="20"/>
          <w:szCs w:val="20"/>
        </w:rPr>
        <w:t>We have a history of losses and may not achieve profitability in the future</w:t>
      </w:r>
      <w:r>
        <w:rPr>
          <w:rFonts w:eastAsia="Times New Roman"/>
          <w:sz w:val="20"/>
          <w:szCs w:val="20"/>
        </w:rPr>
        <w:t>.</w:t>
      </w:r>
    </w:p>
    <w:p w:rsidR="00000000" w:rsidRDefault="00A309A2">
      <w:pPr>
        <w:divId w:val="1759711416"/>
        <w:rPr>
          <w:rFonts w:eastAsia="Times New Roman"/>
        </w:rPr>
      </w:pPr>
      <w:r>
        <w:rPr>
          <w:rFonts w:eastAsia="Times New Roman"/>
          <w:sz w:val="20"/>
          <w:szCs w:val="20"/>
        </w:rPr>
        <w:t>•</w:t>
      </w:r>
    </w:p>
    <w:p w:rsidR="00000000" w:rsidRDefault="00A309A2">
      <w:pPr>
        <w:divId w:val="2116174582"/>
        <w:rPr>
          <w:rFonts w:eastAsia="Times New Roman"/>
        </w:rPr>
      </w:pPr>
      <w:r>
        <w:rPr>
          <w:rFonts w:eastAsia="Times New Roman"/>
          <w:sz w:val="20"/>
          <w:szCs w:val="20"/>
        </w:rPr>
        <w:t>We may experience quarterly fluctuation</w:t>
      </w:r>
      <w:r>
        <w:rPr>
          <w:rFonts w:eastAsia="Times New Roman"/>
          <w:sz w:val="20"/>
          <w:szCs w:val="20"/>
        </w:rPr>
        <w:t>s in our operating results due to a number of factors, which makes our future results difficult to predict and could cause our operating results to fall below expectations or our guidance</w:t>
      </w:r>
      <w:r>
        <w:rPr>
          <w:rFonts w:eastAsia="Times New Roman"/>
          <w:sz w:val="20"/>
          <w:szCs w:val="20"/>
        </w:rPr>
        <w:t>.</w:t>
      </w:r>
    </w:p>
    <w:p w:rsidR="00000000" w:rsidRDefault="00A309A2">
      <w:pPr>
        <w:divId w:val="1670256565"/>
        <w:rPr>
          <w:rFonts w:eastAsia="Times New Roman"/>
        </w:rPr>
      </w:pPr>
      <w:r>
        <w:rPr>
          <w:rFonts w:eastAsia="Times New Roman"/>
          <w:sz w:val="20"/>
          <w:szCs w:val="20"/>
        </w:rPr>
        <w:t>•</w:t>
      </w:r>
    </w:p>
    <w:p w:rsidR="00000000" w:rsidRDefault="00A309A2">
      <w:pPr>
        <w:divId w:val="2071997005"/>
        <w:rPr>
          <w:rFonts w:eastAsia="Times New Roman"/>
        </w:rPr>
      </w:pPr>
      <w:r>
        <w:rPr>
          <w:rFonts w:eastAsia="Times New Roman"/>
          <w:sz w:val="20"/>
          <w:szCs w:val="20"/>
        </w:rPr>
        <w:t>If we do not accurately predict subscription renewal rates or oth</w:t>
      </w:r>
      <w:r>
        <w:rPr>
          <w:rFonts w:eastAsia="Times New Roman"/>
          <w:sz w:val="20"/>
          <w:szCs w:val="20"/>
        </w:rPr>
        <w:t>erwise fail to forecast our revenue accurately, or if we fail to match our expenditures with corresponding revenue, our operating results could be adversely affected</w:t>
      </w:r>
      <w:r>
        <w:rPr>
          <w:rFonts w:eastAsia="Times New Roman"/>
          <w:sz w:val="20"/>
          <w:szCs w:val="20"/>
        </w:rPr>
        <w:t>.</w:t>
      </w:r>
    </w:p>
    <w:p w:rsidR="00000000" w:rsidRDefault="00A309A2">
      <w:pPr>
        <w:divId w:val="782073641"/>
        <w:rPr>
          <w:rFonts w:eastAsia="Times New Roman"/>
        </w:rPr>
      </w:pPr>
      <w:r>
        <w:rPr>
          <w:rFonts w:eastAsia="Times New Roman"/>
          <w:sz w:val="20"/>
          <w:szCs w:val="20"/>
        </w:rPr>
        <w:t>•</w:t>
      </w:r>
    </w:p>
    <w:p w:rsidR="00000000" w:rsidRDefault="00A309A2">
      <w:pPr>
        <w:divId w:val="46757157"/>
        <w:rPr>
          <w:rFonts w:eastAsia="Times New Roman"/>
        </w:rPr>
      </w:pPr>
      <w:r>
        <w:rPr>
          <w:rFonts w:eastAsia="Times New Roman"/>
          <w:sz w:val="20"/>
          <w:szCs w:val="20"/>
        </w:rPr>
        <w:t>Our ability to raise capital in the future may be limited, and our failure to raise cap</w:t>
      </w:r>
      <w:r>
        <w:rPr>
          <w:rFonts w:eastAsia="Times New Roman"/>
          <w:sz w:val="20"/>
          <w:szCs w:val="20"/>
        </w:rPr>
        <w:t>ital when needed could prevent us from growing</w:t>
      </w:r>
      <w:r>
        <w:rPr>
          <w:rFonts w:eastAsia="Times New Roman"/>
          <w:sz w:val="20"/>
          <w:szCs w:val="20"/>
        </w:rPr>
        <w:t>.</w:t>
      </w:r>
    </w:p>
    <w:p w:rsidR="00000000" w:rsidRDefault="00A309A2">
      <w:pPr>
        <w:pStyle w:val="a3"/>
        <w:spacing w:before="240" w:beforeAutospacing="0" w:after="0" w:afterAutospacing="0"/>
        <w:jc w:val="center"/>
        <w:rPr>
          <w:sz w:val="20"/>
          <w:szCs w:val="20"/>
        </w:rPr>
      </w:pPr>
      <w:r>
        <w:rPr>
          <w:sz w:val="20"/>
          <w:szCs w:val="20"/>
        </w:rPr>
        <w:t>3</w:t>
      </w:r>
    </w:p>
    <w:p w:rsidR="00000000" w:rsidRDefault="00A309A2">
      <w:pPr>
        <w:rPr>
          <w:rFonts w:eastAsia="Times New Roman"/>
        </w:rPr>
      </w:pPr>
      <w:r>
        <w:rPr>
          <w:rFonts w:eastAsia="Times New Roman"/>
        </w:rPr>
        <w:pict>
          <v:rect id="_x0000_i1029"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w:t>
      </w:r>
      <w:r>
        <w:rPr>
          <w:b/>
          <w:bCs/>
          <w:sz w:val="20"/>
          <w:szCs w:val="20"/>
        </w:rPr>
        <w:t>1</w:t>
      </w:r>
    </w:p>
    <w:p w:rsidR="00000000" w:rsidRDefault="00A309A2">
      <w:pPr>
        <w:pStyle w:val="a3"/>
        <w:spacing w:before="240" w:beforeAutospacing="0" w:after="0" w:afterAutospacing="0"/>
        <w:rPr>
          <w:sz w:val="20"/>
          <w:szCs w:val="20"/>
        </w:rPr>
      </w:pPr>
      <w:r>
        <w:rPr>
          <w:b/>
          <w:bCs/>
          <w:sz w:val="20"/>
          <w:szCs w:val="20"/>
        </w:rPr>
        <w:t>ITEM I.</w:t>
      </w:r>
      <w:r>
        <w:rPr>
          <w:b/>
          <w:bCs/>
          <w:sz w:val="20"/>
          <w:szCs w:val="20"/>
        </w:rPr>
        <w:t xml:space="preserve"> </w:t>
      </w:r>
      <w:r>
        <w:rPr>
          <w:b/>
          <w:bCs/>
          <w:sz w:val="20"/>
          <w:szCs w:val="20"/>
        </w:rPr>
        <w:t>BUSINES</w:t>
      </w:r>
      <w:r>
        <w:rPr>
          <w:b/>
          <w:bCs/>
          <w:sz w:val="20"/>
          <w:szCs w:val="20"/>
        </w:rPr>
        <w:t>S</w:t>
      </w:r>
    </w:p>
    <w:p w:rsidR="00000000" w:rsidRDefault="00A309A2">
      <w:pPr>
        <w:pStyle w:val="a3"/>
        <w:spacing w:before="120" w:beforeAutospacing="0" w:after="0" w:afterAutospacing="0"/>
        <w:rPr>
          <w:sz w:val="20"/>
          <w:szCs w:val="20"/>
        </w:rPr>
      </w:pPr>
      <w:r>
        <w:rPr>
          <w:b/>
          <w:bCs/>
          <w:sz w:val="20"/>
          <w:szCs w:val="20"/>
        </w:rPr>
        <w:t>Overvie</w:t>
      </w:r>
      <w:r>
        <w:rPr>
          <w:b/>
          <w:bCs/>
          <w:sz w:val="20"/>
          <w:szCs w:val="20"/>
        </w:rPr>
        <w:t>w</w:t>
      </w:r>
    </w:p>
    <w:p w:rsidR="00000000" w:rsidRDefault="00A309A2">
      <w:pPr>
        <w:pStyle w:val="a3"/>
        <w:spacing w:before="0" w:beforeAutospacing="0" w:after="0" w:afterAutospacing="0"/>
        <w:rPr>
          <w:sz w:val="20"/>
          <w:szCs w:val="20"/>
        </w:rPr>
      </w:pPr>
      <w:r>
        <w:rPr>
          <w:sz w:val="12"/>
          <w:szCs w:val="12"/>
        </w:rPr>
        <w:t> </w:t>
      </w:r>
    </w:p>
    <w:p w:rsidR="00000000" w:rsidRDefault="00A309A2">
      <w:pPr>
        <w:pStyle w:val="a3"/>
        <w:spacing w:before="0" w:beforeAutospacing="0" w:after="0" w:afterAutospacing="0"/>
        <w:ind w:firstLine="555"/>
        <w:rPr>
          <w:sz w:val="20"/>
          <w:szCs w:val="20"/>
        </w:rPr>
      </w:pPr>
      <w:r>
        <w:rPr>
          <w:sz w:val="20"/>
          <w:szCs w:val="20"/>
        </w:rPr>
        <w:t>We help scaling companies deliver a delightful customer experience through our cloud-based customer relationship management (“CRM”) Platform. Our CRM Platform includes marketing, sales, service, operations and a content management system, (“CM</w:t>
      </w:r>
      <w:r>
        <w:rPr>
          <w:sz w:val="20"/>
          <w:szCs w:val="20"/>
        </w:rPr>
        <w:t>S</w:t>
      </w:r>
      <w:r>
        <w:rPr>
          <w:sz w:val="20"/>
          <w:szCs w:val="20"/>
        </w:rPr>
        <w:t xml:space="preserve">”), as well </w:t>
      </w:r>
      <w:r>
        <w:rPr>
          <w:sz w:val="20"/>
          <w:szCs w:val="20"/>
        </w:rPr>
        <w:t>as other tools, integrations and a native payment solution, that enable companies to attract, engage, and delight customers throughout the customer experience. Additionally, we provide education, services and support to help customers be successful with ou</w:t>
      </w:r>
      <w:r>
        <w:rPr>
          <w:sz w:val="20"/>
          <w:szCs w:val="20"/>
        </w:rPr>
        <w:t>r CRM Platform</w:t>
      </w:r>
      <w:r>
        <w:rPr>
          <w:sz w:val="20"/>
          <w:szCs w:val="20"/>
        </w:rPr>
        <w:t>.</w:t>
      </w:r>
    </w:p>
    <w:p w:rsidR="00000000" w:rsidRDefault="00A309A2">
      <w:pPr>
        <w:pStyle w:val="a3"/>
        <w:spacing w:before="0" w:beforeAutospacing="0" w:after="0" w:afterAutospacing="0"/>
        <w:ind w:firstLine="555"/>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We focus on selling to mid-market business-to-business (“B2B”</w:t>
      </w:r>
      <w:r>
        <w:rPr>
          <w:sz w:val="20"/>
          <w:szCs w:val="20"/>
        </w:rPr>
        <w:t>) companies, which we define as companies that have between 2 and 2,000 employees. We sell our CRM Platform on a subscription basis. In 2021, our total revenue was $1.3 billion and we incurred a net loss of $77.8 million. As of December 31, 2021, we had 5,</w:t>
      </w:r>
      <w:r>
        <w:rPr>
          <w:sz w:val="20"/>
          <w:szCs w:val="20"/>
        </w:rPr>
        <w:t>895 full-time employees and 135,442 Customers, as defined in our Key Business Metrics in Item 7, of varying sizes in more than 120 countries</w:t>
      </w:r>
      <w:r>
        <w:rPr>
          <w:sz w:val="20"/>
          <w:szCs w:val="20"/>
        </w:rPr>
        <w:t>.</w:t>
      </w:r>
    </w:p>
    <w:p w:rsidR="00000000" w:rsidRDefault="00A309A2">
      <w:pPr>
        <w:pStyle w:val="a3"/>
        <w:spacing w:before="200" w:beforeAutospacing="0" w:after="0" w:afterAutospacing="0"/>
        <w:ind w:firstLine="555"/>
        <w:rPr>
          <w:sz w:val="20"/>
          <w:szCs w:val="20"/>
        </w:rPr>
      </w:pPr>
      <w:r>
        <w:rPr>
          <w:sz w:val="20"/>
          <w:szCs w:val="20"/>
        </w:rPr>
        <w:t>Our company was formed as a limited liability company in Delaware on April 4, 2005. We converted to a Delaware cor</w:t>
      </w:r>
      <w:r>
        <w:rPr>
          <w:sz w:val="20"/>
          <w:szCs w:val="20"/>
        </w:rPr>
        <w:t>poration on June 7, 2007. Our principal executive offices are located at 25 First Street, Cambridge, Massachusetts, and our main telephone number is 888-482-7768. Our website address is https://www.hubspot.com. Information contained on or that can be acces</w:t>
      </w:r>
      <w:r>
        <w:rPr>
          <w:sz w:val="20"/>
          <w:szCs w:val="20"/>
        </w:rPr>
        <w:t>sed through our website does not constitute part of this Annual Report on Form 10-K, and inclusions of our website address in this Annual Report on Form 10-K are inactive textual references only</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sz w:val="20"/>
          <w:szCs w:val="20"/>
        </w:rPr>
        <w:t>The HubSpot Approac</w:t>
      </w:r>
      <w:r>
        <w:rPr>
          <w:b/>
          <w:bCs/>
          <w:sz w:val="20"/>
          <w:szCs w:val="20"/>
        </w:rPr>
        <w:t>h</w:t>
      </w:r>
    </w:p>
    <w:p w:rsidR="00000000" w:rsidRDefault="00A309A2">
      <w:pPr>
        <w:pStyle w:val="a3"/>
        <w:spacing w:before="200" w:beforeAutospacing="0" w:after="0" w:afterAutospacing="0"/>
        <w:ind w:firstLine="555"/>
        <w:rPr>
          <w:sz w:val="20"/>
          <w:szCs w:val="20"/>
        </w:rPr>
      </w:pPr>
      <w:r>
        <w:rPr>
          <w:sz w:val="20"/>
          <w:szCs w:val="20"/>
        </w:rPr>
        <w:t>Our CRM Platform features a central da</w:t>
      </w:r>
      <w:r>
        <w:rPr>
          <w:sz w:val="20"/>
          <w:szCs w:val="20"/>
        </w:rPr>
        <w:t>tabase of lead and customer interactions and integrated applications designed to help businesses attract visitors to their websites, convert visitors into leads, close leads into customers, transact with those customers, and delight them so they become pro</w:t>
      </w:r>
      <w:r>
        <w:rPr>
          <w:sz w:val="20"/>
          <w:szCs w:val="20"/>
        </w:rPr>
        <w:t>moters of those businesses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Designed to Help Companies Grow Better</w:t>
      </w:r>
      <w:r>
        <w:rPr>
          <w:b/>
          <w:bCs/>
          <w:i/>
          <w:iCs/>
          <w:sz w:val="20"/>
          <w:szCs w:val="20"/>
        </w:rPr>
        <w:t>.</w:t>
      </w:r>
      <w:r>
        <w:rPr>
          <w:sz w:val="20"/>
          <w:szCs w:val="20"/>
        </w:rPr>
        <w:t xml:space="preserve"> Our CRM Platform was architected from the ground up to enable businesses to transform their marketing, sales, services, operations and content management playbook to meet the demands of cu</w:t>
      </w:r>
      <w:r>
        <w:rPr>
          <w:sz w:val="20"/>
          <w:szCs w:val="20"/>
        </w:rPr>
        <w:t>stomers today. Our CRM Platform includes both a system of record for maintaining a unified view of the customer experience and a system of engagement for efficiently engaging customers through search engine optimization (“SEO”), web content, social, bloggi</w:t>
      </w:r>
      <w:r>
        <w:rPr>
          <w:sz w:val="20"/>
          <w:szCs w:val="20"/>
        </w:rPr>
        <w:t>ng, email, marketing automation, messaging, support ticketing, knowledge base, commerce, conversation routing, video hosting, and more</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Ease of Use of a Single, Extensible Platform</w:t>
      </w:r>
      <w:r>
        <w:rPr>
          <w:b/>
          <w:bCs/>
          <w:i/>
          <w:iCs/>
          <w:sz w:val="20"/>
          <w:szCs w:val="20"/>
        </w:rPr>
        <w:t>.</w:t>
      </w:r>
      <w:r>
        <w:rPr>
          <w:sz w:val="20"/>
          <w:szCs w:val="20"/>
        </w:rPr>
        <w:t xml:space="preserve"> We provide a set of integrated applications on a common platform, which of</w:t>
      </w:r>
      <w:r>
        <w:rPr>
          <w:sz w:val="20"/>
          <w:szCs w:val="20"/>
        </w:rPr>
        <w:t>fers businesses ease of use and simplicity. Our CRM Platform has one login, one user interface, one database, and one team for support. Our CRM Platform starts free and grows with our customers. It is designed to scale its power and technical sophisticatio</w:t>
      </w:r>
      <w:r>
        <w:rPr>
          <w:sz w:val="20"/>
          <w:szCs w:val="20"/>
        </w:rPr>
        <w:t>n without losing its ease-of-use. In addition to being a comprehensive suite itself, our CRM Platform seamlessly integrates with hundreds of external applications, making it easy to extend the functionality of our CRM Platform and customize it for any busi</w:t>
      </w:r>
      <w:r>
        <w:rPr>
          <w:sz w:val="20"/>
          <w:szCs w:val="20"/>
        </w:rPr>
        <w:t>ness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Power of a Unified Customer View</w:t>
      </w:r>
      <w:r>
        <w:rPr>
          <w:b/>
          <w:bCs/>
          <w:i/>
          <w:iCs/>
          <w:sz w:val="20"/>
          <w:szCs w:val="20"/>
        </w:rPr>
        <w:t>.</w:t>
      </w:r>
      <w:r>
        <w:rPr>
          <w:sz w:val="20"/>
          <w:szCs w:val="20"/>
        </w:rPr>
        <w:t xml:space="preserve"> At the core of our CRM Platform is a single CRM database for each business that captures its lead and customer activity throughout the customer lifecycle. Our CRM Platform creates a unified timeline incorporating al</w:t>
      </w:r>
      <w:r>
        <w:rPr>
          <w:sz w:val="20"/>
          <w:szCs w:val="20"/>
        </w:rPr>
        <w:t>l the interactions with a particular customer. In contrast to many CRM suites which are cobbled together, we have crafted a set of core functionalities, including reporting, content, messaging, data, and automation, which runs across our product lines, whi</w:t>
      </w:r>
      <w:r>
        <w:rPr>
          <w:sz w:val="20"/>
          <w:szCs w:val="20"/>
        </w:rPr>
        <w:t>ch we refer to as Hubs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Scalability</w:t>
      </w:r>
      <w:r>
        <w:rPr>
          <w:b/>
          <w:bCs/>
          <w:i/>
          <w:iCs/>
          <w:sz w:val="20"/>
          <w:szCs w:val="20"/>
        </w:rPr>
        <w:t>.</w:t>
      </w:r>
      <w:r>
        <w:rPr>
          <w:sz w:val="20"/>
          <w:szCs w:val="20"/>
        </w:rPr>
        <w:t xml:space="preserve"> Our CRM Platform was designed and built to serve a large number of customers with demanding use cases. Our CRM Platform currently processes billions of data points each week, and we use leading global cloud infrastructu</w:t>
      </w:r>
      <w:r>
        <w:rPr>
          <w:sz w:val="20"/>
          <w:szCs w:val="20"/>
        </w:rPr>
        <w:t>re providers and our own automation technology to dynamically allocate capacity to handle processing workloads of all sizes. We have built our CRM Platform on modern, scalable distributed technologies. We built the infrastructure to support hundreds of mic</w:t>
      </w:r>
      <w:r>
        <w:rPr>
          <w:sz w:val="20"/>
          <w:szCs w:val="20"/>
        </w:rPr>
        <w:t>roservices and can easily add new features and capabilities to the CRM Platform. We utilize a variety of open-source distributed systems including HBase, Kafka, Vitess, and Elasticsearch to scale our data collection and processing. Our scalability gives us</w:t>
      </w:r>
      <w:r>
        <w:rPr>
          <w:sz w:val="20"/>
          <w:szCs w:val="20"/>
        </w:rPr>
        <w:t xml:space="preserve"> flexibility for future growth and enables us to service a large variety of businesses of different sizes across different industries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Extensible and Open Architecture</w:t>
      </w:r>
      <w:r>
        <w:rPr>
          <w:b/>
          <w:bCs/>
          <w:i/>
          <w:iCs/>
          <w:sz w:val="20"/>
          <w:szCs w:val="20"/>
        </w:rPr>
        <w:t>.</w:t>
      </w:r>
      <w:r>
        <w:rPr>
          <w:sz w:val="20"/>
          <w:szCs w:val="20"/>
        </w:rPr>
        <w:t xml:space="preserve"> Our CRM Platform features a variety of open application programming interfaces (“APIs”)</w:t>
      </w:r>
      <w:r>
        <w:rPr>
          <w:sz w:val="20"/>
          <w:szCs w:val="20"/>
        </w:rPr>
        <w:t xml:space="preserve"> that allows easy integration of our platform with other applications. We enable our customers to connect our platform to their other applications, such as ecommerce, event management and videoconferencing applications. By connecting third-party applicatio</w:t>
      </w:r>
      <w:r>
        <w:rPr>
          <w:sz w:val="20"/>
          <w:szCs w:val="20"/>
        </w:rPr>
        <w:t>ns, our customers can leverage our centralized inbound database to perform additional functions and analysis</w:t>
      </w:r>
      <w:r>
        <w:rPr>
          <w:sz w:val="20"/>
          <w:szCs w:val="20"/>
        </w:rPr>
        <w: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4</w:t>
      </w:r>
    </w:p>
    <w:p w:rsidR="00000000" w:rsidRDefault="00A309A2">
      <w:pPr>
        <w:rPr>
          <w:rFonts w:eastAsia="Times New Roman"/>
        </w:rPr>
      </w:pPr>
      <w:r>
        <w:rPr>
          <w:rFonts w:eastAsia="Times New Roman"/>
        </w:rPr>
        <w:pict>
          <v:rect id="_x0000_i103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sz w:val="20"/>
          <w:szCs w:val="20"/>
        </w:rPr>
        <w:t>Our Competitive Strength</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We believe that our market leadership position is based on the following key s</w:t>
      </w:r>
      <w:r>
        <w:rPr>
          <w:sz w:val="20"/>
          <w:szCs w:val="20"/>
        </w:rPr>
        <w:t>trengths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Leading Platform</w:t>
      </w:r>
      <w:r>
        <w:rPr>
          <w:b/>
          <w:bCs/>
          <w:i/>
          <w:iCs/>
          <w:sz w:val="20"/>
          <w:szCs w:val="20"/>
        </w:rPr>
        <w:t>.</w:t>
      </w:r>
      <w:r>
        <w:rPr>
          <w:sz w:val="20"/>
          <w:szCs w:val="20"/>
        </w:rPr>
        <w:t xml:space="preserve"> We have designed and built a world-class CRM Platform. We believe our customers choose our CRM Platform over others because of its powerful, integrated, and easy-to-use applications. We built HubSpot on a single, unified, and in</w:t>
      </w:r>
      <w:r>
        <w:rPr>
          <w:sz w:val="20"/>
          <w:szCs w:val="20"/>
        </w:rPr>
        <w:t>tuitive platform, which we believe contrasts positively with many other CRM suites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Market Leadership and Strong Brand</w:t>
      </w:r>
      <w:r>
        <w:rPr>
          <w:b/>
          <w:bCs/>
          <w:i/>
          <w:iCs/>
          <w:sz w:val="20"/>
          <w:szCs w:val="20"/>
        </w:rPr>
        <w:t>.</w:t>
      </w:r>
      <w:r>
        <w:rPr>
          <w:sz w:val="20"/>
          <w:szCs w:val="20"/>
        </w:rPr>
        <w:t xml:space="preserve"> We are a recognized thought leader in the cloud-based marketing, sales, customer service, operations, and content management software i</w:t>
      </w:r>
      <w:r>
        <w:rPr>
          <w:sz w:val="20"/>
          <w:szCs w:val="20"/>
        </w:rPr>
        <w:t>ndustry with a leading brand. Our founders, Brian Halligan and Dharmesh Shah, wrote the best-selling marketing book Inbound Marketing: Get Found Using Google, Social Media and Blogs. Our marketing, sales, service, operations, and content management experie</w:t>
      </w:r>
      <w:r>
        <w:rPr>
          <w:sz w:val="20"/>
          <w:szCs w:val="20"/>
        </w:rPr>
        <w:t>nce attracts, engages, and delights customers by being more relevant, more helpful, more personalized, and less interruptive than traditional marketing and sales tactics. Our INBOUND event is one of the largest inbound industry conference events with in-pe</w:t>
      </w:r>
      <w:r>
        <w:rPr>
          <w:sz w:val="20"/>
          <w:szCs w:val="20"/>
        </w:rPr>
        <w:t>rson registered attendance increasing from 1,100 in 2011 to over 26,000 in 2019. Since 2020, we have held our INBOUND event as a virtual-only experience due to the COVID-19 pandemic. We had more than 70,000 registered attendees in 2020 and over 59,000 in 2</w:t>
      </w:r>
      <w:r>
        <w:rPr>
          <w:sz w:val="20"/>
          <w:szCs w:val="20"/>
        </w:rPr>
        <w:t>021</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Large and Growing Solutions Partner Program</w:t>
      </w:r>
      <w:r>
        <w:rPr>
          <w:b/>
          <w:bCs/>
          <w:i/>
          <w:iCs/>
          <w:sz w:val="20"/>
          <w:szCs w:val="20"/>
        </w:rPr>
        <w:t>.</w:t>
      </w:r>
      <w:r>
        <w:rPr>
          <w:sz w:val="20"/>
          <w:szCs w:val="20"/>
        </w:rPr>
        <w:t xml:space="preserve"> </w:t>
      </w:r>
      <w:r>
        <w:rPr>
          <w:sz w:val="20"/>
          <w:szCs w:val="20"/>
        </w:rPr>
        <w:t>A Solutions Partner is a service provider that helps businesses with strategy, execution, and implementation of go-to-market activities and technology solutions</w:t>
      </w:r>
      <w:r>
        <w:rPr>
          <w:sz w:val="20"/>
          <w:szCs w:val="20"/>
        </w:rPr>
        <w:t>.</w:t>
      </w:r>
      <w:r>
        <w:rPr>
          <w:sz w:val="20"/>
          <w:szCs w:val="20"/>
        </w:rPr>
        <w:t xml:space="preserve"> Our Solutions Partners promote our brand an</w:t>
      </w:r>
      <w:r>
        <w:rPr>
          <w:sz w:val="20"/>
          <w:szCs w:val="20"/>
        </w:rPr>
        <w:t>d offer our CRM Platform to their clients. Solutions Partners and customers referred to us by our Solutions Partners represented approximately 34% of our Customers as of December 31, 2021, and approximately 44% of our revenue for the year ended December 31</w:t>
      </w:r>
      <w:r>
        <w:rPr>
          <w:sz w:val="20"/>
          <w:szCs w:val="20"/>
        </w:rPr>
        <w:t>, 2021. These Solutions Partners help us to promote the vision of the inbound experience, efficiently reach new mid-market businesses at scale, and provide our mutual customers with more diverse and higher-touch services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Freemium Pricing Strategy.</w:t>
      </w:r>
      <w:r>
        <w:rPr>
          <w:b/>
          <w:bCs/>
          <w:i/>
          <w:iCs/>
          <w:sz w:val="20"/>
          <w:szCs w:val="20"/>
        </w:rPr>
        <w:t xml:space="preserve"> </w:t>
      </w:r>
      <w:r>
        <w:rPr>
          <w:sz w:val="20"/>
          <w:szCs w:val="20"/>
        </w:rPr>
        <w:t>Our fre</w:t>
      </w:r>
      <w:r>
        <w:rPr>
          <w:sz w:val="20"/>
          <w:szCs w:val="20"/>
        </w:rPr>
        <w:t>emium model attracts customers who begin using our CRM Platform through our free products and then upgrade to our paid Hubs. Through our freemium products, our customers are able to receive value from HubSpot before converting to a paid product or engaging</w:t>
      </w:r>
      <w:r>
        <w:rPr>
          <w:sz w:val="20"/>
          <w:szCs w:val="20"/>
        </w:rPr>
        <w:t xml:space="preserve"> with sales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Mid-Market Focus</w:t>
      </w:r>
      <w:r>
        <w:rPr>
          <w:b/>
          <w:bCs/>
          <w:i/>
          <w:iCs/>
          <w:sz w:val="20"/>
          <w:szCs w:val="20"/>
        </w:rPr>
        <w:t>.</w:t>
      </w:r>
      <w:r>
        <w:rPr>
          <w:sz w:val="20"/>
          <w:szCs w:val="20"/>
        </w:rPr>
        <w:t xml:space="preserve"> We believe we have significant competitive advantages reaching mid-market businesses and efficiently reach this market at scale as a result of our inbound methodology, freemium pricing strategy, and our Solutions Partner chan</w:t>
      </w:r>
      <w:r>
        <w:rPr>
          <w:sz w:val="20"/>
          <w:szCs w:val="20"/>
        </w:rPr>
        <w:t>nel</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Powerful Network Effects</w:t>
      </w:r>
      <w:r>
        <w:rPr>
          <w:b/>
          <w:bCs/>
          <w:i/>
          <w:iCs/>
          <w:sz w:val="20"/>
          <w:szCs w:val="20"/>
        </w:rPr>
        <w:t>.</w:t>
      </w:r>
      <w:r>
        <w:rPr>
          <w:sz w:val="20"/>
          <w:szCs w:val="20"/>
        </w:rPr>
        <w:t xml:space="preserve"> We have built a large and growing ecosystem around our CRM Platform and company. Tens of thousands of our Customers integrate third-party applications with our CRM Platform. We believe this ecosystem drives more businesses an</w:t>
      </w:r>
      <w:r>
        <w:rPr>
          <w:sz w:val="20"/>
          <w:szCs w:val="20"/>
        </w:rPr>
        <w:t>d professionals to embrace the inbound playbook. As our engaged audience grows, more Solutions Partners collaborate with us, more third-party developers integrate their applications with our CRM Platform, and more professionals complete our certification p</w:t>
      </w:r>
      <w:r>
        <w:rPr>
          <w:sz w:val="20"/>
          <w:szCs w:val="20"/>
        </w:rPr>
        <w:t>rograms, all of which help to drive more businesses to adopt our CRM Platform</w:t>
      </w:r>
      <w:r>
        <w:rPr>
          <w:sz w:val="20"/>
          <w:szCs w:val="20"/>
        </w:rPr>
        <w:t>.</w:t>
      </w:r>
    </w:p>
    <w:p w:rsidR="00000000" w:rsidRDefault="00A309A2">
      <w:pPr>
        <w:pStyle w:val="a3"/>
        <w:spacing w:before="200" w:beforeAutospacing="0" w:after="0" w:afterAutospacing="0"/>
        <w:rPr>
          <w:sz w:val="20"/>
          <w:szCs w:val="20"/>
        </w:rPr>
      </w:pPr>
      <w:r>
        <w:rPr>
          <w:b/>
          <w:bCs/>
          <w:sz w:val="20"/>
          <w:szCs w:val="20"/>
        </w:rPr>
        <w:t>Our Growth Strateg</w:t>
      </w:r>
      <w:r>
        <w:rPr>
          <w:b/>
          <w:bCs/>
          <w:sz w:val="20"/>
          <w:szCs w:val="20"/>
        </w:rPr>
        <w:t>y</w:t>
      </w:r>
    </w:p>
    <w:p w:rsidR="00000000" w:rsidRDefault="00A309A2">
      <w:pPr>
        <w:pStyle w:val="a3"/>
        <w:spacing w:before="200" w:beforeAutospacing="0" w:after="0" w:afterAutospacing="0"/>
        <w:ind w:firstLine="555"/>
        <w:rPr>
          <w:sz w:val="20"/>
          <w:szCs w:val="20"/>
        </w:rPr>
      </w:pPr>
      <w:r>
        <w:rPr>
          <w:sz w:val="20"/>
          <w:szCs w:val="20"/>
        </w:rPr>
        <w:t>The key elements to our growth strategy are</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Grow Our Customer Base</w:t>
      </w:r>
      <w:r>
        <w:rPr>
          <w:b/>
          <w:bCs/>
          <w:i/>
          <w:iCs/>
          <w:sz w:val="20"/>
          <w:szCs w:val="20"/>
        </w:rPr>
        <w:t>.</w:t>
      </w:r>
      <w:r>
        <w:rPr>
          <w:sz w:val="20"/>
          <w:szCs w:val="20"/>
        </w:rPr>
        <w:t xml:space="preserve"> </w:t>
      </w:r>
      <w:r>
        <w:rPr>
          <w:sz w:val="20"/>
          <w:szCs w:val="20"/>
        </w:rPr>
        <w:t>The market for our CRM Platform is large and underserved. Mid-market businesses are particularly underserved by existing point application vendors and often lack sufficient resources to implement complex solutions. Our all-in-one CRM Platform allows mid-ma</w:t>
      </w:r>
      <w:r>
        <w:rPr>
          <w:sz w:val="20"/>
          <w:szCs w:val="20"/>
        </w:rPr>
        <w:t>rket businesses to efficiently adopt and execute an effective inbound marketing, sales, customer service, operations, and content management strategy to help them expand and grow. We will continue to leverage our inbound go-to-market approach, freemium pri</w:t>
      </w:r>
      <w:r>
        <w:rPr>
          <w:sz w:val="20"/>
          <w:szCs w:val="20"/>
        </w:rPr>
        <w:t>cing strategy and our network of Solutions Partners to keep growing our business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Increase Revenue from Existing Customers</w:t>
      </w:r>
      <w:r>
        <w:rPr>
          <w:b/>
          <w:bCs/>
          <w:i/>
          <w:iCs/>
          <w:sz w:val="20"/>
          <w:szCs w:val="20"/>
        </w:rPr>
        <w:t>.</w:t>
      </w:r>
      <w:r>
        <w:rPr>
          <w:sz w:val="20"/>
          <w:szCs w:val="20"/>
        </w:rPr>
        <w:t xml:space="preserve"> With 135,442 Customers in more than 120 countries spanning many industries, we believe we have a significant opportunity to increase</w:t>
      </w:r>
      <w:r>
        <w:rPr>
          <w:sz w:val="20"/>
          <w:szCs w:val="20"/>
        </w:rPr>
        <w:t xml:space="preserve"> revenue from our existing customers. We plan to increase revenue from our existing customers by expanding their use of our CRM Platform by upselling additional offerings and features, including our end-to-end payment solution, adding additional users, and</w:t>
      </w:r>
      <w:r>
        <w:rPr>
          <w:sz w:val="20"/>
          <w:szCs w:val="20"/>
        </w:rPr>
        <w:t xml:space="preserve"> cross-selling our marketing, sales, service, operations, and content management products to existing customers through touchless or low touch in-product purchases. Our scalable pricing model allows us to capture more spend as our customers grow, increase </w:t>
      </w:r>
      <w:r>
        <w:rPr>
          <w:sz w:val="20"/>
          <w:szCs w:val="20"/>
        </w:rPr>
        <w:t>the number of their customers and prospects managed on our CRM Platform, and offer additional functionality available from our higher price tiers and add-ons, providing us with a substantial opportunity to increase the lifetime value of our customer relati</w:t>
      </w:r>
      <w:r>
        <w:rPr>
          <w:sz w:val="20"/>
          <w:szCs w:val="20"/>
        </w:rPr>
        <w:t>onships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Keep Expanding Internationally</w:t>
      </w:r>
      <w:r>
        <w:rPr>
          <w:b/>
          <w:bCs/>
          <w:i/>
          <w:iCs/>
          <w:sz w:val="20"/>
          <w:szCs w:val="20"/>
        </w:rPr>
        <w:t>.</w:t>
      </w:r>
      <w:r>
        <w:rPr>
          <w:sz w:val="20"/>
          <w:szCs w:val="20"/>
        </w:rPr>
        <w:t xml:space="preserve"> There is a significant opportunity for our CRM Platform outside of the United States. As of December 31, 2021, approximately 52% of our Customers were located outside of the United States and these Customers generat</w:t>
      </w:r>
      <w:r>
        <w:rPr>
          <w:sz w:val="20"/>
          <w:szCs w:val="20"/>
        </w:rPr>
        <w:t>ed approximately 46% of our total revenue for the year ended December 31, 2021. We sell to those international Customers from our U.S., European, Asia Pacific, and South American based operations. We intend to grow our presence in international markets thr</w:t>
      </w:r>
      <w:r>
        <w:rPr>
          <w:sz w:val="20"/>
          <w:szCs w:val="20"/>
        </w:rPr>
        <w:t>ough additional investments in local sales, marketing and professional service capabilities, as well as by leveraging our Solutions Partne</w:t>
      </w:r>
      <w:r>
        <w:rPr>
          <w:sz w:val="20"/>
          <w:szCs w:val="20"/>
        </w:rPr>
        <w:t>r</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5</w:t>
      </w:r>
    </w:p>
    <w:p w:rsidR="00000000" w:rsidRDefault="00A309A2">
      <w:pPr>
        <w:rPr>
          <w:rFonts w:eastAsia="Times New Roman"/>
        </w:rPr>
      </w:pPr>
      <w:r>
        <w:rPr>
          <w:rFonts w:eastAsia="Times New Roman"/>
        </w:rPr>
        <w:pict>
          <v:rect id="_x0000_i103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network. We have opened a number of international offices and plan to open</w:t>
      </w:r>
      <w:r>
        <w:rPr>
          <w:sz w:val="20"/>
          <w:szCs w:val="20"/>
        </w:rPr>
        <w:t xml:space="preserve"> additional international offices as we continue to expand internationally. We have significant website traffic from regions outside the United States, and we believe that markets outside the United States represent a significant growth opportunity</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Contin</w:t>
      </w:r>
      <w:r>
        <w:rPr>
          <w:b/>
          <w:bCs/>
          <w:i/>
          <w:iCs/>
          <w:sz w:val="20"/>
          <w:szCs w:val="20"/>
        </w:rPr>
        <w:t>ue to Innovate and Expand Our CRM Platform</w:t>
      </w:r>
      <w:r>
        <w:rPr>
          <w:b/>
          <w:bCs/>
          <w:i/>
          <w:iCs/>
          <w:sz w:val="20"/>
          <w:szCs w:val="20"/>
        </w:rPr>
        <w:t>.</w:t>
      </w:r>
      <w:r>
        <w:rPr>
          <w:sz w:val="20"/>
          <w:szCs w:val="20"/>
        </w:rPr>
        <w:t xml:space="preserve"> Mid-market businesses are increasingly realizing the value of having an integrated marketing, sales, customer service, operations, and content management platform. We believe we are well positioned to capitalize </w:t>
      </w:r>
      <w:r>
        <w:rPr>
          <w:sz w:val="20"/>
          <w:szCs w:val="20"/>
        </w:rPr>
        <w:t>on this opportunity by introducing new products and applications to extend the functionality of our CRM Platform</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Selectively Pursue Acquisitions</w:t>
      </w:r>
      <w:r>
        <w:rPr>
          <w:b/>
          <w:bCs/>
          <w:i/>
          <w:iCs/>
          <w:sz w:val="20"/>
          <w:szCs w:val="20"/>
        </w:rPr>
        <w:t>.</w:t>
      </w:r>
      <w:r>
        <w:rPr>
          <w:sz w:val="20"/>
          <w:szCs w:val="20"/>
        </w:rPr>
        <w:t xml:space="preserve"> We plan to selectively pursue acquisitions of complementary businesses, technologies and teams that would al</w:t>
      </w:r>
      <w:r>
        <w:rPr>
          <w:sz w:val="20"/>
          <w:szCs w:val="20"/>
        </w:rPr>
        <w:t>low us to add new features and functionalities to our CRM Platform and accelerate the pace of our innovation</w:t>
      </w:r>
      <w:r>
        <w:rPr>
          <w:sz w:val="20"/>
          <w:szCs w:val="20"/>
        </w:rPr>
        <w:t>.</w:t>
      </w:r>
    </w:p>
    <w:p w:rsidR="00000000" w:rsidRDefault="00A309A2">
      <w:pPr>
        <w:pStyle w:val="a3"/>
        <w:spacing w:before="200" w:beforeAutospacing="0" w:after="0" w:afterAutospacing="0"/>
        <w:rPr>
          <w:sz w:val="20"/>
          <w:szCs w:val="20"/>
        </w:rPr>
      </w:pPr>
      <w:r>
        <w:rPr>
          <w:b/>
          <w:bCs/>
          <w:sz w:val="20"/>
          <w:szCs w:val="20"/>
        </w:rPr>
        <w:t>Our CRM Platfor</w:t>
      </w:r>
      <w:r>
        <w:rPr>
          <w:b/>
          <w:bCs/>
          <w:sz w:val="20"/>
          <w:szCs w:val="20"/>
        </w:rPr>
        <w:t>m</w:t>
      </w:r>
    </w:p>
    <w:p w:rsidR="00000000" w:rsidRDefault="00A309A2">
      <w:pPr>
        <w:pStyle w:val="a3"/>
        <w:spacing w:before="200" w:beforeAutospacing="0" w:after="0" w:afterAutospacing="0"/>
        <w:ind w:firstLine="555"/>
        <w:rPr>
          <w:sz w:val="20"/>
          <w:szCs w:val="20"/>
        </w:rPr>
      </w:pPr>
      <w:r>
        <w:rPr>
          <w:sz w:val="20"/>
          <w:szCs w:val="20"/>
        </w:rPr>
        <w:t>Our CRM Platform features integrated applications and tools that enable companies to create a cohesive and adaptable customer exp</w:t>
      </w:r>
      <w:r>
        <w:rPr>
          <w:sz w:val="20"/>
          <w:szCs w:val="20"/>
        </w:rPr>
        <w:t>erience. Each Hub can be used standalone, with our CRM Platform, a third party CRM, and/or in conjunction with any version of the other Hubs. Our Hubs are available in both free and paid tiers (i.e., Starter, Professional and Enterprise) with gradually inc</w:t>
      </w:r>
      <w:r>
        <w:rPr>
          <w:sz w:val="20"/>
          <w:szCs w:val="20"/>
        </w:rPr>
        <w:t>reasing levels of functionality that support the needs of our customers as they see success with our tools and their businesses grow</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Businesses that want to use software outside of our CRM Platform can leverage our ecosystem of third-party integrations f</w:t>
      </w:r>
      <w:r>
        <w:rPr>
          <w:sz w:val="20"/>
          <w:szCs w:val="20"/>
        </w:rPr>
        <w:t>rom our platform application partners. We make it easy to find and install new or existing software solutions that complement our CRM Platform. Over 1,000 integrations and applications are available for our users, across a wide range of categories, includi</w:t>
      </w:r>
      <w:r>
        <w:rPr>
          <w:sz w:val="20"/>
          <w:szCs w:val="20"/>
        </w:rPr>
        <w:t>ng integrations with leading social media, email, sales, video, analytics, content and webinar tools</w:t>
      </w:r>
      <w:r>
        <w:rPr>
          <w:sz w:val="20"/>
          <w:szCs w:val="20"/>
        </w:rPr>
        <w:t>.</w:t>
      </w:r>
    </w:p>
    <w:p w:rsidR="00000000" w:rsidRDefault="00A309A2">
      <w:pPr>
        <w:pStyle w:val="a3"/>
        <w:spacing w:before="200" w:beforeAutospacing="0" w:after="0" w:afterAutospacing="0"/>
        <w:ind w:left="595"/>
        <w:rPr>
          <w:sz w:val="20"/>
          <w:szCs w:val="20"/>
        </w:rPr>
      </w:pPr>
      <w:r>
        <w:rPr>
          <w:b/>
          <w:bCs/>
          <w:i/>
          <w:iCs/>
          <w:sz w:val="20"/>
          <w:szCs w:val="20"/>
        </w:rPr>
        <w:t>HubSpot CR</w:t>
      </w:r>
      <w:r>
        <w:rPr>
          <w:b/>
          <w:bCs/>
          <w:i/>
          <w:iCs/>
          <w:sz w:val="20"/>
          <w:szCs w:val="20"/>
        </w:rPr>
        <w:t>M</w:t>
      </w:r>
    </w:p>
    <w:p w:rsidR="00000000" w:rsidRDefault="00A309A2">
      <w:pPr>
        <w:pStyle w:val="a3"/>
        <w:spacing w:before="200" w:beforeAutospacing="0" w:after="0" w:afterAutospacing="0"/>
        <w:ind w:firstLine="620"/>
        <w:rPr>
          <w:sz w:val="20"/>
          <w:szCs w:val="20"/>
        </w:rPr>
      </w:pPr>
      <w:r>
        <w:rPr>
          <w:sz w:val="20"/>
          <w:szCs w:val="20"/>
        </w:rPr>
        <w:t>The core of our CRM Platform is a single database of lead and customer information that allows businesses to track their interactions with con</w:t>
      </w:r>
      <w:r>
        <w:rPr>
          <w:sz w:val="20"/>
          <w:szCs w:val="20"/>
        </w:rPr>
        <w:t>tacts and customers, manage their customer activities, and report on their pipeline and sales. This allows a complete view of lead and customer interactions across all of our integrated Hubs, giving our CRM Platform substantial power. This integration make</w:t>
      </w:r>
      <w:r>
        <w:rPr>
          <w:sz w:val="20"/>
          <w:szCs w:val="20"/>
        </w:rPr>
        <w:t>s it possible to personalize every aspect of the customer interaction across web content, social media engagement, and email messages across devices, including mobile. The integrated Hubs on our CRM Platform have a common user interface and are accessed th</w:t>
      </w:r>
      <w:r>
        <w:rPr>
          <w:sz w:val="20"/>
          <w:szCs w:val="20"/>
        </w:rPr>
        <w:t>rough a single login</w:t>
      </w:r>
      <w:r>
        <w:rPr>
          <w:sz w:val="20"/>
          <w:szCs w:val="20"/>
        </w:rPr>
        <w:t>.</w:t>
      </w:r>
      <w:r>
        <w:rPr>
          <w:sz w:val="20"/>
          <w:szCs w:val="20"/>
        </w:rPr>
        <w:t xml:space="preserve"> </w:t>
      </w:r>
    </w:p>
    <w:p w:rsidR="00000000" w:rsidRDefault="00A309A2">
      <w:pPr>
        <w:pStyle w:val="a3"/>
        <w:spacing w:before="200" w:beforeAutospacing="0" w:after="0" w:afterAutospacing="0"/>
        <w:ind w:left="595"/>
        <w:rPr>
          <w:sz w:val="20"/>
          <w:szCs w:val="20"/>
        </w:rPr>
      </w:pPr>
      <w:r>
        <w:rPr>
          <w:b/>
          <w:bCs/>
          <w:i/>
          <w:iCs/>
          <w:sz w:val="20"/>
          <w:szCs w:val="20"/>
        </w:rPr>
        <w:t>Marketing Hu</w:t>
      </w:r>
      <w:r>
        <w:rPr>
          <w:b/>
          <w:bCs/>
          <w:i/>
          <w:iCs/>
          <w:sz w:val="20"/>
          <w:szCs w:val="20"/>
        </w:rPr>
        <w:t>b</w:t>
      </w:r>
    </w:p>
    <w:p w:rsidR="00000000" w:rsidRDefault="00A309A2">
      <w:pPr>
        <w:pStyle w:val="a3"/>
        <w:spacing w:before="200" w:beforeAutospacing="0" w:after="0" w:afterAutospacing="0"/>
        <w:ind w:firstLine="620"/>
        <w:rPr>
          <w:sz w:val="20"/>
          <w:szCs w:val="20"/>
        </w:rPr>
      </w:pPr>
      <w:r>
        <w:rPr>
          <w:sz w:val="20"/>
          <w:szCs w:val="20"/>
        </w:rPr>
        <w:t xml:space="preserve">Marketing Hub is an all-in-one toolset for marketers to attract, engage, and nurture new leads towards sales readiness over the entire customer lifecycle. Features include: marketing automation and email, social media, </w:t>
      </w:r>
      <w:r>
        <w:rPr>
          <w:sz w:val="20"/>
          <w:szCs w:val="20"/>
        </w:rPr>
        <w:t>SEO, and reporting and analytics</w:t>
      </w:r>
      <w:r>
        <w:rPr>
          <w:sz w:val="20"/>
          <w:szCs w:val="20"/>
        </w:rPr>
        <w:t>.</w:t>
      </w:r>
    </w:p>
    <w:p w:rsidR="00000000" w:rsidRDefault="00A309A2">
      <w:pPr>
        <w:pStyle w:val="a3"/>
        <w:spacing w:before="200" w:beforeAutospacing="0" w:after="0" w:afterAutospacing="0"/>
        <w:ind w:firstLine="620"/>
        <w:rPr>
          <w:sz w:val="20"/>
          <w:szCs w:val="20"/>
        </w:rPr>
      </w:pPr>
      <w:r>
        <w:rPr>
          <w:b/>
          <w:bCs/>
          <w:i/>
          <w:iCs/>
          <w:sz w:val="20"/>
          <w:szCs w:val="20"/>
        </w:rPr>
        <w:t>Sales Hu</w:t>
      </w:r>
      <w:r>
        <w:rPr>
          <w:b/>
          <w:bCs/>
          <w:i/>
          <w:iCs/>
          <w:sz w:val="20"/>
          <w:szCs w:val="20"/>
        </w:rPr>
        <w:t>b</w:t>
      </w:r>
    </w:p>
    <w:p w:rsidR="00000000" w:rsidRDefault="00A309A2">
      <w:pPr>
        <w:pStyle w:val="a3"/>
        <w:spacing w:before="200" w:beforeAutospacing="0" w:after="0" w:afterAutospacing="0"/>
        <w:ind w:firstLine="620"/>
        <w:rPr>
          <w:sz w:val="20"/>
          <w:szCs w:val="20"/>
        </w:rPr>
      </w:pPr>
      <w:r>
        <w:rPr>
          <w:sz w:val="20"/>
          <w:szCs w:val="20"/>
        </w:rPr>
        <w:t>We designed Sales Hub to enhance the productivity and effectiveness of sales teams. Businesses can empower their teams with tools that deliver a personalized experience for prospects with less work for sales repr</w:t>
      </w:r>
      <w:r>
        <w:rPr>
          <w:sz w:val="20"/>
          <w:szCs w:val="20"/>
        </w:rPr>
        <w:t>esentatives. Features include: email templates and tracking, conversations and live chat, meeting and call scheduling, lead and website visit alerts, lead scoring, sales automation, pipeline management, quoting, forecasting, and reporting</w:t>
      </w:r>
      <w:r>
        <w:rPr>
          <w:sz w:val="20"/>
          <w:szCs w:val="20"/>
        </w:rPr>
        <w:t>.</w:t>
      </w:r>
      <w:r>
        <w:rPr>
          <w:sz w:val="20"/>
          <w:szCs w:val="20"/>
        </w:rPr>
        <w:t xml:space="preserve"> </w:t>
      </w:r>
    </w:p>
    <w:p w:rsidR="00000000" w:rsidRDefault="00A309A2">
      <w:pPr>
        <w:pStyle w:val="a3"/>
        <w:spacing w:before="200" w:beforeAutospacing="0" w:after="0" w:afterAutospacing="0"/>
        <w:ind w:left="595"/>
        <w:rPr>
          <w:sz w:val="20"/>
          <w:szCs w:val="20"/>
        </w:rPr>
      </w:pPr>
      <w:r>
        <w:rPr>
          <w:b/>
          <w:bCs/>
          <w:i/>
          <w:iCs/>
          <w:sz w:val="20"/>
          <w:szCs w:val="20"/>
        </w:rPr>
        <w:t>Service Hu</w:t>
      </w:r>
      <w:r>
        <w:rPr>
          <w:b/>
          <w:bCs/>
          <w:i/>
          <w:iCs/>
          <w:sz w:val="20"/>
          <w:szCs w:val="20"/>
        </w:rPr>
        <w:t>b</w:t>
      </w:r>
    </w:p>
    <w:p w:rsidR="00000000" w:rsidRDefault="00A309A2">
      <w:pPr>
        <w:pStyle w:val="a3"/>
        <w:spacing w:before="200" w:beforeAutospacing="0" w:after="0" w:afterAutospacing="0"/>
        <w:ind w:firstLine="620"/>
        <w:rPr>
          <w:sz w:val="20"/>
          <w:szCs w:val="20"/>
        </w:rPr>
      </w:pPr>
      <w:r>
        <w:rPr>
          <w:sz w:val="20"/>
          <w:szCs w:val="20"/>
        </w:rPr>
        <w:t>Ser</w:t>
      </w:r>
      <w:r>
        <w:rPr>
          <w:sz w:val="20"/>
          <w:szCs w:val="20"/>
        </w:rPr>
        <w:t>vice Hub is our customer service software that is designed to help businesses manage and connect with customers. Features include: conversations and live chat functionality, conversational bots, tickets and help desk, automation and routing, knowledge base</w:t>
      </w:r>
      <w:r>
        <w:rPr>
          <w:sz w:val="20"/>
          <w:szCs w:val="20"/>
        </w:rPr>
        <w:t>, team emails, feedback and reporting tools, and customer goals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CMS Hu</w:t>
      </w:r>
      <w:r>
        <w:rPr>
          <w:b/>
          <w:bCs/>
          <w:i/>
          <w:iCs/>
          <w:sz w:val="20"/>
          <w:szCs w:val="20"/>
        </w:rPr>
        <w:t>b</w:t>
      </w:r>
    </w:p>
    <w:p w:rsidR="00000000" w:rsidRDefault="00A309A2">
      <w:pPr>
        <w:pStyle w:val="a3"/>
        <w:spacing w:before="200" w:beforeAutospacing="0" w:after="0" w:afterAutospacing="0"/>
        <w:ind w:firstLine="555"/>
        <w:rPr>
          <w:sz w:val="20"/>
          <w:szCs w:val="20"/>
        </w:rPr>
      </w:pPr>
      <w:r>
        <w:rPr>
          <w:sz w:val="20"/>
          <w:szCs w:val="20"/>
        </w:rPr>
        <w:t>Our content management system (“CMS”</w:t>
      </w:r>
      <w:r>
        <w:rPr>
          <w:sz w:val="20"/>
          <w:szCs w:val="20"/>
        </w:rPr>
        <w:t xml:space="preserve">) Hub combines the power of content relationship management and a content management system into one integrated platform. Our content tools enable businesses to create new and edit existing web content while also personalizing their websites for different </w:t>
      </w:r>
      <w:r>
        <w:rPr>
          <w:sz w:val="20"/>
          <w:szCs w:val="20"/>
        </w:rPr>
        <w:t xml:space="preserve">visitors and optimizing their websites to convert more visitors into leads and customers. Features include: website pages, business blogging, smart content, landing pages and forms, SEO tools, forms and lead flow, web analytics reporting, calls-to-action, </w:t>
      </w:r>
      <w:r>
        <w:rPr>
          <w:sz w:val="20"/>
          <w:szCs w:val="20"/>
        </w:rPr>
        <w:t>and file manager</w:t>
      </w:r>
      <w:r>
        <w:rPr>
          <w:sz w:val="20"/>
          <w:szCs w:val="20"/>
        </w:rPr>
        <w:t>.</w:t>
      </w:r>
    </w:p>
    <w:p w:rsidR="00000000" w:rsidRDefault="00A309A2">
      <w:pPr>
        <w:pStyle w:val="a3"/>
        <w:spacing w:before="240" w:beforeAutospacing="0" w:after="0" w:afterAutospacing="0"/>
        <w:jc w:val="center"/>
        <w:rPr>
          <w:sz w:val="20"/>
          <w:szCs w:val="20"/>
        </w:rPr>
      </w:pPr>
      <w:r>
        <w:rPr>
          <w:sz w:val="20"/>
          <w:szCs w:val="20"/>
        </w:rPr>
        <w:t>6</w:t>
      </w:r>
    </w:p>
    <w:p w:rsidR="00000000" w:rsidRDefault="00A309A2">
      <w:pPr>
        <w:rPr>
          <w:rFonts w:eastAsia="Times New Roman"/>
        </w:rPr>
      </w:pPr>
      <w:r>
        <w:rPr>
          <w:rFonts w:eastAsia="Times New Roman"/>
        </w:rPr>
        <w:pict>
          <v:rect id="_x0000_i103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b/>
          <w:bCs/>
          <w:i/>
          <w:iCs/>
          <w:sz w:val="20"/>
          <w:szCs w:val="20"/>
        </w:rPr>
        <w:t>Operations Hu</w:t>
      </w:r>
      <w:r>
        <w:rPr>
          <w:b/>
          <w:bCs/>
          <w:i/>
          <w:iCs/>
          <w:sz w:val="20"/>
          <w:szCs w:val="20"/>
        </w:rPr>
        <w:t>b</w:t>
      </w:r>
    </w:p>
    <w:p w:rsidR="00000000" w:rsidRDefault="00A309A2">
      <w:pPr>
        <w:pStyle w:val="a3"/>
        <w:spacing w:before="200" w:beforeAutospacing="0" w:after="0" w:afterAutospacing="0"/>
        <w:ind w:firstLine="555"/>
        <w:rPr>
          <w:sz w:val="20"/>
          <w:szCs w:val="20"/>
        </w:rPr>
      </w:pPr>
      <w:r>
        <w:rPr>
          <w:sz w:val="20"/>
          <w:szCs w:val="20"/>
        </w:rPr>
        <w:t>Our Operations Hub is designed to help businesses unify customer data in a connected platform, automate business processes, and eliminate time-consuming data cleanup with ease. Featur</w:t>
      </w:r>
      <w:r>
        <w:rPr>
          <w:sz w:val="20"/>
          <w:szCs w:val="20"/>
        </w:rPr>
        <w:t>es include: programmable automation, data sync, data curation, and data quality tools</w:t>
      </w:r>
      <w:r>
        <w:rPr>
          <w:sz w:val="20"/>
          <w:szCs w:val="20"/>
        </w:rPr>
        <w:t>.</w:t>
      </w:r>
      <w:r>
        <w:rPr>
          <w:sz w:val="20"/>
          <w:szCs w:val="20"/>
        </w:rPr>
        <w:t xml:space="preserve"> </w:t>
      </w:r>
    </w:p>
    <w:p w:rsidR="00000000" w:rsidRDefault="00A309A2">
      <w:pPr>
        <w:pStyle w:val="a3"/>
        <w:spacing w:before="200" w:beforeAutospacing="0" w:after="0" w:afterAutospacing="0"/>
        <w:ind w:firstLine="620"/>
        <w:rPr>
          <w:sz w:val="20"/>
          <w:szCs w:val="20"/>
        </w:rPr>
      </w:pPr>
      <w:r>
        <w:rPr>
          <w:sz w:val="20"/>
          <w:szCs w:val="20"/>
        </w:rPr>
        <w:t xml:space="preserve">Built within the CRM Platform, we offer an end-to-end payment solution, Payments, which enables customers to accept payments from their customers in less time and with </w:t>
      </w:r>
      <w:r>
        <w:rPr>
          <w:sz w:val="20"/>
          <w:szCs w:val="20"/>
        </w:rPr>
        <w:t>fewer tools. With Payments, customers can buy and pay directly on a website, an email, or chat and native integration with the quotes feature in Sales Hub allows our customers to get paid immediately when a quote is accepted</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sz w:val="20"/>
          <w:szCs w:val="20"/>
        </w:rPr>
        <w:t>Our Service</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We complement ou</w:t>
      </w:r>
      <w:r>
        <w:rPr>
          <w:sz w:val="20"/>
          <w:szCs w:val="20"/>
        </w:rPr>
        <w:t xml:space="preserve">r product offerings with professional services, customer success and support, which we view as critical elements of ensuring the long-term retention of our customers. The majority of our services and support is offered over email, phone, chat applications </w:t>
      </w:r>
      <w:r>
        <w:rPr>
          <w:sz w:val="20"/>
          <w:szCs w:val="20"/>
        </w:rPr>
        <w:t>and via web meeting technology rather than in-person, which is a more efficient business model for us and our customers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Professional Services</w:t>
      </w:r>
      <w:r>
        <w:rPr>
          <w:b/>
          <w:bCs/>
          <w:i/>
          <w:iCs/>
          <w:sz w:val="20"/>
          <w:szCs w:val="20"/>
        </w:rPr>
        <w:t>.</w:t>
      </w:r>
      <w:r>
        <w:rPr>
          <w:sz w:val="20"/>
          <w:szCs w:val="20"/>
        </w:rPr>
        <w:t xml:space="preserve"> We offer professional services to educate and train customers on how to leverage our CRM Platform to transform h</w:t>
      </w:r>
      <w:r>
        <w:rPr>
          <w:sz w:val="20"/>
          <w:szCs w:val="20"/>
        </w:rPr>
        <w:t>ow their business attracts, engages and delights customers. Depending on which Hubs and services a customer purchases, they receive one-on-one training or guidance from one of our on-boarding or technical specialists by web meeting and can purchase additio</w:t>
      </w:r>
      <w:r>
        <w:rPr>
          <w:sz w:val="20"/>
          <w:szCs w:val="20"/>
        </w:rPr>
        <w:t>nal group training and education in online or in-person classes. We also offer in-app training modules that customers can use as part of their on-boarding. Our professional services are also available to customers who need additional assistance on a one-ti</w:t>
      </w:r>
      <w:r>
        <w:rPr>
          <w:sz w:val="20"/>
          <w:szCs w:val="20"/>
        </w:rPr>
        <w:t>me or ongoing basis for an additional fee</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Customer Success.</w:t>
      </w:r>
      <w:r>
        <w:rPr>
          <w:b/>
          <w:bCs/>
          <w:i/>
          <w:iCs/>
          <w:sz w:val="20"/>
          <w:szCs w:val="20"/>
        </w:rPr>
        <w:t xml:space="preserve"> </w:t>
      </w:r>
      <w:r>
        <w:rPr>
          <w:sz w:val="20"/>
          <w:szCs w:val="20"/>
        </w:rPr>
        <w:t>Our customers have access to a Customer Success Manager (“CSM”), Channel Consultant ("CC") or Customer Success Team (“CST”) which are responsible for our customers’ long term success, retention a</w:t>
      </w:r>
      <w:r>
        <w:rPr>
          <w:sz w:val="20"/>
          <w:szCs w:val="20"/>
        </w:rPr>
        <w:t>nd growth on our CRM Platform. Depending on which product tier a customer purchases, our CSMs or CST address the unique needs and goals of our customers that are associated with a Solutions Partner through a series of ongoing interactions and strategy call</w:t>
      </w:r>
      <w:r>
        <w:rPr>
          <w:sz w:val="20"/>
          <w:szCs w:val="20"/>
        </w:rPr>
        <w:t>s on how to best engage and use our CRM Platform. Our CCs play a similar role as our CSMs and CST, but focus on the growth and success of our Solutions Partners and customers associated with our Solutions Partners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Support</w:t>
      </w:r>
      <w:r>
        <w:rPr>
          <w:b/>
          <w:bCs/>
          <w:i/>
          <w:iCs/>
          <w:sz w:val="20"/>
          <w:szCs w:val="20"/>
        </w:rPr>
        <w:t>.</w:t>
      </w:r>
      <w:r>
        <w:rPr>
          <w:sz w:val="20"/>
          <w:szCs w:val="20"/>
        </w:rPr>
        <w:t xml:space="preserve"> </w:t>
      </w:r>
      <w:r>
        <w:rPr>
          <w:sz w:val="20"/>
          <w:szCs w:val="20"/>
        </w:rPr>
        <w:t xml:space="preserve">In addition to assistance provided by our online articles and customer discussion forums, we offer phone and/or email and chat based support, which is included in the cost of a subscription for our Hubs. Phone, email and chat support is available starting </w:t>
      </w:r>
      <w:r>
        <w:rPr>
          <w:sz w:val="20"/>
          <w:szCs w:val="20"/>
        </w:rPr>
        <w:t>at the Professional product level for all Hubs while email and chat based support is available for Starter Hubs. We strive to maintain an exceptional quality of customer service. We continuously monitor key customer service metrics such as phone hold time,</w:t>
      </w:r>
      <w:r>
        <w:rPr>
          <w:sz w:val="20"/>
          <w:szCs w:val="20"/>
        </w:rPr>
        <w:t xml:space="preserve"> ticket response time and ticket resolution rates, and we monitor the customer satisfaction of our customer support interactions. We believe our customer support is an important reason why businesses choose our CRM Platform and recommend it to their collea</w:t>
      </w:r>
      <w:r>
        <w:rPr>
          <w:sz w:val="20"/>
          <w:szCs w:val="20"/>
        </w:rPr>
        <w:t>gues</w:t>
      </w:r>
      <w:r>
        <w:rPr>
          <w:sz w:val="20"/>
          <w:szCs w:val="20"/>
        </w:rPr>
        <w:t>.</w:t>
      </w:r>
    </w:p>
    <w:p w:rsidR="00000000" w:rsidRDefault="00A309A2">
      <w:pPr>
        <w:pStyle w:val="a3"/>
        <w:spacing w:before="200" w:beforeAutospacing="0" w:after="0" w:afterAutospacing="0"/>
        <w:rPr>
          <w:sz w:val="20"/>
          <w:szCs w:val="20"/>
        </w:rPr>
      </w:pPr>
      <w:r>
        <w:rPr>
          <w:b/>
          <w:bCs/>
          <w:sz w:val="20"/>
          <w:szCs w:val="20"/>
        </w:rPr>
        <w:t>Our Customer</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As of December 31, 2021, we had 135,442 Customers in more than 120 countries, representing many industries. No single customer represented more than one percent of our revenue in 2021, 2020, or 2019</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sz w:val="20"/>
          <w:szCs w:val="20"/>
        </w:rPr>
        <w:t>Our Technolog</w:t>
      </w:r>
      <w:r>
        <w:rPr>
          <w:b/>
          <w:bCs/>
          <w:sz w:val="20"/>
          <w:szCs w:val="20"/>
        </w:rPr>
        <w:t>y</w:t>
      </w:r>
    </w:p>
    <w:p w:rsidR="00000000" w:rsidRDefault="00A309A2">
      <w:pPr>
        <w:pStyle w:val="a3"/>
        <w:spacing w:before="200" w:beforeAutospacing="0" w:after="0" w:afterAutospacing="0"/>
        <w:ind w:firstLine="555"/>
        <w:rPr>
          <w:sz w:val="20"/>
          <w:szCs w:val="20"/>
        </w:rPr>
      </w:pPr>
      <w:r>
        <w:rPr>
          <w:sz w:val="20"/>
          <w:szCs w:val="20"/>
        </w:rPr>
        <w:t>Our Customers have c</w:t>
      </w:r>
      <w:r>
        <w:rPr>
          <w:sz w:val="20"/>
          <w:szCs w:val="20"/>
        </w:rPr>
        <w:t>hosen us as their CRM Platform, which we architected and built to be secure, highly distributed and highly scalable. Since our founding, we have embraced rapid, iterative product development lifecycles, cloud automation and open-source technologies, includ</w:t>
      </w:r>
      <w:r>
        <w:rPr>
          <w:sz w:val="20"/>
          <w:szCs w:val="20"/>
        </w:rPr>
        <w:t>ing big data platforms, to power marketing, sales, service, operations, and content management programs and provide insights not previously possible or available</w:t>
      </w:r>
      <w:r>
        <w:rPr>
          <w:sz w:val="20"/>
          <w:szCs w:val="20"/>
        </w:rPr>
        <w:t>.</w:t>
      </w:r>
    </w:p>
    <w:p w:rsidR="00000000" w:rsidRDefault="00A309A2">
      <w:pPr>
        <w:pStyle w:val="a3"/>
        <w:spacing w:before="200" w:beforeAutospacing="0" w:after="0" w:afterAutospacing="0"/>
        <w:ind w:firstLine="555"/>
        <w:rPr>
          <w:sz w:val="20"/>
          <w:szCs w:val="20"/>
        </w:rPr>
      </w:pPr>
      <w:r>
        <w:rPr>
          <w:sz w:val="20"/>
          <w:szCs w:val="20"/>
        </w:rPr>
        <w:t>Our CRM Platform is a multi-tenant, single code-based, globally available software-as-a-servi</w:t>
      </w:r>
      <w:r>
        <w:rPr>
          <w:sz w:val="20"/>
          <w:szCs w:val="20"/>
        </w:rPr>
        <w:t>ce delivered through APIs, web browsers or mobile applications. Our commitment to a highly available, reliable, and scalable platform for businesses of all sizes is accomplished through the use of these technologies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Platform Approach</w:t>
      </w:r>
      <w:r>
        <w:rPr>
          <w:b/>
          <w:bCs/>
          <w:i/>
          <w:iCs/>
          <w:sz w:val="20"/>
          <w:szCs w:val="20"/>
        </w:rPr>
        <w:t>.</w:t>
      </w:r>
      <w:r>
        <w:rPr>
          <w:sz w:val="20"/>
          <w:szCs w:val="20"/>
        </w:rPr>
        <w:t xml:space="preserve"> We built HubSpot on </w:t>
      </w:r>
      <w:r>
        <w:rPr>
          <w:sz w:val="20"/>
          <w:szCs w:val="20"/>
        </w:rPr>
        <w:t>a single platform with reusable and composable libraries, allowing us to rapidly address new feature areas and bring new products to market that have a consistent user experience and data model. We have built this platform with scale in mind, supporting th</w:t>
      </w:r>
      <w:r>
        <w:rPr>
          <w:sz w:val="20"/>
          <w:szCs w:val="20"/>
        </w:rPr>
        <w:t>ousands of components including hundreds of microservices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Modern Database Architecture</w:t>
      </w:r>
      <w:r>
        <w:rPr>
          <w:b/>
          <w:bCs/>
          <w:i/>
          <w:iCs/>
          <w:sz w:val="20"/>
          <w:szCs w:val="20"/>
        </w:rPr>
        <w:t>.</w:t>
      </w:r>
      <w:r>
        <w:rPr>
          <w:sz w:val="20"/>
          <w:szCs w:val="20"/>
        </w:rPr>
        <w:t xml:space="preserve"> We process billions of data points weekly across various channels, including social media, email, SEO and website visits, and continue to drive nearly real-time analyt</w:t>
      </w:r>
      <w:r>
        <w:rPr>
          <w:sz w:val="20"/>
          <w:szCs w:val="20"/>
        </w:rPr>
        <w:t>ics across these channels. This is possible because we buil</w:t>
      </w:r>
      <w:r>
        <w:rPr>
          <w:sz w:val="20"/>
          <w:szCs w:val="20"/>
        </w:rPr>
        <w:t>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7</w:t>
      </w:r>
    </w:p>
    <w:p w:rsidR="00000000" w:rsidRDefault="00A309A2">
      <w:pPr>
        <w:rPr>
          <w:rFonts w:eastAsia="Times New Roman"/>
        </w:rPr>
      </w:pPr>
      <w:r>
        <w:rPr>
          <w:rFonts w:eastAsia="Times New Roman"/>
        </w:rPr>
        <w:pict>
          <v:rect id="_x0000_i103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our database from the ground up using distributed big data technologies such as HBase, Elasticsearch and Kafka to both process and analyze the large amounts of data we collect. We also utilize Vitess to operate MySQL at scale, allowing our engineers to cho</w:t>
      </w:r>
      <w:r>
        <w:rPr>
          <w:sz w:val="20"/>
          <w:szCs w:val="20"/>
        </w:rPr>
        <w:t>ose the best datastore for each task</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Agility</w:t>
      </w:r>
      <w:r>
        <w:rPr>
          <w:b/>
          <w:bCs/>
          <w:i/>
          <w:iCs/>
          <w:sz w:val="20"/>
          <w:szCs w:val="20"/>
        </w:rPr>
        <w:t>.</w:t>
      </w:r>
      <w:r>
        <w:rPr>
          <w:sz w:val="20"/>
          <w:szCs w:val="20"/>
        </w:rPr>
        <w:t xml:space="preserve"> Our infrastructure and development and software release processes allow us to update our platform for specific groups of customers or our entire customer base at any time. This means we can rapidly innovate an</w:t>
      </w:r>
      <w:r>
        <w:rPr>
          <w:sz w:val="20"/>
          <w:szCs w:val="20"/>
        </w:rPr>
        <w:t>d deliver new functionality frequently, without waiting for quarterly or annual release cycles. We typically deploy updates to our software platform thousands of times a day, enabling us to gather immediate customer feedback and improve our product quickly</w:t>
      </w:r>
      <w:r>
        <w:rPr>
          <w:sz w:val="20"/>
          <w:szCs w:val="20"/>
        </w:rPr>
        <w:t xml:space="preserve"> and continuously</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Cost leverage</w:t>
      </w:r>
      <w:r>
        <w:rPr>
          <w:b/>
          <w:bCs/>
          <w:i/>
          <w:iCs/>
          <w:sz w:val="20"/>
          <w:szCs w:val="20"/>
        </w:rPr>
        <w:t>.</w:t>
      </w:r>
      <w:r>
        <w:rPr>
          <w:sz w:val="20"/>
          <w:szCs w:val="20"/>
        </w:rPr>
        <w:t xml:space="preserve"> Because our CRM Platform was built on an almost exclusive footprint of open-source software and designed to operate in cloud-based data centers, we have benefited from large-scale price reductions by these cloud computing </w:t>
      </w:r>
      <w:r>
        <w:rPr>
          <w:sz w:val="20"/>
          <w:szCs w:val="20"/>
        </w:rPr>
        <w:t>service providers as they continue to innovate and compete for market share. As our processing volume continues to grow, we continue to receive larger volume discounts on a per-unit basis for costs such as storage, bandwidth and computing capacity. We also</w:t>
      </w:r>
      <w:r>
        <w:rPr>
          <w:sz w:val="20"/>
          <w:szCs w:val="20"/>
        </w:rPr>
        <w:t xml:space="preserve"> believe that our extensive use of open-source software will provide additional leverage as we scale our CRM Platform and infrastructure</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Scalability</w:t>
      </w:r>
      <w:r>
        <w:rPr>
          <w:b/>
          <w:bCs/>
          <w:i/>
          <w:iCs/>
          <w:sz w:val="20"/>
          <w:szCs w:val="20"/>
        </w:rPr>
        <w:t>.</w:t>
      </w:r>
      <w:r>
        <w:rPr>
          <w:sz w:val="20"/>
          <w:szCs w:val="20"/>
        </w:rPr>
        <w:t xml:space="preserve"> By leveraging leading cloud infrastructure providers along with our automated technology stack, we are ab</w:t>
      </w:r>
      <w:r>
        <w:rPr>
          <w:sz w:val="20"/>
          <w:szCs w:val="20"/>
        </w:rPr>
        <w:t>le to scale workloads of varying sizes at any time. This allows us to handle customers of all sizes and demands without traditional operational limitations such as network bandwidth, computing cycles, or storage capacity as we can scale our platform on-dem</w:t>
      </w:r>
      <w:r>
        <w:rPr>
          <w:sz w:val="20"/>
          <w:szCs w:val="20"/>
        </w:rPr>
        <w:t>and</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Reliability</w:t>
      </w:r>
      <w:r>
        <w:rPr>
          <w:b/>
          <w:bCs/>
          <w:i/>
          <w:iCs/>
          <w:sz w:val="20"/>
          <w:szCs w:val="20"/>
        </w:rPr>
        <w:t>.</w:t>
      </w:r>
      <w:r>
        <w:rPr>
          <w:sz w:val="20"/>
          <w:szCs w:val="20"/>
        </w:rPr>
        <w:t xml:space="preserve"> Customer data is distributed and processed across multiple data centers within a region to provide redundancy. We built our CRM platform on a distributed computing architecture with reduced single points of failure and we operate across d</w:t>
      </w:r>
      <w:r>
        <w:rPr>
          <w:sz w:val="20"/>
          <w:szCs w:val="20"/>
        </w:rPr>
        <w:t>ata center boundaries daily. In addition to datacenter level redundancy, this architecture supports multiple live copies of each data set along with snapshot capabilities for faster, point-in-time data recovery instead of traditional backup and restore met</w:t>
      </w:r>
      <w:r>
        <w:rPr>
          <w:sz w:val="20"/>
          <w:szCs w:val="20"/>
        </w:rPr>
        <w:t>hodologies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Security</w:t>
      </w:r>
      <w:r>
        <w:rPr>
          <w:b/>
          <w:bCs/>
          <w:i/>
          <w:iCs/>
          <w:sz w:val="20"/>
          <w:szCs w:val="20"/>
        </w:rPr>
        <w:t>.</w:t>
      </w:r>
      <w:r>
        <w:rPr>
          <w:sz w:val="20"/>
          <w:szCs w:val="20"/>
        </w:rPr>
        <w:t xml:space="preserve"> We leverage industry standard network and perimeter defense technologies, distributed denial-of-service, protection systems (including web application firewalls) and enterprise grade domain name system, services across multiple vendor</w:t>
      </w:r>
      <w:r>
        <w:rPr>
          <w:sz w:val="20"/>
          <w:szCs w:val="20"/>
        </w:rPr>
        <w:t>s. Our data-center providers operate and certify to high industry compliance levels. Due to the broad footprint of our customer base, we regularly test and evaluate our platform with trusted third-party vendors to ensure the security and integrity of our s</w:t>
      </w:r>
      <w:r>
        <w:rPr>
          <w:sz w:val="20"/>
          <w:szCs w:val="20"/>
        </w:rPr>
        <w:t>ervices</w:t>
      </w:r>
      <w:r>
        <w:rPr>
          <w:sz w:val="20"/>
          <w:szCs w:val="20"/>
        </w:rPr>
        <w:t>.</w:t>
      </w:r>
    </w:p>
    <w:p w:rsidR="00000000" w:rsidRDefault="00A309A2">
      <w:pPr>
        <w:pStyle w:val="a3"/>
        <w:spacing w:before="200" w:beforeAutospacing="0" w:after="0" w:afterAutospacing="0"/>
        <w:rPr>
          <w:sz w:val="20"/>
          <w:szCs w:val="20"/>
        </w:rPr>
      </w:pPr>
      <w:r>
        <w:rPr>
          <w:b/>
          <w:bCs/>
          <w:sz w:val="20"/>
          <w:szCs w:val="20"/>
        </w:rPr>
        <w:t>Marketing and Sale</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We believe we are a global leader in implementing an inbound experience in marketing and sales. We believe that our marketing and sales model provides us with a competitive advantage, especially when targeting mid-market busine</w:t>
      </w:r>
      <w:r>
        <w:rPr>
          <w:sz w:val="20"/>
          <w:szCs w:val="20"/>
        </w:rPr>
        <w:t>sses, because we can attract and engage these businesses efficiently and at scale</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Inbound Marketin</w:t>
      </w:r>
      <w:r>
        <w:rPr>
          <w:b/>
          <w:bCs/>
          <w:i/>
          <w:iCs/>
          <w:sz w:val="20"/>
          <w:szCs w:val="20"/>
        </w:rPr>
        <w:t>g</w:t>
      </w:r>
      <w:r>
        <w:rPr>
          <w:sz w:val="20"/>
          <w:szCs w:val="20"/>
        </w:rPr>
        <w:t>. Our marketing team attracts new leads and users each month through our industry-leading blog, podcast network, email newsletter and other content, free to</w:t>
      </w:r>
      <w:r>
        <w:rPr>
          <w:sz w:val="20"/>
          <w:szCs w:val="20"/>
        </w:rPr>
        <w:t>ols, large social media following, high search engine rankings and personalized website and email content. In addition, we are generating leads for new and add-on product purchases through content and offers delivered through our CRM Platform to existing c</w:t>
      </w:r>
      <w:r>
        <w:rPr>
          <w:sz w:val="20"/>
          <w:szCs w:val="20"/>
        </w:rPr>
        <w:t>ustomers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Inbound Direct Sales</w:t>
      </w:r>
      <w:r>
        <w:rPr>
          <w:b/>
          <w:bCs/>
          <w:i/>
          <w:iCs/>
          <w:sz w:val="20"/>
          <w:szCs w:val="20"/>
        </w:rPr>
        <w:t>.</w:t>
      </w:r>
      <w:r>
        <w:rPr>
          <w:sz w:val="20"/>
          <w:szCs w:val="20"/>
        </w:rPr>
        <w:t xml:space="preserve"> Our sales representatives throughout the world use phone, email, and web meetings to interact with prospects and customers. The majority of revenue generated by our sales representatives originates with inbound leads produc</w:t>
      </w:r>
      <w:r>
        <w:rPr>
          <w:sz w:val="20"/>
          <w:szCs w:val="20"/>
        </w:rPr>
        <w:t>ed by our marketing efforts. In addition, through our freemium products and in-product cross-sell offerings, we close new business with little or no interaction by our sales representatives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Inbound Channel Sales</w:t>
      </w:r>
      <w:r>
        <w:rPr>
          <w:b/>
          <w:bCs/>
          <w:i/>
          <w:iCs/>
          <w:sz w:val="20"/>
          <w:szCs w:val="20"/>
        </w:rPr>
        <w:t>.</w:t>
      </w:r>
      <w:r>
        <w:rPr>
          <w:sz w:val="20"/>
          <w:szCs w:val="20"/>
        </w:rPr>
        <w:t xml:space="preserve"> In addition to our direct sales team, we h</w:t>
      </w:r>
      <w:r>
        <w:rPr>
          <w:sz w:val="20"/>
          <w:szCs w:val="20"/>
        </w:rPr>
        <w:t>ave sales representatives that manage relationships with our worldwide network of Solutions Partners who both use our platform for their own businesses and also, on a commissioned basis, refer customers to us. These Solutions Partners collaborate with us n</w:t>
      </w:r>
      <w:r>
        <w:rPr>
          <w:sz w:val="20"/>
          <w:szCs w:val="20"/>
        </w:rPr>
        <w:t>ot only to leverage our software platform and educational resources, but also to build their own business by offering new services and shifting their revenue mix to include recurring revenue streams</w:t>
      </w:r>
      <w:r>
        <w:rPr>
          <w:sz w:val="20"/>
          <w:szCs w:val="20"/>
        </w:rPr>
        <w:t>.</w:t>
      </w:r>
    </w:p>
    <w:p w:rsidR="00000000" w:rsidRDefault="00A309A2">
      <w:pPr>
        <w:pStyle w:val="a3"/>
        <w:spacing w:before="200" w:beforeAutospacing="0" w:after="0" w:afterAutospacing="0"/>
        <w:jc w:val="both"/>
        <w:rPr>
          <w:sz w:val="20"/>
          <w:szCs w:val="20"/>
        </w:rPr>
      </w:pPr>
      <w:r>
        <w:rPr>
          <w:b/>
          <w:bCs/>
          <w:sz w:val="20"/>
          <w:szCs w:val="20"/>
        </w:rPr>
        <w:t>COVID-19 Pandemi</w:t>
      </w:r>
      <w:r>
        <w:rPr>
          <w:b/>
          <w:bCs/>
          <w:sz w:val="20"/>
          <w:szCs w:val="20"/>
        </w:rPr>
        <w:t>c</w:t>
      </w:r>
    </w:p>
    <w:p w:rsidR="00000000" w:rsidRDefault="00A309A2">
      <w:pPr>
        <w:pStyle w:val="a3"/>
        <w:spacing w:before="200" w:beforeAutospacing="0" w:after="0" w:afterAutospacing="0"/>
        <w:ind w:firstLine="555"/>
        <w:rPr>
          <w:sz w:val="20"/>
          <w:szCs w:val="20"/>
        </w:rPr>
      </w:pPr>
      <w:r>
        <w:rPr>
          <w:sz w:val="20"/>
          <w:szCs w:val="20"/>
        </w:rPr>
        <w:t>The COVID-19 pandemic and virus contai</w:t>
      </w:r>
      <w:r>
        <w:rPr>
          <w:sz w:val="20"/>
          <w:szCs w:val="20"/>
        </w:rPr>
        <w:t>nment measures taken by federal and state governments have resulted in, and are expected to continue to result in, business slowdowns or shutdowns, weakened economic conditions, economic uncertainty, and volatility in the financial markets, both regionally</w:t>
      </w:r>
      <w:r>
        <w:rPr>
          <w:sz w:val="20"/>
          <w:szCs w:val="20"/>
        </w:rPr>
        <w:t xml:space="preserve"> and worldwide. We have continued to conduct business during the COVID-19 pandemic with substantial modifications to employee travel and where employees work, as well as virtualization, postponement, or cancellation of certain events, among other changes. </w:t>
      </w:r>
      <w:r>
        <w:rPr>
          <w:sz w:val="20"/>
          <w:szCs w:val="20"/>
        </w:rPr>
        <w:t>While the pandemic has not had a material adverse financial impact on our business to date, the broader implications of the pandemic on our results of operations and overall financial performance will depend on future developments and conditions. We contin</w:t>
      </w:r>
      <w:r>
        <w:rPr>
          <w:sz w:val="20"/>
          <w:szCs w:val="20"/>
        </w:rPr>
        <w:t xml:space="preserve">ue to actively monitor the situation and may take further actions to alter our business operations as may be required by federal, state, or local authorities, or that we determine are in the best interests of our employees, customers, partners, suppliers, </w:t>
      </w:r>
      <w:r>
        <w:rPr>
          <w:sz w:val="20"/>
          <w:szCs w:val="20"/>
        </w:rPr>
        <w:t>and stockholders, including in response to outbreaks and variants. For discussion regardin</w:t>
      </w:r>
      <w:r>
        <w:rPr>
          <w:sz w:val="20"/>
          <w:szCs w:val="20"/>
        </w:rPr>
        <w:t>g</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8</w:t>
      </w:r>
    </w:p>
    <w:p w:rsidR="00000000" w:rsidRDefault="00A309A2">
      <w:pPr>
        <w:rPr>
          <w:rFonts w:eastAsia="Times New Roman"/>
        </w:rPr>
      </w:pPr>
      <w:r>
        <w:rPr>
          <w:rFonts w:eastAsia="Times New Roman"/>
        </w:rPr>
        <w:pict>
          <v:rect id="_x0000_i103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the impact of the COVID-19 pandemic on our business and financial results, see “Risk Factors” in Item 1A and “Management’s</w:t>
      </w:r>
      <w:r>
        <w:rPr>
          <w:sz w:val="20"/>
          <w:szCs w:val="20"/>
        </w:rPr>
        <w:t xml:space="preserve"> Discussion and Analysis of Financial Condition and Results of Operations” in Item 7 of this report</w:t>
      </w:r>
      <w:r>
        <w:rPr>
          <w:sz w:val="20"/>
          <w:szCs w:val="20"/>
        </w:rPr>
        <w:t>.</w:t>
      </w:r>
    </w:p>
    <w:p w:rsidR="00000000" w:rsidRDefault="00A309A2">
      <w:pPr>
        <w:pStyle w:val="a3"/>
        <w:spacing w:before="200" w:beforeAutospacing="0" w:after="0" w:afterAutospacing="0"/>
        <w:rPr>
          <w:sz w:val="20"/>
          <w:szCs w:val="20"/>
        </w:rPr>
      </w:pPr>
      <w:r>
        <w:rPr>
          <w:b/>
          <w:bCs/>
          <w:sz w:val="20"/>
          <w:szCs w:val="20"/>
        </w:rPr>
        <w:t>Governmental Regulation</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We operate globally and are subject to numerous U.S. federal, state, and foreign laws and regulations covering a wide variety of s</w:t>
      </w:r>
      <w:r>
        <w:rPr>
          <w:sz w:val="20"/>
          <w:szCs w:val="20"/>
        </w:rPr>
        <w:t>ubject matters. Our compliance with these laws and regulations may be onerous and could, individually or in the aggregate, increase our cost of doing business, impact our competitive position relative to our peers, and/or otherwise have an</w:t>
      </w:r>
      <w:r>
        <w:rPr>
          <w:sz w:val="20"/>
          <w:szCs w:val="20"/>
        </w:rPr>
        <w:br/>
      </w:r>
      <w:r>
        <w:rPr>
          <w:sz w:val="20"/>
          <w:szCs w:val="20"/>
        </w:rPr>
        <w:br/>
        <w:t xml:space="preserve">adverse impact </w:t>
      </w:r>
      <w:r>
        <w:rPr>
          <w:sz w:val="20"/>
          <w:szCs w:val="20"/>
        </w:rPr>
        <w:t>on our business, reputation, financial condition, and operating results. For information about governmental regulations applicable to our business, refer to “Risk Factors” in Item 1A</w:t>
      </w:r>
      <w:r>
        <w:rPr>
          <w:sz w:val="20"/>
          <w:szCs w:val="20"/>
        </w:rPr>
        <w:t>.</w:t>
      </w:r>
    </w:p>
    <w:p w:rsidR="00000000" w:rsidRDefault="00A309A2">
      <w:pPr>
        <w:pStyle w:val="a3"/>
        <w:spacing w:before="200" w:beforeAutospacing="0" w:after="0" w:afterAutospacing="0"/>
        <w:rPr>
          <w:sz w:val="20"/>
          <w:szCs w:val="20"/>
        </w:rPr>
      </w:pPr>
      <w:r>
        <w:rPr>
          <w:b/>
          <w:bCs/>
          <w:sz w:val="20"/>
          <w:szCs w:val="20"/>
        </w:rPr>
        <w:t>Human Capital Managemen</w:t>
      </w:r>
      <w:r>
        <w:rPr>
          <w:b/>
          <w:bCs/>
          <w:sz w:val="20"/>
          <w:szCs w:val="20"/>
        </w:rPr>
        <w:t>t</w:t>
      </w:r>
      <w:r>
        <w:rPr>
          <w:b/>
          <w:bCs/>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 xml:space="preserve">Helping millions of organizations grow better </w:t>
      </w:r>
      <w:r>
        <w:rPr>
          <w:sz w:val="20"/>
          <w:szCs w:val="20"/>
        </w:rPr>
        <w:t>requires a truly remarkable team. We are passionate about building a company culture where people can do their best work. Our company culture and our people are not just human resources priorities but critical business priorities. As a result, we consisten</w:t>
      </w:r>
      <w:r>
        <w:rPr>
          <w:sz w:val="20"/>
          <w:szCs w:val="20"/>
        </w:rPr>
        <w:t>tly focus on how we can continue to help employees grow, both personally and professionally</w:t>
      </w:r>
      <w:r>
        <w:rPr>
          <w:sz w:val="20"/>
          <w:szCs w:val="20"/>
        </w:rPr>
        <w:t>.</w:t>
      </w:r>
    </w:p>
    <w:p w:rsidR="00000000" w:rsidRDefault="00A309A2">
      <w:pPr>
        <w:pStyle w:val="a3"/>
        <w:spacing w:before="200" w:beforeAutospacing="0" w:after="0" w:afterAutospacing="0"/>
        <w:ind w:firstLine="555"/>
        <w:rPr>
          <w:sz w:val="20"/>
          <w:szCs w:val="20"/>
        </w:rPr>
      </w:pPr>
      <w:r>
        <w:rPr>
          <w:sz w:val="20"/>
          <w:szCs w:val="20"/>
        </w:rPr>
        <w:t>HubSpot is proud to be named the #2 Best Place to Work in 2022 and #4 Best Place to Work in 2021 by the Glassdoor Employees’ Choice Awards. Based on employees’ rev</w:t>
      </w:r>
      <w:r>
        <w:rPr>
          <w:sz w:val="20"/>
          <w:szCs w:val="20"/>
        </w:rPr>
        <w:t>iews and feedback, this recognition is a strong testament to the innovative culture we are building. We have also been recognized as a top workplace in 2021 by Great Place to Work, and honored to be mentioned in a number of categories by Comparably's workp</w:t>
      </w:r>
      <w:r>
        <w:rPr>
          <w:sz w:val="20"/>
          <w:szCs w:val="20"/>
        </w:rPr>
        <w:t>lace awards in 2021 including Best Companies for Women, Best Companies for Diversity, Best Overall Company Culture, and a Best Company for Employee Happiness</w:t>
      </w:r>
      <w:r>
        <w:rPr>
          <w:sz w:val="20"/>
          <w:szCs w:val="20"/>
        </w:rPr>
        <w:t>.</w:t>
      </w:r>
    </w:p>
    <w:p w:rsidR="00000000" w:rsidRDefault="00A309A2">
      <w:pPr>
        <w:pStyle w:val="a3"/>
        <w:spacing w:before="200" w:beforeAutospacing="0" w:after="0" w:afterAutospacing="0"/>
        <w:ind w:firstLine="555"/>
        <w:rPr>
          <w:sz w:val="20"/>
          <w:szCs w:val="20"/>
        </w:rPr>
      </w:pPr>
      <w:r>
        <w:rPr>
          <w:sz w:val="20"/>
          <w:szCs w:val="20"/>
        </w:rPr>
        <w:t>As of December 31, 2021, we had 5,895 full-time employees, or HubSpotters. Of these, 1,446 are in the Americas, 1,166 are in Europe, 319 are in the Asia Pacific region and 2,964 are 100% remote</w:t>
      </w:r>
      <w:r>
        <w:rPr>
          <w:sz w:val="20"/>
          <w:szCs w:val="20"/>
        </w:rPr>
        <w:t>.</w:t>
      </w:r>
    </w:p>
    <w:p w:rsidR="00000000" w:rsidRDefault="00A309A2">
      <w:pPr>
        <w:divId w:val="1335957565"/>
        <w:rPr>
          <w:rFonts w:eastAsia="Times New Roman"/>
        </w:rPr>
      </w:pPr>
      <w:r>
        <w:rPr>
          <w:rFonts w:eastAsia="Times New Roman"/>
          <w:sz w:val="20"/>
          <w:szCs w:val="20"/>
        </w:rPr>
        <w:t>•</w:t>
      </w:r>
    </w:p>
    <w:p w:rsidR="00000000" w:rsidRDefault="00A309A2">
      <w:pPr>
        <w:divId w:val="127284970"/>
        <w:rPr>
          <w:rFonts w:eastAsia="Times New Roman"/>
        </w:rPr>
      </w:pPr>
      <w:r>
        <w:rPr>
          <w:rFonts w:eastAsia="Times New Roman"/>
          <w:b/>
          <w:bCs/>
          <w:i/>
          <w:iCs/>
          <w:sz w:val="20"/>
          <w:szCs w:val="20"/>
        </w:rPr>
        <w:t>Culture and Values</w:t>
      </w:r>
      <w:r>
        <w:rPr>
          <w:rFonts w:eastAsia="Times New Roman"/>
          <w:b/>
          <w:bCs/>
          <w:i/>
          <w:iCs/>
          <w:sz w:val="20"/>
          <w:szCs w:val="20"/>
        </w:rPr>
        <w:t>.</w:t>
      </w:r>
      <w:r>
        <w:rPr>
          <w:rFonts w:eastAsia="Times New Roman"/>
          <w:sz w:val="20"/>
          <w:szCs w:val="20"/>
        </w:rPr>
        <w:t xml:space="preserve"> Our culture is built on the firm belief</w:t>
      </w:r>
      <w:r>
        <w:rPr>
          <w:rFonts w:eastAsia="Times New Roman"/>
          <w:sz w:val="20"/>
          <w:szCs w:val="20"/>
        </w:rPr>
        <w:t xml:space="preserve"> that personal and professional growth is just as important as business growth. We believe the best people do not only fit our culture, they further it. In 2013, we published the HubSpot Culture Code, which outlines our core company values, including, auto</w:t>
      </w:r>
      <w:r>
        <w:rPr>
          <w:rFonts w:eastAsia="Times New Roman"/>
          <w:sz w:val="20"/>
          <w:szCs w:val="20"/>
        </w:rPr>
        <w:t>nomy, flexibility, and HEART. HEART is at the center of who we are and represents the five traits we value the most in HubSpotters: Humility, Empathy, Adaptability, Remarkableness and Transparency. A copy of our Culture Code can be found at: https://networ</w:t>
      </w:r>
      <w:r>
        <w:rPr>
          <w:rFonts w:eastAsia="Times New Roman"/>
          <w:sz w:val="20"/>
          <w:szCs w:val="20"/>
        </w:rPr>
        <w:t>k.hubspot.com/slides/the-hubspot-culture-code</w:t>
      </w:r>
      <w:r>
        <w:rPr>
          <w:rFonts w:eastAsia="Times New Roman"/>
          <w:sz w:val="20"/>
          <w:szCs w:val="20"/>
        </w:rPr>
        <w:t>.</w:t>
      </w:r>
    </w:p>
    <w:p w:rsidR="00000000" w:rsidRDefault="00A309A2">
      <w:pPr>
        <w:divId w:val="631986501"/>
        <w:rPr>
          <w:rFonts w:eastAsia="Times New Roman"/>
        </w:rPr>
      </w:pPr>
      <w:r>
        <w:rPr>
          <w:rFonts w:eastAsia="Times New Roman"/>
          <w:sz w:val="20"/>
          <w:szCs w:val="20"/>
        </w:rPr>
        <w:t>•</w:t>
      </w:r>
    </w:p>
    <w:p w:rsidR="00000000" w:rsidRDefault="00A309A2">
      <w:pPr>
        <w:divId w:val="1737705865"/>
        <w:rPr>
          <w:rFonts w:eastAsia="Times New Roman"/>
        </w:rPr>
      </w:pPr>
      <w:r>
        <w:rPr>
          <w:rFonts w:eastAsia="Times New Roman"/>
          <w:b/>
          <w:bCs/>
          <w:i/>
          <w:iCs/>
          <w:sz w:val="20"/>
          <w:szCs w:val="20"/>
        </w:rPr>
        <w:t>Diversity, Inclusion, and Belonging.</w:t>
      </w:r>
      <w:r>
        <w:rPr>
          <w:rFonts w:eastAsia="Times New Roman"/>
          <w:b/>
          <w:bCs/>
          <w:i/>
          <w:iCs/>
          <w:sz w:val="20"/>
          <w:szCs w:val="20"/>
        </w:rPr>
        <w:t xml:space="preserve"> </w:t>
      </w:r>
      <w:r>
        <w:rPr>
          <w:rFonts w:eastAsia="Times New Roman"/>
          <w:sz w:val="20"/>
          <w:szCs w:val="20"/>
        </w:rPr>
        <w:t>Diversity, inclusion, and belonging (DI&amp;B) is a core part of our mission. We have incorporated DI&amp;B into our policies and practices, education and events, and launched va</w:t>
      </w:r>
      <w:r>
        <w:rPr>
          <w:rFonts w:eastAsia="Times New Roman"/>
          <w:sz w:val="20"/>
          <w:szCs w:val="20"/>
        </w:rPr>
        <w:t xml:space="preserve">rious initiatives to further our goal of being a more diverse, inclusive, and equitable workplace. Our DI&amp;B initiatives include, but are not limited to: programs to increase our slate of diverse candidates, anti-racism training for employees and managers, </w:t>
      </w:r>
      <w:r>
        <w:rPr>
          <w:rFonts w:eastAsia="Times New Roman"/>
          <w:sz w:val="20"/>
          <w:szCs w:val="20"/>
        </w:rPr>
        <w:t>key external partnerships, employee resource groups, and programs and initiatives to enhance the diversity and inclusion experience for candidates and employees. In addition, our annual HubSpot Diversity, Inclusion, and Belonging Report is a detailed analy</w:t>
      </w:r>
      <w:r>
        <w:rPr>
          <w:rFonts w:eastAsia="Times New Roman"/>
          <w:sz w:val="20"/>
          <w:szCs w:val="20"/>
        </w:rPr>
        <w:t>sis of our gender, ethnicity, and age data, as well as self-reported identities including parents, military veterans, disabilities, first-generation identity, and those who are gender diverse. A copy of our DI&amp;B report can be found at: https://www.hubspot.</w:t>
      </w:r>
      <w:r>
        <w:rPr>
          <w:rFonts w:eastAsia="Times New Roman"/>
          <w:sz w:val="20"/>
          <w:szCs w:val="20"/>
        </w:rPr>
        <w:t>com/diversity/report.</w:t>
      </w:r>
      <w:r>
        <w:rPr>
          <w:rFonts w:eastAsia="Times New Roman"/>
          <w:sz w:val="20"/>
          <w:szCs w:val="20"/>
        </w:rPr>
        <w:t xml:space="preserve"> </w:t>
      </w:r>
    </w:p>
    <w:p w:rsidR="00000000" w:rsidRDefault="00A309A2">
      <w:pPr>
        <w:divId w:val="584918646"/>
        <w:rPr>
          <w:rFonts w:eastAsia="Times New Roman"/>
        </w:rPr>
      </w:pPr>
      <w:r>
        <w:rPr>
          <w:rFonts w:eastAsia="Times New Roman"/>
          <w:sz w:val="20"/>
          <w:szCs w:val="20"/>
        </w:rPr>
        <w:t>•</w:t>
      </w:r>
    </w:p>
    <w:p w:rsidR="00000000" w:rsidRDefault="00A309A2">
      <w:pPr>
        <w:divId w:val="1342588126"/>
        <w:rPr>
          <w:rFonts w:eastAsia="Times New Roman"/>
        </w:rPr>
      </w:pPr>
      <w:r>
        <w:rPr>
          <w:rFonts w:eastAsia="Times New Roman"/>
          <w:b/>
          <w:bCs/>
          <w:i/>
          <w:iCs/>
          <w:sz w:val="20"/>
          <w:szCs w:val="20"/>
        </w:rPr>
        <w:t>Compensation and Benefits</w:t>
      </w:r>
      <w:r>
        <w:rPr>
          <w:rFonts w:eastAsia="Times New Roman"/>
          <w:b/>
          <w:bCs/>
          <w:i/>
          <w:iCs/>
          <w:sz w:val="20"/>
          <w:szCs w:val="20"/>
        </w:rPr>
        <w:t>.</w:t>
      </w:r>
      <w:r>
        <w:rPr>
          <w:rFonts w:eastAsia="Times New Roman"/>
          <w:sz w:val="20"/>
          <w:szCs w:val="20"/>
        </w:rPr>
        <w:t xml:space="preserve"> We provide competitive compensation and benefits for our employees globally. Our compensation packages may include base salary, commission or semi-annual bonuses, and stock-based compensation. We also off</w:t>
      </w:r>
      <w:r>
        <w:rPr>
          <w:rFonts w:eastAsia="Times New Roman"/>
          <w:sz w:val="20"/>
          <w:szCs w:val="20"/>
        </w:rPr>
        <w:t>er general employee medical and dental plans, unlimited vacation and an annual global week of rest, life and disability insurance, and Section 401(k) plan matching contributions designed to provide employee benefits competitive with those offered by our pe</w:t>
      </w:r>
      <w:r>
        <w:rPr>
          <w:rFonts w:eastAsia="Times New Roman"/>
          <w:sz w:val="20"/>
          <w:szCs w:val="20"/>
        </w:rPr>
        <w:t>ers and other companies with which we compete for talent. We also offer an employee stock purchase plan. We evaluate both compensation and benefit offerings on an annual basis and we make adjustments as needed</w:t>
      </w:r>
      <w:r>
        <w:rPr>
          <w:rFonts w:eastAsia="Times New Roman"/>
          <w:sz w:val="20"/>
          <w:szCs w:val="20"/>
        </w:rPr>
        <w:t>.</w:t>
      </w:r>
    </w:p>
    <w:p w:rsidR="00000000" w:rsidRDefault="00A309A2">
      <w:pPr>
        <w:divId w:val="983238304"/>
        <w:rPr>
          <w:rFonts w:eastAsia="Times New Roman"/>
        </w:rPr>
      </w:pPr>
      <w:r>
        <w:rPr>
          <w:rFonts w:eastAsia="Times New Roman"/>
          <w:sz w:val="20"/>
          <w:szCs w:val="20"/>
        </w:rPr>
        <w:t>•</w:t>
      </w:r>
    </w:p>
    <w:p w:rsidR="00000000" w:rsidRDefault="00A309A2">
      <w:pPr>
        <w:divId w:val="120459327"/>
        <w:rPr>
          <w:rFonts w:eastAsia="Times New Roman"/>
        </w:rPr>
      </w:pPr>
      <w:r>
        <w:rPr>
          <w:rFonts w:eastAsia="Times New Roman"/>
          <w:b/>
          <w:bCs/>
          <w:i/>
          <w:iCs/>
          <w:sz w:val="20"/>
          <w:szCs w:val="20"/>
        </w:rPr>
        <w:t>Learning and growth</w:t>
      </w:r>
      <w:r>
        <w:rPr>
          <w:rFonts w:eastAsia="Times New Roman"/>
          <w:b/>
          <w:bCs/>
          <w:i/>
          <w:iCs/>
          <w:sz w:val="20"/>
          <w:szCs w:val="20"/>
        </w:rPr>
        <w:t>.</w:t>
      </w:r>
      <w:r>
        <w:rPr>
          <w:rFonts w:eastAsia="Times New Roman"/>
          <w:sz w:val="20"/>
          <w:szCs w:val="20"/>
        </w:rPr>
        <w:t xml:space="preserve"> We believe in life-lon</w:t>
      </w:r>
      <w:r>
        <w:rPr>
          <w:rFonts w:eastAsia="Times New Roman"/>
          <w:sz w:val="20"/>
          <w:szCs w:val="20"/>
        </w:rPr>
        <w:t xml:space="preserve">g learning and invest in employee development at every stage. We offer hands-on, regionalized on-boarding, one-on-one mentorship, year-round manager trainings and an annual mini-MBA Fellows program. In addition, we offer several self-paced courses through </w:t>
      </w:r>
      <w:r>
        <w:rPr>
          <w:rFonts w:eastAsia="Times New Roman"/>
          <w:sz w:val="20"/>
          <w:szCs w:val="20"/>
        </w:rPr>
        <w:t>Learn@HubSpot, our internal, online learning management system designed by our Learning and Development team.</w:t>
      </w:r>
      <w:r>
        <w:rPr>
          <w:rFonts w:eastAsia="Times New Roman"/>
          <w:sz w:val="20"/>
          <w:szCs w:val="20"/>
        </w:rPr>
        <w:t xml:space="preserve"> </w:t>
      </w:r>
    </w:p>
    <w:p w:rsidR="00000000" w:rsidRDefault="00A309A2">
      <w:pPr>
        <w:divId w:val="1097796181"/>
        <w:rPr>
          <w:rFonts w:eastAsia="Times New Roman"/>
        </w:rPr>
      </w:pPr>
      <w:r>
        <w:rPr>
          <w:rFonts w:eastAsia="Times New Roman"/>
          <w:sz w:val="20"/>
          <w:szCs w:val="20"/>
        </w:rPr>
        <w:t>•</w:t>
      </w:r>
    </w:p>
    <w:p w:rsidR="00000000" w:rsidRDefault="00A309A2">
      <w:pPr>
        <w:divId w:val="965622600"/>
        <w:rPr>
          <w:rFonts w:eastAsia="Times New Roman"/>
        </w:rPr>
      </w:pPr>
      <w:r>
        <w:rPr>
          <w:rFonts w:eastAsia="Times New Roman"/>
          <w:b/>
          <w:bCs/>
          <w:i/>
          <w:iCs/>
          <w:sz w:val="20"/>
          <w:szCs w:val="20"/>
        </w:rPr>
        <w:t>Hybrid Culture</w:t>
      </w:r>
      <w:r>
        <w:rPr>
          <w:rFonts w:eastAsia="Times New Roman"/>
          <w:b/>
          <w:bCs/>
          <w:i/>
          <w:iCs/>
          <w:sz w:val="20"/>
          <w:szCs w:val="20"/>
        </w:rPr>
        <w:t>.</w:t>
      </w:r>
      <w:r>
        <w:rPr>
          <w:rFonts w:eastAsia="Times New Roman"/>
          <w:sz w:val="20"/>
          <w:szCs w:val="20"/>
        </w:rPr>
        <w:t xml:space="preserve"> We offer a hybrid working model, with employees choosing annually between three options: @home, @office, @flex. @home employees</w:t>
      </w:r>
      <w:r>
        <w:rPr>
          <w:rFonts w:eastAsia="Times New Roman"/>
          <w:sz w:val="20"/>
          <w:szCs w:val="20"/>
        </w:rPr>
        <w:t xml:space="preserve"> will work the majority of the time from home, @office employees will go into a</w:t>
      </w:r>
      <w:r>
        <w:rPr>
          <w:rFonts w:eastAsia="Times New Roman"/>
          <w:sz w:val="20"/>
          <w:szCs w:val="20"/>
        </w:rPr>
        <w:t xml:space="preserve"> </w:t>
      </w:r>
    </w:p>
    <w:p w:rsidR="00000000" w:rsidRDefault="00A309A2">
      <w:pPr>
        <w:pStyle w:val="a3"/>
        <w:spacing w:before="240" w:beforeAutospacing="0" w:after="0" w:afterAutospacing="0"/>
        <w:jc w:val="center"/>
        <w:rPr>
          <w:sz w:val="20"/>
          <w:szCs w:val="20"/>
        </w:rPr>
      </w:pPr>
      <w:r>
        <w:rPr>
          <w:sz w:val="20"/>
          <w:szCs w:val="20"/>
        </w:rPr>
        <w:t>9</w:t>
      </w:r>
    </w:p>
    <w:p w:rsidR="00000000" w:rsidRDefault="00A309A2">
      <w:pPr>
        <w:rPr>
          <w:rFonts w:eastAsia="Times New Roman"/>
        </w:rPr>
      </w:pPr>
      <w:r>
        <w:rPr>
          <w:rFonts w:eastAsia="Times New Roman"/>
        </w:rPr>
        <w:pict>
          <v:rect id="_x0000_i103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divId w:val="1861355344"/>
        <w:rPr>
          <w:rFonts w:eastAsia="Times New Roman"/>
        </w:rPr>
      </w:pPr>
      <w:r>
        <w:rPr>
          <w:rFonts w:eastAsia="Times New Roman"/>
          <w:sz w:val="20"/>
          <w:szCs w:val="20"/>
        </w:rPr>
        <w:t>HubSpot office three or more days per week, and @flex employees will go into a HubSpot office two or fewer days per week</w:t>
      </w:r>
      <w:r>
        <w:rPr>
          <w:rFonts w:eastAsia="Times New Roman"/>
          <w:sz w:val="20"/>
          <w:szCs w:val="20"/>
        </w:rPr>
        <w:t>.</w:t>
      </w:r>
      <w:r>
        <w:rPr>
          <w:rFonts w:eastAsia="Times New Roman"/>
          <w:sz w:val="20"/>
          <w:szCs w:val="20"/>
        </w:rPr>
        <w:t xml:space="preserve"> </w:t>
      </w:r>
    </w:p>
    <w:p w:rsidR="00000000" w:rsidRDefault="00A309A2">
      <w:pPr>
        <w:divId w:val="36398602"/>
        <w:rPr>
          <w:rFonts w:eastAsia="Times New Roman"/>
        </w:rPr>
      </w:pPr>
      <w:r>
        <w:rPr>
          <w:rFonts w:eastAsia="Times New Roman"/>
          <w:sz w:val="20"/>
          <w:szCs w:val="20"/>
        </w:rPr>
        <w:t>•</w:t>
      </w:r>
    </w:p>
    <w:p w:rsidR="00000000" w:rsidRDefault="00A309A2">
      <w:pPr>
        <w:divId w:val="2047871684"/>
        <w:rPr>
          <w:rFonts w:eastAsia="Times New Roman"/>
        </w:rPr>
      </w:pPr>
      <w:r>
        <w:rPr>
          <w:rFonts w:eastAsia="Times New Roman"/>
          <w:b/>
          <w:bCs/>
          <w:i/>
          <w:iCs/>
          <w:sz w:val="20"/>
          <w:szCs w:val="20"/>
        </w:rPr>
        <w:t>Mental He</w:t>
      </w:r>
      <w:r>
        <w:rPr>
          <w:rFonts w:eastAsia="Times New Roman"/>
          <w:b/>
          <w:bCs/>
          <w:i/>
          <w:iCs/>
          <w:sz w:val="20"/>
          <w:szCs w:val="20"/>
        </w:rPr>
        <w:t>alth and Well-Being.</w:t>
      </w:r>
      <w:r>
        <w:rPr>
          <w:rFonts w:eastAsia="Times New Roman"/>
          <w:b/>
          <w:bCs/>
          <w:i/>
          <w:iCs/>
          <w:sz w:val="20"/>
          <w:szCs w:val="20"/>
        </w:rPr>
        <w:t xml:space="preserve"> </w:t>
      </w:r>
      <w:r>
        <w:rPr>
          <w:rFonts w:eastAsia="Times New Roman"/>
          <w:sz w:val="20"/>
          <w:szCs w:val="20"/>
        </w:rPr>
        <w:t>We offer a mental wellness platform as a global benefit for employees. Based on feedback from our employees, we also created an initiative called HubSpot Unplugged to address burnout, mental health and well-being. We later built upon this initiative with a</w:t>
      </w:r>
      <w:r>
        <w:rPr>
          <w:rFonts w:eastAsia="Times New Roman"/>
          <w:sz w:val="20"/>
          <w:szCs w:val="20"/>
        </w:rPr>
        <w:t xml:space="preserve"> long-term framework to prevent and battle burnout and its root causes, including a company holiday week for all employees to take time off and recharge, and programming for employees to listen, learn, and identify ways to prioritize their mental health at</w:t>
      </w:r>
      <w:r>
        <w:rPr>
          <w:rFonts w:eastAsia="Times New Roman"/>
          <w:sz w:val="20"/>
          <w:szCs w:val="20"/>
        </w:rPr>
        <w:t xml:space="preserve"> work.</w:t>
      </w:r>
      <w:r>
        <w:rPr>
          <w:rFonts w:eastAsia="Times New Roman"/>
          <w:sz w:val="20"/>
          <w:szCs w:val="20"/>
        </w:rPr>
        <w:t xml:space="preserve"> </w:t>
      </w:r>
    </w:p>
    <w:p w:rsidR="00000000" w:rsidRDefault="00A309A2">
      <w:pPr>
        <w:divId w:val="580800634"/>
        <w:rPr>
          <w:rFonts w:eastAsia="Times New Roman"/>
        </w:rPr>
      </w:pPr>
      <w:r>
        <w:rPr>
          <w:rFonts w:eastAsia="Times New Roman"/>
          <w:sz w:val="20"/>
          <w:szCs w:val="20"/>
        </w:rPr>
        <w:t>•</w:t>
      </w:r>
    </w:p>
    <w:p w:rsidR="00000000" w:rsidRDefault="00A309A2">
      <w:pPr>
        <w:divId w:val="1099788624"/>
        <w:rPr>
          <w:rFonts w:eastAsia="Times New Roman"/>
        </w:rPr>
      </w:pPr>
      <w:r>
        <w:rPr>
          <w:rFonts w:eastAsia="Times New Roman"/>
          <w:b/>
          <w:bCs/>
          <w:i/>
          <w:iCs/>
          <w:sz w:val="20"/>
          <w:szCs w:val="20"/>
        </w:rPr>
        <w:t>Social Impact.</w:t>
      </w:r>
      <w:r>
        <w:rPr>
          <w:rFonts w:eastAsia="Times New Roman"/>
          <w:b/>
          <w:bCs/>
          <w:i/>
          <w:iCs/>
          <w:sz w:val="20"/>
          <w:szCs w:val="20"/>
        </w:rPr>
        <w:t xml:space="preserve"> </w:t>
      </w:r>
      <w:r>
        <w:rPr>
          <w:rFonts w:eastAsia="Times New Roman"/>
          <w:sz w:val="20"/>
          <w:szCs w:val="20"/>
        </w:rPr>
        <w:t>We provide a range of opportunities for our employees to get involved with these nonprofits organizations through HubSpot Helps, our charity partner program, including: encouraging employee volunteerism, providing financial and in-</w:t>
      </w:r>
      <w:r>
        <w:rPr>
          <w:rFonts w:eastAsia="Times New Roman"/>
          <w:sz w:val="20"/>
          <w:szCs w:val="20"/>
        </w:rPr>
        <w:t>kind donations, and running other creative events. As part of our commitment to help dismantle systemic racism through long-term, meaningful change, we are committed to invest $12.5 million in the Black Economic Development Fund to support Black-led financ</w:t>
      </w:r>
      <w:r>
        <w:rPr>
          <w:rFonts w:eastAsia="Times New Roman"/>
          <w:sz w:val="20"/>
          <w:szCs w:val="20"/>
        </w:rPr>
        <w:t>ial institutions, Black-led businesses, community centers, and anchor institutions with the goal of growing these organizations and strengthening their contributions to the Black community. We also invested an additional $7.5 million in support of minority</w:t>
      </w:r>
      <w:r>
        <w:rPr>
          <w:rFonts w:eastAsia="Times New Roman"/>
          <w:sz w:val="20"/>
          <w:szCs w:val="20"/>
        </w:rPr>
        <w:t xml:space="preserve"> depository institutions to help close the racial wealth, health, and opportunity gap for the communities they serve</w:t>
      </w:r>
      <w:r>
        <w:rPr>
          <w:rFonts w:eastAsia="Times New Roman"/>
          <w:sz w:val="20"/>
          <w:szCs w:val="20"/>
        </w:rPr>
        <w:t>.</w:t>
      </w:r>
    </w:p>
    <w:p w:rsidR="00000000" w:rsidRDefault="00A309A2">
      <w:pPr>
        <w:divId w:val="487597183"/>
        <w:rPr>
          <w:rFonts w:eastAsia="Times New Roman"/>
        </w:rPr>
      </w:pPr>
      <w:r>
        <w:rPr>
          <w:rFonts w:eastAsia="Times New Roman"/>
          <w:sz w:val="20"/>
          <w:szCs w:val="20"/>
        </w:rPr>
        <w:t>•</w:t>
      </w:r>
    </w:p>
    <w:p w:rsidR="00000000" w:rsidRDefault="00A309A2">
      <w:pPr>
        <w:divId w:val="2146658148"/>
        <w:rPr>
          <w:rFonts w:eastAsia="Times New Roman"/>
        </w:rPr>
      </w:pPr>
      <w:r>
        <w:rPr>
          <w:rFonts w:eastAsia="Times New Roman"/>
          <w:b/>
          <w:bCs/>
          <w:i/>
          <w:iCs/>
          <w:sz w:val="20"/>
          <w:szCs w:val="20"/>
        </w:rPr>
        <w:t>Employee Engagement and Feedback.</w:t>
      </w:r>
      <w:r>
        <w:rPr>
          <w:rFonts w:eastAsia="Times New Roman"/>
          <w:b/>
          <w:bCs/>
          <w:i/>
          <w:iCs/>
          <w:sz w:val="20"/>
          <w:szCs w:val="20"/>
        </w:rPr>
        <w:t xml:space="preserve"> </w:t>
      </w:r>
      <w:r>
        <w:rPr>
          <w:rFonts w:eastAsia="Times New Roman"/>
          <w:sz w:val="20"/>
          <w:szCs w:val="20"/>
        </w:rPr>
        <w:t xml:space="preserve">We administer a quarterly employee engagement survey, known as our eNPS, to assess and understand the </w:t>
      </w:r>
      <w:r>
        <w:rPr>
          <w:rFonts w:eastAsia="Times New Roman"/>
          <w:sz w:val="20"/>
          <w:szCs w:val="20"/>
        </w:rPr>
        <w:t>employee experience and engagement at the company level. The survey also enables us to provide data to leaders across the organization, empowering them to identify, address, and monitor feedback at the department level. Our eNPS process includes a Global I</w:t>
      </w:r>
      <w:r>
        <w:rPr>
          <w:rFonts w:eastAsia="Times New Roman"/>
          <w:sz w:val="20"/>
          <w:szCs w:val="20"/>
        </w:rPr>
        <w:t>nclusion Index survey which we measure annually, allowing us to track progress and collect feedback on our diversity, inclusion, and belonging efforts over time.</w:t>
      </w:r>
      <w:r>
        <w:rPr>
          <w:rFonts w:eastAsia="Times New Roman"/>
          <w:sz w:val="20"/>
          <w:szCs w:val="20"/>
        </w:rPr>
        <w:t xml:space="preserve"> </w:t>
      </w:r>
    </w:p>
    <w:p w:rsidR="00000000" w:rsidRDefault="00A309A2">
      <w:pPr>
        <w:pStyle w:val="a3"/>
        <w:spacing w:before="200" w:beforeAutospacing="0" w:after="0" w:afterAutospacing="0"/>
        <w:rPr>
          <w:sz w:val="20"/>
          <w:szCs w:val="20"/>
        </w:rPr>
      </w:pPr>
      <w:r>
        <w:rPr>
          <w:b/>
          <w:bCs/>
          <w:sz w:val="20"/>
          <w:szCs w:val="20"/>
        </w:rPr>
        <w:t>Competitio</w:t>
      </w:r>
      <w:r>
        <w:rPr>
          <w:b/>
          <w:bCs/>
          <w:sz w:val="20"/>
          <w:szCs w:val="20"/>
        </w:rPr>
        <w:t>n</w:t>
      </w:r>
    </w:p>
    <w:p w:rsidR="00000000" w:rsidRDefault="00A309A2">
      <w:pPr>
        <w:pStyle w:val="a3"/>
        <w:spacing w:before="200" w:beforeAutospacing="0" w:after="0" w:afterAutospacing="0"/>
        <w:ind w:firstLine="555"/>
        <w:rPr>
          <w:sz w:val="20"/>
          <w:szCs w:val="20"/>
        </w:rPr>
      </w:pPr>
      <w:r>
        <w:rPr>
          <w:sz w:val="20"/>
          <w:szCs w:val="20"/>
        </w:rPr>
        <w:t>Our market is evolving, highly competitive and fragmented, and we expect competit</w:t>
      </w:r>
      <w:r>
        <w:rPr>
          <w:sz w:val="20"/>
          <w:szCs w:val="20"/>
        </w:rPr>
        <w:t>ion to increase in the future. We believe the principal competitive factors in our market are</w:t>
      </w:r>
      <w:r>
        <w:rPr>
          <w:sz w:val="20"/>
          <w:szCs w:val="20"/>
        </w:rPr>
        <w:t>:</w:t>
      </w:r>
    </w:p>
    <w:p w:rsidR="00000000" w:rsidRDefault="00A309A2">
      <w:pPr>
        <w:divId w:val="322586046"/>
        <w:rPr>
          <w:rFonts w:eastAsia="Times New Roman"/>
        </w:rPr>
      </w:pPr>
      <w:r>
        <w:rPr>
          <w:rFonts w:eastAsia="Times New Roman"/>
          <w:sz w:val="20"/>
          <w:szCs w:val="20"/>
        </w:rPr>
        <w:t>o</w:t>
      </w:r>
    </w:p>
    <w:p w:rsidR="00000000" w:rsidRDefault="00A309A2">
      <w:pPr>
        <w:divId w:val="533734553"/>
        <w:rPr>
          <w:rFonts w:eastAsia="Times New Roman"/>
        </w:rPr>
      </w:pPr>
      <w:r>
        <w:rPr>
          <w:rFonts w:eastAsia="Times New Roman"/>
          <w:sz w:val="20"/>
          <w:szCs w:val="20"/>
        </w:rPr>
        <w:t>vision for the market, product strategy and pace of innovation</w:t>
      </w:r>
      <w:r>
        <w:rPr>
          <w:rFonts w:eastAsia="Times New Roman"/>
          <w:sz w:val="20"/>
          <w:szCs w:val="20"/>
        </w:rPr>
        <w:t>;</w:t>
      </w:r>
    </w:p>
    <w:p w:rsidR="00000000" w:rsidRDefault="00A309A2">
      <w:pPr>
        <w:divId w:val="790906490"/>
        <w:rPr>
          <w:rFonts w:eastAsia="Times New Roman"/>
        </w:rPr>
      </w:pPr>
      <w:r>
        <w:rPr>
          <w:rFonts w:eastAsia="Times New Roman"/>
          <w:sz w:val="20"/>
          <w:szCs w:val="20"/>
        </w:rPr>
        <w:t>o</w:t>
      </w:r>
    </w:p>
    <w:p w:rsidR="00000000" w:rsidRDefault="00A309A2">
      <w:pPr>
        <w:divId w:val="442963287"/>
        <w:rPr>
          <w:rFonts w:eastAsia="Times New Roman"/>
        </w:rPr>
      </w:pPr>
      <w:r>
        <w:rPr>
          <w:rFonts w:eastAsia="Times New Roman"/>
          <w:sz w:val="20"/>
          <w:szCs w:val="20"/>
        </w:rPr>
        <w:t>inbound marketing focus and domain expertise</w:t>
      </w:r>
      <w:r>
        <w:rPr>
          <w:rFonts w:eastAsia="Times New Roman"/>
          <w:sz w:val="20"/>
          <w:szCs w:val="20"/>
        </w:rPr>
        <w:t>;</w:t>
      </w:r>
    </w:p>
    <w:p w:rsidR="00000000" w:rsidRDefault="00A309A2">
      <w:pPr>
        <w:divId w:val="1986087672"/>
        <w:rPr>
          <w:rFonts w:eastAsia="Times New Roman"/>
        </w:rPr>
      </w:pPr>
      <w:r>
        <w:rPr>
          <w:rFonts w:eastAsia="Times New Roman"/>
          <w:sz w:val="20"/>
          <w:szCs w:val="20"/>
        </w:rPr>
        <w:t>o</w:t>
      </w:r>
    </w:p>
    <w:p w:rsidR="00000000" w:rsidRDefault="00A309A2">
      <w:pPr>
        <w:divId w:val="1487237508"/>
        <w:rPr>
          <w:rFonts w:eastAsia="Times New Roman"/>
        </w:rPr>
      </w:pPr>
      <w:r>
        <w:rPr>
          <w:rFonts w:eastAsia="Times New Roman"/>
          <w:sz w:val="20"/>
          <w:szCs w:val="20"/>
        </w:rPr>
        <w:t>integrated all-in-one CRM Platform</w:t>
      </w:r>
      <w:r>
        <w:rPr>
          <w:rFonts w:eastAsia="Times New Roman"/>
          <w:sz w:val="20"/>
          <w:szCs w:val="20"/>
        </w:rPr>
        <w:t>;</w:t>
      </w:r>
    </w:p>
    <w:p w:rsidR="00000000" w:rsidRDefault="00A309A2">
      <w:pPr>
        <w:divId w:val="2142379305"/>
        <w:rPr>
          <w:rFonts w:eastAsia="Times New Roman"/>
        </w:rPr>
      </w:pPr>
      <w:r>
        <w:rPr>
          <w:rFonts w:eastAsia="Times New Roman"/>
          <w:sz w:val="20"/>
          <w:szCs w:val="20"/>
        </w:rPr>
        <w:t>o</w:t>
      </w:r>
    </w:p>
    <w:p w:rsidR="00000000" w:rsidRDefault="00A309A2">
      <w:pPr>
        <w:divId w:val="829752550"/>
        <w:rPr>
          <w:rFonts w:eastAsia="Times New Roman"/>
        </w:rPr>
      </w:pPr>
      <w:r>
        <w:rPr>
          <w:rFonts w:eastAsia="Times New Roman"/>
          <w:sz w:val="20"/>
          <w:szCs w:val="20"/>
        </w:rPr>
        <w:t>breadth and depth of product functionality</w:t>
      </w:r>
      <w:r>
        <w:rPr>
          <w:rFonts w:eastAsia="Times New Roman"/>
          <w:sz w:val="20"/>
          <w:szCs w:val="20"/>
        </w:rPr>
        <w:t>;</w:t>
      </w:r>
    </w:p>
    <w:p w:rsidR="00000000" w:rsidRDefault="00A309A2">
      <w:pPr>
        <w:divId w:val="791094645"/>
        <w:rPr>
          <w:rFonts w:eastAsia="Times New Roman"/>
        </w:rPr>
      </w:pPr>
      <w:r>
        <w:rPr>
          <w:rFonts w:eastAsia="Times New Roman"/>
          <w:sz w:val="20"/>
          <w:szCs w:val="20"/>
        </w:rPr>
        <w:t>o</w:t>
      </w:r>
    </w:p>
    <w:p w:rsidR="00000000" w:rsidRDefault="00A309A2">
      <w:pPr>
        <w:divId w:val="1306813878"/>
        <w:rPr>
          <w:rFonts w:eastAsia="Times New Roman"/>
        </w:rPr>
      </w:pPr>
      <w:r>
        <w:rPr>
          <w:rFonts w:eastAsia="Times New Roman"/>
          <w:sz w:val="20"/>
          <w:szCs w:val="20"/>
        </w:rPr>
        <w:t>ease of use</w:t>
      </w:r>
      <w:r>
        <w:rPr>
          <w:rFonts w:eastAsia="Times New Roman"/>
          <w:sz w:val="20"/>
          <w:szCs w:val="20"/>
        </w:rPr>
        <w:t>;</w:t>
      </w:r>
    </w:p>
    <w:p w:rsidR="00000000" w:rsidRDefault="00A309A2">
      <w:pPr>
        <w:divId w:val="1412699353"/>
        <w:rPr>
          <w:rFonts w:eastAsia="Times New Roman"/>
        </w:rPr>
      </w:pPr>
      <w:r>
        <w:rPr>
          <w:rFonts w:eastAsia="Times New Roman"/>
          <w:sz w:val="20"/>
          <w:szCs w:val="20"/>
        </w:rPr>
        <w:t>o</w:t>
      </w:r>
    </w:p>
    <w:p w:rsidR="00000000" w:rsidRDefault="00A309A2">
      <w:pPr>
        <w:divId w:val="391276857"/>
        <w:rPr>
          <w:rFonts w:eastAsia="Times New Roman"/>
        </w:rPr>
      </w:pPr>
      <w:r>
        <w:rPr>
          <w:rFonts w:eastAsia="Times New Roman"/>
          <w:sz w:val="20"/>
          <w:szCs w:val="20"/>
        </w:rPr>
        <w:t>scalable, open architecture</w:t>
      </w:r>
      <w:r>
        <w:rPr>
          <w:rFonts w:eastAsia="Times New Roman"/>
          <w:sz w:val="20"/>
          <w:szCs w:val="20"/>
        </w:rPr>
        <w:t>;</w:t>
      </w:r>
    </w:p>
    <w:p w:rsidR="00000000" w:rsidRDefault="00A309A2">
      <w:pPr>
        <w:divId w:val="278226262"/>
        <w:rPr>
          <w:rFonts w:eastAsia="Times New Roman"/>
        </w:rPr>
      </w:pPr>
      <w:r>
        <w:rPr>
          <w:rFonts w:eastAsia="Times New Roman"/>
          <w:sz w:val="20"/>
          <w:szCs w:val="20"/>
        </w:rPr>
        <w:t>o</w:t>
      </w:r>
    </w:p>
    <w:p w:rsidR="00000000" w:rsidRDefault="00A309A2">
      <w:pPr>
        <w:divId w:val="1338385060"/>
        <w:rPr>
          <w:rFonts w:eastAsia="Times New Roman"/>
        </w:rPr>
      </w:pPr>
      <w:r>
        <w:rPr>
          <w:rFonts w:eastAsia="Times New Roman"/>
          <w:sz w:val="20"/>
          <w:szCs w:val="20"/>
        </w:rPr>
        <w:t>time to value and total cost of ownership</w:t>
      </w:r>
      <w:r>
        <w:rPr>
          <w:rFonts w:eastAsia="Times New Roman"/>
          <w:sz w:val="20"/>
          <w:szCs w:val="20"/>
        </w:rPr>
        <w:t>;</w:t>
      </w:r>
    </w:p>
    <w:p w:rsidR="00000000" w:rsidRDefault="00A309A2">
      <w:pPr>
        <w:divId w:val="2025087556"/>
        <w:rPr>
          <w:rFonts w:eastAsia="Times New Roman"/>
        </w:rPr>
      </w:pPr>
      <w:r>
        <w:rPr>
          <w:rFonts w:eastAsia="Times New Roman"/>
          <w:sz w:val="20"/>
          <w:szCs w:val="20"/>
        </w:rPr>
        <w:t>o</w:t>
      </w:r>
    </w:p>
    <w:p w:rsidR="00000000" w:rsidRDefault="00A309A2">
      <w:pPr>
        <w:divId w:val="1127889136"/>
        <w:rPr>
          <w:rFonts w:eastAsia="Times New Roman"/>
        </w:rPr>
      </w:pPr>
      <w:r>
        <w:rPr>
          <w:rFonts w:eastAsia="Times New Roman"/>
          <w:sz w:val="20"/>
          <w:szCs w:val="20"/>
        </w:rPr>
        <w:t>integration with third-party applications and data sources;</w:t>
      </w:r>
      <w:r>
        <w:rPr>
          <w:rFonts w:eastAsia="Times New Roman"/>
          <w:sz w:val="20"/>
          <w:szCs w:val="20"/>
        </w:rPr>
        <w:t xml:space="preserve"> </w:t>
      </w:r>
    </w:p>
    <w:p w:rsidR="00000000" w:rsidRDefault="00A309A2">
      <w:pPr>
        <w:divId w:val="1157840263"/>
        <w:rPr>
          <w:rFonts w:eastAsia="Times New Roman"/>
        </w:rPr>
      </w:pPr>
      <w:r>
        <w:rPr>
          <w:rFonts w:eastAsia="Times New Roman"/>
          <w:sz w:val="20"/>
          <w:szCs w:val="20"/>
        </w:rPr>
        <w:t>o</w:t>
      </w:r>
    </w:p>
    <w:p w:rsidR="00000000" w:rsidRDefault="00A309A2">
      <w:pPr>
        <w:divId w:val="1759011452"/>
        <w:rPr>
          <w:rFonts w:eastAsia="Times New Roman"/>
        </w:rPr>
      </w:pPr>
      <w:r>
        <w:rPr>
          <w:rFonts w:eastAsia="Times New Roman"/>
          <w:sz w:val="20"/>
          <w:szCs w:val="20"/>
        </w:rPr>
        <w:t>use of CRM data to</w:t>
      </w:r>
      <w:r>
        <w:rPr>
          <w:rFonts w:eastAsia="Times New Roman"/>
          <w:sz w:val="20"/>
          <w:szCs w:val="20"/>
        </w:rPr>
        <w:t xml:space="preserve"> make strategic business decisions</w:t>
      </w:r>
      <w:r>
        <w:rPr>
          <w:rFonts w:eastAsia="Times New Roman"/>
          <w:sz w:val="20"/>
          <w:szCs w:val="20"/>
        </w:rPr>
        <w:t>;</w:t>
      </w:r>
    </w:p>
    <w:p w:rsidR="00000000" w:rsidRDefault="00A309A2">
      <w:pPr>
        <w:divId w:val="2143499711"/>
        <w:rPr>
          <w:rFonts w:eastAsia="Times New Roman"/>
        </w:rPr>
      </w:pPr>
      <w:r>
        <w:rPr>
          <w:rFonts w:eastAsia="Times New Roman"/>
          <w:sz w:val="20"/>
          <w:szCs w:val="20"/>
        </w:rPr>
        <w:t>o</w:t>
      </w:r>
    </w:p>
    <w:p w:rsidR="00000000" w:rsidRDefault="00A309A2">
      <w:pPr>
        <w:divId w:val="140276961"/>
        <w:rPr>
          <w:rFonts w:eastAsia="Times New Roman"/>
        </w:rPr>
      </w:pPr>
      <w:r>
        <w:rPr>
          <w:rFonts w:eastAsia="Times New Roman"/>
          <w:sz w:val="20"/>
          <w:szCs w:val="20"/>
        </w:rPr>
        <w:t>name recognition and brand reputation; an</w:t>
      </w:r>
      <w:r>
        <w:rPr>
          <w:rFonts w:eastAsia="Times New Roman"/>
          <w:sz w:val="20"/>
          <w:szCs w:val="20"/>
        </w:rPr>
        <w:t>d</w:t>
      </w:r>
    </w:p>
    <w:p w:rsidR="00000000" w:rsidRDefault="00A309A2">
      <w:pPr>
        <w:divId w:val="1307854030"/>
        <w:rPr>
          <w:rFonts w:eastAsia="Times New Roman"/>
        </w:rPr>
      </w:pPr>
      <w:r>
        <w:rPr>
          <w:rFonts w:eastAsia="Times New Roman"/>
          <w:sz w:val="20"/>
          <w:szCs w:val="20"/>
        </w:rPr>
        <w:t>o</w:t>
      </w:r>
    </w:p>
    <w:p w:rsidR="00000000" w:rsidRDefault="00A309A2">
      <w:pPr>
        <w:divId w:val="1700203029"/>
        <w:rPr>
          <w:rFonts w:eastAsia="Times New Roman"/>
        </w:rPr>
      </w:pPr>
      <w:r>
        <w:rPr>
          <w:rFonts w:eastAsia="Times New Roman"/>
          <w:sz w:val="20"/>
          <w:szCs w:val="20"/>
        </w:rPr>
        <w:t>“freemium” go-to-market motion</w:t>
      </w:r>
      <w:r>
        <w:rPr>
          <w:rFonts w:eastAsia="Times New Roman"/>
          <w:sz w:val="20"/>
          <w:szCs w:val="20"/>
        </w:rPr>
        <w:t>.</w:t>
      </w:r>
    </w:p>
    <w:p w:rsidR="00000000" w:rsidRDefault="00A309A2">
      <w:pPr>
        <w:pStyle w:val="a3"/>
        <w:spacing w:before="200" w:beforeAutospacing="0" w:after="0" w:afterAutospacing="0"/>
        <w:ind w:firstLine="555"/>
        <w:rPr>
          <w:sz w:val="20"/>
          <w:szCs w:val="20"/>
        </w:rPr>
      </w:pPr>
      <w:r>
        <w:rPr>
          <w:sz w:val="20"/>
          <w:szCs w:val="20"/>
        </w:rPr>
        <w:t>We believe we compete favorably with respect to all of these factors</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We face intense competition from other software companies that develop </w:t>
      </w:r>
      <w:r>
        <w:rPr>
          <w:sz w:val="20"/>
          <w:szCs w:val="20"/>
        </w:rPr>
        <w:t>marketing, sales, service, and content management software. Our competitors offer various point applications that provide certain functions and features that we provide, including</w:t>
      </w:r>
      <w:r>
        <w:rPr>
          <w:sz w:val="20"/>
          <w:szCs w:val="20"/>
        </w:rPr>
        <w:t>:</w:t>
      </w:r>
    </w:p>
    <w:p w:rsidR="00000000" w:rsidRDefault="00A309A2">
      <w:pPr>
        <w:divId w:val="843327225"/>
        <w:rPr>
          <w:rFonts w:eastAsia="Times New Roman"/>
        </w:rPr>
      </w:pPr>
      <w:r>
        <w:rPr>
          <w:rFonts w:eastAsia="Times New Roman"/>
          <w:sz w:val="20"/>
          <w:szCs w:val="20"/>
        </w:rPr>
        <w:t>o</w:t>
      </w:r>
    </w:p>
    <w:p w:rsidR="00000000" w:rsidRDefault="00A309A2">
      <w:pPr>
        <w:divId w:val="962350050"/>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A309A2">
      <w:pPr>
        <w:divId w:val="1061054650"/>
        <w:rPr>
          <w:rFonts w:eastAsia="Times New Roman"/>
        </w:rPr>
      </w:pPr>
      <w:r>
        <w:rPr>
          <w:rFonts w:eastAsia="Times New Roman"/>
          <w:sz w:val="20"/>
          <w:szCs w:val="20"/>
        </w:rPr>
        <w:t>o</w:t>
      </w:r>
    </w:p>
    <w:p w:rsidR="00000000" w:rsidRDefault="00A309A2">
      <w:pPr>
        <w:divId w:val="947664838"/>
        <w:rPr>
          <w:rFonts w:eastAsia="Times New Roman"/>
        </w:rPr>
      </w:pPr>
      <w:r>
        <w:rPr>
          <w:rFonts w:eastAsia="Times New Roman"/>
          <w:sz w:val="20"/>
          <w:szCs w:val="20"/>
        </w:rPr>
        <w:t>content management systems</w:t>
      </w:r>
      <w:r>
        <w:rPr>
          <w:rFonts w:eastAsia="Times New Roman"/>
          <w:sz w:val="20"/>
          <w:szCs w:val="20"/>
        </w:rPr>
        <w:t>;</w:t>
      </w:r>
    </w:p>
    <w:p w:rsidR="00000000" w:rsidRDefault="00A309A2">
      <w:pPr>
        <w:divId w:val="1618831206"/>
        <w:rPr>
          <w:rFonts w:eastAsia="Times New Roman"/>
        </w:rPr>
      </w:pPr>
      <w:r>
        <w:rPr>
          <w:rFonts w:eastAsia="Times New Roman"/>
          <w:sz w:val="20"/>
          <w:szCs w:val="20"/>
        </w:rPr>
        <w:t>o</w:t>
      </w:r>
    </w:p>
    <w:p w:rsidR="00000000" w:rsidRDefault="00A309A2">
      <w:pPr>
        <w:divId w:val="1174958671"/>
        <w:rPr>
          <w:rFonts w:eastAsia="Times New Roman"/>
        </w:rPr>
      </w:pPr>
      <w:r>
        <w:rPr>
          <w:rFonts w:eastAsia="Times New Roman"/>
          <w:sz w:val="20"/>
          <w:szCs w:val="20"/>
        </w:rPr>
        <w:t>email marketing software vendors</w:t>
      </w:r>
      <w:r>
        <w:rPr>
          <w:rFonts w:eastAsia="Times New Roman"/>
          <w:sz w:val="20"/>
          <w:szCs w:val="20"/>
        </w:rPr>
        <w:t>;</w:t>
      </w:r>
    </w:p>
    <w:p w:rsidR="00000000" w:rsidRDefault="00A309A2">
      <w:pPr>
        <w:divId w:val="707680805"/>
        <w:rPr>
          <w:rFonts w:eastAsia="Times New Roman"/>
        </w:rPr>
      </w:pPr>
      <w:r>
        <w:rPr>
          <w:rFonts w:eastAsia="Times New Roman"/>
          <w:sz w:val="20"/>
          <w:szCs w:val="20"/>
        </w:rPr>
        <w:t>o</w:t>
      </w:r>
    </w:p>
    <w:p w:rsidR="00000000" w:rsidRDefault="00A309A2">
      <w:pPr>
        <w:divId w:val="1506743889"/>
        <w:rPr>
          <w:rFonts w:eastAsia="Times New Roman"/>
        </w:rPr>
      </w:pPr>
      <w:r>
        <w:rPr>
          <w:rFonts w:eastAsia="Times New Roman"/>
          <w:sz w:val="20"/>
          <w:szCs w:val="20"/>
        </w:rPr>
        <w:t>sales force automation and CRM software vendor</w:t>
      </w:r>
      <w:r>
        <w:rPr>
          <w:rFonts w:eastAsia="Times New Roman"/>
          <w:sz w:val="20"/>
          <w:szCs w:val="20"/>
        </w:rPr>
        <w:t>s</w:t>
      </w:r>
    </w:p>
    <w:p w:rsidR="00000000" w:rsidRDefault="00A309A2">
      <w:pPr>
        <w:pStyle w:val="a3"/>
        <w:spacing w:before="240" w:beforeAutospacing="0" w:after="0" w:afterAutospacing="0"/>
        <w:jc w:val="center"/>
        <w:rPr>
          <w:sz w:val="20"/>
          <w:szCs w:val="20"/>
        </w:rPr>
      </w:pPr>
      <w:r>
        <w:rPr>
          <w:sz w:val="20"/>
          <w:szCs w:val="20"/>
        </w:rPr>
        <w:t>1</w:t>
      </w:r>
      <w:r>
        <w:rPr>
          <w:sz w:val="20"/>
          <w:szCs w:val="20"/>
        </w:rPr>
        <w:t>0</w:t>
      </w:r>
    </w:p>
    <w:p w:rsidR="00000000" w:rsidRDefault="00A309A2">
      <w:pPr>
        <w:rPr>
          <w:rFonts w:eastAsia="Times New Roman"/>
        </w:rPr>
      </w:pPr>
      <w:r>
        <w:rPr>
          <w:rFonts w:eastAsia="Times New Roman"/>
        </w:rPr>
        <w:pict>
          <v:rect id="_x0000_i103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divId w:val="1986621711"/>
        <w:rPr>
          <w:rFonts w:eastAsia="Times New Roman"/>
        </w:rPr>
      </w:pPr>
      <w:r>
        <w:rPr>
          <w:rFonts w:eastAsia="Times New Roman"/>
          <w:sz w:val="20"/>
          <w:szCs w:val="20"/>
        </w:rPr>
        <w:t>o</w:t>
      </w:r>
    </w:p>
    <w:p w:rsidR="00000000" w:rsidRDefault="00A309A2">
      <w:pPr>
        <w:divId w:val="1776056315"/>
        <w:rPr>
          <w:rFonts w:eastAsia="Times New Roman"/>
        </w:rPr>
      </w:pPr>
      <w:r>
        <w:rPr>
          <w:rFonts w:eastAsia="Times New Roman"/>
          <w:sz w:val="20"/>
          <w:szCs w:val="20"/>
        </w:rPr>
        <w:t>customer service platform vendors; an</w:t>
      </w:r>
      <w:r>
        <w:rPr>
          <w:rFonts w:eastAsia="Times New Roman"/>
          <w:sz w:val="20"/>
          <w:szCs w:val="20"/>
        </w:rPr>
        <w:t>d</w:t>
      </w:r>
    </w:p>
    <w:p w:rsidR="00000000" w:rsidRDefault="00A309A2">
      <w:pPr>
        <w:divId w:val="630408123"/>
        <w:rPr>
          <w:rFonts w:eastAsia="Times New Roman"/>
        </w:rPr>
      </w:pPr>
      <w:r>
        <w:rPr>
          <w:rFonts w:eastAsia="Times New Roman"/>
          <w:sz w:val="20"/>
          <w:szCs w:val="20"/>
        </w:rPr>
        <w:t>o</w:t>
      </w:r>
    </w:p>
    <w:p w:rsidR="00000000" w:rsidRDefault="00A309A2">
      <w:pPr>
        <w:divId w:val="2096977096"/>
        <w:rPr>
          <w:rFonts w:eastAsia="Times New Roman"/>
        </w:rPr>
      </w:pPr>
      <w:r>
        <w:rPr>
          <w:rFonts w:eastAsia="Times New Roman"/>
          <w:sz w:val="20"/>
          <w:szCs w:val="20"/>
        </w:rPr>
        <w:t>large-scale enterprise suites</w:t>
      </w:r>
      <w:r>
        <w:rPr>
          <w:rFonts w:eastAsia="Times New Roman"/>
          <w:sz w:val="20"/>
          <w:szCs w:val="20"/>
        </w:rPr>
        <w:t>.</w:t>
      </w:r>
    </w:p>
    <w:p w:rsidR="00000000" w:rsidRDefault="00A309A2">
      <w:pPr>
        <w:pStyle w:val="a3"/>
        <w:spacing w:before="200" w:beforeAutospacing="0" w:after="0" w:afterAutospacing="0"/>
        <w:ind w:firstLine="555"/>
        <w:rPr>
          <w:sz w:val="20"/>
          <w:szCs w:val="20"/>
        </w:rPr>
      </w:pPr>
      <w:r>
        <w:rPr>
          <w:sz w:val="20"/>
          <w:szCs w:val="20"/>
        </w:rPr>
        <w:t>In addition, instead of using our CRM Platform, some prospective customers may elect to combine disparate point applications, such as content management, marketing automation, analytics, social media management, ticketing, and conversational bots. We expec</w:t>
      </w:r>
      <w:r>
        <w:rPr>
          <w:sz w:val="20"/>
          <w:szCs w:val="20"/>
        </w:rPr>
        <w:t>t that we will develop and introduce, or acquire, applications serving customer-facing and other front office functions</w:t>
      </w:r>
      <w:r>
        <w:rPr>
          <w:sz w:val="20"/>
          <w:szCs w:val="20"/>
        </w:rPr>
        <w:t>.</w:t>
      </w:r>
    </w:p>
    <w:p w:rsidR="00000000" w:rsidRDefault="00A309A2">
      <w:pPr>
        <w:pStyle w:val="a3"/>
        <w:spacing w:before="200" w:beforeAutospacing="0" w:after="0" w:afterAutospacing="0"/>
        <w:rPr>
          <w:sz w:val="20"/>
          <w:szCs w:val="20"/>
        </w:rPr>
      </w:pPr>
      <w:r>
        <w:rPr>
          <w:b/>
          <w:bCs/>
          <w:sz w:val="20"/>
          <w:szCs w:val="20"/>
        </w:rPr>
        <w:t>Intellectual Propert</w:t>
      </w:r>
      <w:r>
        <w:rPr>
          <w:b/>
          <w:bCs/>
          <w:sz w:val="20"/>
          <w:szCs w:val="20"/>
        </w:rPr>
        <w:t>y</w:t>
      </w:r>
    </w:p>
    <w:p w:rsidR="00000000" w:rsidRDefault="00A309A2">
      <w:pPr>
        <w:pStyle w:val="a3"/>
        <w:spacing w:before="200" w:beforeAutospacing="0" w:after="0" w:afterAutospacing="0"/>
        <w:ind w:firstLine="555"/>
        <w:rPr>
          <w:sz w:val="20"/>
          <w:szCs w:val="20"/>
        </w:rPr>
      </w:pPr>
      <w:r>
        <w:rPr>
          <w:sz w:val="20"/>
          <w:szCs w:val="20"/>
        </w:rPr>
        <w:t>Our ability to protect our intellectual property, including our technology, will be an important factor in the su</w:t>
      </w:r>
      <w:r>
        <w:rPr>
          <w:sz w:val="20"/>
          <w:szCs w:val="20"/>
        </w:rPr>
        <w:t>ccess and continued growth of our business. We protect our intellectual property through trade secrets law, copyrights, trademarks, patents, and contracts. Some of our technology relies upon third-party licensed intellectual property. We have 8 issued U.S.</w:t>
      </w:r>
      <w:r>
        <w:rPr>
          <w:sz w:val="20"/>
          <w:szCs w:val="20"/>
        </w:rPr>
        <w:t xml:space="preserve"> Patents, 1 allowed patent pending issuance, 15 U.S. utility patents applications pending, and 5 provisional patents filed. We intend to pursue and are pursuing additional patent protection to the extent we believe it would be beneficial and cost-effective</w:t>
      </w:r>
      <w:r>
        <w:rPr>
          <w:sz w:val="20"/>
          <w:szCs w:val="20"/>
        </w:rPr>
        <w:t>.</w:t>
      </w:r>
    </w:p>
    <w:p w:rsidR="00000000" w:rsidRDefault="00A309A2">
      <w:pPr>
        <w:pStyle w:val="a3"/>
        <w:spacing w:before="200" w:beforeAutospacing="0" w:after="0" w:afterAutospacing="0"/>
        <w:ind w:firstLine="555"/>
        <w:rPr>
          <w:sz w:val="20"/>
          <w:szCs w:val="20"/>
        </w:rPr>
      </w:pPr>
      <w:r>
        <w:rPr>
          <w:sz w:val="20"/>
          <w:szCs w:val="20"/>
        </w:rPr>
        <w:t>In addition to the foregoing, we have established business procedures designed to maintain the confidentiality of our proprietary information, including the use of confidentiality agreements and assignment of inventions agreements with employees, indepen</w:t>
      </w:r>
      <w:r>
        <w:rPr>
          <w:sz w:val="20"/>
          <w:szCs w:val="20"/>
        </w:rPr>
        <w:t>dent contractors, consultants, and companies with which we conduct business</w:t>
      </w:r>
      <w:r>
        <w:rPr>
          <w:sz w:val="20"/>
          <w:szCs w:val="20"/>
        </w:rPr>
        <w:t>.</w:t>
      </w:r>
    </w:p>
    <w:p w:rsidR="00000000" w:rsidRDefault="00A309A2">
      <w:pPr>
        <w:pStyle w:val="a3"/>
        <w:spacing w:before="200" w:beforeAutospacing="0" w:after="0" w:afterAutospacing="0"/>
        <w:ind w:firstLine="555"/>
        <w:rPr>
          <w:sz w:val="20"/>
          <w:szCs w:val="20"/>
        </w:rPr>
      </w:pPr>
      <w:r>
        <w:rPr>
          <w:sz w:val="20"/>
          <w:szCs w:val="20"/>
        </w:rPr>
        <w:t>Despite our efforts to protect our intellectual property, unauthorized parties may still copy or otherwise obtain and use our technology. In addition, we intend to continue to exp</w:t>
      </w:r>
      <w:r>
        <w:rPr>
          <w:sz w:val="20"/>
          <w:szCs w:val="20"/>
        </w:rPr>
        <w:t>and our international operations, and effective intellectual property, copyright, trademark and trade secret protection may not be available or may be limited in foreign countries. Any significant impairment of our intellectual property rights could harm o</w:t>
      </w:r>
      <w:r>
        <w:rPr>
          <w:sz w:val="20"/>
          <w:szCs w:val="20"/>
        </w:rPr>
        <w:t>ur business or our ability to compete</w:t>
      </w:r>
      <w:r>
        <w:rPr>
          <w:sz w:val="20"/>
          <w:szCs w:val="20"/>
        </w:rPr>
        <w:t>.</w:t>
      </w:r>
    </w:p>
    <w:p w:rsidR="00000000" w:rsidRDefault="00A309A2">
      <w:pPr>
        <w:pStyle w:val="a3"/>
        <w:spacing w:before="200" w:beforeAutospacing="0" w:after="0" w:afterAutospacing="0"/>
        <w:rPr>
          <w:sz w:val="20"/>
          <w:szCs w:val="20"/>
        </w:rPr>
      </w:pPr>
      <w:r>
        <w:rPr>
          <w:b/>
          <w:bCs/>
          <w:sz w:val="20"/>
          <w:szCs w:val="20"/>
        </w:rPr>
        <w:t>Financial Information About Segment</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We operate as one operating segment. Operating segments are defined as components of an enterprise for which separate financial information is regularly evaluated by the chief oper</w:t>
      </w:r>
      <w:r>
        <w:rPr>
          <w:sz w:val="20"/>
          <w:szCs w:val="20"/>
        </w:rPr>
        <w:t xml:space="preserve">ating decision maker (“CODM”), which is our chief executive officer, in deciding how to allocate resources and assess performance. The CODM evaluates our financial information and resources and assesses the performance of these resources on a consolidated </w:t>
      </w:r>
      <w:r>
        <w:rPr>
          <w:sz w:val="20"/>
          <w:szCs w:val="20"/>
        </w:rPr>
        <w:t>basis. Since we operate in one operating segment, all required financial segment information can be found in the consolidated financial statements. See Footnote 10 within the consolidated financial statements for information by geographic area</w:t>
      </w:r>
      <w:r>
        <w:rPr>
          <w:sz w:val="20"/>
          <w:szCs w:val="20"/>
        </w:rPr>
        <w:t>.</w:t>
      </w:r>
    </w:p>
    <w:p w:rsidR="00000000" w:rsidRDefault="00A309A2">
      <w:pPr>
        <w:pStyle w:val="a3"/>
        <w:spacing w:before="200" w:beforeAutospacing="0" w:after="0" w:afterAutospacing="0"/>
        <w:rPr>
          <w:sz w:val="20"/>
          <w:szCs w:val="20"/>
        </w:rPr>
      </w:pPr>
      <w:r>
        <w:rPr>
          <w:b/>
          <w:bCs/>
          <w:sz w:val="20"/>
          <w:szCs w:val="20"/>
        </w:rPr>
        <w:t>Available I</w:t>
      </w:r>
      <w:r>
        <w:rPr>
          <w:b/>
          <w:bCs/>
          <w:sz w:val="20"/>
          <w:szCs w:val="20"/>
        </w:rPr>
        <w:t>nformatio</w:t>
      </w:r>
      <w:r>
        <w:rPr>
          <w:b/>
          <w:bCs/>
          <w:sz w:val="20"/>
          <w:szCs w:val="20"/>
        </w:rPr>
        <w:t>n</w:t>
      </w:r>
    </w:p>
    <w:p w:rsidR="00000000" w:rsidRDefault="00A309A2">
      <w:pPr>
        <w:pStyle w:val="a3"/>
        <w:spacing w:before="200" w:beforeAutospacing="0" w:after="0" w:afterAutospacing="0"/>
        <w:ind w:firstLine="555"/>
        <w:rPr>
          <w:sz w:val="20"/>
          <w:szCs w:val="20"/>
        </w:rPr>
      </w:pPr>
      <w:r>
        <w:rPr>
          <w:sz w:val="20"/>
          <w:szCs w:val="20"/>
        </w:rPr>
        <w:t>Our website is located at http://www.hubspot.com, and our investor relations website is located at https://www.hubspot.com/investor-relations. Copies of our Annual Reports on Form 10-K, Quarterly Reports on Form 10-Q, Current Reports on Form 8-K</w:t>
      </w:r>
      <w:r>
        <w:rPr>
          <w:sz w:val="20"/>
          <w:szCs w:val="20"/>
        </w:rPr>
        <w:t>, and amendments to these reports filed or furnished pursuant to Sections 13(a) and 15(d) of the Securities Exchange Act of 1934, as amended, are available, free of charge, on our investor relations website as soon as reasonably practicable after such repo</w:t>
      </w:r>
      <w:r>
        <w:rPr>
          <w:sz w:val="20"/>
          <w:szCs w:val="20"/>
        </w:rPr>
        <w:t>rts are filed with, or furnished to, the Securities and Exchange Commission, or the SEC. The SEC also maintains a website at http://www.sec.gov that contains our SEC filings and other information regarding issuers that file electronically with the SEC</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w:t>
      </w:r>
      <w:r>
        <w:rPr>
          <w:sz w:val="20"/>
          <w:szCs w:val="20"/>
        </w:rPr>
        <w:t xml:space="preserve"> webcast our earnings calls and certain events we participate in or host with members of the investment community on our investor relations website. Additionally, we provide notifications of news or announcements regarding our financial performance, includ</w:t>
      </w:r>
      <w:r>
        <w:rPr>
          <w:sz w:val="20"/>
          <w:szCs w:val="20"/>
        </w:rPr>
        <w:t>ing SEC filings, investor events, press and earnings releases, and blogs as part of our investor relations website. We have used, and intend to continue to use, our investor relations website as means of disclosing material non-public information and for c</w:t>
      </w:r>
      <w:r>
        <w:rPr>
          <w:sz w:val="20"/>
          <w:szCs w:val="20"/>
        </w:rPr>
        <w:t>omplying with our disclosure obligations under Regulation FD. Further corporate governance information, including our certificate of incorporation, bylaws, governance guidelines, board committee charters, and code of business conduct and ethics, is also av</w:t>
      </w:r>
      <w:r>
        <w:rPr>
          <w:sz w:val="20"/>
          <w:szCs w:val="20"/>
        </w:rPr>
        <w:t xml:space="preserve">ailable on our investor relations website under the heading “Corporate Governance.” The contents of our websites are not intended to be incorporated by reference into this Annual Report on Form 10-K or in any other report or document we file with the SEC, </w:t>
      </w:r>
      <w:r>
        <w:rPr>
          <w:sz w:val="20"/>
          <w:szCs w:val="20"/>
        </w:rPr>
        <w:t>and any references to our websites are intended to be inactive textual references only</w:t>
      </w:r>
      <w:r>
        <w:rPr>
          <w:sz w:val="20"/>
          <w:szCs w:val="20"/>
        </w:rPr>
        <w:t>.</w:t>
      </w:r>
    </w:p>
    <w:p w:rsidR="00000000" w:rsidRDefault="00A309A2">
      <w:pPr>
        <w:pStyle w:val="a3"/>
        <w:spacing w:before="20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1</w:t>
      </w:r>
      <w:r>
        <w:rPr>
          <w:sz w:val="20"/>
          <w:szCs w:val="20"/>
        </w:rPr>
        <w:t>1</w:t>
      </w:r>
    </w:p>
    <w:p w:rsidR="00000000" w:rsidRDefault="00A309A2">
      <w:pPr>
        <w:rPr>
          <w:rFonts w:eastAsia="Times New Roman"/>
        </w:rPr>
      </w:pPr>
      <w:r>
        <w:rPr>
          <w:rFonts w:eastAsia="Times New Roman"/>
        </w:rPr>
        <w:pict>
          <v:rect id="_x0000_i103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hanging="1220"/>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A309A2">
      <w:pPr>
        <w:pStyle w:val="a3"/>
        <w:spacing w:before="200" w:beforeAutospacing="0" w:after="0" w:afterAutospacing="0"/>
        <w:ind w:firstLine="555"/>
        <w:rPr>
          <w:sz w:val="20"/>
          <w:szCs w:val="20"/>
        </w:rPr>
      </w:pPr>
      <w:r>
        <w:rPr>
          <w:i/>
          <w:iCs/>
          <w:sz w:val="20"/>
          <w:szCs w:val="20"/>
        </w:rPr>
        <w:t>An investment in our common stock involves a high degree of risk. You should carefully consider the risks described below and the other information in this Annual Report on Form 10-K and in our other public filings before making an investment decision. Our</w:t>
      </w:r>
      <w:r>
        <w:rPr>
          <w:i/>
          <w:iCs/>
          <w:sz w:val="20"/>
          <w:szCs w:val="20"/>
        </w:rPr>
        <w:t xml:space="preserve"> business, prospects, financial condition, or operating results could be harmed by any of these risks, as well as other risks not currently known to us or that we currently consider immaterial. If any such risks and uncertainties actually occurs, our busin</w:t>
      </w:r>
      <w:r>
        <w:rPr>
          <w:i/>
          <w:iCs/>
          <w:sz w:val="20"/>
          <w:szCs w:val="20"/>
        </w:rPr>
        <w:t>ess, financial condition or operating results could differ materially from the plans, projections and other forward-looking statements included in the section titled “Management’s Discussion and Analysis of Financial Condition and Results of Operations” an</w:t>
      </w:r>
      <w:r>
        <w:rPr>
          <w:i/>
          <w:iCs/>
          <w:sz w:val="20"/>
          <w:szCs w:val="20"/>
        </w:rPr>
        <w:t>d elsewhere in this report and in our other public filings. The trading price of our common stock could decline due to any of these risks, and, as a result, you may lose all or part of your investment</w:t>
      </w:r>
      <w:r>
        <w:rPr>
          <w:i/>
          <w:iCs/>
          <w:sz w:val="20"/>
          <w:szCs w:val="20"/>
        </w:rPr>
        <w:t>.</w:t>
      </w:r>
    </w:p>
    <w:p w:rsidR="00000000" w:rsidRDefault="00A309A2">
      <w:pPr>
        <w:pStyle w:val="a3"/>
        <w:spacing w:before="200" w:beforeAutospacing="0" w:after="0" w:afterAutospacing="0"/>
        <w:rPr>
          <w:sz w:val="20"/>
          <w:szCs w:val="20"/>
        </w:rPr>
      </w:pPr>
      <w:r>
        <w:rPr>
          <w:b/>
          <w:bCs/>
          <w:sz w:val="20"/>
          <w:szCs w:val="20"/>
        </w:rPr>
        <w:t>Risks Related to Our</w:t>
      </w:r>
      <w:r>
        <w:rPr>
          <w:b/>
          <w:bCs/>
          <w:sz w:val="20"/>
          <w:szCs w:val="20"/>
        </w:rPr>
        <w:t xml:space="preserve"> </w:t>
      </w:r>
      <w:r>
        <w:rPr>
          <w:b/>
          <w:bCs/>
          <w:sz w:val="20"/>
          <w:szCs w:val="20"/>
        </w:rPr>
        <w:t>Business and Strateg</w:t>
      </w:r>
      <w:r>
        <w:rPr>
          <w:b/>
          <w:bCs/>
          <w:sz w:val="20"/>
          <w:szCs w:val="20"/>
        </w:rPr>
        <w:t>y</w:t>
      </w:r>
    </w:p>
    <w:p w:rsidR="00000000" w:rsidRDefault="00A309A2">
      <w:pPr>
        <w:pStyle w:val="a3"/>
        <w:spacing w:before="200" w:beforeAutospacing="0" w:after="0" w:afterAutospacing="0"/>
        <w:rPr>
          <w:sz w:val="20"/>
          <w:szCs w:val="20"/>
        </w:rPr>
      </w:pPr>
      <w:r>
        <w:rPr>
          <w:sz w:val="20"/>
          <w:szCs w:val="20"/>
        </w:rPr>
        <w:br/>
      </w:r>
      <w:r>
        <w:rPr>
          <w:sz w:val="20"/>
          <w:szCs w:val="20"/>
        </w:rPr>
        <w:t> </w:t>
      </w:r>
    </w:p>
    <w:p w:rsidR="00000000" w:rsidRDefault="00A309A2">
      <w:pPr>
        <w:pStyle w:val="a3"/>
        <w:spacing w:before="200" w:beforeAutospacing="0" w:after="0" w:afterAutospacing="0"/>
        <w:rPr>
          <w:sz w:val="20"/>
          <w:szCs w:val="20"/>
        </w:rPr>
      </w:pPr>
      <w:r>
        <w:rPr>
          <w:b/>
          <w:bCs/>
          <w:i/>
          <w:iCs/>
          <w:sz w:val="20"/>
          <w:szCs w:val="20"/>
        </w:rPr>
        <w:t>We are d</w:t>
      </w:r>
      <w:r>
        <w:rPr>
          <w:b/>
          <w:bCs/>
          <w:i/>
          <w:iCs/>
          <w:sz w:val="20"/>
          <w:szCs w:val="20"/>
        </w:rPr>
        <w:t>ependent upon customer renewals, the addition of new customers, increased revenue from existing customers and the continued growth of the market for a CRM Platform</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We derive, and expect to continue to derive, a substantial portion of our revenue from the </w:t>
      </w:r>
      <w:r>
        <w:rPr>
          <w:sz w:val="20"/>
          <w:szCs w:val="20"/>
        </w:rPr>
        <w:t>sale of subscriptions to our CRM Platform. The market for inbound marketing, sales and customer service products is still evolving, and competitive dynamics may cause pricing levels to change as the market matures and as existing and new market participant</w:t>
      </w:r>
      <w:r>
        <w:rPr>
          <w:sz w:val="20"/>
          <w:szCs w:val="20"/>
        </w:rPr>
        <w:t>s introduce new types of point applications and different approaches to enable businesses to address their respective needs. As a result, we may be forced to reduce the prices we charge for our platform and may be unable to renew existing customer agreemen</w:t>
      </w:r>
      <w:r>
        <w:rPr>
          <w:sz w:val="20"/>
          <w:szCs w:val="20"/>
        </w:rPr>
        <w:t>ts or enter into new customer agreements at the same prices and upon the same terms that we have historically. In addition, our growth strategy involves a scalable pricing model (including freemium versions of our products) intended to provide us with an o</w:t>
      </w:r>
      <w:r>
        <w:rPr>
          <w:sz w:val="20"/>
          <w:szCs w:val="20"/>
        </w:rPr>
        <w:t>pportunity to increase the value of our customer relationships over time as we expand their use of our platform, sell to other parts of their organizations, cross-sell our sales products to existing marketing product customers and vice versa through touchl</w:t>
      </w:r>
      <w:r>
        <w:rPr>
          <w:sz w:val="20"/>
          <w:szCs w:val="20"/>
        </w:rPr>
        <w:t>ess or low touch in product purchases, and upsell additional offerings and features. If our cross-selling efforts are unsuccessful or if our existing customers do not expand their use of our platform or adopt additional offerings and features, our operatin</w:t>
      </w:r>
      <w:r>
        <w:rPr>
          <w:sz w:val="20"/>
          <w:szCs w:val="20"/>
        </w:rPr>
        <w:t>g results may suffer</w:t>
      </w:r>
      <w:r>
        <w:rPr>
          <w:sz w:val="20"/>
          <w:szCs w:val="20"/>
        </w:rPr>
        <w:t>.</w:t>
      </w:r>
    </w:p>
    <w:p w:rsidR="00000000" w:rsidRDefault="00A309A2">
      <w:pPr>
        <w:pStyle w:val="a3"/>
        <w:spacing w:before="200" w:beforeAutospacing="0" w:after="0" w:afterAutospacing="0"/>
        <w:rPr>
          <w:sz w:val="20"/>
          <w:szCs w:val="20"/>
        </w:rPr>
      </w:pPr>
      <w:r>
        <w:rPr>
          <w:b/>
          <w:bCs/>
          <w:i/>
          <w:iCs/>
          <w:sz w:val="20"/>
          <w:szCs w:val="20"/>
        </w:rPr>
        <w:t>Our subscription renewal rates may decrease, and any decrease could harm our future revenue and operating results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customers have no obligation to renew their subscriptions for our platform after the expiration of their subscripti</w:t>
      </w:r>
      <w:r>
        <w:rPr>
          <w:sz w:val="20"/>
          <w:szCs w:val="20"/>
        </w:rPr>
        <w:t>on periods, substantially all of which are one year or less. In addition, our customers may seek to renew for lower subscription tiers, for fewer contacts or seats, or for shorter contract lengths. Also, customers may choose not to renew their subscription</w:t>
      </w:r>
      <w:r>
        <w:rPr>
          <w:sz w:val="20"/>
          <w:szCs w:val="20"/>
        </w:rPr>
        <w:t>s for a variety of reasons. Our renewal rates may decline or fluctuate as a result of a number of factors, including limited customer resources, pricing changes, the prices of services offered by our competitors, adoption and utilization of our platform an</w:t>
      </w:r>
      <w:r>
        <w:rPr>
          <w:sz w:val="20"/>
          <w:szCs w:val="20"/>
        </w:rPr>
        <w:t>d add-on applications by our customers, adoption of our new products, customer satisfaction with our platform, mergers and acquisitions affecting our customer base, reductions in our customers’ spending levels or declines in customer activity as a result o</w:t>
      </w:r>
      <w:r>
        <w:rPr>
          <w:sz w:val="20"/>
          <w:szCs w:val="20"/>
        </w:rPr>
        <w:t>f economic downturns or uncertainty in financial markets. If our customers do not renew their subscriptions for our platform or decrease the amount they spend with us, our revenue will decline and our business will suffer. In addition, a subscription model</w:t>
      </w:r>
      <w:r>
        <w:rPr>
          <w:sz w:val="20"/>
          <w:szCs w:val="20"/>
        </w:rPr>
        <w:t xml:space="preserve"> creates certain risks related to the timing of revenue recognition and potential reductions in cash flows. A portion of the subscription-based revenue we report each quarter results from the recognition of deferred revenue relating to subscription agreeme</w:t>
      </w:r>
      <w:r>
        <w:rPr>
          <w:sz w:val="20"/>
          <w:szCs w:val="20"/>
        </w:rPr>
        <w:t>nts entered into during previous quarters. A decline in new or renewed subscriptions in any period may not be immediately reflected in our reported financial results for that period, but may result in a decline in our revenue in future quarters. If we were</w:t>
      </w:r>
      <w:r>
        <w:rPr>
          <w:sz w:val="20"/>
          <w:szCs w:val="20"/>
        </w:rPr>
        <w:t xml:space="preserve"> to experience significant downturns in subscription sales and renewal rates, our reported financial results might not reflect such downturns until future periods</w:t>
      </w:r>
      <w:r>
        <w:rPr>
          <w:sz w:val="20"/>
          <w:szCs w:val="20"/>
        </w:rPr>
        <w:t>.</w:t>
      </w:r>
    </w:p>
    <w:p w:rsidR="00000000" w:rsidRDefault="00A309A2">
      <w:pPr>
        <w:pStyle w:val="a3"/>
        <w:spacing w:before="240" w:beforeAutospacing="0" w:after="0" w:afterAutospacing="0"/>
        <w:jc w:val="center"/>
        <w:rPr>
          <w:sz w:val="20"/>
          <w:szCs w:val="20"/>
        </w:rPr>
      </w:pPr>
      <w:r>
        <w:rPr>
          <w:sz w:val="20"/>
          <w:szCs w:val="20"/>
        </w:rPr>
        <w:t>1</w:t>
      </w:r>
      <w:r>
        <w:rPr>
          <w:sz w:val="20"/>
          <w:szCs w:val="20"/>
        </w:rPr>
        <w:t>2</w:t>
      </w:r>
    </w:p>
    <w:p w:rsidR="00000000" w:rsidRDefault="00A309A2">
      <w:pPr>
        <w:rPr>
          <w:rFonts w:eastAsia="Times New Roman"/>
        </w:rPr>
      </w:pPr>
      <w:r>
        <w:rPr>
          <w:rFonts w:eastAsia="Times New Roman"/>
        </w:rPr>
        <w:pict>
          <v:rect id="_x0000_i103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i/>
          <w:iCs/>
          <w:sz w:val="20"/>
          <w:szCs w:val="20"/>
        </w:rPr>
        <w:t>We face significant competition from both establis</w:t>
      </w:r>
      <w:r>
        <w:rPr>
          <w:b/>
          <w:bCs/>
          <w:i/>
          <w:iCs/>
          <w:sz w:val="20"/>
          <w:szCs w:val="20"/>
        </w:rPr>
        <w:t>hed and new companies offering marketing, sales and customer service software and other related applications, as well as internally developed software, which may harm our ability to add new customers, retain existing customers and grow our business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The ma</w:t>
      </w:r>
      <w:r>
        <w:rPr>
          <w:sz w:val="20"/>
          <w:szCs w:val="20"/>
        </w:rPr>
        <w:t>rketing, sales, customer service, operations, and content management software market is evolving, highly competitive and significantly fragmented. With the introduction of new technologies and the potential entry of new competitors into the market, we expe</w:t>
      </w:r>
      <w:r>
        <w:rPr>
          <w:sz w:val="20"/>
          <w:szCs w:val="20"/>
        </w:rPr>
        <w:t>ct competition to persist and intensify in the future, which could harm our ability to increase sales, maintain or increase renewals and maintain our prices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face intense competition from other software companies that develop marketing, sales, customer</w:t>
      </w:r>
      <w:r>
        <w:rPr>
          <w:sz w:val="20"/>
          <w:szCs w:val="20"/>
        </w:rPr>
        <w:t xml:space="preserve"> service, operations, and content management software and from marketing services companies that provide interactive marketing services. Competition could significantly impede our ability to sell subscriptions to our CRM Platform on terms favorable to us. </w:t>
      </w:r>
      <w:r>
        <w:rPr>
          <w:sz w:val="20"/>
          <w:szCs w:val="20"/>
        </w:rPr>
        <w:t>Our current and potential competitors may develop and market new technologies that render our existing or future products less competitive, or obsolete. In addition, if these competitors develop products with similar or superior functionality to our platfo</w:t>
      </w:r>
      <w:r>
        <w:rPr>
          <w:sz w:val="20"/>
          <w:szCs w:val="20"/>
        </w:rPr>
        <w:t>rm, we may need to decrease the prices or accept less favorable terms for our platform subscriptions in order to remain competitive. If we are unable to maintain our pricing due to competitive pressures, our margins will be reduced and our operating result</w:t>
      </w:r>
      <w:r>
        <w:rPr>
          <w:sz w:val="20"/>
          <w:szCs w:val="20"/>
        </w:rPr>
        <w:t>s will be negatively affected</w:t>
      </w:r>
      <w:r>
        <w:rPr>
          <w:sz w:val="20"/>
          <w:szCs w:val="20"/>
        </w:rPr>
        <w:t>.</w:t>
      </w:r>
    </w:p>
    <w:p w:rsidR="00000000" w:rsidRDefault="00A309A2">
      <w:pPr>
        <w:pStyle w:val="a3"/>
        <w:spacing w:before="200" w:beforeAutospacing="0" w:after="0" w:afterAutospacing="0"/>
        <w:ind w:firstLine="555"/>
        <w:rPr>
          <w:sz w:val="20"/>
          <w:szCs w:val="20"/>
        </w:rPr>
      </w:pPr>
      <w:r>
        <w:rPr>
          <w:sz w:val="20"/>
          <w:szCs w:val="20"/>
        </w:rPr>
        <w:t>Our competitors include</w:t>
      </w:r>
      <w:r>
        <w:rPr>
          <w:sz w:val="20"/>
          <w:szCs w:val="20"/>
        </w:rPr>
        <w:t>:</w:t>
      </w:r>
    </w:p>
    <w:p w:rsidR="00000000" w:rsidRDefault="00A309A2">
      <w:pPr>
        <w:divId w:val="993948518"/>
        <w:rPr>
          <w:rFonts w:eastAsia="Times New Roman"/>
        </w:rPr>
      </w:pPr>
      <w:r>
        <w:rPr>
          <w:rFonts w:eastAsia="Times New Roman"/>
          <w:sz w:val="20"/>
          <w:szCs w:val="20"/>
        </w:rPr>
        <w:t>•</w:t>
      </w:r>
    </w:p>
    <w:p w:rsidR="00000000" w:rsidRDefault="00A309A2">
      <w:pPr>
        <w:divId w:val="1792481383"/>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A309A2">
      <w:pPr>
        <w:divId w:val="2018924227"/>
        <w:rPr>
          <w:rFonts w:eastAsia="Times New Roman"/>
        </w:rPr>
      </w:pPr>
      <w:r>
        <w:rPr>
          <w:rFonts w:eastAsia="Times New Roman"/>
          <w:sz w:val="20"/>
          <w:szCs w:val="20"/>
        </w:rPr>
        <w:t>•</w:t>
      </w:r>
    </w:p>
    <w:p w:rsidR="00000000" w:rsidRDefault="00A309A2">
      <w:pPr>
        <w:divId w:val="927423200"/>
        <w:rPr>
          <w:rFonts w:eastAsia="Times New Roman"/>
        </w:rPr>
      </w:pPr>
      <w:r>
        <w:rPr>
          <w:rFonts w:eastAsia="Times New Roman"/>
          <w:sz w:val="20"/>
          <w:szCs w:val="20"/>
        </w:rPr>
        <w:t>email marketing software vendors</w:t>
      </w:r>
      <w:r>
        <w:rPr>
          <w:rFonts w:eastAsia="Times New Roman"/>
          <w:sz w:val="20"/>
          <w:szCs w:val="20"/>
        </w:rPr>
        <w:t>;</w:t>
      </w:r>
    </w:p>
    <w:p w:rsidR="00000000" w:rsidRDefault="00A309A2">
      <w:pPr>
        <w:divId w:val="1327519207"/>
        <w:rPr>
          <w:rFonts w:eastAsia="Times New Roman"/>
        </w:rPr>
      </w:pPr>
      <w:r>
        <w:rPr>
          <w:rFonts w:eastAsia="Times New Roman"/>
          <w:sz w:val="20"/>
          <w:szCs w:val="20"/>
        </w:rPr>
        <w:t>•</w:t>
      </w:r>
    </w:p>
    <w:p w:rsidR="00000000" w:rsidRDefault="00A309A2">
      <w:pPr>
        <w:divId w:val="339044985"/>
        <w:rPr>
          <w:rFonts w:eastAsia="Times New Roman"/>
        </w:rPr>
      </w:pPr>
      <w:r>
        <w:rPr>
          <w:rFonts w:eastAsia="Times New Roman"/>
          <w:sz w:val="20"/>
          <w:szCs w:val="20"/>
        </w:rPr>
        <w:t>sales force automation and CRM software vendors</w:t>
      </w:r>
      <w:r>
        <w:rPr>
          <w:rFonts w:eastAsia="Times New Roman"/>
          <w:sz w:val="20"/>
          <w:szCs w:val="20"/>
        </w:rPr>
        <w:t>;</w:t>
      </w:r>
    </w:p>
    <w:p w:rsidR="00000000" w:rsidRDefault="00A309A2">
      <w:pPr>
        <w:divId w:val="1343971758"/>
        <w:rPr>
          <w:rFonts w:eastAsia="Times New Roman"/>
        </w:rPr>
      </w:pPr>
      <w:r>
        <w:rPr>
          <w:rFonts w:eastAsia="Times New Roman"/>
          <w:sz w:val="20"/>
          <w:szCs w:val="20"/>
        </w:rPr>
        <w:t>•</w:t>
      </w:r>
    </w:p>
    <w:p w:rsidR="00000000" w:rsidRDefault="00A309A2">
      <w:pPr>
        <w:divId w:val="240410416"/>
        <w:rPr>
          <w:rFonts w:eastAsia="Times New Roman"/>
        </w:rPr>
      </w:pPr>
      <w:r>
        <w:rPr>
          <w:rFonts w:eastAsia="Times New Roman"/>
          <w:sz w:val="20"/>
          <w:szCs w:val="20"/>
        </w:rPr>
        <w:t>large-scale enterprise suites</w:t>
      </w:r>
      <w:r>
        <w:rPr>
          <w:rFonts w:eastAsia="Times New Roman"/>
          <w:sz w:val="20"/>
          <w:szCs w:val="20"/>
        </w:rPr>
        <w:t>;</w:t>
      </w:r>
    </w:p>
    <w:p w:rsidR="00000000" w:rsidRDefault="00A309A2">
      <w:pPr>
        <w:divId w:val="1924951743"/>
        <w:rPr>
          <w:rFonts w:eastAsia="Times New Roman"/>
        </w:rPr>
      </w:pPr>
      <w:r>
        <w:rPr>
          <w:rFonts w:eastAsia="Times New Roman"/>
          <w:sz w:val="20"/>
          <w:szCs w:val="20"/>
        </w:rPr>
        <w:t>•</w:t>
      </w:r>
    </w:p>
    <w:p w:rsidR="00000000" w:rsidRDefault="00A309A2">
      <w:pPr>
        <w:divId w:val="121267527"/>
        <w:rPr>
          <w:rFonts w:eastAsia="Times New Roman"/>
        </w:rPr>
      </w:pPr>
      <w:r>
        <w:rPr>
          <w:rFonts w:eastAsia="Times New Roman"/>
          <w:sz w:val="20"/>
          <w:szCs w:val="20"/>
        </w:rPr>
        <w:t>customer service software providers; an</w:t>
      </w:r>
      <w:r>
        <w:rPr>
          <w:rFonts w:eastAsia="Times New Roman"/>
          <w:sz w:val="20"/>
          <w:szCs w:val="20"/>
        </w:rPr>
        <w:t>d</w:t>
      </w:r>
    </w:p>
    <w:p w:rsidR="00000000" w:rsidRDefault="00A309A2">
      <w:pPr>
        <w:divId w:val="211426777"/>
        <w:rPr>
          <w:rFonts w:eastAsia="Times New Roman"/>
        </w:rPr>
      </w:pPr>
      <w:r>
        <w:rPr>
          <w:rFonts w:eastAsia="Times New Roman"/>
          <w:sz w:val="20"/>
          <w:szCs w:val="20"/>
        </w:rPr>
        <w:t>•</w:t>
      </w:r>
    </w:p>
    <w:p w:rsidR="00000000" w:rsidRDefault="00A309A2">
      <w:pPr>
        <w:divId w:val="1368600126"/>
        <w:rPr>
          <w:rFonts w:eastAsia="Times New Roman"/>
        </w:rPr>
      </w:pPr>
      <w:r>
        <w:rPr>
          <w:rFonts w:eastAsia="Times New Roman"/>
          <w:sz w:val="20"/>
          <w:szCs w:val="20"/>
        </w:rPr>
        <w:t>content management systems</w:t>
      </w:r>
      <w:r>
        <w:rPr>
          <w:rFonts w:eastAsia="Times New Roman"/>
          <w:sz w:val="20"/>
          <w:szCs w:val="20"/>
        </w:rPr>
        <w:t>.</w:t>
      </w:r>
    </w:p>
    <w:p w:rsidR="00000000" w:rsidRDefault="00A309A2">
      <w:pPr>
        <w:pStyle w:val="a3"/>
        <w:spacing w:before="200" w:beforeAutospacing="0" w:after="0" w:afterAutospacing="0"/>
        <w:ind w:firstLine="555"/>
        <w:rPr>
          <w:sz w:val="20"/>
          <w:szCs w:val="20"/>
        </w:rPr>
      </w:pPr>
      <w:r>
        <w:rPr>
          <w:sz w:val="20"/>
          <w:szCs w:val="20"/>
        </w:rPr>
        <w:t>In addition, instead of using our platform, some prospective customers may elect to combine disparate point applications, such as content management, marketing automation, CRM, analytic</w:t>
      </w:r>
      <w:r>
        <w:rPr>
          <w:sz w:val="20"/>
          <w:szCs w:val="20"/>
        </w:rPr>
        <w:t>s and social media management. We expect that new competitors, such as enterprise software vendors that have traditionally focused on enterprise resource planning or other applications supporting back office functions, will develop and introduce applicatio</w:t>
      </w:r>
      <w:r>
        <w:rPr>
          <w:sz w:val="20"/>
          <w:szCs w:val="20"/>
        </w:rPr>
        <w:t>ns serving customer-facing and other front office functions. This development could have an adverse effect on our business, operating results and financial condition. In addition, sales force automation and CRM vendors could acquire or develop applications</w:t>
      </w:r>
      <w:r>
        <w:rPr>
          <w:sz w:val="20"/>
          <w:szCs w:val="20"/>
        </w:rPr>
        <w:t xml:space="preserve"> that compete with our marketing software offerings. Some of these companies have acquired social media marketing and other marketing software providers to integrate with their broader offerings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Our current and potential competitors may have significantl</w:t>
      </w:r>
      <w:r>
        <w:rPr>
          <w:sz w:val="20"/>
          <w:szCs w:val="20"/>
        </w:rPr>
        <w:t>y more financial, technical, marketing and other resources than we have, be able to devote greater resources to the development, promotion, sale and support of their products and services, may have more extensive customer bases and broader customer relatio</w:t>
      </w:r>
      <w:r>
        <w:rPr>
          <w:sz w:val="20"/>
          <w:szCs w:val="20"/>
        </w:rPr>
        <w:t>nships than we have, and may have longer operating histories and greater name recognition than we have. As a result, these competitors may respond faster to new technologies and undertake more extensive marketing campaigns for their products. In a few case</w:t>
      </w:r>
      <w:r>
        <w:rPr>
          <w:sz w:val="20"/>
          <w:szCs w:val="20"/>
        </w:rPr>
        <w:t>s, these vendors may also be able to offer marketing, sales, customer service and content management software at little or no additional cost by bundling it with their existing suite of applications. To the extent any of our competitors has existing relati</w:t>
      </w:r>
      <w:r>
        <w:rPr>
          <w:sz w:val="20"/>
          <w:szCs w:val="20"/>
        </w:rPr>
        <w:t>onships with potential customers for either marketing software or other applications, those customers may be unwilling to purchase our platform because of their existing relationships with our competitor. If we are unable to compete with such companies, th</w:t>
      </w:r>
      <w:r>
        <w:rPr>
          <w:sz w:val="20"/>
          <w:szCs w:val="20"/>
        </w:rPr>
        <w:t>e demand for our CRM Platform could substantially decline</w:t>
      </w:r>
      <w:r>
        <w:rPr>
          <w:sz w:val="20"/>
          <w:szCs w:val="20"/>
        </w:rPr>
        <w:t>.</w:t>
      </w:r>
    </w:p>
    <w:p w:rsidR="00000000" w:rsidRDefault="00A309A2">
      <w:pPr>
        <w:pStyle w:val="a3"/>
        <w:spacing w:before="200" w:beforeAutospacing="0" w:after="0" w:afterAutospacing="0"/>
        <w:ind w:firstLine="555"/>
        <w:rPr>
          <w:sz w:val="20"/>
          <w:szCs w:val="20"/>
        </w:rPr>
      </w:pPr>
      <w:r>
        <w:rPr>
          <w:sz w:val="20"/>
          <w:szCs w:val="20"/>
        </w:rPr>
        <w:t>In addition, if one or more of our competitors were to merge or partner with another of our competitors, our ability to compete effectively could be adversely affected. Our competitors may also est</w:t>
      </w:r>
      <w:r>
        <w:rPr>
          <w:sz w:val="20"/>
          <w:szCs w:val="20"/>
        </w:rPr>
        <w:t>ablish or strengthen cooperative relationships with our current or future strategic distribution and technology partners or other parties with whom we have relationships, thereby limiting our ability to promote and implement our platform. We may not be abl</w:t>
      </w:r>
      <w:r>
        <w:rPr>
          <w:sz w:val="20"/>
          <w:szCs w:val="20"/>
        </w:rPr>
        <w:t>e to compete successfully against current or future competitors, and competitive pressures may harm our business, operating results and financial condition</w:t>
      </w:r>
      <w:r>
        <w:rPr>
          <w:sz w:val="20"/>
          <w:szCs w:val="20"/>
        </w:rPr>
        <w:t>.</w:t>
      </w:r>
    </w:p>
    <w:p w:rsidR="00000000" w:rsidRDefault="00A309A2">
      <w:pPr>
        <w:pStyle w:val="a3"/>
        <w:spacing w:before="200" w:beforeAutospacing="0" w:after="0" w:afterAutospacing="0"/>
        <w:rPr>
          <w:sz w:val="20"/>
          <w:szCs w:val="20"/>
        </w:rPr>
      </w:pPr>
      <w:r>
        <w:rPr>
          <w:b/>
          <w:bCs/>
          <w:i/>
          <w:iCs/>
          <w:sz w:val="20"/>
          <w:szCs w:val="20"/>
        </w:rPr>
        <w:t>We have experienced rapid growth and organizational change in recent periods and expect continued f</w:t>
      </w:r>
      <w:r>
        <w:rPr>
          <w:b/>
          <w:bCs/>
          <w:i/>
          <w:iCs/>
          <w:sz w:val="20"/>
          <w:szCs w:val="20"/>
        </w:rPr>
        <w:t>uture growth. If we fail to manage our growth effectively, we may be unable to execute our business plan, maintain high levels of service or address competitive challenges adequately</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Our head count and operations have grown substantially. For example, we </w:t>
      </w:r>
      <w:r>
        <w:rPr>
          <w:sz w:val="20"/>
          <w:szCs w:val="20"/>
        </w:rPr>
        <w:t>had 5,895 full-time employees as of December 31, 2021, as compared with 4,225 as of December 31, 2020 and we have opened several international offices and plan to open additiona</w:t>
      </w:r>
      <w:r>
        <w:rPr>
          <w:sz w:val="20"/>
          <w:szCs w:val="20"/>
        </w:rPr>
        <w:t>l</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1</w:t>
      </w:r>
      <w:r>
        <w:rPr>
          <w:sz w:val="20"/>
          <w:szCs w:val="20"/>
        </w:rPr>
        <w:t>3</w:t>
      </w:r>
    </w:p>
    <w:p w:rsidR="00000000" w:rsidRDefault="00A309A2">
      <w:pPr>
        <w:rPr>
          <w:rFonts w:eastAsia="Times New Roman"/>
        </w:rPr>
      </w:pPr>
      <w:r>
        <w:rPr>
          <w:rFonts w:eastAsia="Times New Roman"/>
        </w:rPr>
        <w:pict>
          <v:rect id="_x0000_i1039"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offices in the future. This growth</w:t>
      </w:r>
      <w:r>
        <w:rPr>
          <w:sz w:val="20"/>
          <w:szCs w:val="20"/>
        </w:rPr>
        <w:t xml:space="preserve"> has placed, and will continue to place, a significant strain on our management, administrative, operational and financial infrastructure. We anticipate further growth will be required to address increases in our product offerings and continued expansion. </w:t>
      </w:r>
      <w:r>
        <w:rPr>
          <w:sz w:val="20"/>
          <w:szCs w:val="20"/>
        </w:rPr>
        <w:t>Our success will depend in part upon our ability to recruit, hire, train, manage and integrate a significant number of qualified managers, technical personnel and employees in specialized roles within our company, including in technology, sales and marketi</w:t>
      </w:r>
      <w:r>
        <w:rPr>
          <w:sz w:val="20"/>
          <w:szCs w:val="20"/>
        </w:rPr>
        <w:t>ng. Furthermore, while we have begun to slowly re-open our offices on a staggered, region-by-region basis in accordance with local authority guidelines, preservation of our corporate culture has been made more difficult as our work force has been working f</w:t>
      </w:r>
      <w:r>
        <w:rPr>
          <w:sz w:val="20"/>
          <w:szCs w:val="20"/>
        </w:rPr>
        <w:t>rom home in connection with restrictions placed upon businesses due to the pandemic. A long-term continuation of these restrictions could, among other things, negatively impact employee morale and productivity. Any failure to preserve our culture could har</w:t>
      </w:r>
      <w:r>
        <w:rPr>
          <w:sz w:val="20"/>
          <w:szCs w:val="20"/>
        </w:rPr>
        <w:t>m our future success, including our ability to retain and recruit personnel, innovate and operate effectively and execute on our business strategy. Additionally, as our employees work remotely from geographic areas across the globe and more of our employee</w:t>
      </w:r>
      <w:r>
        <w:rPr>
          <w:sz w:val="20"/>
          <w:szCs w:val="20"/>
        </w:rPr>
        <w:t>s work remotely on a permanent basis due to the pandemic, and pursuant to our newly implemented hybrid workplace model (which provides our employees with the option to be fully remote, work full-time from one of our offices, or have the flexibility to work</w:t>
      </w:r>
      <w:r>
        <w:rPr>
          <w:sz w:val="20"/>
          <w:szCs w:val="20"/>
        </w:rPr>
        <w:t xml:space="preserve"> both in the office and remotely), we may need to reallocate our investment of resources and closely monitor a variety of local regulations and requirements, including local tax laws, and we may experience unpredictability in our expenses and employee work</w:t>
      </w:r>
      <w:r>
        <w:rPr>
          <w:sz w:val="20"/>
          <w:szCs w:val="20"/>
        </w:rPr>
        <w:t xml:space="preserve"> culture. If we experience any of these effects in connection with future growth, if our new employees perform poorly, or if we are unsuccessful in recruiting, hiring, training, managing and integrating these new employees, or retaining these or our existi</w:t>
      </w:r>
      <w:r>
        <w:rPr>
          <w:sz w:val="20"/>
          <w:szCs w:val="20"/>
        </w:rPr>
        <w:t>ng employees, it could materially impair our ability to attract new customers, retain existing customers and expand their use of our platform, all of which would materially and adversely affect our business, financial condition and results of operations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In addition, to manage the expected continued growth of our headcount, operations and geographic expansion, we will need to continue to expand our information technology infrastructure, operational, financial and management systems and procedures. Our anti</w:t>
      </w:r>
      <w:r>
        <w:rPr>
          <w:sz w:val="20"/>
          <w:szCs w:val="20"/>
        </w:rPr>
        <w:t>cipated additional headcount and capital investments will increase our costs, which will make it more difficult for us to address any future revenue shortfalls by reducing expenses in the short term. If we fail to successfully manage our growth, we will be</w:t>
      </w:r>
      <w:r>
        <w:rPr>
          <w:sz w:val="20"/>
          <w:szCs w:val="20"/>
        </w:rPr>
        <w:t xml:space="preserve"> unable to successfully execute our business plan, which could have a negative impact on our business, results of operations or financial condition</w:t>
      </w:r>
      <w:r>
        <w:rPr>
          <w:sz w:val="20"/>
          <w:szCs w:val="20"/>
        </w:rPr>
        <w:t>.</w:t>
      </w:r>
      <w:r>
        <w:rPr>
          <w:sz w:val="20"/>
          <w:szCs w:val="20"/>
        </w:rPr>
        <w:br/>
      </w:r>
      <w:r>
        <w:rPr>
          <w:sz w:val="20"/>
          <w:szCs w:val="20"/>
        </w:rPr>
        <w:t> </w:t>
      </w:r>
    </w:p>
    <w:p w:rsidR="00000000" w:rsidRDefault="00A309A2">
      <w:pPr>
        <w:pStyle w:val="a3"/>
        <w:spacing w:before="200" w:beforeAutospacing="0" w:after="0" w:afterAutospacing="0"/>
        <w:rPr>
          <w:sz w:val="20"/>
          <w:szCs w:val="20"/>
        </w:rPr>
      </w:pPr>
      <w:r>
        <w:rPr>
          <w:b/>
          <w:bCs/>
          <w:i/>
          <w:iCs/>
          <w:sz w:val="20"/>
          <w:szCs w:val="20"/>
        </w:rPr>
        <w:t>Failure to effectively develop and expand our marketing, sales, customer service, operations, and content</w:t>
      </w:r>
      <w:r>
        <w:rPr>
          <w:b/>
          <w:bCs/>
          <w:i/>
          <w:iCs/>
          <w:sz w:val="20"/>
          <w:szCs w:val="20"/>
        </w:rPr>
        <w:t xml:space="preserve"> management capabilities could harm our ability to increase our customer base and achieve broader market acceptance of our platform</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To increase Customers and achieve broader market acceptance of our CRM Platform, we will need to continue to expand our mar</w:t>
      </w:r>
      <w:r>
        <w:rPr>
          <w:sz w:val="20"/>
          <w:szCs w:val="20"/>
        </w:rPr>
        <w:t>keting, sales, customer service, operations, and content management capabilities, including our sales force and third-party channel partners. We will continue to dedicate significant resources to inbound sales and marketing programs. The effectiveness of o</w:t>
      </w:r>
      <w:r>
        <w:rPr>
          <w:sz w:val="20"/>
          <w:szCs w:val="20"/>
        </w:rPr>
        <w:t>ur inbound sales and marketing and third-party channel partners has varied over time and may vary in the future and depends on our ability to maintain and improve our CRM Platform. All of these efforts will require us to invest significant financial and ot</w:t>
      </w:r>
      <w:r>
        <w:rPr>
          <w:sz w:val="20"/>
          <w:szCs w:val="20"/>
        </w:rPr>
        <w:t>her resources. Our business will be seriously harmed if our efforts do not generate a correspondingly significant increase in revenue. We may not achieve anticipated revenue growth from expanding our sales force if we are unable to hire, develop and retain</w:t>
      </w:r>
      <w:r>
        <w:rPr>
          <w:sz w:val="20"/>
          <w:szCs w:val="20"/>
        </w:rPr>
        <w:t xml:space="preserve"> talented sales personnel, if our new sales personnel are unable to achieve desired productivity levels in a reasonable period of time or if our sales and marketing programs are not effective</w:t>
      </w:r>
      <w:r>
        <w:rPr>
          <w:sz w:val="20"/>
          <w:szCs w:val="20"/>
        </w:rPr>
        <w:t>.</w:t>
      </w:r>
    </w:p>
    <w:p w:rsidR="00000000" w:rsidRDefault="00A309A2">
      <w:pPr>
        <w:pStyle w:val="a3"/>
        <w:spacing w:before="200" w:beforeAutospacing="0" w:after="0" w:afterAutospacing="0"/>
        <w:rPr>
          <w:sz w:val="20"/>
          <w:szCs w:val="20"/>
        </w:rPr>
      </w:pPr>
      <w:r>
        <w:rPr>
          <w:b/>
          <w:bCs/>
          <w:i/>
          <w:iCs/>
          <w:sz w:val="20"/>
          <w:szCs w:val="20"/>
        </w:rPr>
        <w:t>The rate of growth of our business depends on the continued par</w:t>
      </w:r>
      <w:r>
        <w:rPr>
          <w:b/>
          <w:bCs/>
          <w:i/>
          <w:iCs/>
          <w:sz w:val="20"/>
          <w:szCs w:val="20"/>
        </w:rPr>
        <w:t>ticipation and level of service of our Solutions Partners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We rely on our Solutions Partners to provide certain services to our customers, as well as pursue sales of our CRM Platform to customers. To the extent we do not attract new Solutions Partners, or </w:t>
      </w:r>
      <w:r>
        <w:rPr>
          <w:sz w:val="20"/>
          <w:szCs w:val="20"/>
        </w:rPr>
        <w:t>existing or new Solutions Partners do not refer a growing number of customers to us, our revenue and operating results would be harmed. In addition, if our Solutions Partners do not continue to provide services to our customers, we would be required to pro</w:t>
      </w:r>
      <w:r>
        <w:rPr>
          <w:sz w:val="20"/>
          <w:szCs w:val="20"/>
        </w:rPr>
        <w:t>vide such services ourselves either by expanding our internal team or engaging other third-party providers, which would increase our operating costs</w:t>
      </w:r>
      <w:r>
        <w:rPr>
          <w:sz w:val="20"/>
          <w:szCs w:val="20"/>
        </w:rPr>
        <w:t>.</w:t>
      </w:r>
    </w:p>
    <w:p w:rsidR="00000000" w:rsidRDefault="00A309A2">
      <w:pPr>
        <w:pStyle w:val="a3"/>
        <w:spacing w:before="200" w:beforeAutospacing="0" w:after="0" w:afterAutospacing="0"/>
        <w:rPr>
          <w:sz w:val="20"/>
          <w:szCs w:val="20"/>
        </w:rPr>
      </w:pPr>
      <w:r>
        <w:rPr>
          <w:b/>
          <w:bCs/>
          <w:i/>
          <w:iCs/>
          <w:sz w:val="20"/>
          <w:szCs w:val="20"/>
        </w:rPr>
        <w:t>If we fail to maintain our inbound thought leadership position, our business may suffer</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We believe that m</w:t>
      </w:r>
      <w:r>
        <w:rPr>
          <w:sz w:val="20"/>
          <w:szCs w:val="20"/>
        </w:rPr>
        <w:t>aintaining our thought leadership position in inbound marketing, sales, services, operations and content management is an important element in attracting new customers. We devote significant resources to develop and maintain our thought leadership position</w:t>
      </w:r>
      <w:r>
        <w:rPr>
          <w:sz w:val="20"/>
          <w:szCs w:val="20"/>
        </w:rPr>
        <w:t>, with a focus on identifying and interpreting emerging trends in the inbound experience, shaping and guiding industry dialog and creating and sharing the best inbound practices. Our activities related to developing and maintaining our thought leadership m</w:t>
      </w:r>
      <w:r>
        <w:rPr>
          <w:sz w:val="20"/>
          <w:szCs w:val="20"/>
        </w:rPr>
        <w:t>ay not yield increased revenue, and even if they do, any increased revenue may not offset the expenses we incurred in such effort. We rely upon the continued services of our management and employees with domain expertise with inbound marketing, sales, serv</w:t>
      </w:r>
      <w:r>
        <w:rPr>
          <w:sz w:val="20"/>
          <w:szCs w:val="20"/>
        </w:rPr>
        <w:t>ices, operations, and content management, and the loss of any key employees in this area could harm our competitive position and reputation. If we fail to successfully grow and maintain our thought leadership position, we may not attract enough new custome</w:t>
      </w:r>
      <w:r>
        <w:rPr>
          <w:sz w:val="20"/>
          <w:szCs w:val="20"/>
        </w:rPr>
        <w:t>rs or retain our existing customers, and our business could suffer</w:t>
      </w:r>
      <w:r>
        <w:rPr>
          <w:sz w:val="20"/>
          <w:szCs w:val="20"/>
        </w:rPr>
        <w:t>.</w:t>
      </w:r>
    </w:p>
    <w:p w:rsidR="00000000" w:rsidRDefault="00A309A2">
      <w:pPr>
        <w:pStyle w:val="a3"/>
        <w:spacing w:before="240" w:beforeAutospacing="0" w:after="0" w:afterAutospacing="0"/>
        <w:jc w:val="center"/>
        <w:rPr>
          <w:sz w:val="20"/>
          <w:szCs w:val="20"/>
        </w:rPr>
      </w:pPr>
      <w:r>
        <w:rPr>
          <w:sz w:val="20"/>
          <w:szCs w:val="20"/>
        </w:rPr>
        <w:t>1</w:t>
      </w:r>
      <w:r>
        <w:rPr>
          <w:sz w:val="20"/>
          <w:szCs w:val="20"/>
        </w:rPr>
        <w:t>4</w:t>
      </w:r>
    </w:p>
    <w:p w:rsidR="00000000" w:rsidRDefault="00A309A2">
      <w:pPr>
        <w:rPr>
          <w:rFonts w:eastAsia="Times New Roman"/>
        </w:rPr>
      </w:pPr>
      <w:r>
        <w:rPr>
          <w:rFonts w:eastAsia="Times New Roman"/>
        </w:rPr>
        <w:pict>
          <v:rect id="_x0000_i104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i/>
          <w:iCs/>
          <w:sz w:val="20"/>
          <w:szCs w:val="20"/>
        </w:rPr>
        <w:t>If we fail to further enhance our brand and maintain our existing strong brand awareness, our ability to expand our customer base will be impaired and our financial condition may suffer</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We believe that our development of the HubSpot brand is critical to a</w:t>
      </w:r>
      <w:r>
        <w:rPr>
          <w:sz w:val="20"/>
          <w:szCs w:val="20"/>
        </w:rPr>
        <w:t>chieving widespread awareness of our existing and future inbound experience solutions, and, as a result, is important to attracting new customers and maintaining existing customers. In the past, our efforts to build our brand have involved significant expe</w:t>
      </w:r>
      <w:r>
        <w:rPr>
          <w:sz w:val="20"/>
          <w:szCs w:val="20"/>
        </w:rPr>
        <w:t>nses, and we believe that this investment has resulted in strong brand recognition in the B2B market. Successful promotion and maintenance of our brands will depend largely on the effectiveness of our marketing efforts and on our ability to provide a relia</w:t>
      </w:r>
      <w:r>
        <w:rPr>
          <w:sz w:val="20"/>
          <w:szCs w:val="20"/>
        </w:rPr>
        <w:t xml:space="preserve">ble and useful CRM Platform at competitive prices. Brand promotion activities may not yield increased revenue, and even if they do, any increased revenue may not offset the expenses we incurred in building our brand. If we fail to successfully promote and </w:t>
      </w:r>
      <w:r>
        <w:rPr>
          <w:sz w:val="20"/>
          <w:szCs w:val="20"/>
        </w:rPr>
        <w:t>maintain our brand, our business could suffer</w:t>
      </w:r>
      <w:r>
        <w:rPr>
          <w:sz w:val="20"/>
          <w:szCs w:val="20"/>
        </w:rPr>
        <w:t>.</w:t>
      </w:r>
    </w:p>
    <w:p w:rsidR="00000000" w:rsidRDefault="00A309A2">
      <w:pPr>
        <w:pStyle w:val="a3"/>
        <w:spacing w:before="200" w:beforeAutospacing="0" w:after="0" w:afterAutospacing="0"/>
        <w:rPr>
          <w:sz w:val="20"/>
          <w:szCs w:val="20"/>
        </w:rPr>
      </w:pPr>
      <w:r>
        <w:rPr>
          <w:b/>
          <w:bCs/>
          <w:i/>
          <w:iCs/>
          <w:sz w:val="20"/>
          <w:szCs w:val="20"/>
        </w:rPr>
        <w:t>If we fail to adapt and respond effectively to rapidly changing technology, evolving industry standards and changing customer needs or requirements, our CRM Platform may become less competitive</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future suc</w:t>
      </w:r>
      <w:r>
        <w:rPr>
          <w:sz w:val="20"/>
          <w:szCs w:val="20"/>
        </w:rPr>
        <w:t>cess depends on our ability to adapt and innovate our CRM Platform. To attract new customers and increase revenue from existing customers, we need to continue to enhance and improve our offerings to meet customer needs at prices that our customers are will</w:t>
      </w:r>
      <w:r>
        <w:rPr>
          <w:sz w:val="20"/>
          <w:szCs w:val="20"/>
        </w:rPr>
        <w:t>ing to pay. Such efforts will require adding new functionality and responding to technological advancements, which will increase our research and development costs. If we are unable to develop new applications that address our customers’ needs, or to enhan</w:t>
      </w:r>
      <w:r>
        <w:rPr>
          <w:sz w:val="20"/>
          <w:szCs w:val="20"/>
        </w:rPr>
        <w:t xml:space="preserve">ce and improve our platform in a timely manner, we may not be able to maintain or increase market acceptance of our platform. Our ability to grow is also subject to the risk of future disruptive technologies. Access and use of our CRM Platform is provided </w:t>
      </w:r>
      <w:r>
        <w:rPr>
          <w:sz w:val="20"/>
          <w:szCs w:val="20"/>
        </w:rPr>
        <w:t>via the cloud, which, itself, was disruptive to the previous enterprise software model. If new technologies emerge that are able to deliver inbound marketing software and related applications at lower prices, more efficiently, more conveniently or more sec</w:t>
      </w:r>
      <w:r>
        <w:rPr>
          <w:sz w:val="20"/>
          <w:szCs w:val="20"/>
        </w:rPr>
        <w:t>urely, such technologies could adversely affect our ability to compete</w:t>
      </w:r>
      <w:r>
        <w:rPr>
          <w:sz w:val="20"/>
          <w:szCs w:val="20"/>
        </w:rPr>
        <w:t>.</w:t>
      </w:r>
    </w:p>
    <w:p w:rsidR="00000000" w:rsidRDefault="00A309A2">
      <w:pPr>
        <w:pStyle w:val="a3"/>
        <w:spacing w:before="200" w:beforeAutospacing="0" w:after="0" w:afterAutospacing="0"/>
        <w:rPr>
          <w:sz w:val="20"/>
          <w:szCs w:val="20"/>
        </w:rPr>
      </w:pPr>
      <w:r>
        <w:rPr>
          <w:b/>
          <w:bCs/>
          <w:i/>
          <w:iCs/>
          <w:sz w:val="20"/>
          <w:szCs w:val="20"/>
        </w:rPr>
        <w:t>If we fail to offer high-quality customer support, our business and reputation may suffer</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High-quality education, training and customer support are important for the successful market</w:t>
      </w:r>
      <w:r>
        <w:rPr>
          <w:sz w:val="20"/>
          <w:szCs w:val="20"/>
        </w:rPr>
        <w:t xml:space="preserve">ing, sale and use of our CRM Platform and for the renewal of existing customers. Providing this education, training and support requires that our personnel who manage our online training resource, HubSpot Academy, or provide customer support have specific </w:t>
      </w:r>
      <w:r>
        <w:rPr>
          <w:sz w:val="20"/>
          <w:szCs w:val="20"/>
        </w:rPr>
        <w:t>inbound experience domain knowledge and expertise, making it more difficult for us to hire qualified personnel and to scale up our support operations. The importance of high-quality customer support will increase as we expand our business and pursue new cu</w:t>
      </w:r>
      <w:r>
        <w:rPr>
          <w:sz w:val="20"/>
          <w:szCs w:val="20"/>
        </w:rPr>
        <w:t>stomers. If we do not help our customers use multiple applications within our CRM Platform and provide effective ongoing support, our ability to sell additional functionality and services to, or to retain, existing customers may suffer and our reputation w</w:t>
      </w:r>
      <w:r>
        <w:rPr>
          <w:sz w:val="20"/>
          <w:szCs w:val="20"/>
        </w:rPr>
        <w:t>ith existing or potential customers may be harmed</w:t>
      </w:r>
      <w:r>
        <w:rPr>
          <w:sz w:val="20"/>
          <w:szCs w:val="20"/>
        </w:rPr>
        <w:t>.</w:t>
      </w:r>
    </w:p>
    <w:p w:rsidR="00000000" w:rsidRDefault="00A309A2">
      <w:pPr>
        <w:pStyle w:val="a3"/>
        <w:spacing w:before="200" w:beforeAutospacing="0" w:after="0" w:afterAutospacing="0"/>
        <w:rPr>
          <w:sz w:val="20"/>
          <w:szCs w:val="20"/>
        </w:rPr>
      </w:pPr>
      <w:r>
        <w:rPr>
          <w:b/>
          <w:bCs/>
          <w:i/>
          <w:iCs/>
          <w:sz w:val="20"/>
          <w:szCs w:val="20"/>
        </w:rPr>
        <w:t xml:space="preserve">We may not be able to scale our business quickly enough to meet our customers’ </w:t>
      </w:r>
      <w:r>
        <w:rPr>
          <w:b/>
          <w:bCs/>
          <w:i/>
          <w:iCs/>
          <w:sz w:val="20"/>
          <w:szCs w:val="20"/>
        </w:rPr>
        <w:t>growing needs and if we are not able to grow efficiently, our operating results could be harmed</w:t>
      </w:r>
      <w:r>
        <w:rPr>
          <w:b/>
          <w:bCs/>
          <w:i/>
          <w:iCs/>
          <w:sz w:val="20"/>
          <w:szCs w:val="20"/>
        </w:rPr>
        <w:t>.</w:t>
      </w:r>
    </w:p>
    <w:p w:rsidR="00000000" w:rsidRDefault="00A309A2">
      <w:pPr>
        <w:pStyle w:val="a3"/>
        <w:spacing w:before="240" w:beforeAutospacing="0" w:after="0" w:afterAutospacing="0"/>
        <w:jc w:val="center"/>
        <w:rPr>
          <w:sz w:val="20"/>
          <w:szCs w:val="20"/>
        </w:rPr>
      </w:pPr>
      <w:r>
        <w:rPr>
          <w:sz w:val="20"/>
          <w:szCs w:val="20"/>
        </w:rPr>
        <w:t>1</w:t>
      </w:r>
      <w:r>
        <w:rPr>
          <w:sz w:val="20"/>
          <w:szCs w:val="20"/>
        </w:rPr>
        <w:t>5</w:t>
      </w:r>
    </w:p>
    <w:p w:rsidR="00000000" w:rsidRDefault="00A309A2">
      <w:pPr>
        <w:rPr>
          <w:rFonts w:eastAsia="Times New Roman"/>
        </w:rPr>
      </w:pPr>
      <w:r>
        <w:rPr>
          <w:rFonts w:eastAsia="Times New Roman"/>
        </w:rPr>
        <w:pict>
          <v:rect id="_x0000_i104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sz w:val="20"/>
          <w:szCs w:val="20"/>
        </w:rPr>
        <w:t>As usage of our CRM Platform grows and as customers use our platform for additional inbound applications, such as sale</w:t>
      </w:r>
      <w:r>
        <w:rPr>
          <w:sz w:val="20"/>
          <w:szCs w:val="20"/>
        </w:rPr>
        <w:t>s and services, we will need to devote additional resources to improving our application architecture, integrating with third-party systems and maintaining infrastructure performance. In addition, we will need to appropriately scale our internal business s</w:t>
      </w:r>
      <w:r>
        <w:rPr>
          <w:sz w:val="20"/>
          <w:szCs w:val="20"/>
        </w:rPr>
        <w:t>ystems and our services organization, including customer support and professional services, to serve our growing customer base, particularly as our customer demographics change over time. Any failure of or delay in these efforts could cause impaired system</w:t>
      </w:r>
      <w:r>
        <w:rPr>
          <w:sz w:val="20"/>
          <w:szCs w:val="20"/>
        </w:rPr>
        <w:t xml:space="preserve"> performance and reduced customer satisfaction. These issues could reduce the attractiveness of our CRM Platform to customers, resulting in decreased sales to new customers, lower renewal rates by existing customers, the issuance of service credits, or req</w:t>
      </w:r>
      <w:r>
        <w:rPr>
          <w:sz w:val="20"/>
          <w:szCs w:val="20"/>
        </w:rPr>
        <w:t xml:space="preserve">uested refunds, which could impede our revenue growth and harm our reputation. Even if we are able to upgrade our systems and expand our staff, any such expansion will be expensive and complex, requiring management’s time and attention. We could also face </w:t>
      </w:r>
      <w:r>
        <w:rPr>
          <w:sz w:val="20"/>
          <w:szCs w:val="20"/>
        </w:rPr>
        <w:t>inefficiencies or operational failures as a result of our efforts to scale our infrastructure. Moreover, there are inherent risks associated with upgrading, improving and expanding our information technology systems. We cannot be sure that the expansion an</w:t>
      </w:r>
      <w:r>
        <w:rPr>
          <w:sz w:val="20"/>
          <w:szCs w:val="20"/>
        </w:rPr>
        <w:t>d improvements to our infrastructure and systems will be fully or effectively implemented on a timely basis, if at all. These efforts may reduce revenue and our margins and adversely affect our financial results</w:t>
      </w:r>
      <w:r>
        <w:rPr>
          <w:sz w:val="20"/>
          <w:szCs w:val="20"/>
        </w:rPr>
        <w:t>.</w:t>
      </w:r>
    </w:p>
    <w:p w:rsidR="00000000" w:rsidRDefault="00A309A2">
      <w:pPr>
        <w:pStyle w:val="a3"/>
        <w:spacing w:before="200" w:beforeAutospacing="0" w:after="0" w:afterAutospacing="0"/>
        <w:rPr>
          <w:sz w:val="20"/>
          <w:szCs w:val="20"/>
        </w:rPr>
      </w:pPr>
      <w:r>
        <w:rPr>
          <w:b/>
          <w:bCs/>
          <w:i/>
          <w:iCs/>
          <w:sz w:val="20"/>
          <w:szCs w:val="20"/>
        </w:rPr>
        <w:t>Our ability to introduce new products and f</w:t>
      </w:r>
      <w:r>
        <w:rPr>
          <w:b/>
          <w:bCs/>
          <w:i/>
          <w:iCs/>
          <w:sz w:val="20"/>
          <w:szCs w:val="20"/>
        </w:rPr>
        <w:t>eatures is dependent on adequate research and development resources. If we do not adequately fund our research and development efforts, we may not be able to compete effectively and our business and operating results may be harmed</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To remain competitive, w</w:t>
      </w:r>
      <w:r>
        <w:rPr>
          <w:sz w:val="20"/>
          <w:szCs w:val="20"/>
        </w:rPr>
        <w:t>e must continue to develop new product offerings, applications, features and enhancements to our existing CRM Platform. Maintaining adequate research and development personnel and resources to meet the demands of the market is essential. If we are unable t</w:t>
      </w:r>
      <w:r>
        <w:rPr>
          <w:sz w:val="20"/>
          <w:szCs w:val="20"/>
        </w:rPr>
        <w:t>o develop our platform internally due to certain constraints, such as high employee turnover, lack of management ability or a lack of other research and development resources, we may miss market opportunities. Further, many of our competitors expend a cons</w:t>
      </w:r>
      <w:r>
        <w:rPr>
          <w:sz w:val="20"/>
          <w:szCs w:val="20"/>
        </w:rPr>
        <w:t>iderably greater amount of funds on their research and development programs, and those that do not may be acquired by larger companies that would allocate greater resources to our competitors’ research and development programs. Our failure to maintain adeq</w:t>
      </w:r>
      <w:r>
        <w:rPr>
          <w:sz w:val="20"/>
          <w:szCs w:val="20"/>
        </w:rPr>
        <w:t>uate research and development resources or to compete effectively with the research and development programs of our competitors could materially adversely affect our business</w:t>
      </w:r>
      <w:r>
        <w:rPr>
          <w:sz w:val="20"/>
          <w:szCs w:val="20"/>
        </w:rPr>
        <w:t>.</w:t>
      </w:r>
    </w:p>
    <w:p w:rsidR="00000000" w:rsidRDefault="00A309A2">
      <w:pPr>
        <w:pStyle w:val="a3"/>
        <w:spacing w:before="200" w:beforeAutospacing="0" w:after="0" w:afterAutospacing="0"/>
        <w:rPr>
          <w:sz w:val="20"/>
          <w:szCs w:val="20"/>
        </w:rPr>
      </w:pPr>
      <w:r>
        <w:rPr>
          <w:b/>
          <w:bCs/>
          <w:i/>
          <w:iCs/>
          <w:sz w:val="20"/>
          <w:szCs w:val="20"/>
        </w:rPr>
        <w:t>Changes in the sizes or types of businesses that purchase our platform or in the</w:t>
      </w:r>
      <w:r>
        <w:rPr>
          <w:b/>
          <w:bCs/>
          <w:i/>
          <w:iCs/>
          <w:sz w:val="20"/>
          <w:szCs w:val="20"/>
        </w:rPr>
        <w:t xml:space="preserve"> applications within our CRM Platform purchased or used by our customers could negatively affect our operating results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strategy is to sell subscriptions to our CRM Platform to mid-sized businesses, but we have sold and will continue to sell to organiz</w:t>
      </w:r>
      <w:r>
        <w:rPr>
          <w:sz w:val="20"/>
          <w:szCs w:val="20"/>
        </w:rPr>
        <w:t>ations ranging from small businesses to enterprises. Our gross margins can vary depending on numerous factors related to the implementation and use of our CRM Platform, including the sophistication and intensity of our customers’ use of our platform and th</w:t>
      </w:r>
      <w:r>
        <w:rPr>
          <w:sz w:val="20"/>
          <w:szCs w:val="20"/>
        </w:rPr>
        <w:t>e level of professional services and support required by a customer. Sales to enterprise customers may entail longer sales cycles and more significant selling efforts. Selling to small businesses may involve greater credit risk and uncertainty. If there ar</w:t>
      </w:r>
      <w:r>
        <w:rPr>
          <w:sz w:val="20"/>
          <w:szCs w:val="20"/>
        </w:rPr>
        <w:t>e changes in the mix of businesses that purchase our platform or the mix of the product plans purchased by our customers, our gross margins could decrease and our operating results could be adversely affected</w:t>
      </w:r>
      <w:r>
        <w:rPr>
          <w:sz w:val="20"/>
          <w:szCs w:val="20"/>
        </w:rPr>
        <w:t>.</w:t>
      </w:r>
    </w:p>
    <w:p w:rsidR="00000000" w:rsidRDefault="00A309A2">
      <w:pPr>
        <w:pStyle w:val="a3"/>
        <w:spacing w:before="200" w:beforeAutospacing="0" w:after="0" w:afterAutospacing="0"/>
        <w:rPr>
          <w:sz w:val="20"/>
          <w:szCs w:val="20"/>
        </w:rPr>
      </w:pPr>
      <w:r>
        <w:rPr>
          <w:b/>
          <w:bCs/>
          <w:i/>
          <w:iCs/>
          <w:sz w:val="20"/>
          <w:szCs w:val="20"/>
        </w:rPr>
        <w:t>We have in the past completed acquisitions and</w:t>
      </w:r>
      <w:r>
        <w:rPr>
          <w:b/>
          <w:bCs/>
          <w:i/>
          <w:iCs/>
          <w:sz w:val="20"/>
          <w:szCs w:val="20"/>
        </w:rPr>
        <w:t xml:space="preserve"> may acquire or invest in other companies or technologies in the future, which could divert management’s attention, fail to meet our expectations, result in additional dilution to our stockholders, increase expenses, disrupt our operations or harm our oper</w:t>
      </w:r>
      <w:r>
        <w:rPr>
          <w:b/>
          <w:bCs/>
          <w:i/>
          <w:iCs/>
          <w:sz w:val="20"/>
          <w:szCs w:val="20"/>
        </w:rPr>
        <w:t>ating results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We have in the past acquired, and we may in the future acquire or invest in, businesses, products or technologies that we believe could complement or expand our platform, enhance our technical capabilities or otherwise offer growth opportuni</w:t>
      </w:r>
      <w:r>
        <w:rPr>
          <w:sz w:val="20"/>
          <w:szCs w:val="20"/>
        </w:rPr>
        <w:t>ties. We may not be able to fully realize the anticipated benefits of historical or any future acquisitions. The pursuit of potential acquisitions may divert the attention of management and cause us to incur various expenses related to identifying, investi</w:t>
      </w:r>
      <w:r>
        <w:rPr>
          <w:sz w:val="20"/>
          <w:szCs w:val="20"/>
        </w:rPr>
        <w:t>gating and pursuing suitable acquisitions, whether or not they are consummated.</w:t>
      </w:r>
      <w:r>
        <w:rPr>
          <w:sz w:val="20"/>
          <w:szCs w:val="20"/>
        </w:rPr>
        <w:br/>
      </w:r>
      <w:r>
        <w:rPr>
          <w:sz w:val="20"/>
          <w:szCs w:val="20"/>
        </w:rPr>
        <w:t> </w:t>
      </w:r>
    </w:p>
    <w:p w:rsidR="00000000" w:rsidRDefault="00A309A2">
      <w:pPr>
        <w:pStyle w:val="a3"/>
        <w:spacing w:before="200" w:beforeAutospacing="0" w:after="0" w:afterAutospacing="0"/>
        <w:ind w:firstLine="555"/>
        <w:rPr>
          <w:sz w:val="20"/>
          <w:szCs w:val="20"/>
        </w:rPr>
      </w:pPr>
      <w:r>
        <w:rPr>
          <w:sz w:val="20"/>
          <w:szCs w:val="20"/>
        </w:rPr>
        <w:t xml:space="preserve">There are inherent risks in integrating and managing acquisitions. If we acquire additional businesses, we may not be able to assimilate or integrate the acquired personnel, </w:t>
      </w:r>
      <w:r>
        <w:rPr>
          <w:sz w:val="20"/>
          <w:szCs w:val="20"/>
        </w:rPr>
        <w:t>operations and technologies successfully or effectively manage the combined business following the acquisition and our management may be distracted from operating our business. We also may not achieve the anticipated benefits from the acquired business due</w:t>
      </w:r>
      <w:r>
        <w:rPr>
          <w:sz w:val="20"/>
          <w:szCs w:val="20"/>
        </w:rPr>
        <w:t xml:space="preserve"> to a number of factors, including: unanticipated costs or liabilities associated with the acquisition; incurrence of acquisition-related costs, which would be recognized as a current period expense; inability to generate sufficient revenue to offset acqui</w:t>
      </w:r>
      <w:r>
        <w:rPr>
          <w:sz w:val="20"/>
          <w:szCs w:val="20"/>
        </w:rPr>
        <w:t>sition or investment costs; the inability to maintain relationships with customers and partners of the acquired business; the difficulty of incorporating acquired technology and rights into our platform and of maintaining quality and security standards con</w:t>
      </w:r>
      <w:r>
        <w:rPr>
          <w:sz w:val="20"/>
          <w:szCs w:val="20"/>
        </w:rPr>
        <w:t>sistent with our brand; delays in customer purchases due to uncertainty related to any acquisition; the need to integrate or implement additional controls, procedures and policies; challenges caused by distance, language and cultural differences; harm to o</w:t>
      </w:r>
      <w:r>
        <w:rPr>
          <w:sz w:val="20"/>
          <w:szCs w:val="20"/>
        </w:rPr>
        <w:t>ur existing business relationships with business partners and customers as a result of the acquisition; the potential loss of key employees; use of resources that are needed in other parts of our business and diversion of management and employee resources;</w:t>
      </w:r>
      <w:r>
        <w:rPr>
          <w:sz w:val="20"/>
          <w:szCs w:val="20"/>
        </w:rPr>
        <w:t xml:space="preserve"> th</w:t>
      </w:r>
      <w:r>
        <w:rPr>
          <w:sz w:val="20"/>
          <w:szCs w:val="20"/>
        </w:rPr>
        <w:t>e</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1</w:t>
      </w:r>
      <w:r>
        <w:rPr>
          <w:sz w:val="20"/>
          <w:szCs w:val="20"/>
        </w:rPr>
        <w:t>6</w:t>
      </w:r>
    </w:p>
    <w:p w:rsidR="00000000" w:rsidRDefault="00A309A2">
      <w:pPr>
        <w:rPr>
          <w:rFonts w:eastAsia="Times New Roman"/>
        </w:rPr>
      </w:pPr>
      <w:r>
        <w:rPr>
          <w:rFonts w:eastAsia="Times New Roman"/>
        </w:rPr>
        <w:pict>
          <v:rect id="_x0000_i104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inability to recognize acquired deferred revenue in accordance with our revenue recognition policies; and use of substantial portions of our available cash or the incurrence of debt to consummate the acquisit</w:t>
      </w:r>
      <w:r>
        <w:rPr>
          <w:sz w:val="20"/>
          <w:szCs w:val="20"/>
        </w:rPr>
        <w:t>ion. Acquisitions also increase the risk of unforeseen legal liability, including for potential violations of applicable law or industry rules and regulations, arising from prior or ongoing acts or omissions by the acquired businesses which are not discove</w:t>
      </w:r>
      <w:r>
        <w:rPr>
          <w:sz w:val="20"/>
          <w:szCs w:val="20"/>
        </w:rPr>
        <w:t>red by due diligence during the acquisition process. Generally, if an acquired business fails to meet our expectations, our operating results, business and financial condition may suffer. Acquisitions could also result in dilutive issuances of equity secur</w:t>
      </w:r>
      <w:r>
        <w:rPr>
          <w:sz w:val="20"/>
          <w:szCs w:val="20"/>
        </w:rPr>
        <w:t>ities or the incurrence of debt, which could adversely affect our business, results of operations or financial condition</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In addition, a significant portion of the purchase price of companies we acquire may be allocated to goodwill and other intangible as</w:t>
      </w:r>
      <w:r>
        <w:rPr>
          <w:sz w:val="20"/>
          <w:szCs w:val="20"/>
        </w:rPr>
        <w:t>sets, which must be assessed for impairment at least annually. If our acquisitions do not ultimately yield expected returns, we may be required to make charges to our operating results based on our impairment assessment process, which could harm our result</w:t>
      </w:r>
      <w:r>
        <w:rPr>
          <w:sz w:val="20"/>
          <w:szCs w:val="20"/>
        </w:rPr>
        <w:t>s of operations</w:t>
      </w:r>
      <w:r>
        <w:rPr>
          <w:sz w:val="20"/>
          <w:szCs w:val="20"/>
        </w:rPr>
        <w:t>.</w:t>
      </w:r>
    </w:p>
    <w:p w:rsidR="00000000" w:rsidRDefault="00A309A2">
      <w:pPr>
        <w:pStyle w:val="a3"/>
        <w:spacing w:before="200" w:beforeAutospacing="0" w:after="0" w:afterAutospacing="0"/>
        <w:rPr>
          <w:sz w:val="20"/>
          <w:szCs w:val="20"/>
        </w:rPr>
      </w:pPr>
      <w:r>
        <w:rPr>
          <w:b/>
          <w:bCs/>
          <w:i/>
          <w:iCs/>
          <w:sz w:val="20"/>
          <w:szCs w:val="20"/>
        </w:rPr>
        <w:t>Because our long-term growth strategy involves further expansion of our sales to customers outside the United States, our business will be susceptible to risks associated with international operations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A component of our growth strategy involves the further expansion of our operations and customer base internationally. We have opened several international offices and plan to open additional offices in the future. These international offices focus primari</w:t>
      </w:r>
      <w:r>
        <w:rPr>
          <w:sz w:val="20"/>
          <w:szCs w:val="20"/>
        </w:rPr>
        <w:t>ly on sales, professional services and support. We also have a development team in Dublin, Ireland. Our current international operations and future initiatives will involve a variety of risks, including</w:t>
      </w:r>
      <w:r>
        <w:rPr>
          <w:sz w:val="20"/>
          <w:szCs w:val="20"/>
        </w:rPr>
        <w:t>:</w:t>
      </w:r>
    </w:p>
    <w:p w:rsidR="00000000" w:rsidRDefault="00A309A2">
      <w:pPr>
        <w:divId w:val="1449082467"/>
        <w:rPr>
          <w:rFonts w:eastAsia="Times New Roman"/>
        </w:rPr>
      </w:pPr>
      <w:r>
        <w:rPr>
          <w:rFonts w:eastAsia="Times New Roman"/>
          <w:sz w:val="20"/>
          <w:szCs w:val="20"/>
        </w:rPr>
        <w:t>•</w:t>
      </w:r>
    </w:p>
    <w:p w:rsidR="00000000" w:rsidRDefault="00A309A2">
      <w:pPr>
        <w:divId w:val="447627471"/>
        <w:rPr>
          <w:rFonts w:eastAsia="Times New Roman"/>
        </w:rPr>
      </w:pPr>
      <w:r>
        <w:rPr>
          <w:rFonts w:eastAsia="Times New Roman"/>
          <w:sz w:val="20"/>
          <w:szCs w:val="20"/>
        </w:rPr>
        <w:t>difficulties in maintaining our company culture wi</w:t>
      </w:r>
      <w:r>
        <w:rPr>
          <w:rFonts w:eastAsia="Times New Roman"/>
          <w:sz w:val="20"/>
          <w:szCs w:val="20"/>
        </w:rPr>
        <w:t>th a dispersed and distant workforce</w:t>
      </w:r>
      <w:r>
        <w:rPr>
          <w:rFonts w:eastAsia="Times New Roman"/>
          <w:sz w:val="20"/>
          <w:szCs w:val="20"/>
        </w:rPr>
        <w:t>;</w:t>
      </w:r>
    </w:p>
    <w:p w:rsidR="00000000" w:rsidRDefault="00A309A2">
      <w:pPr>
        <w:divId w:val="1253012013"/>
        <w:rPr>
          <w:rFonts w:eastAsia="Times New Roman"/>
        </w:rPr>
      </w:pPr>
      <w:r>
        <w:rPr>
          <w:rFonts w:eastAsia="Times New Roman"/>
          <w:sz w:val="20"/>
          <w:szCs w:val="20"/>
        </w:rPr>
        <w:t>•</w:t>
      </w:r>
    </w:p>
    <w:p w:rsidR="00000000" w:rsidRDefault="00A309A2">
      <w:pPr>
        <w:divId w:val="134564694"/>
        <w:rPr>
          <w:rFonts w:eastAsia="Times New Roman"/>
        </w:rPr>
      </w:pPr>
      <w:r>
        <w:rPr>
          <w:rFonts w:eastAsia="Times New Roman"/>
          <w:sz w:val="20"/>
          <w:szCs w:val="20"/>
        </w:rPr>
        <w:t>more stringent regulations relating to data security and the unauthorized use of, or access to, commercial and personal information, particularly in the European Union</w:t>
      </w:r>
      <w:r>
        <w:rPr>
          <w:rFonts w:eastAsia="Times New Roman"/>
          <w:sz w:val="20"/>
          <w:szCs w:val="20"/>
        </w:rPr>
        <w:t>;</w:t>
      </w:r>
    </w:p>
    <w:p w:rsidR="00000000" w:rsidRDefault="00A309A2">
      <w:pPr>
        <w:divId w:val="1880320018"/>
        <w:rPr>
          <w:rFonts w:eastAsia="Times New Roman"/>
        </w:rPr>
      </w:pPr>
      <w:r>
        <w:rPr>
          <w:rFonts w:eastAsia="Times New Roman"/>
          <w:sz w:val="20"/>
          <w:szCs w:val="20"/>
        </w:rPr>
        <w:t>•</w:t>
      </w:r>
    </w:p>
    <w:p w:rsidR="00000000" w:rsidRDefault="00A309A2">
      <w:pPr>
        <w:divId w:val="1353804183"/>
        <w:rPr>
          <w:rFonts w:eastAsia="Times New Roman"/>
        </w:rPr>
      </w:pPr>
      <w:r>
        <w:rPr>
          <w:rFonts w:eastAsia="Times New Roman"/>
          <w:sz w:val="20"/>
          <w:szCs w:val="20"/>
        </w:rPr>
        <w:t>unexpected changes in regulatory requirements</w:t>
      </w:r>
      <w:r>
        <w:rPr>
          <w:rFonts w:eastAsia="Times New Roman"/>
          <w:sz w:val="20"/>
          <w:szCs w:val="20"/>
        </w:rPr>
        <w:t>, taxes or trade laws</w:t>
      </w:r>
      <w:r>
        <w:rPr>
          <w:rFonts w:eastAsia="Times New Roman"/>
          <w:sz w:val="20"/>
          <w:szCs w:val="20"/>
        </w:rPr>
        <w:t>;</w:t>
      </w:r>
    </w:p>
    <w:p w:rsidR="00000000" w:rsidRDefault="00A309A2">
      <w:pPr>
        <w:divId w:val="1949774790"/>
        <w:rPr>
          <w:rFonts w:eastAsia="Times New Roman"/>
        </w:rPr>
      </w:pPr>
      <w:r>
        <w:rPr>
          <w:rFonts w:eastAsia="Times New Roman"/>
          <w:sz w:val="20"/>
          <w:szCs w:val="20"/>
        </w:rPr>
        <w:t>•</w:t>
      </w:r>
    </w:p>
    <w:p w:rsidR="00000000" w:rsidRDefault="00A309A2">
      <w:pPr>
        <w:divId w:val="448083327"/>
        <w:rPr>
          <w:rFonts w:eastAsia="Times New Roman"/>
        </w:rPr>
      </w:pPr>
      <w:r>
        <w:rPr>
          <w:rFonts w:eastAsia="Times New Roman"/>
          <w:sz w:val="20"/>
          <w:szCs w:val="20"/>
        </w:rPr>
        <w:t>differing labor regulations, especially in the European Union, where labor laws are generally more advantageous to employees as compared to the United States, including deemed hourly wage and overtime regulations in these locations</w:t>
      </w:r>
      <w:r>
        <w:rPr>
          <w:rFonts w:eastAsia="Times New Roman"/>
          <w:sz w:val="20"/>
          <w:szCs w:val="20"/>
        </w:rPr>
        <w:t>;</w:t>
      </w:r>
    </w:p>
    <w:p w:rsidR="00000000" w:rsidRDefault="00A309A2">
      <w:pPr>
        <w:divId w:val="1184713392"/>
        <w:rPr>
          <w:rFonts w:eastAsia="Times New Roman"/>
        </w:rPr>
      </w:pPr>
      <w:r>
        <w:rPr>
          <w:rFonts w:eastAsia="Times New Roman"/>
          <w:sz w:val="20"/>
          <w:szCs w:val="20"/>
        </w:rPr>
        <w:t>•</w:t>
      </w:r>
    </w:p>
    <w:p w:rsidR="00000000" w:rsidRDefault="00A309A2">
      <w:pPr>
        <w:divId w:val="1559977072"/>
        <w:rPr>
          <w:rFonts w:eastAsia="Times New Roman"/>
        </w:rPr>
      </w:pPr>
      <w:r>
        <w:rPr>
          <w:rFonts w:eastAsia="Times New Roman"/>
          <w:sz w:val="20"/>
          <w:szCs w:val="20"/>
        </w:rPr>
        <w:t>challenges inherent in efficiently managing an increased number of employees over large geographic distances, including the need to implement appropriate systems, policies, benefits and compliance programs</w:t>
      </w:r>
      <w:r>
        <w:rPr>
          <w:rFonts w:eastAsia="Times New Roman"/>
          <w:sz w:val="20"/>
          <w:szCs w:val="20"/>
        </w:rPr>
        <w:t>;</w:t>
      </w:r>
    </w:p>
    <w:p w:rsidR="00000000" w:rsidRDefault="00A309A2">
      <w:pPr>
        <w:divId w:val="902525367"/>
        <w:rPr>
          <w:rFonts w:eastAsia="Times New Roman"/>
        </w:rPr>
      </w:pPr>
      <w:r>
        <w:rPr>
          <w:rFonts w:eastAsia="Times New Roman"/>
          <w:sz w:val="20"/>
          <w:szCs w:val="20"/>
        </w:rPr>
        <w:t>•</w:t>
      </w:r>
    </w:p>
    <w:p w:rsidR="00000000" w:rsidRDefault="00A309A2">
      <w:pPr>
        <w:divId w:val="1657487669"/>
        <w:rPr>
          <w:rFonts w:eastAsia="Times New Roman"/>
        </w:rPr>
      </w:pPr>
      <w:r>
        <w:rPr>
          <w:rFonts w:eastAsia="Times New Roman"/>
          <w:sz w:val="20"/>
          <w:szCs w:val="20"/>
        </w:rPr>
        <w:t xml:space="preserve">difficulties in managing a business in new </w:t>
      </w:r>
      <w:r>
        <w:rPr>
          <w:rFonts w:eastAsia="Times New Roman"/>
          <w:sz w:val="20"/>
          <w:szCs w:val="20"/>
        </w:rPr>
        <w:t>markets with diverse cultures, languages, customs, legal systems, alternative dispute systems and regulatory systems</w:t>
      </w:r>
      <w:r>
        <w:rPr>
          <w:rFonts w:eastAsia="Times New Roman"/>
          <w:sz w:val="20"/>
          <w:szCs w:val="20"/>
        </w:rPr>
        <w:t>;</w:t>
      </w:r>
    </w:p>
    <w:p w:rsidR="00000000" w:rsidRDefault="00A309A2">
      <w:pPr>
        <w:divId w:val="27143018"/>
        <w:rPr>
          <w:rFonts w:eastAsia="Times New Roman"/>
        </w:rPr>
      </w:pPr>
      <w:r>
        <w:rPr>
          <w:rFonts w:eastAsia="Times New Roman"/>
          <w:sz w:val="20"/>
          <w:szCs w:val="20"/>
        </w:rPr>
        <w:t>•</w:t>
      </w:r>
    </w:p>
    <w:p w:rsidR="00000000" w:rsidRDefault="00A309A2">
      <w:pPr>
        <w:divId w:val="646857889"/>
        <w:rPr>
          <w:rFonts w:eastAsia="Times New Roman"/>
        </w:rPr>
      </w:pPr>
      <w:r>
        <w:rPr>
          <w:rFonts w:eastAsia="Times New Roman"/>
          <w:sz w:val="20"/>
          <w:szCs w:val="20"/>
        </w:rPr>
        <w:t>currency exchange rate fluctuations and the resulting effect on our revenue and expenses, and the cost and risk of entering into hedging</w:t>
      </w:r>
      <w:r>
        <w:rPr>
          <w:rFonts w:eastAsia="Times New Roman"/>
          <w:sz w:val="20"/>
          <w:szCs w:val="20"/>
        </w:rPr>
        <w:t xml:space="preserve"> transactions if we chose to do so in the future</w:t>
      </w:r>
      <w:r>
        <w:rPr>
          <w:rFonts w:eastAsia="Times New Roman"/>
          <w:sz w:val="20"/>
          <w:szCs w:val="20"/>
        </w:rPr>
        <w:t>;</w:t>
      </w:r>
    </w:p>
    <w:p w:rsidR="00000000" w:rsidRDefault="00A309A2">
      <w:pPr>
        <w:divId w:val="1434398958"/>
        <w:rPr>
          <w:rFonts w:eastAsia="Times New Roman"/>
        </w:rPr>
      </w:pPr>
      <w:r>
        <w:rPr>
          <w:rFonts w:eastAsia="Times New Roman"/>
          <w:sz w:val="20"/>
          <w:szCs w:val="20"/>
        </w:rPr>
        <w:t>•</w:t>
      </w:r>
    </w:p>
    <w:p w:rsidR="00000000" w:rsidRDefault="00A309A2">
      <w:pPr>
        <w:divId w:val="519780228"/>
        <w:rPr>
          <w:rFonts w:eastAsia="Times New Roman"/>
        </w:rPr>
      </w:pPr>
      <w:r>
        <w:rPr>
          <w:rFonts w:eastAsia="Times New Roman"/>
          <w:sz w:val="20"/>
          <w:szCs w:val="20"/>
        </w:rPr>
        <w:t>global economic uncertainty caused by global political events, including the United Kingdom's exit from the European Union, on January 31, 2020 ("Brexit"), and similar geopolitical developments</w:t>
      </w:r>
      <w:r>
        <w:rPr>
          <w:rFonts w:eastAsia="Times New Roman"/>
          <w:sz w:val="20"/>
          <w:szCs w:val="20"/>
        </w:rPr>
        <w:t>;</w:t>
      </w:r>
    </w:p>
    <w:p w:rsidR="00000000" w:rsidRDefault="00A309A2">
      <w:pPr>
        <w:divId w:val="1953201935"/>
        <w:rPr>
          <w:rFonts w:eastAsia="Times New Roman"/>
        </w:rPr>
      </w:pPr>
      <w:r>
        <w:rPr>
          <w:rFonts w:eastAsia="Times New Roman"/>
          <w:sz w:val="20"/>
          <w:szCs w:val="20"/>
        </w:rPr>
        <w:t>•</w:t>
      </w:r>
    </w:p>
    <w:p w:rsidR="00000000" w:rsidRDefault="00A309A2">
      <w:pPr>
        <w:divId w:val="901017467"/>
        <w:rPr>
          <w:rFonts w:eastAsia="Times New Roman"/>
        </w:rPr>
      </w:pPr>
      <w:r>
        <w:rPr>
          <w:rFonts w:eastAsia="Times New Roman"/>
          <w:sz w:val="20"/>
          <w:szCs w:val="20"/>
        </w:rPr>
        <w:t>limitat</w:t>
      </w:r>
      <w:r>
        <w:rPr>
          <w:rFonts w:eastAsia="Times New Roman"/>
          <w:sz w:val="20"/>
          <w:szCs w:val="20"/>
        </w:rPr>
        <w:t>ions on our ability to reinvest earnings from operations in one country to fund the capital needs of our operations in other countries</w:t>
      </w:r>
      <w:r>
        <w:rPr>
          <w:rFonts w:eastAsia="Times New Roman"/>
          <w:sz w:val="20"/>
          <w:szCs w:val="20"/>
        </w:rPr>
        <w:t>;</w:t>
      </w:r>
    </w:p>
    <w:p w:rsidR="00000000" w:rsidRDefault="00A309A2">
      <w:pPr>
        <w:divId w:val="103890922"/>
        <w:rPr>
          <w:rFonts w:eastAsia="Times New Roman"/>
        </w:rPr>
      </w:pPr>
      <w:r>
        <w:rPr>
          <w:rFonts w:eastAsia="Times New Roman"/>
          <w:sz w:val="20"/>
          <w:szCs w:val="20"/>
        </w:rPr>
        <w:t>•</w:t>
      </w:r>
    </w:p>
    <w:p w:rsidR="00000000" w:rsidRDefault="00A309A2">
      <w:pPr>
        <w:divId w:val="551963006"/>
        <w:rPr>
          <w:rFonts w:eastAsia="Times New Roman"/>
        </w:rPr>
      </w:pPr>
      <w:r>
        <w:rPr>
          <w:rFonts w:eastAsia="Times New Roman"/>
          <w:sz w:val="20"/>
          <w:szCs w:val="20"/>
        </w:rPr>
        <w:t>limited or insufficient intellectual property protection</w:t>
      </w:r>
      <w:r>
        <w:rPr>
          <w:rFonts w:eastAsia="Times New Roman"/>
          <w:sz w:val="20"/>
          <w:szCs w:val="20"/>
        </w:rPr>
        <w:t>;</w:t>
      </w:r>
    </w:p>
    <w:p w:rsidR="00000000" w:rsidRDefault="00A309A2">
      <w:pPr>
        <w:divId w:val="1273170985"/>
        <w:rPr>
          <w:rFonts w:eastAsia="Times New Roman"/>
        </w:rPr>
      </w:pPr>
      <w:r>
        <w:rPr>
          <w:rFonts w:eastAsia="Times New Roman"/>
          <w:sz w:val="20"/>
          <w:szCs w:val="20"/>
        </w:rPr>
        <w:t>•</w:t>
      </w:r>
    </w:p>
    <w:p w:rsidR="00000000" w:rsidRDefault="00A309A2">
      <w:pPr>
        <w:divId w:val="366879955"/>
        <w:rPr>
          <w:rFonts w:eastAsia="Times New Roman"/>
        </w:rPr>
      </w:pPr>
      <w:r>
        <w:rPr>
          <w:rFonts w:eastAsia="Times New Roman"/>
          <w:sz w:val="20"/>
          <w:szCs w:val="20"/>
        </w:rPr>
        <w:t>political instability or terrorist activities</w:t>
      </w:r>
      <w:r>
        <w:rPr>
          <w:rFonts w:eastAsia="Times New Roman"/>
          <w:sz w:val="20"/>
          <w:szCs w:val="20"/>
        </w:rPr>
        <w:t>;</w:t>
      </w:r>
    </w:p>
    <w:p w:rsidR="00000000" w:rsidRDefault="00A309A2">
      <w:pPr>
        <w:divId w:val="1956667373"/>
        <w:rPr>
          <w:rFonts w:eastAsia="Times New Roman"/>
        </w:rPr>
      </w:pPr>
      <w:r>
        <w:rPr>
          <w:rFonts w:eastAsia="Times New Roman"/>
          <w:sz w:val="20"/>
          <w:szCs w:val="20"/>
        </w:rPr>
        <w:t>•</w:t>
      </w:r>
    </w:p>
    <w:p w:rsidR="00000000" w:rsidRDefault="00A309A2">
      <w:pPr>
        <w:divId w:val="402014"/>
        <w:rPr>
          <w:rFonts w:eastAsia="Times New Roman"/>
        </w:rPr>
      </w:pPr>
      <w:r>
        <w:rPr>
          <w:rFonts w:eastAsia="Times New Roman"/>
          <w:sz w:val="20"/>
          <w:szCs w:val="20"/>
        </w:rPr>
        <w:t>likelihoo</w:t>
      </w:r>
      <w:r>
        <w:rPr>
          <w:rFonts w:eastAsia="Times New Roman"/>
          <w:sz w:val="20"/>
          <w:szCs w:val="20"/>
        </w:rPr>
        <w:t>d of potential or actual violations of domestic and international anticorruption laws, such as the U.S. Foreign Corrupt Practices Act and the U.K. Bribery Act, or of U.S. and international export control and sanctions regulations, which likelihood may incr</w:t>
      </w:r>
      <w:r>
        <w:rPr>
          <w:rFonts w:eastAsia="Times New Roman"/>
          <w:sz w:val="20"/>
          <w:szCs w:val="20"/>
        </w:rPr>
        <w:t>ease with an increase of sales or operations in foreign jurisdictions and operations in certain industries; an</w:t>
      </w:r>
      <w:r>
        <w:rPr>
          <w:rFonts w:eastAsia="Times New Roman"/>
          <w:sz w:val="20"/>
          <w:szCs w:val="20"/>
        </w:rPr>
        <w:t>d</w:t>
      </w:r>
    </w:p>
    <w:p w:rsidR="00000000" w:rsidRDefault="00A309A2">
      <w:pPr>
        <w:divId w:val="1986619971"/>
        <w:rPr>
          <w:rFonts w:eastAsia="Times New Roman"/>
        </w:rPr>
      </w:pPr>
      <w:r>
        <w:rPr>
          <w:rFonts w:eastAsia="Times New Roman"/>
          <w:sz w:val="20"/>
          <w:szCs w:val="20"/>
        </w:rPr>
        <w:t>•</w:t>
      </w:r>
    </w:p>
    <w:p w:rsidR="00000000" w:rsidRDefault="00A309A2">
      <w:pPr>
        <w:divId w:val="620959378"/>
        <w:rPr>
          <w:rFonts w:eastAsia="Times New Roman"/>
        </w:rPr>
      </w:pPr>
      <w:r>
        <w:rPr>
          <w:rFonts w:eastAsia="Times New Roman"/>
          <w:sz w:val="20"/>
          <w:szCs w:val="20"/>
        </w:rPr>
        <w:t>adverse tax burdens and foreign exchange controls that could make it difficult to repatriate earnings and cash</w:t>
      </w:r>
      <w:r>
        <w:rPr>
          <w:rFonts w:eastAsia="Times New Roman"/>
          <w:sz w:val="20"/>
          <w:szCs w:val="20"/>
        </w:rPr>
        <w:t>.</w:t>
      </w:r>
    </w:p>
    <w:p w:rsidR="00000000" w:rsidRDefault="00A309A2">
      <w:pPr>
        <w:pStyle w:val="a3"/>
        <w:spacing w:before="200" w:beforeAutospacing="0" w:after="0" w:afterAutospacing="0"/>
        <w:ind w:firstLine="555"/>
        <w:rPr>
          <w:sz w:val="20"/>
          <w:szCs w:val="20"/>
        </w:rPr>
      </w:pPr>
      <w:r>
        <w:rPr>
          <w:sz w:val="20"/>
          <w:szCs w:val="20"/>
        </w:rPr>
        <w:t>Our limited experience in operating our business internationally increases the risk that any potential future expansion efforts that we may unde</w:t>
      </w:r>
      <w:r>
        <w:rPr>
          <w:sz w:val="20"/>
          <w:szCs w:val="20"/>
        </w:rPr>
        <w:t xml:space="preserve">rtake will not be successful. If we invest substantial time and resources to expand our international operations and are unable to do so successfully and in a timely manner, our business and operating results will suffer. We continue to implement policies </w:t>
      </w:r>
      <w:r>
        <w:rPr>
          <w:sz w:val="20"/>
          <w:szCs w:val="20"/>
        </w:rPr>
        <w:t>and procedures to facilitate our compliance with U.S. laws and regulations applicable to or arising from our international business</w:t>
      </w:r>
      <w:r>
        <w:rPr>
          <w:sz w:val="20"/>
          <w:szCs w:val="20"/>
        </w:rPr>
        <w: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1</w:t>
      </w:r>
      <w:r>
        <w:rPr>
          <w:sz w:val="20"/>
          <w:szCs w:val="20"/>
        </w:rPr>
        <w:t>7</w:t>
      </w:r>
    </w:p>
    <w:p w:rsidR="00000000" w:rsidRDefault="00A309A2">
      <w:pPr>
        <w:rPr>
          <w:rFonts w:eastAsia="Times New Roman"/>
        </w:rPr>
      </w:pPr>
      <w:r>
        <w:rPr>
          <w:rFonts w:eastAsia="Times New Roman"/>
        </w:rPr>
        <w:pict>
          <v:rect id="_x0000_i104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Inadequacies in our past or current compliance practices may increase the risk o</w:t>
      </w:r>
      <w:r>
        <w:rPr>
          <w:sz w:val="20"/>
          <w:szCs w:val="20"/>
        </w:rPr>
        <w:t>f inadvertent violations of such laws and regulations, which could lead to financial and other penalties that could damage our reputation and impose costs on us</w:t>
      </w:r>
      <w:r>
        <w:rPr>
          <w:sz w:val="20"/>
          <w:szCs w:val="20"/>
        </w:rPr>
        <w:t>.</w:t>
      </w:r>
    </w:p>
    <w:p w:rsidR="00000000" w:rsidRDefault="00A309A2">
      <w:pPr>
        <w:pStyle w:val="a3"/>
        <w:spacing w:before="200" w:beforeAutospacing="0" w:after="0" w:afterAutospacing="0"/>
        <w:rPr>
          <w:sz w:val="20"/>
          <w:szCs w:val="20"/>
        </w:rPr>
      </w:pPr>
      <w:r>
        <w:rPr>
          <w:b/>
          <w:bCs/>
          <w:sz w:val="20"/>
          <w:szCs w:val="20"/>
        </w:rPr>
        <w:t>Risks Related to Employee Matter</w:t>
      </w:r>
      <w:r>
        <w:rPr>
          <w:b/>
          <w:bCs/>
          <w:sz w:val="20"/>
          <w:szCs w:val="20"/>
        </w:rPr>
        <w:t>s</w:t>
      </w:r>
    </w:p>
    <w:p w:rsidR="00000000" w:rsidRDefault="00A309A2">
      <w:pPr>
        <w:pStyle w:val="a3"/>
        <w:spacing w:before="200" w:beforeAutospacing="0" w:after="0" w:afterAutospacing="0"/>
        <w:rPr>
          <w:sz w:val="20"/>
          <w:szCs w:val="20"/>
        </w:rPr>
      </w:pPr>
      <w:r>
        <w:rPr>
          <w:b/>
          <w:bCs/>
          <w:i/>
          <w:iCs/>
          <w:sz w:val="20"/>
          <w:szCs w:val="20"/>
        </w:rPr>
        <w:t>If we cannot maintain our company culture as we grow, we cou</w:t>
      </w:r>
      <w:r>
        <w:rPr>
          <w:b/>
          <w:bCs/>
          <w:i/>
          <w:iCs/>
          <w:sz w:val="20"/>
          <w:szCs w:val="20"/>
        </w:rPr>
        <w:t>ld lose the innovation, teamwork, passion and focus on execution that we believe contribute to our success and our business may be harmed</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We believe that a critical component to our success has been our company culture, which is based on transparency and </w:t>
      </w:r>
      <w:r>
        <w:rPr>
          <w:sz w:val="20"/>
          <w:szCs w:val="20"/>
        </w:rPr>
        <w:t>personal autonomy. We have invested substantial time and resources in building our team within this company culture. In 2020, we made the decision to permanently move to a hybrid workplace model, which means since January 1, 2021, our employees had the opt</w:t>
      </w:r>
      <w:r>
        <w:rPr>
          <w:sz w:val="20"/>
          <w:szCs w:val="20"/>
        </w:rPr>
        <w:t>ion to be fully remote, work full-time from one of our offices, or work both in the office and remotely. Furthermore, while we have begun to slowly re-open our offices on a staggered, region-by-region basis in accordance with local authority guidelines, pr</w:t>
      </w:r>
      <w:r>
        <w:rPr>
          <w:sz w:val="20"/>
          <w:szCs w:val="20"/>
        </w:rPr>
        <w:t>eservation of our corporate culture has been made more difficult as our work force has been working from home in connection with restrictions placed upon businesses due to the pandemic. Any failure to preserve our culture could negatively affect our abilit</w:t>
      </w:r>
      <w:r>
        <w:rPr>
          <w:sz w:val="20"/>
          <w:szCs w:val="20"/>
        </w:rPr>
        <w:t>y to retain and recruit personnel and to effectively focus on and pursue our corporate objectives. As we grow and continue to develop our company infrastructure, we may find it difficult to maintain these important aspects of our company culture and our bu</w:t>
      </w:r>
      <w:r>
        <w:rPr>
          <w:sz w:val="20"/>
          <w:szCs w:val="20"/>
        </w:rPr>
        <w:t>siness may be adversely impacted</w:t>
      </w:r>
      <w:r>
        <w:rPr>
          <w:sz w:val="20"/>
          <w:szCs w:val="20"/>
        </w:rPr>
        <w:t>.</w:t>
      </w:r>
    </w:p>
    <w:p w:rsidR="00000000" w:rsidRDefault="00A309A2">
      <w:pPr>
        <w:pStyle w:val="a3"/>
        <w:spacing w:before="200" w:beforeAutospacing="0" w:after="0" w:afterAutospacing="0"/>
        <w:rPr>
          <w:sz w:val="20"/>
          <w:szCs w:val="20"/>
        </w:rPr>
      </w:pPr>
      <w:r>
        <w:rPr>
          <w:b/>
          <w:bCs/>
          <w:i/>
          <w:iCs/>
          <w:sz w:val="20"/>
          <w:szCs w:val="20"/>
        </w:rPr>
        <w:t>We rely on our management team and other key employees, and the loss of one or more key employees could harm our business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Our success and future growth depend upon the continued services of our management team, including </w:t>
      </w:r>
      <w:r>
        <w:rPr>
          <w:sz w:val="20"/>
          <w:szCs w:val="20"/>
        </w:rPr>
        <w:t>our co-founders, Brian Halligan and Dharmesh Shah, our chief executive officer, Yamini Rangan, and other key employees in the areas of research and development, marketing, sales, services, operations, content management, and general and administrative func</w:t>
      </w:r>
      <w:r>
        <w:rPr>
          <w:sz w:val="20"/>
          <w:szCs w:val="20"/>
        </w:rPr>
        <w:t xml:space="preserve">tions. From time to time, there may be changes in our management team resulting from the hiring or departure of executives, which could disrupt our business. We also are dependent on the continued service of our existing software engineers and information </w:t>
      </w:r>
      <w:r>
        <w:rPr>
          <w:sz w:val="20"/>
          <w:szCs w:val="20"/>
        </w:rPr>
        <w:t>technology personnel because of the complexity of our platform, technologies and infrastructure. We may terminate any employee’s employment at any time, with or without cause, and any employee may resign at any time, with or without cause. We do not have e</w:t>
      </w:r>
      <w:r>
        <w:rPr>
          <w:sz w:val="20"/>
          <w:szCs w:val="20"/>
        </w:rPr>
        <w:t>mployment agreements with any of our key personnel. The loss of one or more of our key employees could harm our business</w:t>
      </w:r>
      <w:r>
        <w:rPr>
          <w:sz w:val="20"/>
          <w:szCs w:val="20"/>
        </w:rPr>
        <w:t>.</w:t>
      </w:r>
    </w:p>
    <w:p w:rsidR="00000000" w:rsidRDefault="00A309A2">
      <w:pPr>
        <w:pStyle w:val="a3"/>
        <w:spacing w:before="200" w:beforeAutospacing="0" w:after="0" w:afterAutospacing="0"/>
        <w:rPr>
          <w:sz w:val="20"/>
          <w:szCs w:val="20"/>
        </w:rPr>
      </w:pPr>
      <w:r>
        <w:rPr>
          <w:b/>
          <w:bCs/>
          <w:i/>
          <w:iCs/>
          <w:sz w:val="20"/>
          <w:szCs w:val="20"/>
        </w:rPr>
        <w:t>The failure to attract and retain additional qualified personnel could prevent us from executing our business strategy</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To execute our business strategy, we must attract and retain highly qualified personnel. In particular, we compete with many other companies for software developers with high levels of experience in designing, developing and managing cloud-based software, </w:t>
      </w:r>
      <w:r>
        <w:rPr>
          <w:sz w:val="20"/>
          <w:szCs w:val="20"/>
        </w:rPr>
        <w:t>as well as for skilled information technology, marketing, sales and operations professionals, and we may not be successful in attracting and retaining the professionals we need. Also, inbound sales, marketing, services, operations, and content management d</w:t>
      </w:r>
      <w:r>
        <w:rPr>
          <w:sz w:val="20"/>
          <w:szCs w:val="20"/>
        </w:rPr>
        <w:t>omain experts are very important to our success and are difficult to replace. We have from time to time in the past experienced, and we expect to continue to experience in the future, difficulty in hiring and difficulty in retaining highly skilled employee</w:t>
      </w:r>
      <w:r>
        <w:rPr>
          <w:sz w:val="20"/>
          <w:szCs w:val="20"/>
        </w:rPr>
        <w:t>s with appropriate qualifications. In particular, we have experienced a competitive hiring environment in the Greater Boston area, where we are headquartered and will continue to experience a competitive hiring environment as we recruit for remote talent w</w:t>
      </w:r>
      <w:r>
        <w:rPr>
          <w:sz w:val="20"/>
          <w:szCs w:val="20"/>
        </w:rPr>
        <w:t>orldwide. Many of the companies with which we compete for experienced personnel have greater resources than we do. In addition, in making employment decisions, particularly in the software industry, job candidates often consider the value of the stock opti</w:t>
      </w:r>
      <w:r>
        <w:rPr>
          <w:sz w:val="20"/>
          <w:szCs w:val="20"/>
        </w:rPr>
        <w:t>ons or other equity incentives they are to receive in connection with their employment. If the price of our stock declines, or experiences significant volatility, our ability to attract or retain key employees will be adversely affected. If we fail to attr</w:t>
      </w:r>
      <w:r>
        <w:rPr>
          <w:sz w:val="20"/>
          <w:szCs w:val="20"/>
        </w:rPr>
        <w:t>act new personnel or fail to retain and motivate our current personnel, our growth prospects could be severely harmed</w:t>
      </w:r>
      <w:r>
        <w:rPr>
          <w:sz w:val="20"/>
          <w:szCs w:val="20"/>
        </w:rPr>
        <w:t>.</w:t>
      </w:r>
    </w:p>
    <w:p w:rsidR="00000000" w:rsidRDefault="00A309A2">
      <w:pPr>
        <w:pStyle w:val="a3"/>
        <w:spacing w:before="200" w:beforeAutospacing="0" w:after="0" w:afterAutospacing="0"/>
        <w:rPr>
          <w:sz w:val="20"/>
          <w:szCs w:val="20"/>
        </w:rPr>
      </w:pPr>
      <w:r>
        <w:rPr>
          <w:b/>
          <w:bCs/>
          <w:sz w:val="20"/>
          <w:szCs w:val="20"/>
        </w:rPr>
        <w:t>Risks Related to Our Technical Operations Infrastructure and Dependence on Third Partie</w:t>
      </w:r>
      <w:r>
        <w:rPr>
          <w:b/>
          <w:bCs/>
          <w:sz w:val="20"/>
          <w:szCs w:val="20"/>
        </w:rPr>
        <w:t>s</w:t>
      </w:r>
    </w:p>
    <w:p w:rsidR="00000000" w:rsidRDefault="00A309A2">
      <w:pPr>
        <w:pStyle w:val="a3"/>
        <w:spacing w:before="200" w:beforeAutospacing="0" w:after="0" w:afterAutospacing="0"/>
        <w:rPr>
          <w:sz w:val="20"/>
          <w:szCs w:val="20"/>
        </w:rPr>
      </w:pPr>
      <w:r>
        <w:rPr>
          <w:b/>
          <w:bCs/>
          <w:i/>
          <w:iCs/>
          <w:sz w:val="20"/>
          <w:szCs w:val="20"/>
        </w:rPr>
        <w:t>Interruptions or delays in service from our thir</w:t>
      </w:r>
      <w:r>
        <w:rPr>
          <w:b/>
          <w:bCs/>
          <w:i/>
          <w:iCs/>
          <w:sz w:val="20"/>
          <w:szCs w:val="20"/>
        </w:rPr>
        <w:t>d-party data center providers could impair our ability to deliver our platform to our customers, resulting in customer dissatisfaction, damage to our reputation, loss of customers, limited growth and reduction in revenue</w:t>
      </w:r>
      <w:r>
        <w:rPr>
          <w:b/>
          <w:bCs/>
          <w:i/>
          <w:iCs/>
          <w:sz w:val="20"/>
          <w:szCs w:val="20"/>
        </w:rPr>
        <w:t>.</w:t>
      </w:r>
    </w:p>
    <w:p w:rsidR="00000000" w:rsidRDefault="00A309A2">
      <w:pPr>
        <w:pStyle w:val="a3"/>
        <w:spacing w:before="200" w:beforeAutospacing="0" w:after="0" w:afterAutospacing="0"/>
        <w:ind w:firstLine="630"/>
        <w:rPr>
          <w:sz w:val="20"/>
          <w:szCs w:val="20"/>
        </w:rPr>
      </w:pPr>
      <w:r>
        <w:rPr>
          <w:sz w:val="20"/>
          <w:szCs w:val="20"/>
        </w:rPr>
        <w:t>We currently serve the majority of</w:t>
      </w:r>
      <w:r>
        <w:rPr>
          <w:sz w:val="20"/>
          <w:szCs w:val="20"/>
        </w:rPr>
        <w:t xml:space="preserve"> our platform functions from third-party data center hosting facilities operated by Amazon Web Services located in northern Virginia and Frankfurt, Germany and Google Cloud Platform located in Frankfurt, Germany. In addition, we serve ancillary functions f</w:t>
      </w:r>
      <w:r>
        <w:rPr>
          <w:sz w:val="20"/>
          <w:szCs w:val="20"/>
        </w:rPr>
        <w:t xml:space="preserve">or our customers from third-party data center hosting facilities operated by Rackspace located in Dallas, Texas, with a backup facility in Chicago, Illinois. Our operations depend, in part, on our third-party facility providers’ abilities to protect these </w:t>
      </w:r>
      <w:r>
        <w:rPr>
          <w:sz w:val="20"/>
          <w:szCs w:val="20"/>
        </w:rPr>
        <w:t>facilities against damage or interruption from natural disasters, such as earthquakes and hurricanes, actual or threatened public health emergencies (e.g., COVID-19), power or telecommunications failures, criminal acts and similar events. In the event that</w:t>
      </w:r>
      <w:r>
        <w:rPr>
          <w:sz w:val="20"/>
          <w:szCs w:val="20"/>
        </w:rPr>
        <w:t xml:space="preserve"> any of our third-party facilities arrangements is terminated, or if there is a lapse of service or damage to a facility, we could experience interruptions in our platform as well as delays and additional expenses in arranging new facilities and services</w:t>
      </w:r>
      <w:r>
        <w:rPr>
          <w:sz w:val="20"/>
          <w:szCs w:val="20"/>
        </w:rPr>
        <w: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1</w:t>
      </w:r>
      <w:r>
        <w:rPr>
          <w:sz w:val="20"/>
          <w:szCs w:val="20"/>
        </w:rPr>
        <w:t>8</w:t>
      </w:r>
    </w:p>
    <w:p w:rsidR="00000000" w:rsidRDefault="00A309A2">
      <w:pPr>
        <w:rPr>
          <w:rFonts w:eastAsia="Times New Roman"/>
        </w:rPr>
      </w:pPr>
      <w:r>
        <w:rPr>
          <w:rFonts w:eastAsia="Times New Roman"/>
        </w:rPr>
        <w:pict>
          <v:rect id="_x0000_i104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630"/>
        <w:rPr>
          <w:sz w:val="20"/>
          <w:szCs w:val="20"/>
        </w:rPr>
      </w:pPr>
      <w:r>
        <w:rPr>
          <w:sz w:val="20"/>
          <w:szCs w:val="20"/>
        </w:rPr>
        <w:t>Any damage to, or failure of, the systems of our third-party providers could result in interruptions to our platform. Despite precautions taken at our data centers, the occurrence of spikes in usage volume, a natur</w:t>
      </w:r>
      <w:r>
        <w:rPr>
          <w:sz w:val="20"/>
          <w:szCs w:val="20"/>
        </w:rPr>
        <w:t>al disaster, such as earthquakes or hurricane, an act of terrorism, vandalism or sabotage, a decision to close a facility without adequate notice, or other unanticipated problems at a facility could result in lengthy interruptions in the availability of ou</w:t>
      </w:r>
      <w:r>
        <w:rPr>
          <w:sz w:val="20"/>
          <w:szCs w:val="20"/>
        </w:rPr>
        <w:t xml:space="preserve">r on-demand software. Even with current and planned disaster recovery arrangements, our business could be harmed. Also, in the event of damage or interruption, our insurance policies may not adequately compensate us for any losses that we may incur. These </w:t>
      </w:r>
      <w:r>
        <w:rPr>
          <w:sz w:val="20"/>
          <w:szCs w:val="20"/>
        </w:rPr>
        <w:t>factors in turn could further reduce our revenue, subject us to liability and cause us to issue credits or cause customers to fail to renew their subscriptions, any of which could materially adversely affect our business</w:t>
      </w:r>
      <w:r>
        <w:rPr>
          <w:sz w:val="20"/>
          <w:szCs w:val="20"/>
        </w:rPr>
        <w:t>.</w:t>
      </w:r>
    </w:p>
    <w:p w:rsidR="00000000" w:rsidRDefault="00A309A2">
      <w:pPr>
        <w:pStyle w:val="a3"/>
        <w:spacing w:before="200" w:beforeAutospacing="0" w:after="0" w:afterAutospacing="0"/>
        <w:rPr>
          <w:sz w:val="20"/>
          <w:szCs w:val="20"/>
        </w:rPr>
      </w:pPr>
      <w:r>
        <w:rPr>
          <w:b/>
          <w:bCs/>
          <w:i/>
          <w:iCs/>
          <w:sz w:val="20"/>
          <w:szCs w:val="20"/>
        </w:rPr>
        <w:t>If our CRM Platform has outages or</w:t>
      </w:r>
      <w:r>
        <w:rPr>
          <w:b/>
          <w:bCs/>
          <w:i/>
          <w:iCs/>
          <w:sz w:val="20"/>
          <w:szCs w:val="20"/>
        </w:rPr>
        <w:t xml:space="preserve"> fails due to defects or similar problems, and if we fail to correct any defect or other software problems, we could lose customers, become subject to service performance or warranty claims or incur significant costs</w:t>
      </w:r>
      <w:r>
        <w:rPr>
          <w:b/>
          <w:bCs/>
          <w:i/>
          <w:iCs/>
          <w:sz w:val="20"/>
          <w:szCs w:val="20"/>
        </w:rPr>
        <w:t>.</w:t>
      </w:r>
    </w:p>
    <w:p w:rsidR="00000000" w:rsidRDefault="00A309A2">
      <w:pPr>
        <w:pStyle w:val="a3"/>
        <w:spacing w:before="200" w:beforeAutospacing="0" w:after="0" w:afterAutospacing="0"/>
        <w:ind w:firstLine="630"/>
        <w:rPr>
          <w:sz w:val="20"/>
          <w:szCs w:val="20"/>
        </w:rPr>
      </w:pPr>
      <w:r>
        <w:rPr>
          <w:sz w:val="20"/>
          <w:szCs w:val="20"/>
        </w:rPr>
        <w:t>Our CRM Platform and its underlying in</w:t>
      </w:r>
      <w:r>
        <w:rPr>
          <w:sz w:val="20"/>
          <w:szCs w:val="20"/>
        </w:rPr>
        <w:t>frastructure are inherently complex and may contain material defects or errors. We release modifications, updates, bug fixes and other changes to our software several times per day, without traditional human-performed quality control reviews for each relea</w:t>
      </w:r>
      <w:r>
        <w:rPr>
          <w:sz w:val="20"/>
          <w:szCs w:val="20"/>
        </w:rPr>
        <w:t>se. We have from time to time found defects in our software and may discover additional defects in the future. We may not be able to detect and correct defects or errors before customers begin to use our platform or its applications. Consequently, we or ou</w:t>
      </w:r>
      <w:r>
        <w:rPr>
          <w:sz w:val="20"/>
          <w:szCs w:val="20"/>
        </w:rPr>
        <w:t>r customers may discover defects or errors after our platform has been implemented. Defects or errors could result in product outages and could also cause inaccuracies in the data we collect and process for our customers, or even the loss, damage or inadve</w:t>
      </w:r>
      <w:r>
        <w:rPr>
          <w:sz w:val="20"/>
          <w:szCs w:val="20"/>
        </w:rPr>
        <w:t>rtent release of such confidential data. We implement bug fixes and upgrades as part of our regular system maintenance, which may lead to system downtime. Even if we are able to implement the bug fixes and upgrades in a timely manner, any history of produc</w:t>
      </w:r>
      <w:r>
        <w:rPr>
          <w:sz w:val="20"/>
          <w:szCs w:val="20"/>
        </w:rPr>
        <w:t>t outages, defects or inaccuracies in the data we collect for our customers, or the loss, damage or inadvertent release of confidential data could cause our reputation to be harmed, and customers may elect not to purchase or renew their agreements with us.</w:t>
      </w:r>
      <w:r>
        <w:rPr>
          <w:sz w:val="20"/>
          <w:szCs w:val="20"/>
        </w:rPr>
        <w:t xml:space="preserve"> Furthermore, these issues could subject us to service performance credits (whether offered by us or required by contract), warranty claims or increased insurance costs. The costs associated with product outages, any material defects or errors in our platf</w:t>
      </w:r>
      <w:r>
        <w:rPr>
          <w:sz w:val="20"/>
          <w:szCs w:val="20"/>
        </w:rPr>
        <w:t>orm or other performance problems may be substantial and could materially adversely affect our operating results.</w:t>
      </w:r>
      <w:r>
        <w:rPr>
          <w:sz w:val="20"/>
          <w:szCs w:val="20"/>
        </w:rPr>
        <w:br/>
      </w:r>
      <w:r>
        <w:rPr>
          <w:sz w:val="20"/>
          <w:szCs w:val="20"/>
        </w:rPr>
        <w:t> </w:t>
      </w:r>
    </w:p>
    <w:p w:rsidR="00000000" w:rsidRDefault="00A309A2">
      <w:pPr>
        <w:pStyle w:val="a3"/>
        <w:spacing w:before="200" w:beforeAutospacing="0" w:after="0" w:afterAutospacing="0"/>
        <w:ind w:firstLine="630"/>
        <w:rPr>
          <w:sz w:val="20"/>
          <w:szCs w:val="20"/>
        </w:rPr>
      </w:pPr>
      <w:r>
        <w:rPr>
          <w:sz w:val="20"/>
          <w:szCs w:val="20"/>
        </w:rPr>
        <w:t>In addition, third-party applications and features on our CRM Platform may not meet the same quality standards that we apply to our own development efforts and, to the extent they contain bugs, vulnerabilities or defects, they may create disruptions in our</w:t>
      </w:r>
      <w:r>
        <w:rPr>
          <w:sz w:val="20"/>
          <w:szCs w:val="20"/>
        </w:rPr>
        <w:t xml:space="preserve"> customers’ use of our products, lead to data loss, unauthorized access to customer data, damage our brand and reputation and affect the continued use of our products, any of which could harm our business, results of operations and financial condition</w:t>
      </w:r>
      <w:r>
        <w:rPr>
          <w:sz w:val="20"/>
          <w:szCs w:val="20"/>
        </w:rPr>
        <w:t>.</w:t>
      </w:r>
    </w:p>
    <w:p w:rsidR="00000000" w:rsidRDefault="00A309A2">
      <w:pPr>
        <w:pStyle w:val="a3"/>
        <w:spacing w:before="200" w:beforeAutospacing="0" w:after="0" w:afterAutospacing="0"/>
        <w:rPr>
          <w:sz w:val="20"/>
          <w:szCs w:val="20"/>
        </w:rPr>
      </w:pPr>
      <w:r>
        <w:rPr>
          <w:b/>
          <w:bCs/>
          <w:i/>
          <w:iCs/>
          <w:sz w:val="20"/>
          <w:szCs w:val="20"/>
        </w:rPr>
        <w:t xml:space="preserve">If </w:t>
      </w:r>
      <w:r>
        <w:rPr>
          <w:b/>
          <w:bCs/>
          <w:i/>
          <w:iCs/>
          <w:sz w:val="20"/>
          <w:szCs w:val="20"/>
        </w:rPr>
        <w:t>our information technology systems, including our CRM Platform, have outages or fail due to defects or similar problems, and if we fail to correct any defect or other software problems, it could disrupt our internal operations or services provided to custo</w:t>
      </w:r>
      <w:r>
        <w:rPr>
          <w:b/>
          <w:bCs/>
          <w:i/>
          <w:iCs/>
          <w:sz w:val="20"/>
          <w:szCs w:val="20"/>
        </w:rPr>
        <w:t>mers, and could reduce our revenue, increase our expenses, damage our reputation and adversely affect our cash flows and stock price</w:t>
      </w:r>
      <w:r>
        <w:rPr>
          <w:b/>
          <w:bCs/>
          <w:i/>
          <w:iCs/>
          <w:sz w:val="20"/>
          <w:szCs w:val="20"/>
        </w:rPr>
        <w:t>.</w:t>
      </w:r>
      <w:r>
        <w:rPr>
          <w:b/>
          <w:bCs/>
          <w:i/>
          <w:iCs/>
          <w:sz w:val="20"/>
          <w:szCs w:val="20"/>
        </w:rPr>
        <w:t xml:space="preserve"> </w:t>
      </w:r>
    </w:p>
    <w:p w:rsidR="00000000" w:rsidRDefault="00A309A2">
      <w:pPr>
        <w:pStyle w:val="a3"/>
        <w:spacing w:before="200" w:beforeAutospacing="0" w:after="0" w:afterAutospacing="0"/>
        <w:ind w:firstLine="630"/>
        <w:rPr>
          <w:sz w:val="20"/>
          <w:szCs w:val="20"/>
        </w:rPr>
      </w:pPr>
      <w:r>
        <w:rPr>
          <w:sz w:val="20"/>
          <w:szCs w:val="20"/>
        </w:rPr>
        <w:t>We rely on our information technology systems, including the sustained and uninterrupted performance of our CRM Platform,</w:t>
      </w:r>
      <w:r>
        <w:rPr>
          <w:sz w:val="20"/>
          <w:szCs w:val="20"/>
        </w:rPr>
        <w:t xml:space="preserve"> to manage numerous aspects of our business, including to marketing, sales, content management, customer service and other internal operations. Our information technology systems are an essential component of our business and any disruption could significa</w:t>
      </w:r>
      <w:r>
        <w:rPr>
          <w:sz w:val="20"/>
          <w:szCs w:val="20"/>
        </w:rPr>
        <w:t>ntly limit our ability to manage and operate our business efficiently</w:t>
      </w:r>
      <w:r>
        <w:rPr>
          <w:sz w:val="20"/>
          <w:szCs w:val="20"/>
        </w:rPr>
        <w:t>.</w:t>
      </w:r>
    </w:p>
    <w:p w:rsidR="00000000" w:rsidRDefault="00A309A2">
      <w:pPr>
        <w:pStyle w:val="a3"/>
        <w:spacing w:before="200" w:beforeAutospacing="0" w:after="0" w:afterAutospacing="0"/>
        <w:ind w:firstLine="630"/>
        <w:rPr>
          <w:sz w:val="20"/>
          <w:szCs w:val="20"/>
        </w:rPr>
      </w:pPr>
      <w:r>
        <w:rPr>
          <w:sz w:val="20"/>
          <w:szCs w:val="20"/>
        </w:rPr>
        <w:t>Our CRM Platform and its underlying infrastructure are inherently complex and may contain material defects or errors. We release modifications, updates, bug fixes and other changes to o</w:t>
      </w:r>
      <w:r>
        <w:rPr>
          <w:sz w:val="20"/>
          <w:szCs w:val="20"/>
        </w:rPr>
        <w:t>ur software several times per day, without traditional human-performed quality control reviews for each release. We have from time to time found defects in our software and may discover in the future additional defects, outages, delays or cessations of ser</w:t>
      </w:r>
      <w:r>
        <w:rPr>
          <w:sz w:val="20"/>
          <w:szCs w:val="20"/>
        </w:rPr>
        <w:t>vice, performance and quality problems or may produce errors in connection with systems integrations, migration work or other causes, which could result in business disruptions and the process of remediating them could be more expensive, time-consuming, di</w:t>
      </w:r>
      <w:r>
        <w:rPr>
          <w:sz w:val="20"/>
          <w:szCs w:val="20"/>
        </w:rPr>
        <w:t xml:space="preserve">sruptive and resource intensive than planned. Such disruptions could adversely impact our internal operations and interrupt other processes. Delayed sales, lower margins or lost customers resulting from these disruptions could reduce our revenue, increase </w:t>
      </w:r>
      <w:r>
        <w:rPr>
          <w:sz w:val="20"/>
          <w:szCs w:val="20"/>
        </w:rPr>
        <w:t>our expenses, damage our reputation and adversely affect our cash flows and stock price</w:t>
      </w:r>
      <w:r>
        <w:rPr>
          <w:sz w:val="20"/>
          <w:szCs w:val="20"/>
        </w:rPr>
        <w:t>.</w:t>
      </w:r>
    </w:p>
    <w:p w:rsidR="00000000" w:rsidRDefault="00A309A2">
      <w:pPr>
        <w:pStyle w:val="a3"/>
        <w:spacing w:before="200" w:beforeAutospacing="0" w:after="0" w:afterAutospacing="0"/>
        <w:rPr>
          <w:sz w:val="20"/>
          <w:szCs w:val="20"/>
        </w:rPr>
      </w:pPr>
      <w:r>
        <w:rPr>
          <w:b/>
          <w:bCs/>
          <w:i/>
          <w:iCs/>
          <w:sz w:val="20"/>
          <w:szCs w:val="20"/>
        </w:rPr>
        <w:t>We are dependent on the continued availability of third-party data hosting and transmission services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A significant portion of our operating cost is from our third-par</w:t>
      </w:r>
      <w:r>
        <w:rPr>
          <w:sz w:val="20"/>
          <w:szCs w:val="20"/>
        </w:rPr>
        <w:t>ty data hosting and transmission services, including Amazon Web Services (“AWS”), which hosts the substantial majority of our products and platform. If the costs for such services increase due to vendor consolidation, regulation, contract renegotiation, or</w:t>
      </w:r>
      <w:r>
        <w:rPr>
          <w:sz w:val="20"/>
          <w:szCs w:val="20"/>
        </w:rPr>
        <w:t xml:space="preserve"> otherwise, we may not be able to increase the fees for our CRM Platform or services to cover the changes, which could have a negative impact on our operating results</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Additionally, our customers need to be able to access our platform at any time, without </w:t>
      </w:r>
      <w:r>
        <w:rPr>
          <w:sz w:val="20"/>
          <w:szCs w:val="20"/>
        </w:rPr>
        <w:t>interruption or degradation of performance. AWS runs its own platform that we access, and we are, therefore, vulnerable to service interruptions at AWS. We hav</w:t>
      </w:r>
      <w:r>
        <w:rPr>
          <w:sz w:val="20"/>
          <w:szCs w:val="20"/>
        </w:rPr>
        <w:t>e</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1</w:t>
      </w:r>
      <w:r>
        <w:rPr>
          <w:sz w:val="20"/>
          <w:szCs w:val="20"/>
        </w:rPr>
        <w:t>9</w:t>
      </w:r>
    </w:p>
    <w:p w:rsidR="00000000" w:rsidRDefault="00A309A2">
      <w:pPr>
        <w:rPr>
          <w:rFonts w:eastAsia="Times New Roman"/>
        </w:rPr>
      </w:pPr>
      <w:r>
        <w:rPr>
          <w:rFonts w:eastAsia="Times New Roman"/>
        </w:rPr>
        <w:pict>
          <v:rect id="_x0000_i104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experienced, and expect that in the future we may ex</w:t>
      </w:r>
      <w:r>
        <w:rPr>
          <w:sz w:val="20"/>
          <w:szCs w:val="20"/>
        </w:rPr>
        <w:t>perience interruptions, delays and outages in service and availability due to a variety of factors, including infrastructure changes, human or software errors, website hosting disruptions and capacity constraints. In some instances, including because we do</w:t>
      </w:r>
      <w:r>
        <w:rPr>
          <w:sz w:val="20"/>
          <w:szCs w:val="20"/>
        </w:rPr>
        <w:t xml:space="preserve"> not control our service providers, we may not be able to identify the cause or causes of these problems within a period of time acceptable to our customers. Additionally, as our business continues to grow, to the extent that we do not effectively address </w:t>
      </w:r>
      <w:r>
        <w:rPr>
          <w:sz w:val="20"/>
          <w:szCs w:val="20"/>
        </w:rPr>
        <w:t>capacity constraints, through our providers of cloud infrastructure, our results of operations may be adversely affected. In addition, any changes in service levels from our service providers may adversely affect our ability to meet our customers’ requirem</w:t>
      </w:r>
      <w:r>
        <w:rPr>
          <w:sz w:val="20"/>
          <w:szCs w:val="20"/>
        </w:rPr>
        <w:t>ents, result in negative publicity which could harm our reputation and brand and may adversely affect the usage of our platform</w:t>
      </w:r>
      <w:r>
        <w:rPr>
          <w:sz w:val="20"/>
          <w:szCs w:val="20"/>
        </w:rPr>
        <w:t>.</w:t>
      </w:r>
    </w:p>
    <w:p w:rsidR="00000000" w:rsidRDefault="00A309A2">
      <w:pPr>
        <w:pStyle w:val="a3"/>
        <w:spacing w:before="200" w:beforeAutospacing="0" w:after="0" w:afterAutospacing="0"/>
        <w:rPr>
          <w:sz w:val="20"/>
          <w:szCs w:val="20"/>
        </w:rPr>
      </w:pPr>
      <w:r>
        <w:rPr>
          <w:b/>
          <w:bCs/>
          <w:i/>
          <w:iCs/>
          <w:sz w:val="20"/>
          <w:szCs w:val="20"/>
        </w:rPr>
        <w:t>If we do not or cannot maintain the compatibility of our CRM Platform with third-party applications that our customers use in t</w:t>
      </w:r>
      <w:r>
        <w:rPr>
          <w:b/>
          <w:bCs/>
          <w:i/>
          <w:iCs/>
          <w:sz w:val="20"/>
          <w:szCs w:val="20"/>
        </w:rPr>
        <w:t>heir businesses, our revenue will decline</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A significant percentage of our customers choose to integrate our platform with certain capabilities provided by third-party application providers using application programming interfaces (“APIs”) published by the</w:t>
      </w:r>
      <w:r>
        <w:rPr>
          <w:sz w:val="20"/>
          <w:szCs w:val="20"/>
        </w:rPr>
        <w:t>se providers. The functionality and popularity of our CRM Platform depends, in part, on our ability to integrate our platform with third-party applications and platforms, including CRM, CMS, e-commerce, call center, analytics and social media sites that ou</w:t>
      </w:r>
      <w:r>
        <w:rPr>
          <w:sz w:val="20"/>
          <w:szCs w:val="20"/>
        </w:rPr>
        <w:t xml:space="preserve">r customers use and from which they obtain data. Third-party providers of applications and APIs may change the features of their applications and platforms, restrict our access to their applications and platforms, or alter the terms governing use of their </w:t>
      </w:r>
      <w:r>
        <w:rPr>
          <w:sz w:val="20"/>
          <w:szCs w:val="20"/>
        </w:rPr>
        <w:t>applications and APIs and access to those applications and platforms in an adverse manner. Such changes could functionally limit or terminate our ability to use these third-party applications and platforms in conjunction with our platform, which could nega</w:t>
      </w:r>
      <w:r>
        <w:rPr>
          <w:sz w:val="20"/>
          <w:szCs w:val="20"/>
        </w:rPr>
        <w:t>tively impact our offerings and harm our business. If we fail to integrate our platform with new third-party applications and platforms that our customers use for marketing, sales, services, operations or content management purposes, or fail to renew exist</w:t>
      </w:r>
      <w:r>
        <w:rPr>
          <w:sz w:val="20"/>
          <w:szCs w:val="20"/>
        </w:rPr>
        <w:t>ing relationships pursuant to which we currently provide such integration, we may not be able to offer the functionality that our customers need, which would negatively impact our ability to generate new revenue or maintain existing revenue and adversely i</w:t>
      </w:r>
      <w:r>
        <w:rPr>
          <w:sz w:val="20"/>
          <w:szCs w:val="20"/>
        </w:rPr>
        <w:t>mpact our business</w:t>
      </w:r>
      <w:r>
        <w:rPr>
          <w:sz w:val="20"/>
          <w:szCs w:val="20"/>
        </w:rPr>
        <w:t>.</w:t>
      </w:r>
    </w:p>
    <w:p w:rsidR="00000000" w:rsidRDefault="00A309A2">
      <w:pPr>
        <w:pStyle w:val="a3"/>
        <w:spacing w:before="200" w:beforeAutospacing="0" w:after="0" w:afterAutospacing="0"/>
        <w:rPr>
          <w:sz w:val="20"/>
          <w:szCs w:val="20"/>
        </w:rPr>
      </w:pPr>
      <w:r>
        <w:rPr>
          <w:b/>
          <w:bCs/>
          <w:i/>
          <w:iCs/>
          <w:sz w:val="20"/>
          <w:szCs w:val="20"/>
        </w:rPr>
        <w:t>We rely on data provided by third parties, the loss of which could limit the functionality of our platform and disrupt our business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Select functionality of our CRM Platform depends on our ability to deliver data, including search engin</w:t>
      </w:r>
      <w:r>
        <w:rPr>
          <w:sz w:val="20"/>
          <w:szCs w:val="20"/>
        </w:rPr>
        <w:t>e results and social media updates, provided by unaffiliated third parties, such as Facebook, Google, LinkedIn and Twitter. Some of this data is provided to us pursuant to third-party data sharing policies and terms of use, under data sharing agreements by</w:t>
      </w:r>
      <w:r>
        <w:rPr>
          <w:sz w:val="20"/>
          <w:szCs w:val="20"/>
        </w:rPr>
        <w:t xml:space="preserve"> third-party providers or by customer consent. In the future, any of these third parties could change its data sharing policies, including making them more restrictive, or alter its algorithms that determine the placement, display, and accessibility of sea</w:t>
      </w:r>
      <w:r>
        <w:rPr>
          <w:sz w:val="20"/>
          <w:szCs w:val="20"/>
        </w:rPr>
        <w:t>rch results and social media updates, any of which could result in the loss of, or significant impairment to, our ability to collect and provide useful data to our customers. These third parties could also interpret our, or our service providers’ data coll</w:t>
      </w:r>
      <w:r>
        <w:rPr>
          <w:sz w:val="20"/>
          <w:szCs w:val="20"/>
        </w:rPr>
        <w:t>ection policies or practices as being inconsistent with their policies, which could result in the loss of our ability to collect this data for our customers. Any such changes could impair our ability to deliver data to our customers and could adversely imp</w:t>
      </w:r>
      <w:r>
        <w:rPr>
          <w:sz w:val="20"/>
          <w:szCs w:val="20"/>
        </w:rPr>
        <w:t>act select functionality of our platform, impairing the return on investment that our customers derive from using our solution, as well as adversely affecting our business and our ability to generate revenue</w:t>
      </w:r>
      <w:r>
        <w:rPr>
          <w:sz w:val="20"/>
          <w:szCs w:val="20"/>
        </w:rPr>
        <w:t>.</w:t>
      </w:r>
    </w:p>
    <w:p w:rsidR="00000000" w:rsidRDefault="00A309A2">
      <w:pPr>
        <w:pStyle w:val="a3"/>
        <w:spacing w:before="200" w:beforeAutospacing="0" w:after="0" w:afterAutospacing="0"/>
        <w:rPr>
          <w:sz w:val="20"/>
          <w:szCs w:val="20"/>
        </w:rPr>
      </w:pPr>
      <w:r>
        <w:rPr>
          <w:b/>
          <w:bCs/>
          <w:i/>
          <w:iCs/>
          <w:sz w:val="20"/>
          <w:szCs w:val="20"/>
        </w:rPr>
        <w:t>Privacy concerns and end users’ acceptance of I</w:t>
      </w:r>
      <w:r>
        <w:rPr>
          <w:b/>
          <w:bCs/>
          <w:i/>
          <w:iCs/>
          <w:sz w:val="20"/>
          <w:szCs w:val="20"/>
        </w:rPr>
        <w:t>nternet behavior tracking may limit the applicability, use and adoption of our CRM Platform</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Privacy concerns may cause end users to resist providing the personal data necessary to allow our customers to use our platform effectively. We have implemented va</w:t>
      </w:r>
      <w:r>
        <w:rPr>
          <w:sz w:val="20"/>
          <w:szCs w:val="20"/>
        </w:rPr>
        <w:t xml:space="preserve">rious features intended to enable our customers to better protect end user privacy, but these measures may not alleviate all potential privacy concerns and threats. Even the perception of privacy concerns, whether or not valid, may inhibit market adoption </w:t>
      </w:r>
      <w:r>
        <w:rPr>
          <w:sz w:val="20"/>
          <w:szCs w:val="20"/>
        </w:rPr>
        <w:t>of our platform, especially in certain industries that rely on sensitive personal information. Privacy advocacy groups and the technology and other industries are considering various new, additional or different self-regulatory standards that may place add</w:t>
      </w:r>
      <w:r>
        <w:rPr>
          <w:sz w:val="20"/>
          <w:szCs w:val="20"/>
        </w:rPr>
        <w:t>itional burdens on us. The costs of compliance with, and other burdens imposed by these groups’ policies and actions may limit the use and adoption of our CRM Platform and reduce overall demand for it, or lead to significant fines, penalties or liabilities</w:t>
      </w:r>
      <w:r>
        <w:rPr>
          <w:sz w:val="20"/>
          <w:szCs w:val="20"/>
        </w:rPr>
        <w:t xml:space="preserve"> for any noncompliance or loss of any such action</w:t>
      </w:r>
      <w:r>
        <w:rPr>
          <w:sz w:val="20"/>
          <w:szCs w:val="20"/>
        </w:rPr>
        <w:t>.</w:t>
      </w:r>
    </w:p>
    <w:p w:rsidR="00000000" w:rsidRDefault="00A309A2">
      <w:pPr>
        <w:pStyle w:val="a3"/>
        <w:spacing w:before="200" w:beforeAutospacing="0" w:after="0" w:afterAutospacing="0"/>
        <w:rPr>
          <w:sz w:val="20"/>
          <w:szCs w:val="20"/>
        </w:rPr>
      </w:pPr>
      <w:r>
        <w:rPr>
          <w:b/>
          <w:bCs/>
          <w:i/>
          <w:iCs/>
          <w:sz w:val="20"/>
          <w:szCs w:val="20"/>
        </w:rPr>
        <w:t>If our or our customers’ security measures are compromised or unauthorized access to data of our customers or their customers is otherwise obtained, our CRM Platform may be perceived as not being secure, o</w:t>
      </w:r>
      <w:r>
        <w:rPr>
          <w:b/>
          <w:bCs/>
          <w:i/>
          <w:iCs/>
          <w:sz w:val="20"/>
          <w:szCs w:val="20"/>
        </w:rPr>
        <w:t>ur customers may be harmed and may curtail or cease their use of our platform, our reputation may be damaged and we may incur significant liabilities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operations involve the storage and transmission of data of our customers and their customers, includi</w:t>
      </w:r>
      <w:r>
        <w:rPr>
          <w:sz w:val="20"/>
          <w:szCs w:val="20"/>
        </w:rPr>
        <w:t>ng personally identifiable information. Our storage is typically the sole source of record for portions of our customers’ businesses and end user data, such as initial contact information and online interactions. Security incidents could result in unauthor</w:t>
      </w:r>
      <w:r>
        <w:rPr>
          <w:sz w:val="20"/>
          <w:szCs w:val="20"/>
        </w:rPr>
        <w:t>ized access to, loss of or unauthorized disclosure of this information, litigation, indemnity obligations and other possible liabilities, as well as negative publicity, which could damage our reputation, impair our sales and harm our customers and our busi</w:t>
      </w:r>
      <w:r>
        <w:rPr>
          <w:sz w:val="20"/>
          <w:szCs w:val="20"/>
        </w:rPr>
        <w:t>ness. Cyber-attacks and othe</w:t>
      </w:r>
      <w:r>
        <w:rPr>
          <w:sz w:val="20"/>
          <w:szCs w:val="20"/>
        </w:rPr>
        <w:t>r</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0</w:t>
      </w:r>
    </w:p>
    <w:p w:rsidR="00000000" w:rsidRDefault="00A309A2">
      <w:pPr>
        <w:rPr>
          <w:rFonts w:eastAsia="Times New Roman"/>
        </w:rPr>
      </w:pPr>
      <w:r>
        <w:rPr>
          <w:rFonts w:eastAsia="Times New Roman"/>
        </w:rPr>
        <w:pict>
          <v:rect id="_x0000_i104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malicious Internet-based activity continue to increase generally, and cloud-based platform providers of marketing services have been targeted. If our security measures, or those of our service providers, are compromised as a result of third-party action, e</w:t>
      </w:r>
      <w:r>
        <w:rPr>
          <w:sz w:val="20"/>
          <w:szCs w:val="20"/>
        </w:rPr>
        <w:t>mployee or customer error, malfeasance, stolen or fraudulently obtained log-in credentials or otherwise, our reputation could be damaged, our business may be harmed and we could incur significant liability. Additionally, if third parties with whom we work,</w:t>
      </w:r>
      <w:r>
        <w:rPr>
          <w:sz w:val="20"/>
          <w:szCs w:val="20"/>
        </w:rPr>
        <w:t xml:space="preserve"> such as vendors or developers, violate applicable laws, our security policies or our acceptable use policy, such violations may also put our customers’ information at risk and could in turn have an adverse effect on our business. In addition, if the secur</w:t>
      </w:r>
      <w:r>
        <w:rPr>
          <w:sz w:val="20"/>
          <w:szCs w:val="20"/>
        </w:rPr>
        <w:t>ity measures of our customers or our service providers, are compromised, even without any actual compromise of our own systems, we may face negative publicity or reputational harm if our customers or anyone else incorrectly attributes the blame for such se</w:t>
      </w:r>
      <w:r>
        <w:rPr>
          <w:sz w:val="20"/>
          <w:szCs w:val="20"/>
        </w:rPr>
        <w:t>curity breaches to us or our systems. We may be unable to anticipate or prevent techniques used to obtain unauthorized access or to sabotage systems because they change frequently and generally are not detected until after an incident has occurred. As we i</w:t>
      </w:r>
      <w:r>
        <w:rPr>
          <w:sz w:val="20"/>
          <w:szCs w:val="20"/>
        </w:rPr>
        <w:t>ncrease our customer base and our brand becomes more widely known and recognized, we may become more of a target for third parties seeking to compromise our security systems or gain unauthorized access to our customers’ data. Additionally, we provide exten</w:t>
      </w:r>
      <w:r>
        <w:rPr>
          <w:sz w:val="20"/>
          <w:szCs w:val="20"/>
        </w:rPr>
        <w:t>sive access to our database, which stores our customer data, to our development team to facilitate our rapid pace of product development. If such access or our own operations cause the loss, damage or destruction of our customers’ business data, their sale</w:t>
      </w:r>
      <w:r>
        <w:rPr>
          <w:sz w:val="20"/>
          <w:szCs w:val="20"/>
        </w:rPr>
        <w:t>s, lead generation, support and other business operations may be permanently harmed. As a result, our customers may bring claims against us for lost profits and other damages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Cyber-attacks, denial-of-service attacks, ransomware attacks, business email co</w:t>
      </w:r>
      <w:r>
        <w:rPr>
          <w:sz w:val="20"/>
          <w:szCs w:val="20"/>
        </w:rPr>
        <w:t>mpromises, computer malware, viruses, and social engineering (including phishing) are prevalent in our industry, the industries of certain of our service providers and our customers' industries. Our internal computer systems and those of our current and an</w:t>
      </w:r>
      <w:r>
        <w:rPr>
          <w:sz w:val="20"/>
          <w:szCs w:val="20"/>
        </w:rPr>
        <w:t>y future strategic collaborators, vendors, and other contractors or consultants are vulnerable to damage from cyber-attacks, computer viruses, unauthorized access, natural disasters, cybersecurity threats, terrorism, war and telecommunication and electrica</w:t>
      </w:r>
      <w:r>
        <w:rPr>
          <w:sz w:val="20"/>
          <w:szCs w:val="20"/>
        </w:rPr>
        <w:t>l failures. Accordingly, if our cybersecurity measures or those of our service providers fail to protect against unauthorized access, attacks (which may include sophisticated cyberattacks), compromise or the mishandling of data by our employees and contrac</w:t>
      </w:r>
      <w:r>
        <w:rPr>
          <w:sz w:val="20"/>
          <w:szCs w:val="20"/>
        </w:rPr>
        <w:t>tors, then our reputation, customer trust, business, results of operations and financial condition could be adversely affected. Cyber incidents have been increasing in sophistication and frequency and can include third parties gaining access to employee or</w:t>
      </w:r>
      <w:r>
        <w:rPr>
          <w:sz w:val="20"/>
          <w:szCs w:val="20"/>
        </w:rPr>
        <w:t xml:space="preserve"> customer data using stolen or inferred credentials, computer malware, viruses, spamming, phishing attacks, ransomware, card skimming code, and other deliberate attacks and attempts to gain unauthorized access. The techniques used to sabotage or to obtain </w:t>
      </w:r>
      <w:r>
        <w:rPr>
          <w:sz w:val="20"/>
          <w:szCs w:val="20"/>
        </w:rPr>
        <w:t xml:space="preserve">unauthorized access to our platform, systems, networks, or physical facilities in which data is stored or through which data is transmitted change frequently, and we may be unable to implement adequate preventative measures or stop security breaches while </w:t>
      </w:r>
      <w:r>
        <w:rPr>
          <w:sz w:val="20"/>
          <w:szCs w:val="20"/>
        </w:rPr>
        <w:t>they are occurring. Because the techniques used by threat actors who may attempt to penetrate and sabotage our computer systems change frequently and may not be recognized until launched against a target, we may be unable to anticipate these techniques. Ad</w:t>
      </w:r>
      <w:r>
        <w:rPr>
          <w:sz w:val="20"/>
          <w:szCs w:val="20"/>
        </w:rPr>
        <w:t>ditionally, during the ongoing pandemic, and potentially beyond as remote work and resource access expand, there is an increased risk that we may experience cybersecurity-related events such as COVID-19 themed phishing attacks, exploitation of any cybersec</w:t>
      </w:r>
      <w:r>
        <w:rPr>
          <w:sz w:val="20"/>
          <w:szCs w:val="20"/>
        </w:rPr>
        <w:t>urity flaws that may exist, an increase in the number of cybersecurity threats or attacks, and other security challenges as a result of most of our employees and our service providers continuing to work remotely from non-corporate managed networks. We have</w:t>
      </w:r>
      <w:r>
        <w:rPr>
          <w:sz w:val="20"/>
          <w:szCs w:val="20"/>
        </w:rPr>
        <w:t xml:space="preserve"> previously been, and may in the future become, the target of cyber-attacks by third parties seeking unauthorized access to our or our customers' data or to disrupt our operations or ability to provide our services</w:t>
      </w:r>
      <w:r>
        <w:rPr>
          <w:sz w:val="20"/>
          <w:szCs w:val="20"/>
        </w:rPr>
        <w:t>.</w:t>
      </w:r>
    </w:p>
    <w:p w:rsidR="00000000" w:rsidRDefault="00A309A2">
      <w:pPr>
        <w:pStyle w:val="a3"/>
        <w:spacing w:before="200" w:beforeAutospacing="0" w:after="0" w:afterAutospacing="0"/>
        <w:ind w:firstLine="555"/>
        <w:rPr>
          <w:sz w:val="20"/>
          <w:szCs w:val="20"/>
        </w:rPr>
      </w:pPr>
      <w:r>
        <w:rPr>
          <w:sz w:val="20"/>
          <w:szCs w:val="20"/>
        </w:rPr>
        <w:t>Additionally, it is also possible that u</w:t>
      </w:r>
      <w:r>
        <w:rPr>
          <w:sz w:val="20"/>
          <w:szCs w:val="20"/>
        </w:rPr>
        <w:t>nauthorized access to sensitive customer and business data may be obtained through inadequate use of security controls by our customers, suppliers or other vendors. While we are not currently aware of any material impact that the SolarWinds, Log4j, Kaseya,</w:t>
      </w:r>
      <w:r>
        <w:rPr>
          <w:sz w:val="20"/>
          <w:szCs w:val="20"/>
        </w:rPr>
        <w:t xml:space="preserve"> or other recent supply chain attacks had on our business, new information on the scope of such attacks is continuing to emerge and there is a residual risk that we may experience a security breach arising from one of these, or a similar, supply chain atta</w:t>
      </w:r>
      <w:r>
        <w:rPr>
          <w:sz w:val="20"/>
          <w:szCs w:val="20"/>
        </w:rPr>
        <w:t xml:space="preserve">ck in the future. Supply chain attacks are becoming increasingly common, and we may not be able to anticipate and prevent negative impacts from such an attack. If we are impacted by a supply chain attack, we could incur liability, our competitive position </w:t>
      </w:r>
      <w:r>
        <w:rPr>
          <w:sz w:val="20"/>
          <w:szCs w:val="20"/>
        </w:rPr>
        <w:t>could be harmed and the further development and commercialization of our product and services could be hindered or delayed</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Recent high-profile security breaches and related disclosures of sensitive data by large institutions suggest that the risk of such </w:t>
      </w:r>
      <w:r>
        <w:rPr>
          <w:sz w:val="20"/>
          <w:szCs w:val="20"/>
        </w:rPr>
        <w:t>events is significant, even if privacy protection and security measures are implemented and enforced. If we were to experience a cyberattack and suffer interruptions in our operations, it could result in a material disruption of our development programs an</w:t>
      </w:r>
      <w:r>
        <w:rPr>
          <w:sz w:val="20"/>
          <w:szCs w:val="20"/>
        </w:rPr>
        <w:t>d our business operations, whether due to a loss of our trade secrets or other proprietary information or other disruptions. These cyberattacks could be carried out by threat actors of all types (including but not limited to nation states, organized crime,</w:t>
      </w:r>
      <w:r>
        <w:rPr>
          <w:sz w:val="20"/>
          <w:szCs w:val="20"/>
        </w:rPr>
        <w:t xml:space="preserve"> other criminal enterprises, individual actors and/or advanced persistent threat groups). In addition, we may experience intrusions on our physical premises by any of these threat actors. To the extent that any disruption or security breach were to result </w:t>
      </w:r>
      <w:r>
        <w:rPr>
          <w:sz w:val="20"/>
          <w:szCs w:val="20"/>
        </w:rPr>
        <w:t>in a loss of, or damage to, our data or applications, or inappropriate disclosure of confidential or proprietary information, we could incur liability, incur significant costs associated with remediation and the implementation of additional security measur</w:t>
      </w:r>
      <w:r>
        <w:rPr>
          <w:sz w:val="20"/>
          <w:szCs w:val="20"/>
        </w:rPr>
        <w:t>es, including costs to deploy additional personnel and protection technologies, train employees, and engage third-party experts and consultants, and our competitive position could be harmed. Any breach, loss, or compromise of personal data may also subject</w:t>
      </w:r>
      <w:r>
        <w:rPr>
          <w:sz w:val="20"/>
          <w:szCs w:val="20"/>
        </w:rPr>
        <w:t xml:space="preserve"> us to civil fines and penalties, or claims for damages either under the General Data Protection Regulation (the “GDPR”) and relevant member state law in the European Union, other foreign laws, and other relevant state and federal privacy laws in the Unite</w:t>
      </w:r>
      <w:r>
        <w:rPr>
          <w:sz w:val="20"/>
          <w:szCs w:val="20"/>
        </w:rPr>
        <w:t>d States</w:t>
      </w:r>
      <w:r>
        <w:rPr>
          <w:sz w:val="20"/>
          <w:szCs w:val="20"/>
        </w:rPr>
        <w:t>.</w:t>
      </w:r>
    </w:p>
    <w:p w:rsidR="00000000" w:rsidRDefault="00A309A2">
      <w:pPr>
        <w:pStyle w:val="a3"/>
        <w:spacing w:before="240" w:beforeAutospacing="0" w:after="0" w:afterAutospacing="0"/>
        <w:jc w:val="center"/>
        <w:rPr>
          <w:sz w:val="20"/>
          <w:szCs w:val="20"/>
        </w:rPr>
      </w:pPr>
      <w:r>
        <w:rPr>
          <w:sz w:val="20"/>
          <w:szCs w:val="20"/>
        </w:rPr>
        <w:t>2</w:t>
      </w:r>
      <w:r>
        <w:rPr>
          <w:sz w:val="20"/>
          <w:szCs w:val="20"/>
        </w:rPr>
        <w:t>1</w:t>
      </w:r>
    </w:p>
    <w:p w:rsidR="00000000" w:rsidRDefault="00A309A2">
      <w:pPr>
        <w:rPr>
          <w:rFonts w:eastAsia="Times New Roman"/>
        </w:rPr>
      </w:pPr>
      <w:r>
        <w:rPr>
          <w:rFonts w:eastAsia="Times New Roman"/>
        </w:rPr>
        <w:pict>
          <v:rect id="_x0000_i104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sz w:val="20"/>
          <w:szCs w:val="20"/>
        </w:rPr>
        <w:t>Many governments have enacted laws requiring companies to notify individuals of data security incidents or unauthorized transfers involving certain types of personal data. In addition, the data processing</w:t>
      </w:r>
      <w:r>
        <w:rPr>
          <w:sz w:val="20"/>
          <w:szCs w:val="20"/>
        </w:rPr>
        <w:t xml:space="preserve"> agreement we execute with our customers contractually requires us to notify them of any personal data breach. Under payment card network rules and our contracts with our payment processors, if there is a breach of payment card information that we store, o</w:t>
      </w:r>
      <w:r>
        <w:rPr>
          <w:sz w:val="20"/>
          <w:szCs w:val="20"/>
        </w:rPr>
        <w:t>r that is stored by our direct payment card processing vendors, we could be liable to the payment card issuing banks for their cost of issuing new cards and related expenses. Data breaches and other data security compromises experienced by our competitors,</w:t>
      </w:r>
      <w:r>
        <w:rPr>
          <w:sz w:val="20"/>
          <w:szCs w:val="20"/>
        </w:rPr>
        <w:t xml:space="preserve"> by our customers or by us may lead to public disclosures, which may lead to widespread negative publicity. Any security compromise in our industry, whether actual or perceived, could harm our reputation, erode customer confidence in the effectiveness of o</w:t>
      </w:r>
      <w:r>
        <w:rPr>
          <w:sz w:val="20"/>
          <w:szCs w:val="20"/>
        </w:rPr>
        <w:t>ur security measures, negatively impact our ability to attract new customers, cause existing customers to elect not to renew their subscriptions or subject us to third-party lawsuits, regulatory fines or other action or liability, which could materially an</w:t>
      </w:r>
      <w:r>
        <w:rPr>
          <w:sz w:val="20"/>
          <w:szCs w:val="20"/>
        </w:rPr>
        <w:t>d adversely affect our business and operating results</w:t>
      </w:r>
      <w:r>
        <w:rPr>
          <w:sz w:val="20"/>
          <w:szCs w:val="20"/>
        </w:rPr>
        <w:t>.</w:t>
      </w:r>
    </w:p>
    <w:p w:rsidR="00000000" w:rsidRDefault="00A309A2">
      <w:pPr>
        <w:pStyle w:val="a3"/>
        <w:spacing w:before="200" w:beforeAutospacing="0" w:after="0" w:afterAutospacing="0"/>
        <w:ind w:firstLine="555"/>
        <w:rPr>
          <w:sz w:val="20"/>
          <w:szCs w:val="20"/>
        </w:rPr>
      </w:pPr>
      <w:r>
        <w:rPr>
          <w:sz w:val="20"/>
          <w:szCs w:val="20"/>
        </w:rPr>
        <w:t>There can be no assurance that any limitations of liability provisions in our contracts for a security breach would be enforceable or adequate or would otherwise protect us from any such liabilities or</w:t>
      </w:r>
      <w:r>
        <w:rPr>
          <w:sz w:val="20"/>
          <w:szCs w:val="20"/>
        </w:rPr>
        <w:t xml:space="preserve"> damages with respect to any particular claim. We also cannot be sure that our existing general liability insurance coverage and coverage for errors or omissions will continue to be available on acceptable terms or will be available in sufficient amounts t</w:t>
      </w:r>
      <w:r>
        <w:rPr>
          <w:sz w:val="20"/>
          <w:szCs w:val="20"/>
        </w:rPr>
        <w:t>o cover one or more large claims, or that the insurer will not deny coverage as to any future claim. The successful assertion of one or more large claims against us that exceed available insurance coverage, or the occurrence of changes in our insurance pol</w:t>
      </w:r>
      <w:r>
        <w:rPr>
          <w:sz w:val="20"/>
          <w:szCs w:val="20"/>
        </w:rPr>
        <w:t>icies, including premium increases or the imposition of large deductible or co-insurance requirements, could have a material adverse effect on our business, financial condition and operating results</w:t>
      </w:r>
      <w:r>
        <w:rPr>
          <w:sz w:val="20"/>
          <w:szCs w:val="20"/>
        </w:rPr>
        <w:t>.</w:t>
      </w:r>
    </w:p>
    <w:p w:rsidR="00000000" w:rsidRDefault="00A309A2">
      <w:pPr>
        <w:pStyle w:val="a3"/>
        <w:spacing w:before="200" w:beforeAutospacing="0" w:after="0" w:afterAutospacing="0"/>
        <w:rPr>
          <w:sz w:val="20"/>
          <w:szCs w:val="20"/>
        </w:rPr>
      </w:pPr>
      <w:r>
        <w:rPr>
          <w:b/>
          <w:bCs/>
          <w:sz w:val="20"/>
          <w:szCs w:val="20"/>
        </w:rPr>
        <w:t>Risks Related to Intellectual Propert</w:t>
      </w:r>
      <w:r>
        <w:rPr>
          <w:b/>
          <w:bCs/>
          <w:sz w:val="20"/>
          <w:szCs w:val="20"/>
        </w:rPr>
        <w:t>y</w:t>
      </w:r>
    </w:p>
    <w:p w:rsidR="00000000" w:rsidRDefault="00A309A2">
      <w:pPr>
        <w:pStyle w:val="a3"/>
        <w:spacing w:before="200" w:beforeAutospacing="0" w:after="0" w:afterAutospacing="0"/>
        <w:rPr>
          <w:sz w:val="20"/>
          <w:szCs w:val="20"/>
        </w:rPr>
      </w:pPr>
      <w:r>
        <w:rPr>
          <w:b/>
          <w:bCs/>
          <w:i/>
          <w:iCs/>
          <w:sz w:val="20"/>
          <w:szCs w:val="20"/>
        </w:rPr>
        <w:t xml:space="preserve">Our business may </w:t>
      </w:r>
      <w:r>
        <w:rPr>
          <w:b/>
          <w:bCs/>
          <w:i/>
          <w:iCs/>
          <w:sz w:val="20"/>
          <w:szCs w:val="20"/>
        </w:rPr>
        <w:t>suffer if it is alleged or determined that our technology infringes the intellectual property rights of others</w:t>
      </w:r>
      <w:r>
        <w:rPr>
          <w:b/>
          <w:bCs/>
          <w:i/>
          <w:iCs/>
          <w:sz w:val="20"/>
          <w:szCs w:val="20"/>
        </w:rPr>
        <w:t>.</w:t>
      </w:r>
    </w:p>
    <w:p w:rsidR="00000000" w:rsidRDefault="00A309A2">
      <w:pPr>
        <w:pStyle w:val="a3"/>
        <w:spacing w:before="200" w:beforeAutospacing="0" w:after="0" w:afterAutospacing="0"/>
        <w:ind w:firstLine="630"/>
        <w:rPr>
          <w:sz w:val="20"/>
          <w:szCs w:val="20"/>
        </w:rPr>
      </w:pPr>
      <w:r>
        <w:rPr>
          <w:sz w:val="20"/>
          <w:szCs w:val="20"/>
        </w:rPr>
        <w:t>The software industry is characterized by the existence of a large number of patents, copyrights, trademarks, trade secrets and other intellectu</w:t>
      </w:r>
      <w:r>
        <w:rPr>
          <w:sz w:val="20"/>
          <w:szCs w:val="20"/>
        </w:rPr>
        <w:t>al and proprietary rights. Companies in the software industry, including those in marketing software, are often required to defend against litigation claims based on allegations of infringement or other violations of intellectual property rights. Many of o</w:t>
      </w:r>
      <w:r>
        <w:rPr>
          <w:sz w:val="20"/>
          <w:szCs w:val="20"/>
        </w:rPr>
        <w:t>ur competitors and other industry participants have been issued patents and/or have filed patent applications and may assert patent or other intellectual property rights within the industry. Moreover, in recent years, individuals and groups that are non-pr</w:t>
      </w:r>
      <w:r>
        <w:rPr>
          <w:sz w:val="20"/>
          <w:szCs w:val="20"/>
        </w:rPr>
        <w:t>acticing entities, commonly referred to as “patent trolls,” have purchased patents and other intellectual property assets for the purpose of making claims of infringement in order to extract settlements. From time to time, we may receive threatening letter</w:t>
      </w:r>
      <w:r>
        <w:rPr>
          <w:sz w:val="20"/>
          <w:szCs w:val="20"/>
        </w:rPr>
        <w:t xml:space="preserve">s or notices or may be the subject of claims that our services and/or platform and underlying technology infringe or violate the intellectual property rights of others. Responding to such claims, regardless of their merit, can be time consuming, costly to </w:t>
      </w:r>
      <w:r>
        <w:rPr>
          <w:sz w:val="20"/>
          <w:szCs w:val="20"/>
        </w:rPr>
        <w:t>defend in litigation, divert management’s attention and resources, damage our reputation and brand and cause us to incur significant expenses. Our technologies may not be able to withstand any third-party claims or rights against their use. Claims of intel</w:t>
      </w:r>
      <w:r>
        <w:rPr>
          <w:sz w:val="20"/>
          <w:szCs w:val="20"/>
        </w:rPr>
        <w:t>lectual property infringement might require us to redesign our application, delay releases, enter into costly settlement or license agreements or pay costly damage awards, or face a temporary or permanent injunction prohibiting us from marketing or selling</w:t>
      </w:r>
      <w:r>
        <w:rPr>
          <w:sz w:val="20"/>
          <w:szCs w:val="20"/>
        </w:rPr>
        <w:t xml:space="preserve"> our platform. If we cannot or do not license the infringed technology on reasonable terms or at all, or substitute similar technology from another source, our revenue and operating results could be adversely impacted. Additionally, our customers may not p</w:t>
      </w:r>
      <w:r>
        <w:rPr>
          <w:sz w:val="20"/>
          <w:szCs w:val="20"/>
        </w:rPr>
        <w:t>urchase our CRM Platform if they are concerned that they may infringe third-party intellectual property rights. The occurrence of any of these events may have a material adverse effect on our business</w:t>
      </w:r>
      <w:r>
        <w:rPr>
          <w:sz w:val="20"/>
          <w:szCs w:val="20"/>
        </w:rPr>
        <w:t>.</w:t>
      </w:r>
      <w:r>
        <w:rPr>
          <w:sz w:val="20"/>
          <w:szCs w:val="20"/>
        </w:rPr>
        <w:t xml:space="preserve"> </w:t>
      </w:r>
    </w:p>
    <w:p w:rsidR="00000000" w:rsidRDefault="00A309A2">
      <w:pPr>
        <w:pStyle w:val="a3"/>
        <w:spacing w:before="200" w:beforeAutospacing="0" w:after="0" w:afterAutospacing="0"/>
        <w:ind w:firstLine="630"/>
        <w:rPr>
          <w:sz w:val="20"/>
          <w:szCs w:val="20"/>
        </w:rPr>
      </w:pPr>
      <w:r>
        <w:rPr>
          <w:sz w:val="20"/>
          <w:szCs w:val="20"/>
        </w:rPr>
        <w:t>In our subscription agreements with our customers, we</w:t>
      </w:r>
      <w:r>
        <w:rPr>
          <w:sz w:val="20"/>
          <w:szCs w:val="20"/>
        </w:rPr>
        <w:t xml:space="preserve"> generally do not agree to indemnify our customers against any losses or costs incurred in connection with claims by a third party alleging that a customer’s use of our services or platform infringes the intellectual property rights of the third party. The</w:t>
      </w:r>
      <w:r>
        <w:rPr>
          <w:sz w:val="20"/>
          <w:szCs w:val="20"/>
        </w:rPr>
        <w:t>re can be no assurance, however, that customers will not assert a common law indemnity claim or that any existing limitations of liability provisions in our contracts would be enforceable or adequate, or would otherwise protect us from any such liabilities</w:t>
      </w:r>
      <w:r>
        <w:rPr>
          <w:sz w:val="20"/>
          <w:szCs w:val="20"/>
        </w:rPr>
        <w:t xml:space="preserve"> or damages with respect to any particular claim. Our customers who are accused of intellectual property infringement may in the future seek indemnification from us under common law or other legal theories. If such claims are successful, or if we are requi</w:t>
      </w:r>
      <w:r>
        <w:rPr>
          <w:sz w:val="20"/>
          <w:szCs w:val="20"/>
        </w:rPr>
        <w:t>red to indemnify or defend our customers from these or other claims, these matters could be disruptive to our business and management and have a material adverse effect on our business, operating results and financial condition</w:t>
      </w:r>
      <w:r>
        <w:rPr>
          <w:sz w:val="20"/>
          <w:szCs w:val="20"/>
        </w:rPr>
        <w:t>.</w:t>
      </w:r>
    </w:p>
    <w:p w:rsidR="00000000" w:rsidRDefault="00A309A2">
      <w:pPr>
        <w:pStyle w:val="a3"/>
        <w:spacing w:before="200" w:beforeAutospacing="0" w:after="0" w:afterAutospacing="0"/>
        <w:rPr>
          <w:sz w:val="20"/>
          <w:szCs w:val="20"/>
        </w:rPr>
      </w:pPr>
      <w:r>
        <w:rPr>
          <w:b/>
          <w:bCs/>
          <w:i/>
          <w:iCs/>
          <w:sz w:val="20"/>
          <w:szCs w:val="20"/>
        </w:rPr>
        <w:t>If we fail to adequately pr</w:t>
      </w:r>
      <w:r>
        <w:rPr>
          <w:b/>
          <w:bCs/>
          <w:i/>
          <w:iCs/>
          <w:sz w:val="20"/>
          <w:szCs w:val="20"/>
        </w:rPr>
        <w:t>otect our proprietary rights, in the United States and abroad, our competitive position could be impaired and we may lose valuable assets, experience reduced revenue and incur costly litigation to protect our rights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success is dependent, in part, upon</w:t>
      </w:r>
      <w:r>
        <w:rPr>
          <w:sz w:val="20"/>
          <w:szCs w:val="20"/>
        </w:rPr>
        <w:t xml:space="preserve"> protecting our proprietary technology. We rely on a combination of copyrights, trademarks, service marks, trade secret laws and contractual restrictions to establish and protect our proprietary rights in our products and services. However, the steps we ta</w:t>
      </w:r>
      <w:r>
        <w:rPr>
          <w:sz w:val="20"/>
          <w:szCs w:val="20"/>
        </w:rPr>
        <w:t xml:space="preserve">ke to protect our intellectual property may be inadequate. We will not be able to protect our intellectual property if we are unable to enforce our rights or if we do not detect unauthorized use of our intellectual property. Any of our trademarks or other </w:t>
      </w:r>
      <w:r>
        <w:rPr>
          <w:sz w:val="20"/>
          <w:szCs w:val="20"/>
        </w:rPr>
        <w:t>intellectual property rights may be challenged by others or invalidated through administrative process or litigation. Furthermore, legal standards relating to the validity, enforceability and scope of protection of intellectual property rights are uncertai</w:t>
      </w:r>
      <w:r>
        <w:rPr>
          <w:sz w:val="20"/>
          <w:szCs w:val="20"/>
        </w:rPr>
        <w:t>n. Despite our precautions, it may be possible for unauthorized third parties to copy our technology and use information tha</w:t>
      </w:r>
      <w:r>
        <w:rPr>
          <w:sz w:val="20"/>
          <w:szCs w:val="20"/>
        </w:rPr>
        <w:t>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2</w:t>
      </w:r>
    </w:p>
    <w:p w:rsidR="00000000" w:rsidRDefault="00A309A2">
      <w:pPr>
        <w:rPr>
          <w:rFonts w:eastAsia="Times New Roman"/>
        </w:rPr>
      </w:pPr>
      <w:r>
        <w:rPr>
          <w:rFonts w:eastAsia="Times New Roman"/>
        </w:rPr>
        <w:pict>
          <v:rect id="_x0000_i104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we regard as proprietary to create products and services that compete with ours. Some li</w:t>
      </w:r>
      <w:r>
        <w:rPr>
          <w:sz w:val="20"/>
          <w:szCs w:val="20"/>
        </w:rPr>
        <w:t>cense provisions protecting against unauthorized use, copying, transfer and disclosure of our offerings may be unenforceable under the laws of certain jurisdictions and foreign countries. In addition, the laws of some countries do not protect proprietary r</w:t>
      </w:r>
      <w:r>
        <w:rPr>
          <w:sz w:val="20"/>
          <w:szCs w:val="20"/>
        </w:rPr>
        <w:t>ights to the same extent as the laws of the United States. To the extent we expand our international activities, our exposure to unauthorized copying and use of our technology and proprietary information may increase</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enter into confidentiality and inv</w:t>
      </w:r>
      <w:r>
        <w:rPr>
          <w:sz w:val="20"/>
          <w:szCs w:val="20"/>
        </w:rPr>
        <w:t>ention assignment agreements with our employees and consultants and enter into confidentiality agreements with the parties with whom we have strategic relationships and business alliances. No assurance can be given that these agreements will be effective i</w:t>
      </w:r>
      <w:r>
        <w:rPr>
          <w:sz w:val="20"/>
          <w:szCs w:val="20"/>
        </w:rPr>
        <w:t>n controlling access to and distribution of our products and proprietary information. Further, these agreements may not prevent our competitors from independently developing technologies that are substantially equivalent or superior to our platform and off</w:t>
      </w:r>
      <w:r>
        <w:rPr>
          <w:sz w:val="20"/>
          <w:szCs w:val="20"/>
        </w:rPr>
        <w:t>erings</w:t>
      </w:r>
      <w:r>
        <w:rPr>
          <w:sz w:val="20"/>
          <w:szCs w:val="20"/>
        </w:rPr>
        <w:t>.</w:t>
      </w:r>
    </w:p>
    <w:p w:rsidR="00000000" w:rsidRDefault="00A309A2">
      <w:pPr>
        <w:pStyle w:val="a3"/>
        <w:spacing w:before="200" w:beforeAutospacing="0" w:after="0" w:afterAutospacing="0"/>
        <w:ind w:firstLine="555"/>
        <w:rPr>
          <w:sz w:val="20"/>
          <w:szCs w:val="20"/>
        </w:rPr>
      </w:pPr>
      <w:r>
        <w:rPr>
          <w:sz w:val="20"/>
          <w:szCs w:val="20"/>
        </w:rPr>
        <w:t>We may be required to spend significant resources to monitor and protect our intellectual property rights. Litigation may be necessary in the future to enforce our intellectual property rights and to protect our trade secrets. Such litigation could</w:t>
      </w:r>
      <w:r>
        <w:rPr>
          <w:sz w:val="20"/>
          <w:szCs w:val="20"/>
        </w:rPr>
        <w:t xml:space="preserve"> be costly, time consuming and distracting to management and could result in the impairment or loss of portions of our intellectual property. Furthermore, our efforts to enforce our intellectual property rights may be met with defenses, counterclaims and c</w:t>
      </w:r>
      <w:r>
        <w:rPr>
          <w:sz w:val="20"/>
          <w:szCs w:val="20"/>
        </w:rPr>
        <w:t>ountersuits attacking the validity and enforceability of our intellectual property rights. Our inability to protect our proprietary technology against unauthorized copying or use, as well as any costly litigation, could delay further sales or the implement</w:t>
      </w:r>
      <w:r>
        <w:rPr>
          <w:sz w:val="20"/>
          <w:szCs w:val="20"/>
        </w:rPr>
        <w:t>ation of our platform and offerings, impair the functionality of our platform and offerings, delay introductions of new features or enhancements, result in our substituting inferior or more costly technologies into our platform and offerings, or injure our</w:t>
      </w:r>
      <w:r>
        <w:rPr>
          <w:sz w:val="20"/>
          <w:szCs w:val="20"/>
        </w:rPr>
        <w:t xml:space="preserve"> reputation</w:t>
      </w:r>
      <w:r>
        <w:rPr>
          <w:sz w:val="20"/>
          <w:szCs w:val="20"/>
        </w:rPr>
        <w:t>.</w:t>
      </w:r>
    </w:p>
    <w:p w:rsidR="00000000" w:rsidRDefault="00A309A2">
      <w:pPr>
        <w:pStyle w:val="a3"/>
        <w:spacing w:before="200" w:beforeAutospacing="0" w:after="0" w:afterAutospacing="0"/>
        <w:rPr>
          <w:sz w:val="20"/>
          <w:szCs w:val="20"/>
        </w:rPr>
      </w:pPr>
      <w:r>
        <w:rPr>
          <w:b/>
          <w:bCs/>
          <w:i/>
          <w:iCs/>
          <w:sz w:val="20"/>
          <w:szCs w:val="20"/>
        </w:rPr>
        <w:t>Our use of “open source” software could negatively affect our ability to offer our platform and subject us to possible litigation</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A substantial portion of our cloud-based platform incorporates so-called “open source” software, and we may incorporate additional open source software in the future. Open source software is generally freely accessible, usable and modifiable. Certain open </w:t>
      </w:r>
      <w:r>
        <w:rPr>
          <w:sz w:val="20"/>
          <w:szCs w:val="20"/>
        </w:rPr>
        <w:t>source licenses may, in certain circumstances, require us to offer the components of our platform that incorporate the open source software for no cost, that we make available source code for modifications or derivative works we create based upon, incorpor</w:t>
      </w:r>
      <w:r>
        <w:rPr>
          <w:sz w:val="20"/>
          <w:szCs w:val="20"/>
        </w:rPr>
        <w:t xml:space="preserve">ating or using the open source software and that we license such modifications or derivative works under the terms of the particular open source license. If an author or other third party that distributes open source software we use were to allege that we </w:t>
      </w:r>
      <w:r>
        <w:rPr>
          <w:sz w:val="20"/>
          <w:szCs w:val="20"/>
        </w:rPr>
        <w:t>had not complied with the conditions of one or more of these licenses, we could be required to incur significant legal expenses defending against such allegations and could be subject to significant damages, including being enjoined from the offering of th</w:t>
      </w:r>
      <w:r>
        <w:rPr>
          <w:sz w:val="20"/>
          <w:szCs w:val="20"/>
        </w:rPr>
        <w:t>e components of our platform that contained the open source software and being required to comply with the foregoing conditions, which could disrupt our ability to offer the affected software. We could also be subject to suits by parties claiming ownership</w:t>
      </w:r>
      <w:r>
        <w:rPr>
          <w:sz w:val="20"/>
          <w:szCs w:val="20"/>
        </w:rPr>
        <w:t xml:space="preserve"> of what we believe to be open source software. Litigation could be costly for us to defend, have a negative effect on our operating results and financial condition and require us to devote additional research and development resources to change our produc</w:t>
      </w:r>
      <w:r>
        <w:rPr>
          <w:sz w:val="20"/>
          <w:szCs w:val="20"/>
        </w:rPr>
        <w:t>ts</w:t>
      </w:r>
      <w:r>
        <w:rPr>
          <w:sz w:val="20"/>
          <w:szCs w:val="20"/>
        </w:rPr>
        <w:t>.</w:t>
      </w:r>
    </w:p>
    <w:p w:rsidR="00000000" w:rsidRDefault="00A309A2">
      <w:pPr>
        <w:pStyle w:val="a3"/>
        <w:spacing w:before="200" w:beforeAutospacing="0" w:after="0" w:afterAutospacing="0"/>
        <w:rPr>
          <w:sz w:val="20"/>
          <w:szCs w:val="20"/>
        </w:rPr>
      </w:pPr>
      <w:r>
        <w:rPr>
          <w:b/>
          <w:bCs/>
          <w:sz w:val="20"/>
          <w:szCs w:val="20"/>
        </w:rPr>
        <w:t>Risks Related to Government Regulatio</w:t>
      </w:r>
      <w:r>
        <w:rPr>
          <w:b/>
          <w:bCs/>
          <w:sz w:val="20"/>
          <w:szCs w:val="20"/>
        </w:rPr>
        <w:t>n</w:t>
      </w:r>
      <w:r>
        <w:rPr>
          <w:b/>
          <w:bCs/>
          <w:sz w:val="20"/>
          <w:szCs w:val="20"/>
        </w:rPr>
        <w:t xml:space="preserve"> </w:t>
      </w:r>
    </w:p>
    <w:p w:rsidR="00000000" w:rsidRDefault="00A309A2">
      <w:pPr>
        <w:pStyle w:val="a3"/>
        <w:spacing w:before="200" w:beforeAutospacing="0" w:after="0" w:afterAutospacing="0"/>
        <w:rPr>
          <w:sz w:val="20"/>
          <w:szCs w:val="20"/>
        </w:rPr>
      </w:pPr>
      <w:r>
        <w:rPr>
          <w:b/>
          <w:bCs/>
          <w:i/>
          <w:iCs/>
          <w:sz w:val="20"/>
          <w:szCs w:val="20"/>
        </w:rPr>
        <w:t>We are subject to governmental regulation and other legal obligations, particularly related to privacy, data protection and information security, and our actual or perceived failure to comply with such obligation</w:t>
      </w:r>
      <w:r>
        <w:rPr>
          <w:b/>
          <w:bCs/>
          <w:i/>
          <w:iCs/>
          <w:sz w:val="20"/>
          <w:szCs w:val="20"/>
        </w:rPr>
        <w:t>s could harm our business. Compliance with such laws could also impair our efforts to maintain and expand our customer base, and thereby decrease our revenue</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handling of data is subject to a variety of laws and regulations, including regulation by var</w:t>
      </w:r>
      <w:r>
        <w:rPr>
          <w:sz w:val="20"/>
          <w:szCs w:val="20"/>
        </w:rPr>
        <w:t>ious government agencies, including the U.S. Federal Trade Commission ("FTC"), and various state, local and foreign agencies. We collect personally identifiable information and other data from our customers and leads. We also handle personally identifiable</w:t>
      </w:r>
      <w:r>
        <w:rPr>
          <w:sz w:val="20"/>
          <w:szCs w:val="20"/>
        </w:rPr>
        <w:t xml:space="preserve"> information about our customers’ customers. We use this information to provide services to our customers, to support, expand and improve our business. We may also share customers’ personally identifiable information with third parties as authorized by the</w:t>
      </w:r>
      <w:r>
        <w:rPr>
          <w:sz w:val="20"/>
          <w:szCs w:val="20"/>
        </w:rPr>
        <w:t xml:space="preserve"> customer or as described in our privacy policy</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The U.S. federal and various state and foreign governments have adopted or proposed limitations on the collection, distribution, use and storage of personal information of individuals. In the United States, </w:t>
      </w:r>
      <w:r>
        <w:rPr>
          <w:sz w:val="20"/>
          <w:szCs w:val="20"/>
        </w:rPr>
        <w:t>the FTC and many state attorneys general are applying federal and state consumer protection laws as imposing standards for the online collection, use and dissemination of data. However, these obligations may be interpreted and applied in a manner that is i</w:t>
      </w:r>
      <w:r>
        <w:rPr>
          <w:sz w:val="20"/>
          <w:szCs w:val="20"/>
        </w:rPr>
        <w:t>nconsistent from one jurisdiction to another and may conflict with other requirements or our practices. Any failure or perceived failure by us to comply with privacy or security laws, policies, legal obligations or industry standards or any security incide</w:t>
      </w:r>
      <w:r>
        <w:rPr>
          <w:sz w:val="20"/>
          <w:szCs w:val="20"/>
        </w:rPr>
        <w:t>nt that results in the unauthorized release or transfer of personally identifiable information or other customer data may result in governmental enforcement actions, litigation, fines and penalties and/or adverse publicity, and could cause our customers to</w:t>
      </w:r>
      <w:r>
        <w:rPr>
          <w:sz w:val="20"/>
          <w:szCs w:val="20"/>
        </w:rPr>
        <w:t xml:space="preserve"> lose trust in us, which could have an adverse effect on our reputation and business.</w:t>
      </w:r>
      <w:r>
        <w:rPr>
          <w:sz w:val="20"/>
          <w:szCs w:val="20"/>
        </w:rPr>
        <w:br/>
      </w:r>
      <w:r>
        <w:rPr>
          <w:sz w:val="20"/>
          <w:szCs w:val="20"/>
        </w:rPr>
        <w:br/>
        <w:t>Laws and regulations concerning privacy, data protection and information security are evolving, and changes to such laws and regulations could require us to change featu</w:t>
      </w:r>
      <w:r>
        <w:rPr>
          <w:sz w:val="20"/>
          <w:szCs w:val="20"/>
        </w:rPr>
        <w:t>res of our platform or restrict our customers’ ability to collect and use email addresses</w:t>
      </w:r>
      <w:r>
        <w:rPr>
          <w:sz w:val="20"/>
          <w:szCs w:val="20"/>
        </w:rPr>
        <w: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3</w:t>
      </w:r>
    </w:p>
    <w:p w:rsidR="00000000" w:rsidRDefault="00A309A2">
      <w:pPr>
        <w:rPr>
          <w:rFonts w:eastAsia="Times New Roman"/>
        </w:rPr>
      </w:pPr>
      <w:r>
        <w:rPr>
          <w:rFonts w:eastAsia="Times New Roman"/>
        </w:rPr>
        <w:pict>
          <v:rect id="_x0000_i1049"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 xml:space="preserve">page viewing data and personal information, which may reduce demand for our platform. Our failure to comply with federal, </w:t>
      </w:r>
      <w:r>
        <w:rPr>
          <w:sz w:val="20"/>
          <w:szCs w:val="20"/>
        </w:rPr>
        <w:t>state and international data privacy laws and regulations could harm our ability to successfully operate our business and pursue our business goals. For example, California recently enacted the California Consumer Privacy Act (the “CCPA”), that, among othe</w:t>
      </w:r>
      <w:r>
        <w:rPr>
          <w:sz w:val="20"/>
          <w:szCs w:val="20"/>
        </w:rPr>
        <w:t>r things, require covered companies to provide new disclosures to California consumers and afford such consumers new abilities to opt-out of certain sales of personal information. The CCPA recently was amended and it is not yet fully clear how the CCPA wil</w:t>
      </w:r>
      <w:r>
        <w:rPr>
          <w:sz w:val="20"/>
          <w:szCs w:val="20"/>
        </w:rPr>
        <w:t>l be enforced and how certain of its requirements will be interpreted. We cannot yet predict the impact of the CCPA on our business or operations, but it may require us to modify our data processing practices and policies and to incur substantial costs and</w:t>
      </w:r>
      <w:r>
        <w:rPr>
          <w:sz w:val="20"/>
          <w:szCs w:val="20"/>
        </w:rPr>
        <w:t xml:space="preserve"> expenses in an effort to comply</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 xml:space="preserve">Additionally, a new California ballot initiative, the California Privacy Rights Act ("CPRA"), was passed in November 2020. Effective on January 1, 2023, the CPRA imposes additional obligations on companies covered by the </w:t>
      </w:r>
      <w:r>
        <w:rPr>
          <w:sz w:val="20"/>
          <w:szCs w:val="20"/>
        </w:rPr>
        <w:t>legislation and will significantly modify the CCPA, including by expanding consumers’ rights with respect to certain sensitive personal information. The CPRA also creates a new state agency that will be vested with authority to implement and enforce the CC</w:t>
      </w:r>
      <w:r>
        <w:rPr>
          <w:sz w:val="20"/>
          <w:szCs w:val="20"/>
        </w:rPr>
        <w:t>PA and the CPRA. The effects of the CCPA and the CPRA are potentially significant and may require us to modify our data collection or processing practices and policies and to incur substantial costs and expenses in an effort to comply and increase our pote</w:t>
      </w:r>
      <w:r>
        <w:rPr>
          <w:sz w:val="20"/>
          <w:szCs w:val="20"/>
        </w:rPr>
        <w:t>ntial exposure to regulatory enforcement and/or litigation</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Certain other state laws impose similar privacy obligations and we also expect that more states may enact legislation similar to the CCPA, which provides consumers with new privacy rights and inc</w:t>
      </w:r>
      <w:r>
        <w:rPr>
          <w:sz w:val="20"/>
          <w:szCs w:val="20"/>
        </w:rPr>
        <w:t>reases the privacy and security obligations of entities handling certain personal information of such consumers. The CCPA has prompted a number of proposals for new federal and state-level privacy legislation. Such proposed legislation, if enacted, may add</w:t>
      </w:r>
      <w:r>
        <w:rPr>
          <w:sz w:val="20"/>
          <w:szCs w:val="20"/>
        </w:rPr>
        <w:t xml:space="preserve"> additional complexity, variation in requirements, restrictions and potential legal risk, require additional investment of resources in compliance programs, impact strategies and the availability of previously useful data and could result in increased comp</w:t>
      </w:r>
      <w:r>
        <w:rPr>
          <w:sz w:val="20"/>
          <w:szCs w:val="20"/>
        </w:rPr>
        <w:t>liance costs and/or changes in business practices and policies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In addition, on March 2, 2021, Virginia enacted the Consumer Data Protection Act (the “CDPA”). The CDPA will become effective January 1, 2023. The CDPA will regulate how businesses (which the</w:t>
      </w:r>
      <w:r>
        <w:rPr>
          <w:sz w:val="20"/>
          <w:szCs w:val="20"/>
        </w:rPr>
        <w:t xml:space="preserve"> CDPA refers to as “controllers”) collect and share personal information. While the CDPA incorporates many similar concepts of the CCPA and CPRA, there are also several key differences in the scope, application, and enforcement of the law that will change </w:t>
      </w:r>
      <w:r>
        <w:rPr>
          <w:sz w:val="20"/>
          <w:szCs w:val="20"/>
        </w:rPr>
        <w:t>the operational practices of controllers. The new law will impact how controllers collect and process personal sensitive data, conduct data protection assessments, transfer personal data to affiliates, and respond to consumer rights requests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Also, on Jul</w:t>
      </w:r>
      <w:r>
        <w:rPr>
          <w:sz w:val="20"/>
          <w:szCs w:val="20"/>
        </w:rPr>
        <w:t>y 8, 2021, Colorado’s governor signed the Colorado Privacy Act (“CPA”) into law. The CPA will become effective July 1, 2023. The CPA is rather similar to Virginia’s CPDA but also contains additional requirements. The new measure applies to companies conduc</w:t>
      </w:r>
      <w:r>
        <w:rPr>
          <w:sz w:val="20"/>
          <w:szCs w:val="20"/>
        </w:rPr>
        <w:t>ting business in Colorado or who produce or deliver commercial products or services intentionally targeted to its residents of the state that either: (1) control or process the personal data of at least 100,000 consumers during a calendar year; or (2) deri</w:t>
      </w:r>
      <w:r>
        <w:rPr>
          <w:sz w:val="20"/>
          <w:szCs w:val="20"/>
        </w:rPr>
        <w:t>ve revenue or receive a discount on the price of goods or services from the sale of personal data and process or control the personal data of at least 25,000 consumers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With the CPA, Colorado became the third state to enact a comprehensive privacy law but</w:t>
      </w:r>
      <w:r>
        <w:rPr>
          <w:sz w:val="20"/>
          <w:szCs w:val="20"/>
        </w:rPr>
        <w:t xml:space="preserve"> it is quite possible that other states will follow suit. The existence of comprehensive privacy laws in different states in the country will make our compliance obligations more complex and costly and may increase the likelihood that we may be subject to </w:t>
      </w:r>
      <w:r>
        <w:rPr>
          <w:sz w:val="20"/>
          <w:szCs w:val="20"/>
        </w:rPr>
        <w:t>enforcement actions or otherwise incur liability for noncompliance</w:t>
      </w:r>
      <w:r>
        <w:rPr>
          <w:sz w:val="20"/>
          <w:szCs w:val="20"/>
        </w:rPr>
        <w:t>.</w:t>
      </w:r>
    </w:p>
    <w:p w:rsidR="00000000" w:rsidRDefault="00A309A2">
      <w:pPr>
        <w:pStyle w:val="a3"/>
        <w:spacing w:before="200" w:beforeAutospacing="0" w:after="0" w:afterAutospacing="0"/>
        <w:ind w:firstLine="555"/>
        <w:rPr>
          <w:sz w:val="20"/>
          <w:szCs w:val="20"/>
        </w:rPr>
      </w:pPr>
      <w:r>
        <w:rPr>
          <w:sz w:val="20"/>
          <w:szCs w:val="20"/>
        </w:rPr>
        <w:t>In addition, several foreign jurisdictions, including the European Union and Canada, have regulations dealing with the collection and use of personal information obtained from their reside</w:t>
      </w:r>
      <w:r>
        <w:rPr>
          <w:sz w:val="20"/>
          <w:szCs w:val="20"/>
        </w:rPr>
        <w:t>nts, which are often more restrictive than those in the U.S. Laws and regulations in these jurisdictions apply broadly to the collection, use, storage, disclosure and security of personal information that identifies or may be used to identify an individual</w:t>
      </w:r>
      <w:r>
        <w:rPr>
          <w:sz w:val="20"/>
          <w:szCs w:val="20"/>
        </w:rPr>
        <w:t>. In relevant part, these laws and regulations may affect our ability to engage in lead generation activities by imposing heightened requirements, such as affirmative opt-ins or consent prior to sending commercial correspondence or engaging in electronic t</w:t>
      </w:r>
      <w:r>
        <w:rPr>
          <w:sz w:val="20"/>
          <w:szCs w:val="20"/>
        </w:rPr>
        <w:t>racking activities. For example, a recent ruling of the European Court of Justice in Case C-673/17 provides that a pre-checked opt-in is insufficient to constitute a valid active consumer consent to cookie storage</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Within the European Union, legislators h</w:t>
      </w:r>
      <w:r>
        <w:rPr>
          <w:sz w:val="20"/>
          <w:szCs w:val="20"/>
        </w:rPr>
        <w:t xml:space="preserve">ave adopted the GDPR and which became effective in May 2018 which may impose additional obligations and risk upon our business and which may increase substantially the penalties to which we could be subject in the event of any non-compliance. In addition, </w:t>
      </w:r>
      <w:r>
        <w:rPr>
          <w:sz w:val="20"/>
          <w:szCs w:val="20"/>
        </w:rPr>
        <w:t>further to the United Kingdom's exit from the European Union on January 31, 2020, the GDPR ceased to apply in the United Kingdom at the end of the transition period on December 31, 2020. However, as of January 1, 2021, the United Kingdom’s European Union (</w:t>
      </w:r>
      <w:r>
        <w:rPr>
          <w:sz w:val="20"/>
          <w:szCs w:val="20"/>
        </w:rPr>
        <w:t xml:space="preserve">Withdrawal) Act 2018 incorporated the GDPR (as it existed on December 31, 2020 but subject to certain United Kingdom specific amendments) into United Kingdom law (the “UK GDPR”). The UK GDPR and the UK Data Protection Act 2018 set out the United Kingdom’s </w:t>
      </w:r>
      <w:r>
        <w:rPr>
          <w:sz w:val="20"/>
          <w:szCs w:val="20"/>
        </w:rPr>
        <w:t>data protection regime, which is independent from but aligned to the European Union’s data protection regime. Non-compliance with the UK GDPR may result in monetary penalties of up to £17.5 million or 4% of worldwide revenue, whichever is higher. The Unite</w:t>
      </w:r>
      <w:r>
        <w:rPr>
          <w:sz w:val="20"/>
          <w:szCs w:val="20"/>
        </w:rPr>
        <w:t>d Kingdom, however, is now regarded as a third country under the European Union’s GDPR which means that transfers of personal data from the European Economic Area to the United Kingdo</w:t>
      </w:r>
      <w:r>
        <w:rPr>
          <w:sz w:val="20"/>
          <w:szCs w:val="20"/>
        </w:rPr>
        <w:t>m</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4</w:t>
      </w:r>
    </w:p>
    <w:p w:rsidR="00000000" w:rsidRDefault="00A309A2">
      <w:pPr>
        <w:rPr>
          <w:rFonts w:eastAsia="Times New Roman"/>
        </w:rPr>
      </w:pPr>
      <w:r>
        <w:rPr>
          <w:rFonts w:eastAsia="Times New Roman"/>
        </w:rPr>
        <w:pict>
          <v:rect id="_x0000_i105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will be restricted unless an</w:t>
      </w:r>
      <w:r>
        <w:rPr>
          <w:sz w:val="20"/>
          <w:szCs w:val="20"/>
        </w:rPr>
        <w:t xml:space="preserve"> appropriate safeguard, as recognized by the European Union’s GDPR, has been put in place. However, under the EU-UK Trade Cooperation Agreement it is lawful to transfer personal data between the United Kingdom and the European Economic Area for a 6 month p</w:t>
      </w:r>
      <w:r>
        <w:rPr>
          <w:sz w:val="20"/>
          <w:szCs w:val="20"/>
        </w:rPr>
        <w:t>eriod following the end of the transition period, with a view to achieving an adequacy decision from the European Commission during that period. Like the European Union GDPR, the UK GDPR restricts personal data transfers outside the United Kingdom to count</w:t>
      </w:r>
      <w:r>
        <w:rPr>
          <w:sz w:val="20"/>
          <w:szCs w:val="20"/>
        </w:rPr>
        <w:t>ries not regarded by the United Kingdom as providing adequate protection (this means that personal data transfers from the United Kingdom to the European Economic Area remain free flowing)</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On July 12, 2016, the European Commission adopted the EU-US Priva</w:t>
      </w:r>
      <w:r>
        <w:rPr>
          <w:sz w:val="20"/>
          <w:szCs w:val="20"/>
        </w:rPr>
        <w:t>cy Shield, a framework for the transfer of personal data from the European Union to the United States, as a successor to the Safe Harbor framework that was invalidated by the European Court of Justice in October 2015. We certified to the EU-US Privacy Shie</w:t>
      </w:r>
      <w:r>
        <w:rPr>
          <w:sz w:val="20"/>
          <w:szCs w:val="20"/>
        </w:rPr>
        <w:t>ld. On July 16, 2020, the European Court of Justice invalidated the EU–US Privacy Shield ruling that it failed to offer adequate protections for European Union personal data transferred to the United States. The European Court of Justice, in the same decis</w:t>
      </w:r>
      <w:r>
        <w:rPr>
          <w:sz w:val="20"/>
          <w:szCs w:val="20"/>
        </w:rPr>
        <w:t>ion, deemed that the Standard Contractual Clauses ("SCCs"), approved by the European Commission for transfers of personal data between European Union controllers and non-European Union processors are valid, however the European Court of Justice deemed that</w:t>
      </w:r>
      <w:r>
        <w:rPr>
          <w:sz w:val="20"/>
          <w:szCs w:val="20"/>
        </w:rPr>
        <w:t xml:space="preserve"> transfers made pursuant to the SCCs need to be analyzed on a case-by-case basis to ensure the European Union’s standards of data protection are met. Our customer agreements include SCCs. However, as a result of this decision, companies may be required to </w:t>
      </w:r>
      <w:r>
        <w:rPr>
          <w:sz w:val="20"/>
          <w:szCs w:val="20"/>
        </w:rPr>
        <w:t>adopt additional measures to accomplish transfers of personal data to the United States and other third countries in compliance with the GDPR, and there continue to be concerns about whether the SCCs will face additional challenges. Until the remaining leg</w:t>
      </w:r>
      <w:r>
        <w:rPr>
          <w:sz w:val="20"/>
          <w:szCs w:val="20"/>
        </w:rPr>
        <w:t>al uncertainties regarding how to legally continue these transfers are settled, we will continue to face uncertainty as to whether our customers will be permitted to transfer personal data to the United States for processing by us as part of our platform s</w:t>
      </w:r>
      <w:r>
        <w:rPr>
          <w:sz w:val="20"/>
          <w:szCs w:val="20"/>
        </w:rPr>
        <w:t xml:space="preserve">ervices. If such data transfer to the United States is not permitted, it could have a negative effect on our existing business and on our ability to attract and retain new customers. Our customers may view alternative data transfer mechanisms as being too </w:t>
      </w:r>
      <w:r>
        <w:rPr>
          <w:sz w:val="20"/>
          <w:szCs w:val="20"/>
        </w:rPr>
        <w:t xml:space="preserve">costly, too burdensome, too legally uncertain or otherwise objectionable and therefore decide not to do business with us. For example, some of our customers or potential customers who do business in the European Union may require their vendors to host all </w:t>
      </w:r>
      <w:r>
        <w:rPr>
          <w:sz w:val="20"/>
          <w:szCs w:val="20"/>
        </w:rPr>
        <w:t>personal data within the European Union and may decide to do business with one of our competitors who hosts personal data within the European Union instead of doing business with us. In addition, on June 4, 2021, the European Commission issued new forms of</w:t>
      </w:r>
      <w:r>
        <w:rPr>
          <w:sz w:val="20"/>
          <w:szCs w:val="20"/>
        </w:rPr>
        <w:t xml:space="preserve"> standard contractual clauses for data transfers from controllers or processors in the EU/EEA (or otherwise subject to the GDPR) to controllers or processors established outside the EU/EEA (and not subject to the GDPR): The new forms of standard contractua</w:t>
      </w:r>
      <w:r>
        <w:rPr>
          <w:sz w:val="20"/>
          <w:szCs w:val="20"/>
        </w:rPr>
        <w:t>l clauses will replace the standard contractual clauses that were adopted previously under the Data Protection Directive. We are in the process of transitioning to the new forms of standard contractual clauses and doing so will require significant effort a</w:t>
      </w:r>
      <w:r>
        <w:rPr>
          <w:sz w:val="20"/>
          <w:szCs w:val="20"/>
        </w:rPr>
        <w:t>nd cost. The new standard contractual clauses may also impact our business as companies based in Europe may be reluctant to utilize the new clauses to legitimize transfers of personal information to third countries given the burdensome requirements of tran</w:t>
      </w:r>
      <w:r>
        <w:rPr>
          <w:sz w:val="20"/>
          <w:szCs w:val="20"/>
        </w:rPr>
        <w:t>sfer impact assessments and the substantial obligations that the new standard contractual clauses impose upon exporters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The regulatory framework governing the collection, processing, storage, use and sharing of certain information, particularly financial</w:t>
      </w:r>
      <w:r>
        <w:rPr>
          <w:sz w:val="20"/>
          <w:szCs w:val="20"/>
        </w:rPr>
        <w:t xml:space="preserve"> and other personal information, is rapidly evolving and is likely to continue to be subject to uncertainty and varying interpretations. It is possible that these laws may be interpreted and applied in a manner that is inconsistent with our existing data m</w:t>
      </w:r>
      <w:r>
        <w:rPr>
          <w:sz w:val="20"/>
          <w:szCs w:val="20"/>
        </w:rPr>
        <w:t>anagement practices or the features of our services and platform capabilities. Any failure or perceived failure by us, or any third parties with which we do business, to comply with our posted privacy policies, changing consumer expectations, evolving laws</w:t>
      </w:r>
      <w:r>
        <w:rPr>
          <w:sz w:val="20"/>
          <w:szCs w:val="20"/>
        </w:rPr>
        <w:t>, rules and regulations, industry standards, or contractual obligations to which we or such third parties are or may become subject, may result in actions or other claims against us by governmental entities or private actors, the expenditure of substantial</w:t>
      </w:r>
      <w:r>
        <w:rPr>
          <w:sz w:val="20"/>
          <w:szCs w:val="20"/>
        </w:rPr>
        <w:t xml:space="preserve"> costs, time and other resources or the incurrence of significant fines, penalties or other liabilities. In addition, any such action, particularly to the extent we were found to be guilty of violations or otherwise liable for damages, would damage our rep</w:t>
      </w:r>
      <w:r>
        <w:rPr>
          <w:sz w:val="20"/>
          <w:szCs w:val="20"/>
        </w:rPr>
        <w:t>utation and adversely affect our business, financial condition and results of operations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publicly post documentation regarding our practices concerning the collection, processing, use and disclosure of data. Although we endeavor to comply with our pub</w:t>
      </w:r>
      <w:r>
        <w:rPr>
          <w:sz w:val="20"/>
          <w:szCs w:val="20"/>
        </w:rPr>
        <w:t xml:space="preserve">lished policies and documentation, we may at times fail to do so or be alleged to have failed to do so. Any failure or perceived failure by us to comply with our privacy policies or any applicable privacy, security or data protection, information security </w:t>
      </w:r>
      <w:r>
        <w:rPr>
          <w:sz w:val="20"/>
          <w:szCs w:val="20"/>
        </w:rPr>
        <w:t>or consumer-protection related laws, regulations, orders or industry standards could expose us to costly litigation, significant awards, fines or judgments, civil and/or criminal penalties or negative publicity, and could materially and adversely affect ou</w:t>
      </w:r>
      <w:r>
        <w:rPr>
          <w:sz w:val="20"/>
          <w:szCs w:val="20"/>
        </w:rPr>
        <w:t xml:space="preserve">r business, financial condition and results of operations. The publication of our privacy policy and other documentation that provide promises and assurances about privacy and security can subject us to potential state and federal action if they are found </w:t>
      </w:r>
      <w:r>
        <w:rPr>
          <w:sz w:val="20"/>
          <w:szCs w:val="20"/>
        </w:rPr>
        <w:t>to be deceptive, unfair, or misrepresentative of our actual practices, which could, individually or in the aggregate, materially and adversely affect our business, financial condition and results of operations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If our privacy or data security measures fai</w:t>
      </w:r>
      <w:r>
        <w:rPr>
          <w:sz w:val="20"/>
          <w:szCs w:val="20"/>
        </w:rPr>
        <w:t xml:space="preserve">l to comply with current or future laws and regulations, we may be subject to claims, legal proceedings or other actions by individuals or governmental authorities based on privacy or data protection regulations and our commitments to customers or others, </w:t>
      </w:r>
      <w:r>
        <w:rPr>
          <w:sz w:val="20"/>
          <w:szCs w:val="20"/>
        </w:rPr>
        <w:t>as well as negative publicity and a potential loss of business. Moreover, if future laws and regulations limit our subscribers’ ability to use and share personal information or our ability to store, process and share persona</w:t>
      </w:r>
      <w:r>
        <w:rPr>
          <w:sz w:val="20"/>
          <w:szCs w:val="20"/>
        </w:rPr>
        <w:t>l</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5</w:t>
      </w:r>
    </w:p>
    <w:p w:rsidR="00000000" w:rsidRDefault="00A309A2">
      <w:pPr>
        <w:rPr>
          <w:rFonts w:eastAsia="Times New Roman"/>
        </w:rPr>
      </w:pPr>
      <w:r>
        <w:rPr>
          <w:rFonts w:eastAsia="Times New Roman"/>
        </w:rPr>
        <w:pict>
          <v:rect id="_x0000_i105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information, demand for our solutions could decrease, our costs could increase, and our business, results of operations and financial condition could be harmed</w:t>
      </w:r>
      <w:r>
        <w:rPr>
          <w:sz w:val="20"/>
          <w:szCs w:val="20"/>
        </w:rPr>
        <w:t>.</w:t>
      </w:r>
    </w:p>
    <w:p w:rsidR="00000000" w:rsidRDefault="00A309A2">
      <w:pPr>
        <w:pStyle w:val="a3"/>
        <w:spacing w:before="200" w:beforeAutospacing="0" w:after="0" w:afterAutospacing="0"/>
        <w:rPr>
          <w:sz w:val="20"/>
          <w:szCs w:val="20"/>
        </w:rPr>
      </w:pPr>
      <w:r>
        <w:rPr>
          <w:b/>
          <w:bCs/>
          <w:i/>
          <w:iCs/>
          <w:sz w:val="20"/>
          <w:szCs w:val="20"/>
        </w:rPr>
        <w:t>We could face liability, or our reputation might be harme</w:t>
      </w:r>
      <w:r>
        <w:rPr>
          <w:b/>
          <w:bCs/>
          <w:i/>
          <w:iCs/>
          <w:sz w:val="20"/>
          <w:szCs w:val="20"/>
        </w:rPr>
        <w:t>d, as a result of the activities of our customers, the content of their websites or the data they store on our servers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As a provider of a cloud-based inbound marketing, sales and customer service software platform, we may be subject to potential liability</w:t>
      </w:r>
      <w:r>
        <w:rPr>
          <w:sz w:val="20"/>
          <w:szCs w:val="20"/>
        </w:rPr>
        <w:t xml:space="preserve"> for the activities of our customers on or in connection with the data they store on our servers. Although our customer terms of use prohibit illegal use of our services by our customers and permit us to take down websites or take other appropriate actions</w:t>
      </w:r>
      <w:r>
        <w:rPr>
          <w:sz w:val="20"/>
          <w:szCs w:val="20"/>
        </w:rPr>
        <w:t xml:space="preserve"> for illegal use, customers may nonetheless engage in prohibited activities or upload or store content with us in violation of applicable law or the customer’s own policies, which could subject us to liability or harm our reputation. Furthermore, customers</w:t>
      </w:r>
      <w:r>
        <w:rPr>
          <w:sz w:val="20"/>
          <w:szCs w:val="20"/>
        </w:rPr>
        <w:t xml:space="preserve"> may upload, store, or use content on our CRM Platform that may violate our policy on acceptable use which prohibits content that is threatening, abusive, harassing, deceptive, false, misleading, vulgar, obscene, or indecent. While such content may not be </w:t>
      </w:r>
      <w:r>
        <w:rPr>
          <w:sz w:val="20"/>
          <w:szCs w:val="20"/>
        </w:rPr>
        <w:t>illegal, use of our CRM Platform for such content could harm our reputation resulting in a loss of business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Several U.S. federal statutes may apply to us with respect to various customer activities</w:t>
      </w:r>
      <w:r>
        <w:rPr>
          <w:sz w:val="20"/>
          <w:szCs w:val="20"/>
        </w:rPr>
        <w:t>:</w:t>
      </w:r>
    </w:p>
    <w:p w:rsidR="00000000" w:rsidRDefault="00A309A2">
      <w:pPr>
        <w:pStyle w:val="a3"/>
        <w:spacing w:before="200" w:beforeAutospacing="0" w:after="0" w:afterAutospacing="0"/>
        <w:ind w:firstLine="555"/>
        <w:rPr>
          <w:sz w:val="20"/>
          <w:szCs w:val="20"/>
        </w:rPr>
      </w:pPr>
      <w:r>
        <w:rPr>
          <w:sz w:val="20"/>
          <w:szCs w:val="20"/>
        </w:rPr>
        <w:t>• The Digital Millennium Copyright Act of 1998 ("DMCA")</w:t>
      </w:r>
      <w:r>
        <w:rPr>
          <w:sz w:val="20"/>
          <w:szCs w:val="20"/>
        </w:rPr>
        <w:t>, provides recourse for owners of copyrighted material who believe that their rights under U.S. copyright law have been infringed on the Internet. Under the DMCA, based on our current business activity as an Internet service provider that does not own or c</w:t>
      </w:r>
      <w:r>
        <w:rPr>
          <w:sz w:val="20"/>
          <w:szCs w:val="20"/>
        </w:rPr>
        <w:t>ontrol website content posted by our customers, we generally are not liable for infringing content posted by our customers or other third parties, provided that we follow the procedures for handling copyright infringement claims set forth in the DMCA. Gene</w:t>
      </w:r>
      <w:r>
        <w:rPr>
          <w:sz w:val="20"/>
          <w:szCs w:val="20"/>
        </w:rPr>
        <w:t>rally, if we receive a proper notice from, or on behalf, of a copyright owner alleging infringement of copyrighted material located on websites we host, and we fail to expeditiously remove or disable access to the allegedly infringing material or otherwise</w:t>
      </w:r>
      <w:r>
        <w:rPr>
          <w:sz w:val="20"/>
          <w:szCs w:val="20"/>
        </w:rPr>
        <w:t xml:space="preserve"> fail to meet the requirements of the safe harbor provided by the DMCA, the copyright owner may seek to impose liability on us. Technical mistakes in complying with the detailed DMCA take-down procedures could subject us to liability for copyright infringe</w:t>
      </w:r>
      <w:r>
        <w:rPr>
          <w:sz w:val="20"/>
          <w:szCs w:val="20"/>
        </w:rPr>
        <w:t>ment</w:t>
      </w:r>
      <w:r>
        <w:rPr>
          <w:sz w:val="20"/>
          <w:szCs w:val="20"/>
        </w:rPr>
        <w:t>.</w:t>
      </w:r>
    </w:p>
    <w:p w:rsidR="00000000" w:rsidRDefault="00A309A2">
      <w:pPr>
        <w:pStyle w:val="a3"/>
        <w:spacing w:before="200" w:beforeAutospacing="0" w:after="0" w:afterAutospacing="0"/>
        <w:ind w:firstLine="555"/>
        <w:rPr>
          <w:sz w:val="20"/>
          <w:szCs w:val="20"/>
        </w:rPr>
      </w:pPr>
      <w:r>
        <w:rPr>
          <w:sz w:val="20"/>
          <w:szCs w:val="20"/>
        </w:rPr>
        <w:t>• The Communications Decency Act of 1996 ("CDA"), generally protects online service providers, such as us, from liability for certain activities of their customers, such as the posting of defamatory or obscene content, unless the online service provi</w:t>
      </w:r>
      <w:r>
        <w:rPr>
          <w:sz w:val="20"/>
          <w:szCs w:val="20"/>
        </w:rPr>
        <w:t xml:space="preserve">der is participating in the unlawful conduct. Under the CDA, we are generally not responsible for the customer-created content hosted on our servers. Consequently, we do not monitor hosted websites or prescreen the content placed by our customers on their </w:t>
      </w:r>
      <w:r>
        <w:rPr>
          <w:sz w:val="20"/>
          <w:szCs w:val="20"/>
        </w:rPr>
        <w:t>sites. However, the CDA does not apply in foreign jurisdictions and we may nonetheless be brought into disputes between our customers and third parties which would require us to devote management time and resources to resolve such matters and any publicity</w:t>
      </w:r>
      <w:r>
        <w:rPr>
          <w:sz w:val="20"/>
          <w:szCs w:val="20"/>
        </w:rPr>
        <w:t xml:space="preserve"> from such matters could also have an adverse effect on our reputation and therefore our business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 In addition to the CDA, the Securing the Protection of our Enduring and Established Constitutional Heritage Act (the "SPEECH Act"), provides a statutory e</w:t>
      </w:r>
      <w:r>
        <w:rPr>
          <w:sz w:val="20"/>
          <w:szCs w:val="20"/>
        </w:rPr>
        <w:t>xception to the enforcement by a U.S. court of a foreign judgment for defamation under certain circumstances. Generally, the exception applies if the defamation law applied in the foreign court did not provide at least as much protection for freedom of spe</w:t>
      </w:r>
      <w:r>
        <w:rPr>
          <w:sz w:val="20"/>
          <w:szCs w:val="20"/>
        </w:rPr>
        <w:t>ech and press as would be provided by the First Amendment of the U.S. Constitution or by the constitution and law of the state in which the U.S. court is located, or if no finding of defamation would be supported under the First Amendment of the U.S. Const</w:t>
      </w:r>
      <w:r>
        <w:rPr>
          <w:sz w:val="20"/>
          <w:szCs w:val="20"/>
        </w:rPr>
        <w:t>itution or under the constitution and law of the state in which the U.S. court is located. Although the SPEECH Act may protect us from the enforcement of foreign judgments in the United States, it does not affect the enforceability of the judgment in the f</w:t>
      </w:r>
      <w:r>
        <w:rPr>
          <w:sz w:val="20"/>
          <w:szCs w:val="20"/>
        </w:rPr>
        <w:t xml:space="preserve">oreign country that issued the judgment. Given our international presence, we may therefore, nonetheless, have to defend against or comply with any foreign judgments made against us, which could take up substantial management time and resources and damage </w:t>
      </w:r>
      <w:r>
        <w:rPr>
          <w:sz w:val="20"/>
          <w:szCs w:val="20"/>
        </w:rPr>
        <w:t>our reputation</w:t>
      </w:r>
      <w:r>
        <w:rPr>
          <w:sz w:val="20"/>
          <w:szCs w:val="20"/>
        </w:rPr>
        <w:t>.</w:t>
      </w:r>
    </w:p>
    <w:p w:rsidR="00000000" w:rsidRDefault="00A309A2">
      <w:pPr>
        <w:pStyle w:val="a3"/>
        <w:spacing w:before="200" w:beforeAutospacing="0" w:after="0" w:afterAutospacing="0"/>
        <w:ind w:firstLine="555"/>
        <w:rPr>
          <w:sz w:val="20"/>
          <w:szCs w:val="20"/>
        </w:rPr>
      </w:pPr>
      <w:r>
        <w:rPr>
          <w:sz w:val="20"/>
          <w:szCs w:val="20"/>
        </w:rPr>
        <w:t>Although these statutes and case law in the United States have generally shielded us from liability for customer activities to date, court rulings in pending or future litigation may narrow the scope of protection afforded us under these la</w:t>
      </w:r>
      <w:r>
        <w:rPr>
          <w:sz w:val="20"/>
          <w:szCs w:val="20"/>
        </w:rPr>
        <w:t>ws. In addition, laws governing these activities are unsettled in many international jurisdictions, or may prove difficult or impossible for us to comply with in some international jurisdictions. Also, notwithstanding the exculpatory language of these bodi</w:t>
      </w:r>
      <w:r>
        <w:rPr>
          <w:sz w:val="20"/>
          <w:szCs w:val="20"/>
        </w:rPr>
        <w:t xml:space="preserve">es of law, we may become involved in complaints and lawsuits which, even if ultimately resolved in our favor, add cost to our doing business and may divert management’s time and attention. Finally, other existing bodies of law, including the criminal laws </w:t>
      </w:r>
      <w:r>
        <w:rPr>
          <w:sz w:val="20"/>
          <w:szCs w:val="20"/>
        </w:rPr>
        <w:t>of various states, may be deemed to apply or new statutes or regulations may be adopted in the future, any of which could expose us to further liability and increase our costs of doing business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Additionally, Payments, our end-to-end payment solution buil</w:t>
      </w:r>
      <w:r>
        <w:rPr>
          <w:sz w:val="20"/>
          <w:szCs w:val="20"/>
        </w:rPr>
        <w:t>t natively as part of our CRM Platform, is susceptible to potentially illegal or improper uses, including money laundering, terrorist financing, fraudulent or illegal sales of goods or services, piracy of software, movies, music, and other copyrighted or t</w:t>
      </w:r>
      <w:r>
        <w:rPr>
          <w:sz w:val="20"/>
          <w:szCs w:val="20"/>
        </w:rPr>
        <w:t>rademarked information, bank fraud, securities fraud, pyramid or ponzi schemes, or the facilitation of other illegal or improper activity. While we engage a third party as our registered payment facilitator, the use of Payments for illegal or improper uses</w:t>
      </w:r>
      <w:r>
        <w:rPr>
          <w:sz w:val="20"/>
          <w:szCs w:val="20"/>
        </w:rPr>
        <w:t xml:space="preserve"> may subject us to claims (including claims brought by our third party paymen</w:t>
      </w:r>
      <w:r>
        <w:rPr>
          <w:sz w:val="20"/>
          <w:szCs w:val="20"/>
        </w:rPr>
        <w:t>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6</w:t>
      </w:r>
    </w:p>
    <w:p w:rsidR="00000000" w:rsidRDefault="00A309A2">
      <w:pPr>
        <w:rPr>
          <w:rFonts w:eastAsia="Times New Roman"/>
        </w:rPr>
      </w:pPr>
      <w:r>
        <w:rPr>
          <w:rFonts w:eastAsia="Times New Roman"/>
        </w:rPr>
        <w:pict>
          <v:rect id="_x0000_i105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 xml:space="preserve">processor), government and regulatory requests, inquiries, or investigations that could result in liability, and harm our reputation. </w:t>
      </w:r>
      <w:r>
        <w:rPr>
          <w:sz w:val="20"/>
          <w:szCs w:val="20"/>
        </w:rPr>
        <w:t xml:space="preserve">Moreover, certain activity that may be legal in one jurisdiction may be illegal in another jurisdiction, and a merchant may be found responsible for intentionally or inadvertently importing or exporting illegal goods, resulting in liability for us. Owners </w:t>
      </w:r>
      <w:r>
        <w:rPr>
          <w:sz w:val="20"/>
          <w:szCs w:val="20"/>
        </w:rPr>
        <w:t xml:space="preserve">of intellectual property rights or government authorities may seek to bring legal action against providers of payments solutions, including Payments, that are peripherally involved in the sale of infringing or allegedly infringing items. Any threatened or </w:t>
      </w:r>
      <w:r>
        <w:rPr>
          <w:sz w:val="20"/>
          <w:szCs w:val="20"/>
        </w:rPr>
        <w:t>resulting claims could result in reputational harm, and any resulting liabilities, loss of transaction volume, or increased costs could harm our business</w:t>
      </w:r>
      <w:r>
        <w:rPr>
          <w:sz w:val="20"/>
          <w:szCs w:val="20"/>
        </w:rPr>
        <w:t>.</w:t>
      </w:r>
    </w:p>
    <w:p w:rsidR="00000000" w:rsidRDefault="00A309A2">
      <w:pPr>
        <w:pStyle w:val="a3"/>
        <w:spacing w:before="200" w:beforeAutospacing="0" w:after="0" w:afterAutospacing="0"/>
        <w:ind w:firstLine="555"/>
        <w:rPr>
          <w:sz w:val="20"/>
          <w:szCs w:val="20"/>
        </w:rPr>
      </w:pPr>
      <w:r>
        <w:rPr>
          <w:sz w:val="20"/>
          <w:szCs w:val="20"/>
        </w:rPr>
        <w:t>If Payments is used for illegal or improper uses, we may incur substantial losses as a result of clai</w:t>
      </w:r>
      <w:r>
        <w:rPr>
          <w:sz w:val="20"/>
          <w:szCs w:val="20"/>
        </w:rPr>
        <w:t>ms from merchants and consumers. Allowances for transaction losses that we have established may be insufficient to cover incurred losses. Moreover, if measures to detect and reduce the risk of fraud are not effective and our loss rate is higher than antici</w:t>
      </w:r>
      <w:r>
        <w:rPr>
          <w:sz w:val="20"/>
          <w:szCs w:val="20"/>
        </w:rPr>
        <w:t>pated, Payments and our business could be negatively impacted</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br/>
      </w:r>
      <w:r>
        <w:rPr>
          <w:sz w:val="20"/>
          <w:szCs w:val="20"/>
        </w:rPr>
        <w:t> </w:t>
      </w:r>
    </w:p>
    <w:p w:rsidR="00000000" w:rsidRDefault="00A309A2">
      <w:pPr>
        <w:pStyle w:val="a3"/>
        <w:spacing w:before="200" w:beforeAutospacing="0" w:after="0" w:afterAutospacing="0"/>
        <w:rPr>
          <w:sz w:val="20"/>
          <w:szCs w:val="20"/>
        </w:rPr>
      </w:pPr>
      <w:r>
        <w:rPr>
          <w:b/>
          <w:bCs/>
          <w:i/>
          <w:iCs/>
          <w:sz w:val="20"/>
          <w:szCs w:val="20"/>
        </w:rPr>
        <w:t>The standards that private entities use to regulate the use of email have in the past interfered with, and may in the future interfere with, the effectiveness of our CRM Platform and our ab</w:t>
      </w:r>
      <w:r>
        <w:rPr>
          <w:b/>
          <w:bCs/>
          <w:i/>
          <w:iCs/>
          <w:sz w:val="20"/>
          <w:szCs w:val="20"/>
        </w:rPr>
        <w:t>ility to conduct business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customers rely on email to communicate with their existing or prospective customers. Various private entities attempt to regulate the use of email for commercial solicitation. These entities often advocate standards of conduc</w:t>
      </w:r>
      <w:r>
        <w:rPr>
          <w:sz w:val="20"/>
          <w:szCs w:val="20"/>
        </w:rPr>
        <w:t>t or practice that significantly exceed current legal requirements and classify certain email solicitations that comply with current legal requirements as spam. Some of these entities maintain “blacklists” of companies and individuals, and the websites, in</w:t>
      </w:r>
      <w:r>
        <w:rPr>
          <w:sz w:val="20"/>
          <w:szCs w:val="20"/>
        </w:rPr>
        <w:t>ternet service providers and internet protocol addresses associated with those entities or individuals that do not adhere to those standards of conduct or practices for commercial email solicitations that the blacklisting entity believes are appropriate. I</w:t>
      </w:r>
      <w:r>
        <w:rPr>
          <w:sz w:val="20"/>
          <w:szCs w:val="20"/>
        </w:rPr>
        <w:t>f a company’s internet protocol addresses are listed by a blacklisting entity, emails sent from those addresses may be blocked if they are sent to any internet domain or internet address that subscribes to the blacklisting entity’s service or purchases its</w:t>
      </w:r>
      <w:r>
        <w:rPr>
          <w:sz w:val="20"/>
          <w:szCs w:val="20"/>
        </w:rPr>
        <w:t xml:space="preserve"> blacklist</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From time to time, some of our internet protocol addresses may become listed with one or more blacklisting entities due to the messaging practices of our customers. There can be no guarantee that we will be able to successfully remove ourselve</w:t>
      </w:r>
      <w:r>
        <w:rPr>
          <w:sz w:val="20"/>
          <w:szCs w:val="20"/>
        </w:rPr>
        <w:t>s from those lists. Blacklisting of this type could interfere with our ability to market our CRM Platform and services and communicate with our customers and, because we fulfill email delivery on behalf of our customers, could undermine the effectiveness o</w:t>
      </w:r>
      <w:r>
        <w:rPr>
          <w:sz w:val="20"/>
          <w:szCs w:val="20"/>
        </w:rPr>
        <w:t>f our customers’ email marketing campaigns, all of which could have a material negative impact on our business and results of operations</w:t>
      </w:r>
      <w:r>
        <w:rPr>
          <w:sz w:val="20"/>
          <w:szCs w:val="20"/>
        </w:rPr>
        <w:t>.</w:t>
      </w:r>
    </w:p>
    <w:p w:rsidR="00000000" w:rsidRDefault="00A309A2">
      <w:pPr>
        <w:pStyle w:val="a3"/>
        <w:spacing w:before="200" w:beforeAutospacing="0" w:after="0" w:afterAutospacing="0"/>
        <w:rPr>
          <w:sz w:val="20"/>
          <w:szCs w:val="20"/>
        </w:rPr>
      </w:pPr>
      <w:r>
        <w:rPr>
          <w:b/>
          <w:bCs/>
          <w:i/>
          <w:iCs/>
          <w:sz w:val="20"/>
          <w:szCs w:val="20"/>
        </w:rPr>
        <w:t>Existing federal, state and foreign laws regulate Internet tracking software, the senders of commercial emails and tex</w:t>
      </w:r>
      <w:r>
        <w:rPr>
          <w:b/>
          <w:bCs/>
          <w:i/>
          <w:iCs/>
          <w:sz w:val="20"/>
          <w:szCs w:val="20"/>
        </w:rPr>
        <w:t>t messages, website owners and other activities, and could impact the use of our CRM Platform and potentially subject us to regulatory enforcement or private litigation</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Certain aspects of how our customers utilize our platform are subject to regulations i</w:t>
      </w:r>
      <w:r>
        <w:rPr>
          <w:sz w:val="20"/>
          <w:szCs w:val="20"/>
        </w:rPr>
        <w:t xml:space="preserve">n the United States, European Union and elsewhere. In recent years, U.S. and European lawmakers and regulators have expressed concern over the use of third-party cookies or web beacons for online behavioral advertising, and legislation adopted recently in </w:t>
      </w:r>
      <w:r>
        <w:rPr>
          <w:sz w:val="20"/>
          <w:szCs w:val="20"/>
        </w:rPr>
        <w:t xml:space="preserve">the European Union requires informed consent for the placement of a cookie on a user’s device. Regulation of cookies and web beacons may lead to restrictions on our activities, such as efforts to understand users’ Internet usage. New and expanding “Do Not </w:t>
      </w:r>
      <w:r>
        <w:rPr>
          <w:sz w:val="20"/>
          <w:szCs w:val="20"/>
        </w:rPr>
        <w:t>Track” regulations have recently been enacted or proposed that protect users’ right to choose whether or not to be tracked online. These regulations seek, among other things, to allow end users to have greater control over the use of private information co</w:t>
      </w:r>
      <w:r>
        <w:rPr>
          <w:sz w:val="20"/>
          <w:szCs w:val="20"/>
        </w:rPr>
        <w:t>llected online, to forbid the collection or use of online information, to demand a business to comply with their choice to opt out of such collection or use, and to place limits upon the disclosure of information to third party websites. These policies cou</w:t>
      </w:r>
      <w:r>
        <w:rPr>
          <w:sz w:val="20"/>
          <w:szCs w:val="20"/>
        </w:rPr>
        <w:t>ld have a significant impact on the operation of our CRM Platform and could impair our attractiveness to customers, which would harm our business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Many of our customers and potential customers in the healthcare, financial services and other industries are</w:t>
      </w:r>
      <w:r>
        <w:rPr>
          <w:sz w:val="20"/>
          <w:szCs w:val="20"/>
        </w:rPr>
        <w:t xml:space="preserve"> subject to substantial regulation regarding their collection, use and protection of data and may be the subject of further regulation in the future. Accordingly, these laws or significant new laws or regulations or changes in, or repeals of, existing laws</w:t>
      </w:r>
      <w:r>
        <w:rPr>
          <w:sz w:val="20"/>
          <w:szCs w:val="20"/>
        </w:rPr>
        <w:t>, regulations or governmental policy may change the way these customers do business and may require us to implement additional features or offer additional contractual terms to satisfy customer and regulatory requirements, or could cause the demand for and</w:t>
      </w:r>
      <w:r>
        <w:rPr>
          <w:sz w:val="20"/>
          <w:szCs w:val="20"/>
        </w:rPr>
        <w:t xml:space="preserve"> sales of our CRM Platform to decrease and adversely impact our financial results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 xml:space="preserve">In addition, the Controlling the Assault of Non-Solicited Pornography and Marketing Act of 2003 ("CAN-SPAM Act"), establishes certain requirements for commercial email messages and specifies penalties for the transmission of commercial email messages that </w:t>
      </w:r>
      <w:r>
        <w:rPr>
          <w:sz w:val="20"/>
          <w:szCs w:val="20"/>
        </w:rPr>
        <w:t>are intended to deceive the recipient as to source or content. The CAN-SPAM Act, among other things, obligates the sender of commercial emails to provide recipients with the ability to opt out of receiving future commercial emails from the sender. The abil</w:t>
      </w:r>
      <w:r>
        <w:rPr>
          <w:sz w:val="20"/>
          <w:szCs w:val="20"/>
        </w:rPr>
        <w:t>ity of our customers’ message recipients to opt out of receiving commercial emails may minimize the effectiveness of th</w:t>
      </w:r>
      <w:r>
        <w:rPr>
          <w:sz w:val="20"/>
          <w:szCs w:val="20"/>
        </w:rPr>
        <w:t>e</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7</w:t>
      </w:r>
    </w:p>
    <w:p w:rsidR="00000000" w:rsidRDefault="00A309A2">
      <w:pPr>
        <w:rPr>
          <w:rFonts w:eastAsia="Times New Roman"/>
        </w:rPr>
      </w:pPr>
      <w:r>
        <w:rPr>
          <w:rFonts w:eastAsia="Times New Roman"/>
        </w:rPr>
        <w:pict>
          <v:rect id="_x0000_i105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email components of our CRM Platform. In addition, certain states and foreign jurisdictions, such as Australia, Canada and the European Union, have enacted laws that regulate sending email, and some of these laws are more restrictive than U.S. laws. For ex</w:t>
      </w:r>
      <w:r>
        <w:rPr>
          <w:sz w:val="20"/>
          <w:szCs w:val="20"/>
        </w:rPr>
        <w:t>ample, some foreign laws prohibit sending unsolicited email unless the recipient has provided the sender advance consent to receipt of such email, or in other words has “opted-in” to receiving it. A requirement that recipients opt into, or the ability of r</w:t>
      </w:r>
      <w:r>
        <w:rPr>
          <w:sz w:val="20"/>
          <w:szCs w:val="20"/>
        </w:rPr>
        <w:t>ecipients to opt out of, receiving commercial emails may minimize the effectiveness of our platform</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 xml:space="preserve">While these laws and regulations generally govern our customers’ use of our CRM Platform, we may be subject to certain laws as a data processor on behalf </w:t>
      </w:r>
      <w:r>
        <w:rPr>
          <w:sz w:val="20"/>
          <w:szCs w:val="20"/>
        </w:rPr>
        <w:t>of, or as a business associate of, our customers. For example, laws and regulations governing the collection, use and disclosure of personal information include, in the United States, rules and regulations promulgated under the authority of the Federal Tra</w:t>
      </w:r>
      <w:r>
        <w:rPr>
          <w:sz w:val="20"/>
          <w:szCs w:val="20"/>
        </w:rPr>
        <w:t xml:space="preserve">de Commission, the Health Insurance Portability and Accountability Act of 1996, the Gramm-Leach-Bliley Act of 1999 and state breach notification laws, and internationally, the Data Protection Directive in the European Union and the Federal Data Protection </w:t>
      </w:r>
      <w:r>
        <w:rPr>
          <w:sz w:val="20"/>
          <w:szCs w:val="20"/>
        </w:rPr>
        <w:t xml:space="preserve">Act in Germany. If we were found to be in violation of any of these laws or regulations as a result of government enforcement or private litigation, we could be subjected to civil and criminal sanctions, including both monetary fines and injunctive action </w:t>
      </w:r>
      <w:r>
        <w:rPr>
          <w:sz w:val="20"/>
          <w:szCs w:val="20"/>
        </w:rPr>
        <w:t>that could force us to change our business practices, all of which could adversely affect our financial performance and significantly harm our reputation and our business</w:t>
      </w:r>
      <w:r>
        <w:rPr>
          <w:sz w:val="20"/>
          <w:szCs w:val="20"/>
        </w:rPr>
        <w:t>.</w:t>
      </w:r>
    </w:p>
    <w:p w:rsidR="00000000" w:rsidRDefault="00A309A2">
      <w:pPr>
        <w:pStyle w:val="a3"/>
        <w:spacing w:before="200" w:beforeAutospacing="0" w:after="0" w:afterAutospacing="0"/>
        <w:rPr>
          <w:sz w:val="20"/>
          <w:szCs w:val="20"/>
        </w:rPr>
      </w:pPr>
      <w:r>
        <w:rPr>
          <w:b/>
          <w:bCs/>
          <w:i/>
          <w:iCs/>
          <w:sz w:val="20"/>
          <w:szCs w:val="20"/>
        </w:rPr>
        <w:t>We are subject to governmental export controls and economic sanctions laws that coul</w:t>
      </w:r>
      <w:r>
        <w:rPr>
          <w:b/>
          <w:bCs/>
          <w:i/>
          <w:iCs/>
          <w:sz w:val="20"/>
          <w:szCs w:val="20"/>
        </w:rPr>
        <w:t>d impair our ability to compete in international markets and subject us to liability if we are not in full compliance with applicable laws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business activities are subject to various restrictions under U.S. export controls and trade and economic sancti</w:t>
      </w:r>
      <w:r>
        <w:rPr>
          <w:sz w:val="20"/>
          <w:szCs w:val="20"/>
        </w:rPr>
        <w:t>ons laws, including the U.S. Commerce Department’s Export Administration Regulations and economic and trade sanctions regulations maintained by the U.S. Treasury Department’s Office of Foreign Assets Control. If we fail to comply with these laws and regula</w:t>
      </w:r>
      <w:r>
        <w:rPr>
          <w:sz w:val="20"/>
          <w:szCs w:val="20"/>
        </w:rPr>
        <w:t>tions, we and certain of our employees could be subject to civil or criminal penalties and reputational harm. Obtaining the necessary authorizations, including any required license, for a particular transaction may be time-consuming, is not guaranteed, and</w:t>
      </w:r>
      <w:r>
        <w:rPr>
          <w:sz w:val="20"/>
          <w:szCs w:val="20"/>
        </w:rPr>
        <w:t xml:space="preserve"> may result in the delay or loss of sales opportunities. Furthermore, U.S. export control laws and economic sanctions laws prohibit certain transactions with U.S. embargoed or sanctioned countries, governments, persons and entities. Although we take precau</w:t>
      </w:r>
      <w:r>
        <w:rPr>
          <w:sz w:val="20"/>
          <w:szCs w:val="20"/>
        </w:rPr>
        <w:t>tions to prevent transactions with U.S. sanction targets, the possibility exists that we could inadvertently provide our solutions to persons prohibited by U.S. sanctions. This could result in negative consequences to us, including government investigation</w:t>
      </w:r>
      <w:r>
        <w:rPr>
          <w:sz w:val="20"/>
          <w:szCs w:val="20"/>
        </w:rPr>
        <w:t>s, penalties and reputational harm</w:t>
      </w:r>
      <w:r>
        <w:rPr>
          <w:sz w:val="20"/>
          <w:szCs w:val="20"/>
        </w:rPr>
        <w:t>.</w:t>
      </w:r>
    </w:p>
    <w:p w:rsidR="00000000" w:rsidRDefault="00A309A2">
      <w:pPr>
        <w:pStyle w:val="a3"/>
        <w:spacing w:before="200" w:beforeAutospacing="0" w:after="0" w:afterAutospacing="0"/>
        <w:rPr>
          <w:sz w:val="20"/>
          <w:szCs w:val="20"/>
        </w:rPr>
      </w:pPr>
      <w:r>
        <w:rPr>
          <w:b/>
          <w:bCs/>
          <w:sz w:val="20"/>
          <w:szCs w:val="20"/>
        </w:rPr>
        <w:t>Risks Related to Taxatio</w:t>
      </w:r>
      <w:r>
        <w:rPr>
          <w:b/>
          <w:bCs/>
          <w:sz w:val="20"/>
          <w:szCs w:val="20"/>
        </w:rPr>
        <w:t>n</w:t>
      </w:r>
    </w:p>
    <w:p w:rsidR="00000000" w:rsidRDefault="00A309A2">
      <w:pPr>
        <w:pStyle w:val="a3"/>
        <w:spacing w:before="200" w:beforeAutospacing="0" w:after="0" w:afterAutospacing="0"/>
        <w:rPr>
          <w:sz w:val="20"/>
          <w:szCs w:val="20"/>
        </w:rPr>
      </w:pPr>
      <w:r>
        <w:rPr>
          <w:b/>
          <w:bCs/>
          <w:i/>
          <w:iCs/>
          <w:sz w:val="20"/>
          <w:szCs w:val="20"/>
        </w:rPr>
        <w:t>We may be subject to additional obligations to collect and remit sales tax and other taxes, and we may be subject to tax liability for past sales, which could harm our business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State, local, an</w:t>
      </w:r>
      <w:r>
        <w:rPr>
          <w:sz w:val="20"/>
          <w:szCs w:val="20"/>
        </w:rPr>
        <w:t>d non-U.S. jurisdictions have differing rules and regulations governing sales, use, value added, Digital Services Tax, and other taxes, and these rules and regulations are subject to varying interpretations that may change over time. In particular, the app</w:t>
      </w:r>
      <w:r>
        <w:rPr>
          <w:sz w:val="20"/>
          <w:szCs w:val="20"/>
        </w:rPr>
        <w:t xml:space="preserve">licability of such taxes to our CRM Platform in various jurisdictions is unclear. Further, these jurisdictions’ rules regarding tax nexus are complex and vary significantly. As a result, we could face the possibility of tax assessments and audits, and our </w:t>
      </w:r>
      <w:r>
        <w:rPr>
          <w:sz w:val="20"/>
          <w:szCs w:val="20"/>
        </w:rPr>
        <w:t xml:space="preserve">liability for these taxes and associated penalties could exceed our original estimates. A successful assertion that we should be collecting additional sales, use, value added or other taxes in those jurisdictions where we have not historically done so and </w:t>
      </w:r>
      <w:r>
        <w:rPr>
          <w:sz w:val="20"/>
          <w:szCs w:val="20"/>
        </w:rPr>
        <w:t>do not accrue for such taxes could result in substantial tax liabilities and related penalties for past sales, discourage customers from purchasing our application or otherwise harm our business and operating results</w:t>
      </w:r>
      <w:r>
        <w:rPr>
          <w:sz w:val="20"/>
          <w:szCs w:val="20"/>
        </w:rPr>
        <w:t>.</w:t>
      </w:r>
    </w:p>
    <w:p w:rsidR="00000000" w:rsidRDefault="00A309A2">
      <w:pPr>
        <w:pStyle w:val="a3"/>
        <w:spacing w:before="200" w:beforeAutospacing="0" w:after="0" w:afterAutospacing="0"/>
        <w:rPr>
          <w:sz w:val="20"/>
          <w:szCs w:val="20"/>
        </w:rPr>
      </w:pPr>
      <w:r>
        <w:rPr>
          <w:b/>
          <w:bCs/>
          <w:i/>
          <w:iCs/>
          <w:sz w:val="20"/>
          <w:szCs w:val="20"/>
        </w:rPr>
        <w:t>Changes in tax laws or regulations tha</w:t>
      </w:r>
      <w:r>
        <w:rPr>
          <w:b/>
          <w:bCs/>
          <w:i/>
          <w:iCs/>
          <w:sz w:val="20"/>
          <w:szCs w:val="20"/>
        </w:rPr>
        <w:t>t are applied adversely to us or our customers could increase the costs of our CRM Platform and adversely impact our business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New income, sales, use or other tax laws, statutes, rules, regulations or ordinances could be enacted at any time. Any new taxes </w:t>
      </w:r>
      <w:r>
        <w:rPr>
          <w:sz w:val="20"/>
          <w:szCs w:val="20"/>
        </w:rPr>
        <w:t>could adversely affect our domestic and international business operations, and our business and financial performance. Further, existing tax laws, statutes, rules, regulations or ordinances could be interpreted, changed, modified or applied adversely to us</w:t>
      </w:r>
      <w:r>
        <w:rPr>
          <w:sz w:val="20"/>
          <w:szCs w:val="20"/>
        </w:rPr>
        <w:t>. These events could require us or our customers to pay additional tax amounts on a prospective or retroactive basis, as well as require us or our customers to pay fines and/or penalties and interest for past amounts deemed to be due. If we raise our price</w:t>
      </w:r>
      <w:r>
        <w:rPr>
          <w:sz w:val="20"/>
          <w:szCs w:val="20"/>
        </w:rPr>
        <w:t>s to offset the costs of these changes, existing and potential future customers may elect not to continue or purchase our CRM Platform in the future. Additionally, new, changed, modified or newly interpreted or applied tax laws could increase our customers</w:t>
      </w:r>
      <w:r>
        <w:rPr>
          <w:sz w:val="20"/>
          <w:szCs w:val="20"/>
        </w:rPr>
        <w:t>’ and our compliance, operating and other costs, as well as the costs of our platform. Any or all of these events could adversely impact our business, cash flows and financial performance. Furthermore, as our employees continue to work remotely from geogra</w:t>
      </w:r>
      <w:r>
        <w:rPr>
          <w:sz w:val="20"/>
          <w:szCs w:val="20"/>
        </w:rPr>
        <w:t>phic locations across the United States and internationally, we may become subject to additional taxes and our compliance burdens with respect to the tax laws of additional jurisdictions may be increased</w:t>
      </w:r>
      <w:r>
        <w:rPr>
          <w:sz w:val="20"/>
          <w:szCs w:val="20"/>
        </w:rPr>
        <w:t>.</w:t>
      </w:r>
    </w:p>
    <w:p w:rsidR="00000000" w:rsidRDefault="00A309A2">
      <w:pPr>
        <w:pStyle w:val="a3"/>
        <w:spacing w:before="240" w:beforeAutospacing="0" w:after="0" w:afterAutospacing="0"/>
        <w:jc w:val="center"/>
        <w:rPr>
          <w:sz w:val="20"/>
          <w:szCs w:val="20"/>
        </w:rPr>
      </w:pPr>
      <w:r>
        <w:rPr>
          <w:sz w:val="20"/>
          <w:szCs w:val="20"/>
        </w:rPr>
        <w:t>2</w:t>
      </w:r>
      <w:r>
        <w:rPr>
          <w:sz w:val="20"/>
          <w:szCs w:val="20"/>
        </w:rPr>
        <w:t>8</w:t>
      </w:r>
    </w:p>
    <w:p w:rsidR="00000000" w:rsidRDefault="00A309A2">
      <w:pPr>
        <w:rPr>
          <w:rFonts w:eastAsia="Times New Roman"/>
        </w:rPr>
      </w:pPr>
      <w:r>
        <w:rPr>
          <w:rFonts w:eastAsia="Times New Roman"/>
        </w:rPr>
        <w:pict>
          <v:rect id="_x0000_i105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i/>
          <w:iCs/>
          <w:sz w:val="20"/>
          <w:szCs w:val="20"/>
        </w:rPr>
        <w:t>We are a m</w:t>
      </w:r>
      <w:r>
        <w:rPr>
          <w:b/>
          <w:bCs/>
          <w:i/>
          <w:iCs/>
          <w:sz w:val="20"/>
          <w:szCs w:val="20"/>
        </w:rPr>
        <w:t>ultinational organization faced with increasingly complex tax issues in many jurisdictions, and we could be obligated to pay additional taxes in various jurisdictions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As a multinational organization, we may be subject to taxation in several jurisdictions </w:t>
      </w:r>
      <w:r>
        <w:rPr>
          <w:sz w:val="20"/>
          <w:szCs w:val="20"/>
        </w:rPr>
        <w:t xml:space="preserve">around the world with increasingly complex tax laws, the application of which can be uncertain. The amount of taxes we pay in these jurisdictions could increase substantially as a result of changes in the applicable tax principles, including increased tax </w:t>
      </w:r>
      <w:r>
        <w:rPr>
          <w:sz w:val="20"/>
          <w:szCs w:val="20"/>
        </w:rPr>
        <w:t>rates, new tax laws or revised interpretations of existing tax laws and precedents, or challenges to our tax positions by tax authorities, any of which could have a material adverse effect on our liquidity, financial condition or operating results. In addi</w:t>
      </w:r>
      <w:r>
        <w:rPr>
          <w:sz w:val="20"/>
          <w:szCs w:val="20"/>
        </w:rPr>
        <w:t>tion, the authorities in these jurisdictions could review our tax returns and impose additional tax, interest and penalties, and the authorities could claim that various withholding requirements apply to us or our subsidiaries or assert that benefits of ta</w:t>
      </w:r>
      <w:r>
        <w:rPr>
          <w:sz w:val="20"/>
          <w:szCs w:val="20"/>
        </w:rPr>
        <w:t xml:space="preserve">x treaties are not available to us or our subsidiaries, or assert that we are subject to tax in a jurisdiction where we believe we have not established a taxable nexus, often referred to as a “permanent establishment” under international tax treaties, any </w:t>
      </w:r>
      <w:r>
        <w:rPr>
          <w:sz w:val="20"/>
          <w:szCs w:val="20"/>
        </w:rPr>
        <w:t>of which could have a material impact on us, our financial condition or our operating results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We may not be able to utilize a significant portion of our net operating loss carryforwards, which could adversely affect our profitability</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We have incurred los</w:t>
      </w:r>
      <w:r>
        <w:rPr>
          <w:sz w:val="20"/>
          <w:szCs w:val="20"/>
        </w:rPr>
        <w:t>ses during our history and do not expect to become profitable in the near future, and we may never achieve profitability. As of December 31, 2021, we had $1.2 billion of U.S. federal and $737.8 million of state net operating loss carryforwards due to prior</w:t>
      </w:r>
      <w:r>
        <w:rPr>
          <w:sz w:val="20"/>
          <w:szCs w:val="20"/>
        </w:rPr>
        <w:t xml:space="preserve"> period losses, which, if not utilized, some of which will begin to expire in 2027 for federal purposes and begin to expire in 2023 for state purposes. These net operating loss carryforwards could expire unused and be unavailable to offset future income ta</w:t>
      </w:r>
      <w:r>
        <w:rPr>
          <w:sz w:val="20"/>
          <w:szCs w:val="20"/>
        </w:rPr>
        <w:t xml:space="preserve">x liabilities, which could adversely affect our profitability. Under current law, U.S federal and certain state net operating loss carryforwards incurred for periods beginning on or after January 1, 2018 would not expire unused because they can be carried </w:t>
      </w:r>
      <w:r>
        <w:rPr>
          <w:sz w:val="20"/>
          <w:szCs w:val="20"/>
        </w:rPr>
        <w:t xml:space="preserve">forward indefinitely. Our unused U.S. federal net operating losses arising in taxable years beginning after December 31, 2017 and before January 1, 2021 may be carried back to each of the five taxable years preceding the tax year of such losses, but those </w:t>
      </w:r>
      <w:r>
        <w:rPr>
          <w:sz w:val="20"/>
          <w:szCs w:val="20"/>
        </w:rPr>
        <w:t xml:space="preserve">losses arising in taxable years beginning after December 31, 2017 may not be carried back. Moreover, for taxable years beginning after December 31, 2017, the deductibility of our U.S. federal net operating losses is limited to 80% of our taxable income in </w:t>
      </w:r>
      <w:r>
        <w:rPr>
          <w:sz w:val="20"/>
          <w:szCs w:val="20"/>
        </w:rPr>
        <w:t>any future taxable year. In addition, under Section 382 and Section 383 of the Internal Revenue Code of 1986, as amended, which we refer to as the Code, our ability to utilize net operating loss carryforwards or other tax attributes, such as research tax c</w:t>
      </w:r>
      <w:r>
        <w:rPr>
          <w:sz w:val="20"/>
          <w:szCs w:val="20"/>
        </w:rPr>
        <w:t xml:space="preserve">redits, in any taxable year may be further limited if we experience an “ownership change.” An ownership change generally occurs if one or more stockholders or groups of stockholders who own at least 5% of our stock increase their ownership by more than 50 </w:t>
      </w:r>
      <w:r>
        <w:rPr>
          <w:sz w:val="20"/>
          <w:szCs w:val="20"/>
        </w:rPr>
        <w:t xml:space="preserve">percentage points over their lowest ownership percentage (by value) within a rolling three-year period. Similar rules may apply under state tax laws. We may have experienced an ownership change in the past, and future issuances of our stock could cause an </w:t>
      </w:r>
      <w:r>
        <w:rPr>
          <w:sz w:val="20"/>
          <w:szCs w:val="20"/>
        </w:rPr>
        <w:t>ownership change. It is possible that any such ownership change could have a material effect on the use of our net operating loss carryforwards or other tax attributes accrued prior to such ownership change, which could adversely affect our profitability</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sz w:val="20"/>
          <w:szCs w:val="20"/>
        </w:rPr>
        <w:t>Risks Related to Our Operating Results and Financial Conditio</w:t>
      </w:r>
      <w:r>
        <w:rPr>
          <w:b/>
          <w:bCs/>
          <w:sz w:val="20"/>
          <w:szCs w:val="20"/>
        </w:rPr>
        <w:t>n</w:t>
      </w:r>
    </w:p>
    <w:p w:rsidR="00000000" w:rsidRDefault="00A309A2">
      <w:pPr>
        <w:pStyle w:val="a3"/>
        <w:spacing w:before="200" w:beforeAutospacing="0" w:after="0" w:afterAutospacing="0"/>
        <w:rPr>
          <w:sz w:val="20"/>
          <w:szCs w:val="20"/>
        </w:rPr>
      </w:pPr>
      <w:r>
        <w:rPr>
          <w:b/>
          <w:bCs/>
          <w:i/>
          <w:iCs/>
          <w:sz w:val="20"/>
          <w:szCs w:val="20"/>
        </w:rPr>
        <w:t>We have a history of losses and may not achieve profitability in the future</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We generated net losses of $77.8 million in 2021, $85.0 million in 2020, and $53.7 million in 2019. As of December </w:t>
      </w:r>
      <w:r>
        <w:rPr>
          <w:sz w:val="20"/>
          <w:szCs w:val="20"/>
        </w:rPr>
        <w:t>31, 2021, we had an accumulated deficit of $561.0 million. We will need to generate and sustain increased revenue levels in future periods to become profitable, and, even if we do, we may not be able to maintain or increase our level of profitability. We i</w:t>
      </w:r>
      <w:r>
        <w:rPr>
          <w:sz w:val="20"/>
          <w:szCs w:val="20"/>
        </w:rPr>
        <w:t>ntend to continue to expend significant funds to grow our marketing, sales, customer service, operations, and content management operations, develop and enhance our CRM Platform, scale our data center infrastructure and services capabilities and expand int</w:t>
      </w:r>
      <w:r>
        <w:rPr>
          <w:sz w:val="20"/>
          <w:szCs w:val="20"/>
        </w:rPr>
        <w:t>o new markets. Our efforts to grow our business may be more costly than we expect, and we may not be able to increase our revenue enough to offset our higher operating expenses. We may incur significant losses in the future for a number of reasons, includi</w:t>
      </w:r>
      <w:r>
        <w:rPr>
          <w:sz w:val="20"/>
          <w:szCs w:val="20"/>
        </w:rPr>
        <w:t>ng the other risks described in this Annual on Form 10-K, and unforeseen expenses, difficulties, complications and delays and other unknown events. If we are unable to achieve and sustain profitability, the market price of our common stock may significantl</w:t>
      </w:r>
      <w:r>
        <w:rPr>
          <w:sz w:val="20"/>
          <w:szCs w:val="20"/>
        </w:rPr>
        <w:t>y decrease</w:t>
      </w:r>
      <w:r>
        <w:rPr>
          <w:sz w:val="20"/>
          <w:szCs w:val="20"/>
        </w:rPr>
        <w:t>.</w:t>
      </w:r>
    </w:p>
    <w:p w:rsidR="00000000" w:rsidRDefault="00A309A2">
      <w:pPr>
        <w:pStyle w:val="a3"/>
        <w:spacing w:before="200" w:beforeAutospacing="0" w:after="0" w:afterAutospacing="0"/>
        <w:rPr>
          <w:sz w:val="20"/>
          <w:szCs w:val="20"/>
        </w:rPr>
      </w:pPr>
      <w:r>
        <w:rPr>
          <w:b/>
          <w:bCs/>
          <w:i/>
          <w:iCs/>
          <w:sz w:val="20"/>
          <w:szCs w:val="20"/>
        </w:rPr>
        <w:t>From time to time, we may invest funds in social impact investment funds, and may receive no return on our investment or lose our entire investment</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From time to time, we may invest in social impact investment funds. For example, in December 2020, we committed to invest $12.5 million in the Black Economic Development Fund (“BEDF”) by December 2023. On March 9, 2021, we made a contribution of $2.3 milli</w:t>
      </w:r>
      <w:r>
        <w:rPr>
          <w:sz w:val="20"/>
          <w:szCs w:val="20"/>
        </w:rPr>
        <w:t xml:space="preserve">on in cash in the BEDF. On June 22, 2021, we made an additional contribution of $0.8 million in cash for an aggregate of 5.0% ownership interest and income share in the BEDF. The BEDF is managed by the Local Initiatives Support Corporation (“LISC”), which </w:t>
      </w:r>
      <w:r>
        <w:rPr>
          <w:sz w:val="20"/>
          <w:szCs w:val="20"/>
        </w:rPr>
        <w:t>expects to make investments from the BEDF in the form of bank deposits, bridge financing, and other financing to Black-led businesses, financial institutions, and anchor institutions. In December 2021, we invested the remaining commitment of $7.5 million i</w:t>
      </w:r>
      <w:r>
        <w:rPr>
          <w:sz w:val="20"/>
          <w:szCs w:val="20"/>
        </w:rPr>
        <w:t>n support of Minority Depository Institutions to help close the racial wealth, health and opportunity gap. There is n</w:t>
      </w:r>
      <w:r>
        <w:rPr>
          <w:sz w:val="20"/>
          <w:szCs w:val="20"/>
        </w:rPr>
        <w:t>o</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2</w:t>
      </w:r>
      <w:r>
        <w:rPr>
          <w:sz w:val="20"/>
          <w:szCs w:val="20"/>
        </w:rPr>
        <w:t>9</w:t>
      </w:r>
    </w:p>
    <w:p w:rsidR="00000000" w:rsidRDefault="00A309A2">
      <w:pPr>
        <w:rPr>
          <w:rFonts w:eastAsia="Times New Roman"/>
        </w:rPr>
      </w:pPr>
      <w:r>
        <w:rPr>
          <w:rFonts w:eastAsia="Times New Roman"/>
        </w:rPr>
        <w:pict>
          <v:rect id="_x0000_i105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guarantee as to the performance of this investment or any similar investments we make in the f</w:t>
      </w:r>
      <w:r>
        <w:rPr>
          <w:sz w:val="20"/>
          <w:szCs w:val="20"/>
        </w:rPr>
        <w:t>uture. Depending on the performance of this investment and future investments we may make, we may not receive any return on our investment or we may lose our entire investment, which could have an adverse effect on our business</w:t>
      </w:r>
      <w:r>
        <w:rPr>
          <w:sz w:val="20"/>
          <w:szCs w:val="20"/>
        </w:rPr>
        <w:t>.</w:t>
      </w:r>
    </w:p>
    <w:p w:rsidR="00000000" w:rsidRDefault="00A309A2">
      <w:pPr>
        <w:pStyle w:val="a3"/>
        <w:spacing w:before="200" w:beforeAutospacing="0" w:after="0" w:afterAutospacing="0"/>
        <w:rPr>
          <w:sz w:val="20"/>
          <w:szCs w:val="20"/>
        </w:rPr>
      </w:pPr>
      <w:r>
        <w:rPr>
          <w:b/>
          <w:bCs/>
          <w:i/>
          <w:iCs/>
          <w:sz w:val="20"/>
          <w:szCs w:val="20"/>
        </w:rPr>
        <w:t>We may experience quarterly</w:t>
      </w:r>
      <w:r>
        <w:rPr>
          <w:b/>
          <w:bCs/>
          <w:i/>
          <w:iCs/>
          <w:sz w:val="20"/>
          <w:szCs w:val="20"/>
        </w:rPr>
        <w:t xml:space="preserve"> fluctuations in our operating results due to a number of factors, which makes our future results difficult to predict and could cause our operating results to fall below expectations or our guidance</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Our quarterly operating results have fluctuated in the </w:t>
      </w:r>
      <w:r>
        <w:rPr>
          <w:sz w:val="20"/>
          <w:szCs w:val="20"/>
        </w:rPr>
        <w:t>past and are expected to fluctuate in the future due to a variety of factors, many of which are outside of our control. As a result, our past results may not be indicative of our future performance, and comparing our operating results on a period-to-period</w:t>
      </w:r>
      <w:r>
        <w:rPr>
          <w:sz w:val="20"/>
          <w:szCs w:val="20"/>
        </w:rPr>
        <w:t xml:space="preserve"> basis may not be meaningful. In addition to the other risks described in this Annual Report on Form 10-K, factors that may affect our quarterly operating results include the following</w:t>
      </w:r>
      <w:r>
        <w:rPr>
          <w:sz w:val="20"/>
          <w:szCs w:val="20"/>
        </w:rPr>
        <w:t>:</w:t>
      </w:r>
    </w:p>
    <w:p w:rsidR="00000000" w:rsidRDefault="00A309A2">
      <w:pPr>
        <w:divId w:val="1716350734"/>
        <w:rPr>
          <w:rFonts w:eastAsia="Times New Roman"/>
        </w:rPr>
      </w:pPr>
      <w:r>
        <w:rPr>
          <w:rFonts w:eastAsia="Times New Roman"/>
          <w:sz w:val="20"/>
          <w:szCs w:val="20"/>
        </w:rPr>
        <w:t>•</w:t>
      </w:r>
    </w:p>
    <w:p w:rsidR="00000000" w:rsidRDefault="00A309A2">
      <w:pPr>
        <w:divId w:val="894394718"/>
        <w:rPr>
          <w:rFonts w:eastAsia="Times New Roman"/>
        </w:rPr>
      </w:pPr>
      <w:r>
        <w:rPr>
          <w:rFonts w:eastAsia="Times New Roman"/>
          <w:sz w:val="20"/>
          <w:szCs w:val="20"/>
        </w:rPr>
        <w:t>changes in spending on marketing, sales and customer service softwar</w:t>
      </w:r>
      <w:r>
        <w:rPr>
          <w:rFonts w:eastAsia="Times New Roman"/>
          <w:sz w:val="20"/>
          <w:szCs w:val="20"/>
        </w:rPr>
        <w:t>e by our current or prospective customers</w:t>
      </w:r>
      <w:r>
        <w:rPr>
          <w:rFonts w:eastAsia="Times New Roman"/>
          <w:sz w:val="20"/>
          <w:szCs w:val="20"/>
        </w:rPr>
        <w:t>;</w:t>
      </w:r>
    </w:p>
    <w:p w:rsidR="00000000" w:rsidRDefault="00A309A2">
      <w:pPr>
        <w:divId w:val="1469861412"/>
        <w:rPr>
          <w:rFonts w:eastAsia="Times New Roman"/>
        </w:rPr>
      </w:pPr>
      <w:r>
        <w:rPr>
          <w:rFonts w:eastAsia="Times New Roman"/>
          <w:sz w:val="20"/>
          <w:szCs w:val="20"/>
        </w:rPr>
        <w:t>•</w:t>
      </w:r>
    </w:p>
    <w:p w:rsidR="00000000" w:rsidRDefault="00A309A2">
      <w:pPr>
        <w:divId w:val="521629603"/>
        <w:rPr>
          <w:rFonts w:eastAsia="Times New Roman"/>
        </w:rPr>
      </w:pPr>
      <w:r>
        <w:rPr>
          <w:rFonts w:eastAsia="Times New Roman"/>
          <w:sz w:val="20"/>
          <w:szCs w:val="20"/>
        </w:rPr>
        <w:t>pricing our CRM Platform subscriptions effectively so that we are able to attract and retain customers without compromising our profitability</w:t>
      </w:r>
      <w:r>
        <w:rPr>
          <w:rFonts w:eastAsia="Times New Roman"/>
          <w:sz w:val="20"/>
          <w:szCs w:val="20"/>
        </w:rPr>
        <w:t>;</w:t>
      </w:r>
    </w:p>
    <w:p w:rsidR="00000000" w:rsidRDefault="00A309A2">
      <w:pPr>
        <w:divId w:val="248657756"/>
        <w:rPr>
          <w:rFonts w:eastAsia="Times New Roman"/>
        </w:rPr>
      </w:pPr>
      <w:r>
        <w:rPr>
          <w:rFonts w:eastAsia="Times New Roman"/>
          <w:sz w:val="20"/>
          <w:szCs w:val="20"/>
        </w:rPr>
        <w:t>•</w:t>
      </w:r>
    </w:p>
    <w:p w:rsidR="00000000" w:rsidRDefault="00A309A2">
      <w:pPr>
        <w:divId w:val="1623070752"/>
        <w:rPr>
          <w:rFonts w:eastAsia="Times New Roman"/>
        </w:rPr>
      </w:pPr>
      <w:r>
        <w:rPr>
          <w:rFonts w:eastAsia="Times New Roman"/>
          <w:sz w:val="20"/>
          <w:szCs w:val="20"/>
        </w:rPr>
        <w:t>attracting new customers for our marketing, sales, customer servic</w:t>
      </w:r>
      <w:r>
        <w:rPr>
          <w:rFonts w:eastAsia="Times New Roman"/>
          <w:sz w:val="20"/>
          <w:szCs w:val="20"/>
        </w:rPr>
        <w:t>e, operations, and content management software, increasing our existing customers’ use of our platform and providing our customers with excellent customer support</w:t>
      </w:r>
      <w:r>
        <w:rPr>
          <w:rFonts w:eastAsia="Times New Roman"/>
          <w:sz w:val="20"/>
          <w:szCs w:val="20"/>
        </w:rPr>
        <w:t>;</w:t>
      </w:r>
    </w:p>
    <w:p w:rsidR="00000000" w:rsidRDefault="00A309A2">
      <w:pPr>
        <w:divId w:val="1441758996"/>
        <w:rPr>
          <w:rFonts w:eastAsia="Times New Roman"/>
        </w:rPr>
      </w:pPr>
      <w:r>
        <w:rPr>
          <w:rFonts w:eastAsia="Times New Roman"/>
          <w:sz w:val="20"/>
          <w:szCs w:val="20"/>
        </w:rPr>
        <w:t>•</w:t>
      </w:r>
    </w:p>
    <w:p w:rsidR="00000000" w:rsidRDefault="00A309A2">
      <w:pPr>
        <w:divId w:val="1390693517"/>
        <w:rPr>
          <w:rFonts w:eastAsia="Times New Roman"/>
        </w:rPr>
      </w:pPr>
      <w:r>
        <w:rPr>
          <w:rFonts w:eastAsia="Times New Roman"/>
          <w:sz w:val="20"/>
          <w:szCs w:val="20"/>
        </w:rPr>
        <w:t>customer renewal rates and the amounts for which agreements are renewed</w:t>
      </w:r>
      <w:r>
        <w:rPr>
          <w:rFonts w:eastAsia="Times New Roman"/>
          <w:sz w:val="20"/>
          <w:szCs w:val="20"/>
        </w:rPr>
        <w:t>;</w:t>
      </w:r>
    </w:p>
    <w:p w:rsidR="00000000" w:rsidRDefault="00A309A2">
      <w:pPr>
        <w:divId w:val="2053385772"/>
        <w:rPr>
          <w:rFonts w:eastAsia="Times New Roman"/>
        </w:rPr>
      </w:pPr>
      <w:r>
        <w:rPr>
          <w:rFonts w:eastAsia="Times New Roman"/>
          <w:sz w:val="20"/>
          <w:szCs w:val="20"/>
        </w:rPr>
        <w:t>•</w:t>
      </w:r>
    </w:p>
    <w:p w:rsidR="00000000" w:rsidRDefault="00A309A2">
      <w:pPr>
        <w:divId w:val="1415013750"/>
        <w:rPr>
          <w:rFonts w:eastAsia="Times New Roman"/>
        </w:rPr>
      </w:pPr>
      <w:r>
        <w:rPr>
          <w:rFonts w:eastAsia="Times New Roman"/>
          <w:sz w:val="20"/>
          <w:szCs w:val="20"/>
        </w:rPr>
        <w:t>global awarenes</w:t>
      </w:r>
      <w:r>
        <w:rPr>
          <w:rFonts w:eastAsia="Times New Roman"/>
          <w:sz w:val="20"/>
          <w:szCs w:val="20"/>
        </w:rPr>
        <w:t>s of our thought leadership and brand;</w:t>
      </w:r>
      <w:r>
        <w:rPr>
          <w:rFonts w:eastAsia="Times New Roman"/>
          <w:sz w:val="20"/>
          <w:szCs w:val="20"/>
        </w:rPr>
        <w:t xml:space="preserve"> </w:t>
      </w:r>
    </w:p>
    <w:p w:rsidR="00000000" w:rsidRDefault="00A309A2">
      <w:pPr>
        <w:divId w:val="809977701"/>
        <w:rPr>
          <w:rFonts w:eastAsia="Times New Roman"/>
        </w:rPr>
      </w:pPr>
      <w:r>
        <w:rPr>
          <w:rFonts w:eastAsia="Times New Roman"/>
          <w:sz w:val="20"/>
          <w:szCs w:val="20"/>
        </w:rPr>
        <w:t>•</w:t>
      </w:r>
    </w:p>
    <w:p w:rsidR="00000000" w:rsidRDefault="00A309A2">
      <w:pPr>
        <w:divId w:val="1860047608"/>
        <w:rPr>
          <w:rFonts w:eastAsia="Times New Roman"/>
        </w:rPr>
      </w:pPr>
      <w:r>
        <w:rPr>
          <w:rFonts w:eastAsia="Times New Roman"/>
          <w:sz w:val="20"/>
          <w:szCs w:val="20"/>
        </w:rPr>
        <w:t>changes in the competitive dynamics of our market, including consolidation among competitors or customers and the introduction of new products or product enhancements;</w:t>
      </w:r>
      <w:r>
        <w:rPr>
          <w:rFonts w:eastAsia="Times New Roman"/>
          <w:sz w:val="20"/>
          <w:szCs w:val="20"/>
        </w:rPr>
        <w:t xml:space="preserve"> </w:t>
      </w:r>
    </w:p>
    <w:p w:rsidR="00000000" w:rsidRDefault="00A309A2">
      <w:pPr>
        <w:divId w:val="61298156"/>
        <w:rPr>
          <w:rFonts w:eastAsia="Times New Roman"/>
        </w:rPr>
      </w:pPr>
      <w:r>
        <w:rPr>
          <w:rFonts w:eastAsia="Times New Roman"/>
          <w:sz w:val="20"/>
          <w:szCs w:val="20"/>
        </w:rPr>
        <w:t>•</w:t>
      </w:r>
    </w:p>
    <w:p w:rsidR="00000000" w:rsidRDefault="00A309A2">
      <w:pPr>
        <w:divId w:val="354697164"/>
        <w:rPr>
          <w:rFonts w:eastAsia="Times New Roman"/>
        </w:rPr>
      </w:pPr>
      <w:r>
        <w:rPr>
          <w:rFonts w:eastAsia="Times New Roman"/>
          <w:sz w:val="20"/>
          <w:szCs w:val="20"/>
        </w:rPr>
        <w:t>changes to the commission plans, quotas and</w:t>
      </w:r>
      <w:r>
        <w:rPr>
          <w:rFonts w:eastAsia="Times New Roman"/>
          <w:sz w:val="20"/>
          <w:szCs w:val="20"/>
        </w:rPr>
        <w:t xml:space="preserve"> other compensation-related metrics for our sales representatives</w:t>
      </w:r>
      <w:r>
        <w:rPr>
          <w:rFonts w:eastAsia="Times New Roman"/>
          <w:sz w:val="20"/>
          <w:szCs w:val="20"/>
        </w:rPr>
        <w:t>;</w:t>
      </w:r>
    </w:p>
    <w:p w:rsidR="00000000" w:rsidRDefault="00A309A2">
      <w:pPr>
        <w:divId w:val="449276917"/>
        <w:rPr>
          <w:rFonts w:eastAsia="Times New Roman"/>
        </w:rPr>
      </w:pPr>
      <w:r>
        <w:rPr>
          <w:rFonts w:eastAsia="Times New Roman"/>
          <w:sz w:val="20"/>
          <w:szCs w:val="20"/>
        </w:rPr>
        <w:t>•</w:t>
      </w:r>
    </w:p>
    <w:p w:rsidR="00000000" w:rsidRDefault="00A309A2">
      <w:pPr>
        <w:divId w:val="1786849620"/>
        <w:rPr>
          <w:rFonts w:eastAsia="Times New Roman"/>
        </w:rPr>
      </w:pPr>
      <w:r>
        <w:rPr>
          <w:rFonts w:eastAsia="Times New Roman"/>
          <w:sz w:val="20"/>
          <w:szCs w:val="20"/>
        </w:rPr>
        <w:t>the amount and timing of payment for operating expenses, particularly research and development, sales and marketing expenses and employee benefit expenses;</w:t>
      </w:r>
      <w:r>
        <w:rPr>
          <w:rFonts w:eastAsia="Times New Roman"/>
          <w:sz w:val="20"/>
          <w:szCs w:val="20"/>
        </w:rPr>
        <w:t xml:space="preserve"> </w:t>
      </w:r>
    </w:p>
    <w:p w:rsidR="00000000" w:rsidRDefault="00A309A2">
      <w:pPr>
        <w:divId w:val="715198064"/>
        <w:rPr>
          <w:rFonts w:eastAsia="Times New Roman"/>
        </w:rPr>
      </w:pPr>
      <w:r>
        <w:rPr>
          <w:rFonts w:eastAsia="Times New Roman"/>
          <w:sz w:val="20"/>
          <w:szCs w:val="20"/>
        </w:rPr>
        <w:t>•</w:t>
      </w:r>
    </w:p>
    <w:p w:rsidR="00000000" w:rsidRDefault="00A309A2">
      <w:pPr>
        <w:divId w:val="1094788707"/>
        <w:rPr>
          <w:rFonts w:eastAsia="Times New Roman"/>
        </w:rPr>
      </w:pPr>
      <w:r>
        <w:rPr>
          <w:rFonts w:eastAsia="Times New Roman"/>
          <w:sz w:val="20"/>
          <w:szCs w:val="20"/>
        </w:rPr>
        <w:t>the amount and timing of costs associated with recruiting, training and integrating new employees while maintaining our company culture</w:t>
      </w:r>
      <w:r>
        <w:rPr>
          <w:rFonts w:eastAsia="Times New Roman"/>
          <w:sz w:val="20"/>
          <w:szCs w:val="20"/>
        </w:rPr>
        <w:t>;</w:t>
      </w:r>
    </w:p>
    <w:p w:rsidR="00000000" w:rsidRDefault="00A309A2">
      <w:pPr>
        <w:divId w:val="1132021235"/>
        <w:rPr>
          <w:rFonts w:eastAsia="Times New Roman"/>
        </w:rPr>
      </w:pPr>
      <w:r>
        <w:rPr>
          <w:rFonts w:eastAsia="Times New Roman"/>
          <w:sz w:val="20"/>
          <w:szCs w:val="20"/>
        </w:rPr>
        <w:t>•</w:t>
      </w:r>
    </w:p>
    <w:p w:rsidR="00000000" w:rsidRDefault="00A309A2">
      <w:pPr>
        <w:divId w:val="1847478455"/>
        <w:rPr>
          <w:rFonts w:eastAsia="Times New Roman"/>
        </w:rPr>
      </w:pPr>
      <w:r>
        <w:rPr>
          <w:rFonts w:eastAsia="Times New Roman"/>
          <w:sz w:val="20"/>
          <w:szCs w:val="20"/>
        </w:rPr>
        <w:t xml:space="preserve">our ability to manage our existing business and future growth, including increases in the number of customers on our </w:t>
      </w:r>
      <w:r>
        <w:rPr>
          <w:rFonts w:eastAsia="Times New Roman"/>
          <w:sz w:val="20"/>
          <w:szCs w:val="20"/>
        </w:rPr>
        <w:t>platform and the introduction and adoption of our CRM Platform in new markets outside of the United States</w:t>
      </w:r>
      <w:r>
        <w:rPr>
          <w:rFonts w:eastAsia="Times New Roman"/>
          <w:sz w:val="20"/>
          <w:szCs w:val="20"/>
        </w:rPr>
        <w:t>;</w:t>
      </w:r>
    </w:p>
    <w:p w:rsidR="00000000" w:rsidRDefault="00A309A2">
      <w:pPr>
        <w:divId w:val="1821657369"/>
        <w:rPr>
          <w:rFonts w:eastAsia="Times New Roman"/>
        </w:rPr>
      </w:pPr>
      <w:r>
        <w:rPr>
          <w:rFonts w:eastAsia="Times New Roman"/>
          <w:sz w:val="20"/>
          <w:szCs w:val="20"/>
        </w:rPr>
        <w:t>•</w:t>
      </w:r>
    </w:p>
    <w:p w:rsidR="00000000" w:rsidRDefault="00A309A2">
      <w:pPr>
        <w:divId w:val="638343450"/>
        <w:rPr>
          <w:rFonts w:eastAsia="Times New Roman"/>
        </w:rPr>
      </w:pPr>
      <w:r>
        <w:rPr>
          <w:rFonts w:eastAsia="Times New Roman"/>
          <w:sz w:val="20"/>
          <w:szCs w:val="20"/>
        </w:rPr>
        <w:t>unforeseen costs and expenses related to the expansion of our business, operations and infrastructure, including disruptions in our hosting networ</w:t>
      </w:r>
      <w:r>
        <w:rPr>
          <w:rFonts w:eastAsia="Times New Roman"/>
          <w:sz w:val="20"/>
          <w:szCs w:val="20"/>
        </w:rPr>
        <w:t>k infrastructure and privacy and data security</w:t>
      </w:r>
      <w:r>
        <w:rPr>
          <w:rFonts w:eastAsia="Times New Roman"/>
          <w:sz w:val="20"/>
          <w:szCs w:val="20"/>
        </w:rPr>
        <w:t>;</w:t>
      </w:r>
    </w:p>
    <w:p w:rsidR="00000000" w:rsidRDefault="00A309A2">
      <w:pPr>
        <w:divId w:val="1397705264"/>
        <w:rPr>
          <w:rFonts w:eastAsia="Times New Roman"/>
        </w:rPr>
      </w:pPr>
      <w:r>
        <w:rPr>
          <w:rFonts w:eastAsia="Times New Roman"/>
          <w:sz w:val="20"/>
          <w:szCs w:val="20"/>
        </w:rPr>
        <w:t>•</w:t>
      </w:r>
    </w:p>
    <w:p w:rsidR="00000000" w:rsidRDefault="00A309A2">
      <w:pPr>
        <w:divId w:val="1843466066"/>
        <w:rPr>
          <w:rFonts w:eastAsia="Times New Roman"/>
        </w:rPr>
      </w:pPr>
      <w:r>
        <w:rPr>
          <w:rFonts w:eastAsia="Times New Roman"/>
          <w:sz w:val="20"/>
          <w:szCs w:val="20"/>
        </w:rPr>
        <w:t>foreign currency exchange rate fluctuations;</w:t>
      </w:r>
      <w:r>
        <w:rPr>
          <w:rFonts w:eastAsia="Times New Roman"/>
          <w:sz w:val="20"/>
          <w:szCs w:val="20"/>
        </w:rPr>
        <w:t xml:space="preserve"> </w:t>
      </w:r>
    </w:p>
    <w:p w:rsidR="00000000" w:rsidRDefault="00A309A2">
      <w:pPr>
        <w:divId w:val="697390225"/>
        <w:rPr>
          <w:rFonts w:eastAsia="Times New Roman"/>
        </w:rPr>
      </w:pPr>
      <w:r>
        <w:rPr>
          <w:rFonts w:eastAsia="Times New Roman"/>
          <w:sz w:val="20"/>
          <w:szCs w:val="20"/>
        </w:rPr>
        <w:t>•</w:t>
      </w:r>
    </w:p>
    <w:p w:rsidR="00000000" w:rsidRDefault="00A309A2">
      <w:pPr>
        <w:divId w:val="1129473582"/>
        <w:rPr>
          <w:rFonts w:eastAsia="Times New Roman"/>
        </w:rPr>
      </w:pPr>
      <w:r>
        <w:rPr>
          <w:rFonts w:eastAsia="Times New Roman"/>
          <w:sz w:val="20"/>
          <w:szCs w:val="20"/>
        </w:rPr>
        <w:t>rising inflation in the economies in which we operate and our ability to control costs, including operating expenses; an</w:t>
      </w:r>
      <w:r>
        <w:rPr>
          <w:rFonts w:eastAsia="Times New Roman"/>
          <w:sz w:val="20"/>
          <w:szCs w:val="20"/>
        </w:rPr>
        <w:t>d</w:t>
      </w:r>
    </w:p>
    <w:p w:rsidR="00000000" w:rsidRDefault="00A309A2">
      <w:pPr>
        <w:divId w:val="2133207563"/>
        <w:rPr>
          <w:rFonts w:eastAsia="Times New Roman"/>
        </w:rPr>
      </w:pPr>
      <w:r>
        <w:rPr>
          <w:rFonts w:eastAsia="Times New Roman"/>
          <w:sz w:val="20"/>
          <w:szCs w:val="20"/>
        </w:rPr>
        <w:t>•</w:t>
      </w:r>
    </w:p>
    <w:p w:rsidR="00000000" w:rsidRDefault="00A309A2">
      <w:pPr>
        <w:divId w:val="1708413848"/>
        <w:rPr>
          <w:rFonts w:eastAsia="Times New Roman"/>
        </w:rPr>
      </w:pPr>
      <w:r>
        <w:rPr>
          <w:rFonts w:eastAsia="Times New Roman"/>
          <w:sz w:val="20"/>
          <w:szCs w:val="20"/>
        </w:rPr>
        <w:t>general economic and political conditions in our domestic and international markets</w:t>
      </w:r>
      <w:r>
        <w:rPr>
          <w:rFonts w:eastAsia="Times New Roman"/>
          <w:sz w:val="20"/>
          <w:szCs w:val="20"/>
        </w:rPr>
        <w:t>.</w:t>
      </w:r>
    </w:p>
    <w:p w:rsidR="00000000" w:rsidRDefault="00A309A2">
      <w:pPr>
        <w:pStyle w:val="a3"/>
        <w:spacing w:before="200" w:beforeAutospacing="0" w:after="0" w:afterAutospacing="0"/>
        <w:ind w:firstLine="555"/>
        <w:rPr>
          <w:sz w:val="20"/>
          <w:szCs w:val="20"/>
        </w:rPr>
      </w:pPr>
      <w:r>
        <w:rPr>
          <w:sz w:val="20"/>
          <w:szCs w:val="20"/>
        </w:rPr>
        <w:t>We may not be able to accurately forecast the amount and mix of future subscriptions, revenue and expenses and, as a result, our operating results may fall below our estim</w:t>
      </w:r>
      <w:r>
        <w:rPr>
          <w:sz w:val="20"/>
          <w:szCs w:val="20"/>
        </w:rPr>
        <w:t>ates or the expectations of public market analysts and investors. If our revenue or operating results fall below the expectations of investors or securities analysts, or below any guidance we may provide, the price of our common stock could decline</w:t>
      </w:r>
      <w:r>
        <w:rPr>
          <w:sz w:val="20"/>
          <w:szCs w:val="20"/>
        </w:rPr>
        <w:t>.</w:t>
      </w:r>
    </w:p>
    <w:p w:rsidR="00000000" w:rsidRDefault="00A309A2">
      <w:pPr>
        <w:pStyle w:val="a3"/>
        <w:spacing w:before="200" w:beforeAutospacing="0" w:after="0" w:afterAutospacing="0"/>
        <w:rPr>
          <w:sz w:val="20"/>
          <w:szCs w:val="20"/>
        </w:rPr>
      </w:pPr>
      <w:r>
        <w:rPr>
          <w:b/>
          <w:bCs/>
          <w:i/>
          <w:iCs/>
          <w:sz w:val="20"/>
          <w:szCs w:val="20"/>
        </w:rPr>
        <w:t xml:space="preserve">If we </w:t>
      </w:r>
      <w:r>
        <w:rPr>
          <w:b/>
          <w:bCs/>
          <w:i/>
          <w:iCs/>
          <w:sz w:val="20"/>
          <w:szCs w:val="20"/>
        </w:rPr>
        <w:t>do not accurately predict subscription renewal rates or otherwise fail to forecast our revenue accurately, or if we fail to match our expenditures with corresponding revenue, our operating results could be adversely affected</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Because our recent growth has </w:t>
      </w:r>
      <w:r>
        <w:rPr>
          <w:sz w:val="20"/>
          <w:szCs w:val="20"/>
        </w:rPr>
        <w:t>resulted in the rapid expansion of our business, we do not have a long history upon which to base forecasts of renewal rates with customers or future operating revenue. As a result, our operating results in future reporting periods may be significantly bel</w:t>
      </w:r>
      <w:r>
        <w:rPr>
          <w:sz w:val="20"/>
          <w:szCs w:val="20"/>
        </w:rPr>
        <w:t>ow the expectations of the public market, equity research analysts or investors, which could harm the price of our common stock</w:t>
      </w:r>
      <w:r>
        <w:rPr>
          <w:sz w:val="20"/>
          <w:szCs w:val="20"/>
        </w:rPr>
        <w:t>.</w:t>
      </w:r>
    </w:p>
    <w:p w:rsidR="00000000" w:rsidRDefault="00A309A2">
      <w:pPr>
        <w:pStyle w:val="a3"/>
        <w:spacing w:before="240" w:beforeAutospacing="0" w:after="0" w:afterAutospacing="0"/>
        <w:jc w:val="center"/>
        <w:rPr>
          <w:sz w:val="20"/>
          <w:szCs w:val="20"/>
        </w:rPr>
      </w:pPr>
      <w:r>
        <w:rPr>
          <w:sz w:val="20"/>
          <w:szCs w:val="20"/>
        </w:rPr>
        <w:t>3</w:t>
      </w:r>
      <w:r>
        <w:rPr>
          <w:sz w:val="20"/>
          <w:szCs w:val="20"/>
        </w:rPr>
        <w:t>0</w:t>
      </w:r>
    </w:p>
    <w:p w:rsidR="00000000" w:rsidRDefault="00A309A2">
      <w:pPr>
        <w:rPr>
          <w:rFonts w:eastAsia="Times New Roman"/>
        </w:rPr>
      </w:pPr>
      <w:r>
        <w:rPr>
          <w:rFonts w:eastAsia="Times New Roman"/>
        </w:rPr>
        <w:pict>
          <v:rect id="_x0000_i105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i/>
          <w:iCs/>
          <w:sz w:val="20"/>
          <w:szCs w:val="20"/>
        </w:rPr>
        <w:t>Because we generally recognize revenue from subscriptions ratably over the term of the</w:t>
      </w:r>
      <w:r>
        <w:rPr>
          <w:b/>
          <w:bCs/>
          <w:i/>
          <w:iCs/>
          <w:sz w:val="20"/>
          <w:szCs w:val="20"/>
        </w:rPr>
        <w:t xml:space="preserve"> agreement, near term changes in sales may not be reflected immediately in our operating results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We offer our CRM Platform primarily through a mix of monthly, quarterly and single-year subscription agreements and generally recognize revenue ratably over t</w:t>
      </w:r>
      <w:r>
        <w:rPr>
          <w:sz w:val="20"/>
          <w:szCs w:val="20"/>
        </w:rPr>
        <w:t>he related subscription period. As a result, much of the revenue we report in each quarter is derived from agreements entered into during prior months, quarters or years. In addition, we do not record deferred revenue beyond amounts invoiced as a liability</w:t>
      </w:r>
      <w:r>
        <w:rPr>
          <w:sz w:val="20"/>
          <w:szCs w:val="20"/>
        </w:rPr>
        <w:t xml:space="preserve"> on our balance sheet. A decline in new or renewed subscriptions or marketing solutions agreements in any one quarter is not likely to be reflected immediately in our revenue results for that quarter. Such declines, however, would negatively affect our rev</w:t>
      </w:r>
      <w:r>
        <w:rPr>
          <w:sz w:val="20"/>
          <w:szCs w:val="20"/>
        </w:rPr>
        <w:t>enue and deferred revenue balances in future periods, and the effect of significant downturns in sales and market acceptance of our platform, and potential changes in our rate of renewals, may not be fully reflected in our results of operations until futur</w:t>
      </w:r>
      <w:r>
        <w:rPr>
          <w:sz w:val="20"/>
          <w:szCs w:val="20"/>
        </w:rPr>
        <w:t>e periods. Our subscription model also makes it difficult for us to rapidly increase our total revenue and deferred revenue balance through additional sales in any period, as revenue from new customers must be recognized over the applicable subscription te</w:t>
      </w:r>
      <w:r>
        <w:rPr>
          <w:sz w:val="20"/>
          <w:szCs w:val="20"/>
        </w:rPr>
        <w:t>rm</w:t>
      </w:r>
      <w:r>
        <w:rPr>
          <w:sz w:val="20"/>
          <w:szCs w:val="20"/>
        </w:rPr>
        <w:t>.</w:t>
      </w:r>
    </w:p>
    <w:p w:rsidR="00000000" w:rsidRDefault="00A309A2">
      <w:pPr>
        <w:pStyle w:val="a3"/>
        <w:spacing w:before="200" w:beforeAutospacing="0" w:after="0" w:afterAutospacing="0"/>
        <w:rPr>
          <w:sz w:val="20"/>
          <w:szCs w:val="20"/>
        </w:rPr>
      </w:pPr>
      <w:r>
        <w:rPr>
          <w:b/>
          <w:bCs/>
          <w:sz w:val="20"/>
          <w:szCs w:val="20"/>
        </w:rPr>
        <w:t>Risks Related to Our Note</w:t>
      </w:r>
      <w:r>
        <w:rPr>
          <w:b/>
          <w:bCs/>
          <w:sz w:val="20"/>
          <w:szCs w:val="20"/>
        </w:rPr>
        <w:t>s</w:t>
      </w:r>
    </w:p>
    <w:p w:rsidR="00000000" w:rsidRDefault="00A309A2">
      <w:pPr>
        <w:pStyle w:val="a3"/>
        <w:spacing w:before="200" w:beforeAutospacing="0" w:after="0" w:afterAutospacing="0"/>
        <w:rPr>
          <w:sz w:val="20"/>
          <w:szCs w:val="20"/>
        </w:rPr>
      </w:pPr>
      <w:r>
        <w:rPr>
          <w:b/>
          <w:bCs/>
          <w:i/>
          <w:iCs/>
          <w:sz w:val="20"/>
          <w:szCs w:val="20"/>
        </w:rPr>
        <w:t>Servicing our debt may require a significant amount of cash. We may not have sufficient cash flow from our business to pay our indebtedness, and we may not have the ability to raise the funds necessary to settle for cash conv</w:t>
      </w:r>
      <w:r>
        <w:rPr>
          <w:b/>
          <w:bCs/>
          <w:i/>
          <w:iCs/>
          <w:sz w:val="20"/>
          <w:szCs w:val="20"/>
        </w:rPr>
        <w:t>ersions of the Notes or to repurchase the Notes for cash upon a fundamental change, which could adversely affect our business and results of operations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We incurred indebtedness in the aggregate principal amount of $400.0 million in connection with the iss</w:t>
      </w:r>
      <w:r>
        <w:rPr>
          <w:sz w:val="20"/>
          <w:szCs w:val="20"/>
        </w:rPr>
        <w:t>uance of our 0.25% convertible senior notes due June 1, 2022 (the “2022 Notes”). In June 2020, the Company exchanged approximately $272.1 million in aggregate principal amount of the 2022 Notes in privately-negotiated transactions for an aggregate of appro</w:t>
      </w:r>
      <w:r>
        <w:rPr>
          <w:sz w:val="20"/>
          <w:szCs w:val="20"/>
        </w:rPr>
        <w:t>ximately $283.0 million in cash and 1.6 million shares of common stock. As of December 31, 2021, $19.4 million of principal remains outstanding on the 2022 Notes. In June 2020, concurrent with the partial repurchase of the 2022 Notes, we incurred indebtedn</w:t>
      </w:r>
      <w:r>
        <w:rPr>
          <w:sz w:val="20"/>
          <w:szCs w:val="20"/>
        </w:rPr>
        <w:t>ess in the aggregate principal amount of $460.0 million in connection with the issuance of our 0.375% convertible senior notes due June 1, 2025 (the “2025 Notes”) and together with the 2022 Notes (the “Notes”). Our ability to make scheduled payments of the</w:t>
      </w:r>
      <w:r>
        <w:rPr>
          <w:sz w:val="20"/>
          <w:szCs w:val="20"/>
        </w:rPr>
        <w:t xml:space="preserve"> principal of, to pay interest on or to refinance our indebtedness, including the Notes, depends on our future performance, which is subject to economic, financial, competitive and other factors beyond our control. Our business may not continue to generate</w:t>
      </w:r>
      <w:r>
        <w:rPr>
          <w:sz w:val="20"/>
          <w:szCs w:val="20"/>
        </w:rPr>
        <w:t xml:space="preserve"> cash flow from operations in the future sufficient to service our debt and make necessary capital expenditures. If we are unable to generate such cash flow, we may be required to adopt one or more alternatives, such as selling assets, restructuring debt o</w:t>
      </w:r>
      <w:r>
        <w:rPr>
          <w:sz w:val="20"/>
          <w:szCs w:val="20"/>
        </w:rPr>
        <w:t>r obtaining additional debt financing or equity capital on terms that may be onerous or highly dilutive. Our ability to refinance any future indebtedness will depend on the capital markets and our financial condition at such time. We may not be able to eng</w:t>
      </w:r>
      <w:r>
        <w:rPr>
          <w:sz w:val="20"/>
          <w:szCs w:val="20"/>
        </w:rPr>
        <w:t>age in any of these activities or engage in these activities on desirable terms, which could result in a default on our debt obligations. In addition, any of our future debt agreements may contain restrictive covenants that may prohibit us from adopting an</w:t>
      </w:r>
      <w:r>
        <w:rPr>
          <w:sz w:val="20"/>
          <w:szCs w:val="20"/>
        </w:rPr>
        <w:t>y of these alternatives. Our failure to comply with these covenants could result in an event of default which, if not cured or waived, could result in the acceleration of our debt</w:t>
      </w:r>
      <w:r>
        <w:rPr>
          <w:sz w:val="20"/>
          <w:szCs w:val="20"/>
        </w:rPr>
        <w:t>.</w:t>
      </w:r>
    </w:p>
    <w:p w:rsidR="00000000" w:rsidRDefault="00A309A2">
      <w:pPr>
        <w:pStyle w:val="a3"/>
        <w:spacing w:before="200" w:beforeAutospacing="0" w:after="0" w:afterAutospacing="0"/>
        <w:ind w:firstLine="555"/>
        <w:rPr>
          <w:sz w:val="20"/>
          <w:szCs w:val="20"/>
        </w:rPr>
      </w:pPr>
      <w:r>
        <w:rPr>
          <w:sz w:val="20"/>
          <w:szCs w:val="20"/>
        </w:rPr>
        <w:t>In addition, holders of the Notes have the right to require us to repurchas</w:t>
      </w:r>
      <w:r>
        <w:rPr>
          <w:sz w:val="20"/>
          <w:szCs w:val="20"/>
        </w:rPr>
        <w:t>e their Notes upon the occurrence of a fundamental change at a fundamental change repurchase price equal to 100% of the principal amount of the Notes to be repurchased, plus accrued and unpaid interest, if any. Upon conversion of the Notes, unless we elect</w:t>
      </w:r>
      <w:r>
        <w:rPr>
          <w:sz w:val="20"/>
          <w:szCs w:val="20"/>
        </w:rPr>
        <w:t xml:space="preserve"> to deliver solely shares of our common stock to settle such conversion (other than paying cash in lieu of delivering any fractional share), we will be required to make cash payments in respect of the Notes being converted. We may not have enough available</w:t>
      </w:r>
      <w:r>
        <w:rPr>
          <w:sz w:val="20"/>
          <w:szCs w:val="20"/>
        </w:rPr>
        <w:t xml:space="preserve"> cash or be able to obtain financing at the time we are required to make repurchases of Notes surrendered therefor or Notes being converted. In addition, our ability to repurchase the Notes or to pay cash upon conversions of the Notes may be limited by law</w:t>
      </w:r>
      <w:r>
        <w:rPr>
          <w:sz w:val="20"/>
          <w:szCs w:val="20"/>
        </w:rPr>
        <w:t>, by regulatory authority or by agreements governing our future indebtedness. Our failure to repurchase Notes at a time when the repurchase is required by the indenture governing the notes or to pay any cash payable on future conversions of the Notes as re</w:t>
      </w:r>
      <w:r>
        <w:rPr>
          <w:sz w:val="20"/>
          <w:szCs w:val="20"/>
        </w:rPr>
        <w:t>quired by such indenture would constitute a default under such indenture. A default under the indenture or the fundamental change itself could also lead to a default under agreements governing our future indebtedness. If the repayment of the related indebt</w:t>
      </w:r>
      <w:r>
        <w:rPr>
          <w:sz w:val="20"/>
          <w:szCs w:val="20"/>
        </w:rPr>
        <w:t>edness were to be accelerated after any applicable notice or grace periods, we may not have sufficient funds to repay the indebtedness and repurchase the Notes or make cash payments upon conversions thereof</w:t>
      </w:r>
      <w:r>
        <w:rPr>
          <w:sz w:val="20"/>
          <w:szCs w:val="20"/>
        </w:rPr>
        <w:t>.</w:t>
      </w:r>
    </w:p>
    <w:p w:rsidR="00000000" w:rsidRDefault="00A309A2">
      <w:pPr>
        <w:pStyle w:val="a3"/>
        <w:spacing w:before="0" w:beforeAutospacing="0" w:after="0" w:afterAutospacing="0"/>
        <w:rPr>
          <w:sz w:val="20"/>
          <w:szCs w:val="20"/>
        </w:rPr>
      </w:pPr>
      <w:r>
        <w:rPr>
          <w:sz w:val="20"/>
          <w:szCs w:val="20"/>
        </w:rPr>
        <w:t>In addition, our indebtedness, combined with our</w:t>
      </w:r>
      <w:r>
        <w:rPr>
          <w:sz w:val="20"/>
          <w:szCs w:val="20"/>
        </w:rPr>
        <w:t xml:space="preserve"> other financial obligations and contractual commitments, could have other important consequences. For example, it could</w:t>
      </w:r>
      <w:r>
        <w:rPr>
          <w:sz w:val="20"/>
          <w:szCs w:val="20"/>
        </w:rPr>
        <w:t>:</w:t>
      </w:r>
    </w:p>
    <w:p w:rsidR="00000000" w:rsidRDefault="00A309A2">
      <w:pPr>
        <w:divId w:val="258369303"/>
        <w:rPr>
          <w:rFonts w:eastAsia="Times New Roman"/>
        </w:rPr>
      </w:pPr>
      <w:r>
        <w:rPr>
          <w:rFonts w:eastAsia="Times New Roman"/>
          <w:sz w:val="20"/>
          <w:szCs w:val="20"/>
        </w:rPr>
        <w:t>•</w:t>
      </w:r>
    </w:p>
    <w:p w:rsidR="00000000" w:rsidRDefault="00A309A2">
      <w:pPr>
        <w:divId w:val="82535001"/>
        <w:rPr>
          <w:rFonts w:eastAsia="Times New Roman"/>
        </w:rPr>
      </w:pPr>
      <w:r>
        <w:rPr>
          <w:rFonts w:eastAsia="Times New Roman"/>
          <w:sz w:val="20"/>
          <w:szCs w:val="20"/>
        </w:rPr>
        <w:t>make us more vulnerable to adverse changes in general U.S. and worldwide economic, industry and competitive conditions and adverse changes in government regulation</w:t>
      </w:r>
      <w:r>
        <w:rPr>
          <w:rFonts w:eastAsia="Times New Roman"/>
          <w:sz w:val="20"/>
          <w:szCs w:val="20"/>
        </w:rPr>
        <w:t>;</w:t>
      </w:r>
    </w:p>
    <w:p w:rsidR="00000000" w:rsidRDefault="00A309A2">
      <w:pPr>
        <w:divId w:val="1318459912"/>
        <w:rPr>
          <w:rFonts w:eastAsia="Times New Roman"/>
        </w:rPr>
      </w:pPr>
      <w:r>
        <w:rPr>
          <w:rFonts w:eastAsia="Times New Roman"/>
          <w:sz w:val="20"/>
          <w:szCs w:val="20"/>
        </w:rPr>
        <w:t>•</w:t>
      </w:r>
    </w:p>
    <w:p w:rsidR="00000000" w:rsidRDefault="00A309A2">
      <w:pPr>
        <w:divId w:val="1904557486"/>
        <w:rPr>
          <w:rFonts w:eastAsia="Times New Roman"/>
        </w:rPr>
      </w:pPr>
      <w:r>
        <w:rPr>
          <w:rFonts w:eastAsia="Times New Roman"/>
          <w:sz w:val="20"/>
          <w:szCs w:val="20"/>
        </w:rPr>
        <w:t>limit our flexibility in planning for, or reacting to, changes in our business and our in</w:t>
      </w:r>
      <w:r>
        <w:rPr>
          <w:rFonts w:eastAsia="Times New Roman"/>
          <w:sz w:val="20"/>
          <w:szCs w:val="20"/>
        </w:rPr>
        <w:t>dustry</w:t>
      </w:r>
      <w:r>
        <w:rPr>
          <w:rFonts w:eastAsia="Times New Roman"/>
          <w:sz w:val="20"/>
          <w:szCs w:val="20"/>
        </w:rPr>
        <w:t>;</w:t>
      </w:r>
    </w:p>
    <w:p w:rsidR="00000000" w:rsidRDefault="00A309A2">
      <w:pPr>
        <w:divId w:val="1838770319"/>
        <w:rPr>
          <w:rFonts w:eastAsia="Times New Roman"/>
        </w:rPr>
      </w:pPr>
      <w:r>
        <w:rPr>
          <w:rFonts w:eastAsia="Times New Roman"/>
          <w:sz w:val="20"/>
          <w:szCs w:val="20"/>
        </w:rPr>
        <w:t>•</w:t>
      </w:r>
    </w:p>
    <w:p w:rsidR="00000000" w:rsidRDefault="00A309A2">
      <w:pPr>
        <w:divId w:val="723524833"/>
        <w:rPr>
          <w:rFonts w:eastAsia="Times New Roman"/>
        </w:rPr>
      </w:pPr>
      <w:r>
        <w:rPr>
          <w:rFonts w:eastAsia="Times New Roman"/>
          <w:sz w:val="20"/>
          <w:szCs w:val="20"/>
        </w:rPr>
        <w:t>place us at a disadvantage compared to our competitors who have less debt; an</w:t>
      </w:r>
      <w:r>
        <w:rPr>
          <w:rFonts w:eastAsia="Times New Roman"/>
          <w:sz w:val="20"/>
          <w:szCs w:val="20"/>
        </w:rPr>
        <w:t>d</w:t>
      </w:r>
    </w:p>
    <w:p w:rsidR="00000000" w:rsidRDefault="00A309A2">
      <w:pPr>
        <w:divId w:val="625157892"/>
        <w:rPr>
          <w:rFonts w:eastAsia="Times New Roman"/>
        </w:rPr>
      </w:pPr>
      <w:r>
        <w:rPr>
          <w:rFonts w:eastAsia="Times New Roman"/>
          <w:sz w:val="20"/>
          <w:szCs w:val="20"/>
        </w:rPr>
        <w:t>•</w:t>
      </w:r>
    </w:p>
    <w:p w:rsidR="00000000" w:rsidRDefault="00A309A2">
      <w:pPr>
        <w:divId w:val="1698195281"/>
        <w:rPr>
          <w:rFonts w:eastAsia="Times New Roman"/>
        </w:rPr>
      </w:pPr>
      <w:r>
        <w:rPr>
          <w:rFonts w:eastAsia="Times New Roman"/>
          <w:sz w:val="20"/>
          <w:szCs w:val="20"/>
        </w:rPr>
        <w:t>limit our ability to borrow additional amounts to fund acquisitions, for working capital and for other general corporate purposes</w:t>
      </w:r>
      <w:r>
        <w:rPr>
          <w:rFonts w:eastAsia="Times New Roman"/>
          <w:sz w:val="20"/>
          <w:szCs w:val="20"/>
        </w:rPr>
        <w:t>.</w:t>
      </w:r>
    </w:p>
    <w:p w:rsidR="00000000" w:rsidRDefault="00A309A2">
      <w:pPr>
        <w:pStyle w:val="a3"/>
        <w:spacing w:before="240" w:beforeAutospacing="0" w:after="0" w:afterAutospacing="0"/>
        <w:jc w:val="center"/>
        <w:rPr>
          <w:sz w:val="20"/>
          <w:szCs w:val="20"/>
        </w:rPr>
      </w:pPr>
      <w:r>
        <w:rPr>
          <w:sz w:val="20"/>
          <w:szCs w:val="20"/>
        </w:rPr>
        <w:t>3</w:t>
      </w:r>
      <w:r>
        <w:rPr>
          <w:sz w:val="20"/>
          <w:szCs w:val="20"/>
        </w:rPr>
        <w:t>1</w:t>
      </w:r>
    </w:p>
    <w:p w:rsidR="00000000" w:rsidRDefault="00A309A2">
      <w:pPr>
        <w:rPr>
          <w:rFonts w:eastAsia="Times New Roman"/>
        </w:rPr>
      </w:pPr>
      <w:r>
        <w:rPr>
          <w:rFonts w:eastAsia="Times New Roman"/>
        </w:rPr>
        <w:pict>
          <v:rect id="_x0000_i105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Any of these factors could materially and adversely affect our business, financial condition and results of operations. In addition, if we incur additional indebtedness, the risks related to our business and our ability to service or repay our inde</w:t>
      </w:r>
      <w:r>
        <w:rPr>
          <w:sz w:val="20"/>
          <w:szCs w:val="20"/>
        </w:rPr>
        <w:t>btedness would increase</w:t>
      </w:r>
      <w:r>
        <w:rPr>
          <w:sz w:val="20"/>
          <w:szCs w:val="20"/>
        </w:rPr>
        <w:t>.</w:t>
      </w:r>
    </w:p>
    <w:p w:rsidR="00000000" w:rsidRDefault="00A309A2">
      <w:pPr>
        <w:pStyle w:val="a3"/>
        <w:spacing w:before="200" w:beforeAutospacing="0" w:after="0" w:afterAutospacing="0"/>
        <w:rPr>
          <w:sz w:val="20"/>
          <w:szCs w:val="20"/>
        </w:rPr>
      </w:pPr>
      <w:r>
        <w:rPr>
          <w:b/>
          <w:bCs/>
          <w:i/>
          <w:iCs/>
          <w:sz w:val="20"/>
          <w:szCs w:val="20"/>
        </w:rPr>
        <w:t>The conditional conversion feature of the Notes, if triggered, may adversely affect our financial condition and operating results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In the event the conditional conversion feature of the 2022 Notes or the 2025 Notes is triggered, th</w:t>
      </w:r>
      <w:r>
        <w:rPr>
          <w:sz w:val="20"/>
          <w:szCs w:val="20"/>
        </w:rPr>
        <w:t>e holders thereof will be entitled to convert the 2022 Notes or the 2025 Notes respectively, at any time during specified periods at their option</w:t>
      </w:r>
      <w:r>
        <w:rPr>
          <w:sz w:val="20"/>
          <w:szCs w:val="20"/>
        </w:rPr>
        <w:t>.</w:t>
      </w:r>
    </w:p>
    <w:p w:rsidR="00000000" w:rsidRDefault="00A309A2">
      <w:pPr>
        <w:pStyle w:val="a3"/>
        <w:spacing w:before="200" w:beforeAutospacing="0" w:after="0" w:afterAutospacing="0"/>
        <w:ind w:firstLine="555"/>
        <w:rPr>
          <w:sz w:val="20"/>
          <w:szCs w:val="20"/>
        </w:rPr>
      </w:pPr>
      <w:r>
        <w:rPr>
          <w:sz w:val="20"/>
          <w:szCs w:val="20"/>
        </w:rPr>
        <w:t>Because the last reported sale price of the Company’s common stock for at least 20 trading days during the pe</w:t>
      </w:r>
      <w:r>
        <w:rPr>
          <w:sz w:val="20"/>
          <w:szCs w:val="20"/>
        </w:rPr>
        <w:t>riod of 30 consecutive trading</w:t>
      </w:r>
      <w:r>
        <w:rPr>
          <w:sz w:val="20"/>
          <w:szCs w:val="20"/>
        </w:rPr>
        <w:t xml:space="preserve"> </w:t>
      </w:r>
      <w:r>
        <w:rPr>
          <w:sz w:val="20"/>
          <w:szCs w:val="20"/>
        </w:rPr>
        <w:t>days ending on the last trading day of the calendar quarter ended</w:t>
      </w:r>
      <w:r>
        <w:rPr>
          <w:sz w:val="20"/>
          <w:szCs w:val="20"/>
        </w:rPr>
        <w:t xml:space="preserve"> </w:t>
      </w:r>
      <w:r>
        <w:rPr>
          <w:sz w:val="20"/>
          <w:szCs w:val="20"/>
        </w:rPr>
        <w:t>December 31, 202</w:t>
      </w:r>
      <w:r>
        <w:rPr>
          <w:sz w:val="20"/>
          <w:szCs w:val="20"/>
        </w:rPr>
        <w:t>1</w:t>
      </w:r>
      <w:r>
        <w:rPr>
          <w:sz w:val="20"/>
          <w:szCs w:val="20"/>
        </w:rPr>
        <w:t xml:space="preserve"> was equal to or greater than 130% of the conversion price of $94.77 on each applicable trading day, the 2022 Notes are convertible at the opt</w:t>
      </w:r>
      <w:r>
        <w:rPr>
          <w:sz w:val="20"/>
          <w:szCs w:val="20"/>
        </w:rPr>
        <w:t>ion of the holders thereof on the business day immediately preceding February 1, 2022. In 2021, the Company settled approximately $106.5 million of the principal balance of the 2022 Notes in cash. On or after February 1, 2022 until the close of business on</w:t>
      </w:r>
      <w:r>
        <w:rPr>
          <w:sz w:val="20"/>
          <w:szCs w:val="20"/>
        </w:rPr>
        <w:t xml:space="preserve"> the second scheduled trading day immediately preceding the maturity date, holders may convert their notes at any time. As of February 11, 2022, the Company has not received additional conversion notices. Because the last reported sale price of the Company</w:t>
      </w:r>
      <w:r>
        <w:rPr>
          <w:sz w:val="20"/>
          <w:szCs w:val="20"/>
        </w:rPr>
        <w:t>’s common stock for at least 20 trading days during the period of 30 consecutive trading days ending on the last trading day of the calendar quarter ended December 31, 2021 was equal to or greater than 130% of the applicable conversion price on each applic</w:t>
      </w:r>
      <w:r>
        <w:rPr>
          <w:sz w:val="20"/>
          <w:szCs w:val="20"/>
        </w:rPr>
        <w:t>able trading day, the 2025 Notes are convertible at the option of the holders thereof during the calendar quarter ending March 31, 2022. Between the end of the most recently completed fiscal quarter and February 11, 2022, the Company settled $0.9 million o</w:t>
      </w:r>
      <w:r>
        <w:rPr>
          <w:sz w:val="20"/>
          <w:szCs w:val="20"/>
        </w:rPr>
        <w:t>f principal balance of the 2025 Notes in cash in response to conversion notices received prior to December 31, 2021. As of February 11, 2022, the Company has not received additional conversion notices. Whether the Notes that remain outstanding will be conv</w:t>
      </w:r>
      <w:r>
        <w:rPr>
          <w:sz w:val="20"/>
          <w:szCs w:val="20"/>
        </w:rPr>
        <w:t>ertible following the calendar quarter ending December 31, 2021 will depend on the continued satisfaction of this condition or another conversion condition in the future. If one or more holders elect to convert their Notes, unless we elect to satisfy our c</w:t>
      </w:r>
      <w:r>
        <w:rPr>
          <w:sz w:val="20"/>
          <w:szCs w:val="20"/>
        </w:rPr>
        <w:t xml:space="preserve">onversion obligation by delivering solely shares of our common stock (other than paying cash in lieu of delivering any fractional share), we would be required to settle a portion or all of our conversion obligation through the payment of cash, which could </w:t>
      </w:r>
      <w:r>
        <w:rPr>
          <w:sz w:val="20"/>
          <w:szCs w:val="20"/>
        </w:rPr>
        <w:t>adversely affect our liquidity. In addition, even if holders do not elect to convert their Notes, we could be required under applicable accounting rules to reclassify all or a portion of the outstanding principal of the Notes as a current rather than long-</w:t>
      </w:r>
      <w:r>
        <w:rPr>
          <w:sz w:val="20"/>
          <w:szCs w:val="20"/>
        </w:rPr>
        <w:t>term liability, which would result in a material reduction of our net working capital</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i/>
          <w:iCs/>
          <w:sz w:val="20"/>
          <w:szCs w:val="20"/>
        </w:rPr>
        <w:t>The accounting method for convertible debt securities that may be settled in cash, such as the Notes, could have a material effect on our reported financial results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Un</w:t>
      </w:r>
      <w:r>
        <w:rPr>
          <w:sz w:val="20"/>
          <w:szCs w:val="20"/>
        </w:rPr>
        <w:t>der Financial Accounting Standards Board (“FASB”) Accounting Standards Codification 470-20, Debt with Conversion and Other Options, which we refer to as ASC 470-20, an entity must separately account for the liability and equity components of convertible de</w:t>
      </w:r>
      <w:r>
        <w:rPr>
          <w:sz w:val="20"/>
          <w:szCs w:val="20"/>
        </w:rPr>
        <w:t>bt instruments (such as the Notes) that may be settled entirely or partially in cash upon conversion in a manner that reflects the issuer’s economic interest cost. ASC 470-20 requires the value of the conversion option of the Notes, representing the equity</w:t>
      </w:r>
      <w:r>
        <w:rPr>
          <w:sz w:val="20"/>
          <w:szCs w:val="20"/>
        </w:rPr>
        <w:t xml:space="preserve"> component, to be recorded as additional paid-in capital within stockholders’ equity in our consolidated balance sheet and as a discount to the Notes, which reduces their initial carrying value. The carrying value of the Notes, net of the discount recorded</w:t>
      </w:r>
      <w:r>
        <w:rPr>
          <w:sz w:val="20"/>
          <w:szCs w:val="20"/>
        </w:rPr>
        <w:t xml:space="preserve">, will be accreted up to the principal amount of the Notes from the issuance date until maturity, which will result in non-cash charges to interest expense in our consolidated statement of operations. Accordingly, we will report lower net income or higher </w:t>
      </w:r>
      <w:r>
        <w:rPr>
          <w:sz w:val="20"/>
          <w:szCs w:val="20"/>
        </w:rPr>
        <w:t>net loss in our financial results because ASC 470-20 requires interest to include both the current period’s accretion of the debt discount and the instrument’s coupon interest, which could adversely affect our reported or future financial results, the trad</w:t>
      </w:r>
      <w:r>
        <w:rPr>
          <w:sz w:val="20"/>
          <w:szCs w:val="20"/>
        </w:rPr>
        <w:t>ing price of our common stock and the trading price of the Notes</w:t>
      </w:r>
      <w:r>
        <w:rPr>
          <w:sz w:val="20"/>
          <w:szCs w:val="20"/>
        </w:rPr>
        <w:t>.</w:t>
      </w:r>
    </w:p>
    <w:p w:rsidR="00000000" w:rsidRDefault="00A309A2">
      <w:pPr>
        <w:pStyle w:val="a3"/>
        <w:spacing w:before="200" w:beforeAutospacing="0" w:after="0" w:afterAutospacing="0"/>
        <w:ind w:firstLine="555"/>
        <w:rPr>
          <w:sz w:val="20"/>
          <w:szCs w:val="20"/>
        </w:rPr>
      </w:pPr>
      <w:r>
        <w:rPr>
          <w:sz w:val="20"/>
          <w:szCs w:val="20"/>
        </w:rPr>
        <w:t>In addition, under certain circumstances, convertible debt instruments (such as the Notes) that may be settled entirely or partly in cash are currently accounted for utilizing the treasury s</w:t>
      </w:r>
      <w:r>
        <w:rPr>
          <w:sz w:val="20"/>
          <w:szCs w:val="20"/>
        </w:rPr>
        <w:t>tock method, the effect of which is that the shares issuable upon conversion of the Notes are not included in the calculation of diluted earnings per share except to the extent that the conversion value of the Notes exceeds their principal amount. Under th</w:t>
      </w:r>
      <w:r>
        <w:rPr>
          <w:sz w:val="20"/>
          <w:szCs w:val="20"/>
        </w:rPr>
        <w:t>e treasury stock method, for diluted earnings per share purposes, the transaction is accounted for as if the number of shares of common stock that would be necessary to settle such excess, if we elected to settle such excess in shares, are issued</w:t>
      </w:r>
      <w:r>
        <w:rPr>
          <w:sz w:val="20"/>
          <w:szCs w:val="20"/>
        </w:rPr>
        <w:t>.</w:t>
      </w:r>
    </w:p>
    <w:p w:rsidR="00000000" w:rsidRDefault="00A309A2">
      <w:pPr>
        <w:pStyle w:val="a3"/>
        <w:spacing w:before="240" w:beforeAutospacing="0" w:after="0" w:afterAutospacing="0"/>
        <w:jc w:val="center"/>
        <w:rPr>
          <w:sz w:val="20"/>
          <w:szCs w:val="20"/>
        </w:rPr>
      </w:pPr>
      <w:r>
        <w:rPr>
          <w:sz w:val="20"/>
          <w:szCs w:val="20"/>
        </w:rPr>
        <w:t>3</w:t>
      </w:r>
      <w:r>
        <w:rPr>
          <w:sz w:val="20"/>
          <w:szCs w:val="20"/>
        </w:rPr>
        <w:t>2</w:t>
      </w:r>
    </w:p>
    <w:p w:rsidR="00000000" w:rsidRDefault="00A309A2">
      <w:pPr>
        <w:rPr>
          <w:rFonts w:eastAsia="Times New Roman"/>
        </w:rPr>
      </w:pPr>
      <w:r>
        <w:rPr>
          <w:rFonts w:eastAsia="Times New Roman"/>
        </w:rPr>
        <w:pict>
          <v:rect id="_x0000_i105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sz w:val="20"/>
          <w:szCs w:val="20"/>
        </w:rPr>
        <w:t>Risks Related to Our Common Stoc</w:t>
      </w:r>
      <w:r>
        <w:rPr>
          <w:b/>
          <w:bCs/>
          <w:sz w:val="20"/>
          <w:szCs w:val="20"/>
        </w:rPr>
        <w:t>k</w:t>
      </w:r>
    </w:p>
    <w:p w:rsidR="00000000" w:rsidRDefault="00A309A2">
      <w:pPr>
        <w:pStyle w:val="a3"/>
        <w:spacing w:before="200" w:beforeAutospacing="0" w:after="0" w:afterAutospacing="0"/>
        <w:rPr>
          <w:sz w:val="20"/>
          <w:szCs w:val="20"/>
        </w:rPr>
      </w:pPr>
      <w:r>
        <w:rPr>
          <w:b/>
          <w:bCs/>
          <w:i/>
          <w:iCs/>
          <w:sz w:val="20"/>
          <w:szCs w:val="20"/>
        </w:rPr>
        <w:t>Our stock price may be volatile and you may be unable to sell your shares at or above the price you purchased them</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The trading prices of the securities of technology companies, including </w:t>
      </w:r>
      <w:r>
        <w:rPr>
          <w:sz w:val="20"/>
          <w:szCs w:val="20"/>
        </w:rPr>
        <w:t>providers of software via the cloud-based model, have been highly volatile. Since shares of our common stock w</w:t>
      </w:r>
      <w:r>
        <w:rPr>
          <w:sz w:val="20"/>
          <w:szCs w:val="20"/>
        </w:rPr>
        <w:t>e</w:t>
      </w:r>
      <w:r>
        <w:rPr>
          <w:sz w:val="20"/>
          <w:szCs w:val="20"/>
        </w:rPr>
        <w:t>re sold in our initial public offering in October 2014 at a price of $25.00 per share, our stock price has ranged from $25.79 to $866.00 t</w:t>
      </w:r>
      <w:r>
        <w:rPr>
          <w:sz w:val="20"/>
          <w:szCs w:val="20"/>
        </w:rPr>
        <w:t>h</w:t>
      </w:r>
      <w:r>
        <w:rPr>
          <w:sz w:val="20"/>
          <w:szCs w:val="20"/>
        </w:rPr>
        <w:t xml:space="preserve">rough </w:t>
      </w:r>
      <w:r>
        <w:rPr>
          <w:sz w:val="20"/>
          <w:szCs w:val="20"/>
        </w:rPr>
        <w:t>December 31, 2021. The market price of our common stock may fluctuate significantly in response to numerous factors, many of which are beyond our control, including</w:t>
      </w:r>
      <w:r>
        <w:rPr>
          <w:sz w:val="20"/>
          <w:szCs w:val="20"/>
        </w:rPr>
        <w:t>:</w:t>
      </w:r>
    </w:p>
    <w:p w:rsidR="00000000" w:rsidRDefault="00A309A2">
      <w:pPr>
        <w:divId w:val="524177656"/>
        <w:rPr>
          <w:rFonts w:eastAsia="Times New Roman"/>
        </w:rPr>
      </w:pPr>
      <w:r>
        <w:rPr>
          <w:rFonts w:eastAsia="Times New Roman"/>
          <w:sz w:val="20"/>
          <w:szCs w:val="20"/>
        </w:rPr>
        <w:t>•</w:t>
      </w:r>
    </w:p>
    <w:p w:rsidR="00000000" w:rsidRDefault="00A309A2">
      <w:pPr>
        <w:divId w:val="1257179744"/>
        <w:rPr>
          <w:rFonts w:eastAsia="Times New Roman"/>
        </w:rPr>
      </w:pPr>
      <w:r>
        <w:rPr>
          <w:rFonts w:eastAsia="Times New Roman"/>
          <w:sz w:val="20"/>
          <w:szCs w:val="20"/>
        </w:rPr>
        <w:t>actual or anticipated fluctuations in our revenue and other operating results, including as a result of the addition or loss of any number of customers</w:t>
      </w:r>
      <w:r>
        <w:rPr>
          <w:rFonts w:eastAsia="Times New Roman"/>
          <w:sz w:val="20"/>
          <w:szCs w:val="20"/>
        </w:rPr>
        <w:t>;</w:t>
      </w:r>
    </w:p>
    <w:p w:rsidR="00000000" w:rsidRDefault="00A309A2">
      <w:pPr>
        <w:divId w:val="1402291496"/>
        <w:rPr>
          <w:rFonts w:eastAsia="Times New Roman"/>
        </w:rPr>
      </w:pPr>
      <w:r>
        <w:rPr>
          <w:rFonts w:eastAsia="Times New Roman"/>
          <w:sz w:val="20"/>
          <w:szCs w:val="20"/>
        </w:rPr>
        <w:t>•</w:t>
      </w:r>
    </w:p>
    <w:p w:rsidR="00000000" w:rsidRDefault="00A309A2">
      <w:pPr>
        <w:divId w:val="1811094459"/>
        <w:rPr>
          <w:rFonts w:eastAsia="Times New Roman"/>
        </w:rPr>
      </w:pPr>
      <w:r>
        <w:rPr>
          <w:rFonts w:eastAsia="Times New Roman"/>
          <w:sz w:val="20"/>
          <w:szCs w:val="20"/>
        </w:rPr>
        <w:t xml:space="preserve">announcements by us or our competitors of significant technical innovations, acquisitions, strategic </w:t>
      </w:r>
      <w:r>
        <w:rPr>
          <w:rFonts w:eastAsia="Times New Roman"/>
          <w:sz w:val="20"/>
          <w:szCs w:val="20"/>
        </w:rPr>
        <w:t>partnerships, joint ventures or capital commitments</w:t>
      </w:r>
      <w:r>
        <w:rPr>
          <w:rFonts w:eastAsia="Times New Roman"/>
          <w:sz w:val="20"/>
          <w:szCs w:val="20"/>
        </w:rPr>
        <w:t>;</w:t>
      </w:r>
    </w:p>
    <w:p w:rsidR="00000000" w:rsidRDefault="00A309A2">
      <w:pPr>
        <w:divId w:val="1703361814"/>
        <w:rPr>
          <w:rFonts w:eastAsia="Times New Roman"/>
        </w:rPr>
      </w:pPr>
      <w:r>
        <w:rPr>
          <w:rFonts w:eastAsia="Times New Roman"/>
          <w:sz w:val="20"/>
          <w:szCs w:val="20"/>
        </w:rPr>
        <w:t>•</w:t>
      </w:r>
    </w:p>
    <w:p w:rsidR="00000000" w:rsidRDefault="00A309A2">
      <w:pPr>
        <w:divId w:val="850339595"/>
        <w:rPr>
          <w:rFonts w:eastAsia="Times New Roman"/>
        </w:rPr>
      </w:pPr>
      <w:r>
        <w:rPr>
          <w:rFonts w:eastAsia="Times New Roman"/>
          <w:sz w:val="20"/>
          <w:szCs w:val="20"/>
        </w:rPr>
        <w:t>the financial projections we may provide to the public, any changes in these projections or our failure to meet these projections</w:t>
      </w:r>
      <w:r>
        <w:rPr>
          <w:rFonts w:eastAsia="Times New Roman"/>
          <w:sz w:val="20"/>
          <w:szCs w:val="20"/>
        </w:rPr>
        <w:t>;</w:t>
      </w:r>
    </w:p>
    <w:p w:rsidR="00000000" w:rsidRDefault="00A309A2">
      <w:pPr>
        <w:divId w:val="1974362538"/>
        <w:rPr>
          <w:rFonts w:eastAsia="Times New Roman"/>
        </w:rPr>
      </w:pPr>
      <w:r>
        <w:rPr>
          <w:rFonts w:eastAsia="Times New Roman"/>
          <w:sz w:val="20"/>
          <w:szCs w:val="20"/>
        </w:rPr>
        <w:t>•</w:t>
      </w:r>
    </w:p>
    <w:p w:rsidR="00000000" w:rsidRDefault="00A309A2">
      <w:pPr>
        <w:divId w:val="507209608"/>
        <w:rPr>
          <w:rFonts w:eastAsia="Times New Roman"/>
        </w:rPr>
      </w:pPr>
      <w:r>
        <w:rPr>
          <w:rFonts w:eastAsia="Times New Roman"/>
          <w:sz w:val="20"/>
          <w:szCs w:val="20"/>
        </w:rPr>
        <w:t>failure of securities analysts to initiate or maintain coverage of u</w:t>
      </w:r>
      <w:r>
        <w:rPr>
          <w:rFonts w:eastAsia="Times New Roman"/>
          <w:sz w:val="20"/>
          <w:szCs w:val="20"/>
        </w:rPr>
        <w:t>s, changes in ratings and financial estimates and the publication of other news by any securities analysts who follow our company, or our failure to meet these estimates or the expectations of investors</w:t>
      </w:r>
      <w:r>
        <w:rPr>
          <w:rFonts w:eastAsia="Times New Roman"/>
          <w:sz w:val="20"/>
          <w:szCs w:val="20"/>
        </w:rPr>
        <w:t>;</w:t>
      </w:r>
    </w:p>
    <w:p w:rsidR="00000000" w:rsidRDefault="00A309A2">
      <w:pPr>
        <w:divId w:val="1600527938"/>
        <w:rPr>
          <w:rFonts w:eastAsia="Times New Roman"/>
        </w:rPr>
      </w:pPr>
      <w:r>
        <w:rPr>
          <w:rFonts w:eastAsia="Times New Roman"/>
          <w:sz w:val="20"/>
          <w:szCs w:val="20"/>
        </w:rPr>
        <w:t>•</w:t>
      </w:r>
    </w:p>
    <w:p w:rsidR="00000000" w:rsidRDefault="00A309A2">
      <w:pPr>
        <w:divId w:val="1370103222"/>
        <w:rPr>
          <w:rFonts w:eastAsia="Times New Roman"/>
        </w:rPr>
      </w:pPr>
      <w:r>
        <w:rPr>
          <w:rFonts w:eastAsia="Times New Roman"/>
          <w:sz w:val="20"/>
          <w:szCs w:val="20"/>
        </w:rPr>
        <w:t xml:space="preserve">changes in operating performance and stock market </w:t>
      </w:r>
      <w:r>
        <w:rPr>
          <w:rFonts w:eastAsia="Times New Roman"/>
          <w:sz w:val="20"/>
          <w:szCs w:val="20"/>
        </w:rPr>
        <w:t>valuations of cloud-based software or other technology companies, or those in our industry in particular</w:t>
      </w:r>
      <w:r>
        <w:rPr>
          <w:rFonts w:eastAsia="Times New Roman"/>
          <w:sz w:val="20"/>
          <w:szCs w:val="20"/>
        </w:rPr>
        <w:t>;</w:t>
      </w:r>
    </w:p>
    <w:p w:rsidR="00000000" w:rsidRDefault="00A309A2">
      <w:pPr>
        <w:divId w:val="849872470"/>
        <w:rPr>
          <w:rFonts w:eastAsia="Times New Roman"/>
        </w:rPr>
      </w:pPr>
      <w:r>
        <w:rPr>
          <w:rFonts w:eastAsia="Times New Roman"/>
          <w:sz w:val="20"/>
          <w:szCs w:val="20"/>
        </w:rPr>
        <w:t>•</w:t>
      </w:r>
    </w:p>
    <w:p w:rsidR="00000000" w:rsidRDefault="00A309A2">
      <w:pPr>
        <w:divId w:val="1663120335"/>
        <w:rPr>
          <w:rFonts w:eastAsia="Times New Roman"/>
        </w:rPr>
      </w:pPr>
      <w:r>
        <w:rPr>
          <w:rFonts w:eastAsia="Times New Roman"/>
          <w:sz w:val="20"/>
          <w:szCs w:val="20"/>
        </w:rPr>
        <w:t xml:space="preserve">price and volume fluctuations in the trading of our common stock and in the overall stock market, including as a result of trends in the economy as </w:t>
      </w:r>
      <w:r>
        <w:rPr>
          <w:rFonts w:eastAsia="Times New Roman"/>
          <w:sz w:val="20"/>
          <w:szCs w:val="20"/>
        </w:rPr>
        <w:t>a whole</w:t>
      </w:r>
      <w:r>
        <w:rPr>
          <w:rFonts w:eastAsia="Times New Roman"/>
          <w:sz w:val="20"/>
          <w:szCs w:val="20"/>
        </w:rPr>
        <w:t>;</w:t>
      </w:r>
    </w:p>
    <w:p w:rsidR="00000000" w:rsidRDefault="00A309A2">
      <w:pPr>
        <w:divId w:val="1421216917"/>
        <w:rPr>
          <w:rFonts w:eastAsia="Times New Roman"/>
        </w:rPr>
      </w:pPr>
      <w:r>
        <w:rPr>
          <w:rFonts w:eastAsia="Times New Roman"/>
          <w:sz w:val="20"/>
          <w:szCs w:val="20"/>
        </w:rPr>
        <w:t>•</w:t>
      </w:r>
    </w:p>
    <w:p w:rsidR="00000000" w:rsidRDefault="00A309A2">
      <w:pPr>
        <w:divId w:val="450513644"/>
        <w:rPr>
          <w:rFonts w:eastAsia="Times New Roman"/>
        </w:rPr>
      </w:pPr>
      <w:r>
        <w:rPr>
          <w:rFonts w:eastAsia="Times New Roman"/>
          <w:sz w:val="20"/>
          <w:szCs w:val="20"/>
        </w:rPr>
        <w:t>sales of large blocks of our common stock or the dilutive effect of our Notes or any other equity or equity-linked financings</w:t>
      </w:r>
      <w:r>
        <w:rPr>
          <w:rFonts w:eastAsia="Times New Roman"/>
          <w:sz w:val="20"/>
          <w:szCs w:val="20"/>
        </w:rPr>
        <w:t>;</w:t>
      </w:r>
    </w:p>
    <w:p w:rsidR="00000000" w:rsidRDefault="00A309A2">
      <w:pPr>
        <w:divId w:val="1844542974"/>
        <w:rPr>
          <w:rFonts w:eastAsia="Times New Roman"/>
        </w:rPr>
      </w:pPr>
      <w:r>
        <w:rPr>
          <w:rFonts w:eastAsia="Times New Roman"/>
          <w:sz w:val="20"/>
          <w:szCs w:val="20"/>
        </w:rPr>
        <w:t>•</w:t>
      </w:r>
    </w:p>
    <w:p w:rsidR="00000000" w:rsidRDefault="00A309A2">
      <w:pPr>
        <w:divId w:val="1269196643"/>
        <w:rPr>
          <w:rFonts w:eastAsia="Times New Roman"/>
        </w:rPr>
      </w:pPr>
      <w:r>
        <w:rPr>
          <w:rFonts w:eastAsia="Times New Roman"/>
          <w:sz w:val="20"/>
          <w:szCs w:val="20"/>
        </w:rPr>
        <w:t>new laws or regulations or new interpretations of existing laws or regulations applicable to our business or industr</w:t>
      </w:r>
      <w:r>
        <w:rPr>
          <w:rFonts w:eastAsia="Times New Roman"/>
          <w:sz w:val="20"/>
          <w:szCs w:val="20"/>
        </w:rPr>
        <w:t>y, including data privacy and data security</w:t>
      </w:r>
      <w:r>
        <w:rPr>
          <w:rFonts w:eastAsia="Times New Roman"/>
          <w:sz w:val="20"/>
          <w:szCs w:val="20"/>
        </w:rPr>
        <w:t>;</w:t>
      </w:r>
    </w:p>
    <w:p w:rsidR="00000000" w:rsidRDefault="00A309A2">
      <w:pPr>
        <w:divId w:val="337586494"/>
        <w:rPr>
          <w:rFonts w:eastAsia="Times New Roman"/>
        </w:rPr>
      </w:pPr>
      <w:r>
        <w:rPr>
          <w:rFonts w:eastAsia="Times New Roman"/>
          <w:sz w:val="20"/>
          <w:szCs w:val="20"/>
        </w:rPr>
        <w:t>•</w:t>
      </w:r>
    </w:p>
    <w:p w:rsidR="00000000" w:rsidRDefault="00A309A2">
      <w:pPr>
        <w:divId w:val="838538809"/>
        <w:rPr>
          <w:rFonts w:eastAsia="Times New Roman"/>
        </w:rPr>
      </w:pPr>
      <w:r>
        <w:rPr>
          <w:rFonts w:eastAsia="Times New Roman"/>
          <w:sz w:val="20"/>
          <w:szCs w:val="20"/>
        </w:rPr>
        <w:t>lawsuits threatened or filed against us</w:t>
      </w:r>
      <w:r>
        <w:rPr>
          <w:rFonts w:eastAsia="Times New Roman"/>
          <w:sz w:val="20"/>
          <w:szCs w:val="20"/>
        </w:rPr>
        <w:t>;</w:t>
      </w:r>
    </w:p>
    <w:p w:rsidR="00000000" w:rsidRDefault="00A309A2">
      <w:pPr>
        <w:divId w:val="516696780"/>
        <w:rPr>
          <w:rFonts w:eastAsia="Times New Roman"/>
        </w:rPr>
      </w:pPr>
      <w:r>
        <w:rPr>
          <w:rFonts w:eastAsia="Times New Roman"/>
          <w:sz w:val="20"/>
          <w:szCs w:val="20"/>
        </w:rPr>
        <w:t>•</w:t>
      </w:r>
    </w:p>
    <w:p w:rsidR="00000000" w:rsidRDefault="00A309A2">
      <w:pPr>
        <w:divId w:val="1080952660"/>
        <w:rPr>
          <w:rFonts w:eastAsia="Times New Roman"/>
        </w:rPr>
      </w:pPr>
      <w:r>
        <w:rPr>
          <w:rFonts w:eastAsia="Times New Roman"/>
          <w:sz w:val="20"/>
          <w:szCs w:val="20"/>
        </w:rPr>
        <w:t>changes in key personnel; an</w:t>
      </w:r>
      <w:r>
        <w:rPr>
          <w:rFonts w:eastAsia="Times New Roman"/>
          <w:sz w:val="20"/>
          <w:szCs w:val="20"/>
        </w:rPr>
        <w:t>d</w:t>
      </w:r>
    </w:p>
    <w:p w:rsidR="00000000" w:rsidRDefault="00A309A2">
      <w:pPr>
        <w:divId w:val="1861622833"/>
        <w:rPr>
          <w:rFonts w:eastAsia="Times New Roman"/>
        </w:rPr>
      </w:pPr>
      <w:r>
        <w:rPr>
          <w:rFonts w:eastAsia="Times New Roman"/>
          <w:sz w:val="20"/>
          <w:szCs w:val="20"/>
        </w:rPr>
        <w:t>•</w:t>
      </w:r>
    </w:p>
    <w:p w:rsidR="00000000" w:rsidRDefault="00A309A2">
      <w:pPr>
        <w:divId w:val="1533372846"/>
        <w:rPr>
          <w:rFonts w:eastAsia="Times New Roman"/>
        </w:rPr>
      </w:pPr>
      <w:r>
        <w:rPr>
          <w:rFonts w:eastAsia="Times New Roman"/>
          <w:sz w:val="20"/>
          <w:szCs w:val="20"/>
        </w:rPr>
        <w:t>other events or factors, including changes in general economic, industry and market conditions and trends</w:t>
      </w:r>
      <w:r>
        <w:rPr>
          <w:rFonts w:eastAsia="Times New Roman"/>
          <w:sz w:val="20"/>
          <w:szCs w:val="20"/>
        </w:rPr>
        <w:t>.</w:t>
      </w:r>
    </w:p>
    <w:p w:rsidR="00000000" w:rsidRDefault="00A309A2">
      <w:pPr>
        <w:pStyle w:val="a3"/>
        <w:spacing w:before="200" w:beforeAutospacing="0" w:after="0" w:afterAutospacing="0"/>
        <w:ind w:firstLine="630"/>
        <w:rPr>
          <w:sz w:val="20"/>
          <w:szCs w:val="20"/>
        </w:rPr>
      </w:pPr>
      <w:r>
        <w:rPr>
          <w:sz w:val="20"/>
          <w:szCs w:val="20"/>
        </w:rPr>
        <w:t xml:space="preserve">In addition, the stock markets have experienced extreme price and volume fluctuations that have affected and continue to affect the market prices of </w:t>
      </w:r>
      <w:r>
        <w:rPr>
          <w:sz w:val="20"/>
          <w:szCs w:val="20"/>
        </w:rPr>
        <w:t>equity securities of many technology companies. Stock prices of many technology companies have fluctuated in a manner unrelated or disproportionate to the operating performance of those companies</w:t>
      </w:r>
      <w:r>
        <w:rPr>
          <w:sz w:val="20"/>
          <w:szCs w:val="20"/>
        </w:rPr>
        <w:t>.</w:t>
      </w:r>
    </w:p>
    <w:p w:rsidR="00000000" w:rsidRDefault="00A309A2">
      <w:pPr>
        <w:pStyle w:val="a3"/>
        <w:spacing w:before="200" w:beforeAutospacing="0" w:after="0" w:afterAutospacing="0"/>
        <w:ind w:firstLine="630"/>
        <w:rPr>
          <w:sz w:val="20"/>
          <w:szCs w:val="20"/>
        </w:rPr>
      </w:pPr>
      <w:r>
        <w:rPr>
          <w:sz w:val="20"/>
          <w:szCs w:val="20"/>
        </w:rPr>
        <w:t xml:space="preserve">In the past, stockholders have instituted securities class </w:t>
      </w:r>
      <w:r>
        <w:rPr>
          <w:sz w:val="20"/>
          <w:szCs w:val="20"/>
        </w:rPr>
        <w:t>action litigation following periods of market volatility. If we were to become involved in securities litigation, it could subject us to substantial costs, divert resources and the attention of management from our business and adversely affect our business</w:t>
      </w:r>
      <w:r>
        <w:rPr>
          <w:sz w:val="20"/>
          <w:szCs w:val="20"/>
        </w:rPr>
        <w:t>.</w:t>
      </w:r>
    </w:p>
    <w:p w:rsidR="00000000" w:rsidRDefault="00A309A2">
      <w:pPr>
        <w:pStyle w:val="a3"/>
        <w:spacing w:before="200" w:beforeAutospacing="0" w:after="0" w:afterAutospacing="0"/>
        <w:rPr>
          <w:sz w:val="20"/>
          <w:szCs w:val="20"/>
        </w:rPr>
      </w:pPr>
      <w:r>
        <w:rPr>
          <w:b/>
          <w:bCs/>
          <w:i/>
          <w:iCs/>
          <w:sz w:val="20"/>
          <w:szCs w:val="20"/>
        </w:rPr>
        <w:t>If we fail to maintain an effective system of disclosure controls and internal control over financial reporting, our ability to produce timely and accurate financial statements or comply with applicable regulations could be impaired</w:t>
      </w:r>
      <w:r>
        <w:rPr>
          <w:b/>
          <w:bCs/>
          <w:i/>
          <w:iCs/>
          <w:sz w:val="20"/>
          <w:szCs w:val="20"/>
        </w:rPr>
        <w:t>.</w:t>
      </w:r>
      <w:r>
        <w:rPr>
          <w:b/>
          <w:bCs/>
          <w:i/>
          <w:iCs/>
          <w:sz w:val="20"/>
          <w:szCs w:val="20"/>
        </w:rPr>
        <w:t xml:space="preserve"> </w:t>
      </w:r>
    </w:p>
    <w:p w:rsidR="00000000" w:rsidRDefault="00A309A2">
      <w:pPr>
        <w:pStyle w:val="a3"/>
        <w:spacing w:before="200" w:beforeAutospacing="0" w:after="0" w:afterAutospacing="0"/>
        <w:ind w:firstLine="630"/>
        <w:rPr>
          <w:sz w:val="20"/>
          <w:szCs w:val="20"/>
        </w:rPr>
      </w:pPr>
      <w:r>
        <w:rPr>
          <w:sz w:val="20"/>
          <w:szCs w:val="20"/>
        </w:rPr>
        <w:t>As a public company we are subject to the reporting requirements of the Securities Exchange Act of 1934, as amended (the “Exchange Act”), the Sarbanes-Oxley Act of 2002 (the “Sarbanes-Oxley Act”), the Dodd-Frank Wall Street Reform and Consumer Protection A</w:t>
      </w:r>
      <w:r>
        <w:rPr>
          <w:sz w:val="20"/>
          <w:szCs w:val="20"/>
        </w:rPr>
        <w:t>ct (the “Dodd-Frank Act”), and the rules and regulations of the New York Stock Exchange (the “NYSE”). We expect that compliance with these rules and regulations will continue to increase our legal, accounting and financial compliance costs, make some activ</w:t>
      </w:r>
      <w:r>
        <w:rPr>
          <w:sz w:val="20"/>
          <w:szCs w:val="20"/>
        </w:rPr>
        <w:t>ities more difficult, time consuming and costly, and place significant strain on our personnel, systems and resources</w:t>
      </w:r>
      <w:r>
        <w:rPr>
          <w:sz w:val="20"/>
          <w:szCs w:val="20"/>
        </w:rPr>
        <w:t>.</w:t>
      </w:r>
    </w:p>
    <w:p w:rsidR="00000000" w:rsidRDefault="00A309A2">
      <w:pPr>
        <w:pStyle w:val="a3"/>
        <w:spacing w:before="200" w:beforeAutospacing="0" w:after="0" w:afterAutospacing="0"/>
        <w:ind w:firstLine="630"/>
        <w:rPr>
          <w:sz w:val="20"/>
          <w:szCs w:val="20"/>
        </w:rPr>
      </w:pPr>
      <w:r>
        <w:rPr>
          <w:sz w:val="20"/>
          <w:szCs w:val="20"/>
        </w:rPr>
        <w:t>The Sarbanes-Oxley Act requires, among other things, that we assess the effectiveness of our internal control over financial reporting an</w:t>
      </w:r>
      <w:r>
        <w:rPr>
          <w:sz w:val="20"/>
          <w:szCs w:val="20"/>
        </w:rPr>
        <w:t xml:space="preserve">nually and the effectiveness of our disclosure controls and procedures quarterly. In particular, Section 404 of the Sarbanes-Oxley Act (“Section 404”), requires us to perform system and process evaluation and testing of our internal control over financial </w:t>
      </w:r>
      <w:r>
        <w:rPr>
          <w:sz w:val="20"/>
          <w:szCs w:val="20"/>
        </w:rPr>
        <w:t>reporting to allow management to report on, and our independent registered public accounting firm to attest to, the effectiveness of our internal control over financial reporting. Our compliance with applicable provisions of Section 404 requires that we in</w:t>
      </w:r>
      <w:r>
        <w:rPr>
          <w:sz w:val="20"/>
          <w:szCs w:val="20"/>
        </w:rPr>
        <w:t>cur substantial accounting expense and expend significant management time on compliance-related issues as we implement additional corporate governance practices and comply with reporting requirements. Moreover, if we are not able to comply with the require</w:t>
      </w:r>
      <w:r>
        <w:rPr>
          <w:sz w:val="20"/>
          <w:szCs w:val="20"/>
        </w:rPr>
        <w:t>ments of Section 404 applicable to us in a timely manner, or if we or our independent registered public accounting fir</w:t>
      </w:r>
      <w:r>
        <w:rPr>
          <w:sz w:val="20"/>
          <w:szCs w:val="20"/>
        </w:rPr>
        <w:t>m</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3</w:t>
      </w:r>
      <w:r>
        <w:rPr>
          <w:sz w:val="20"/>
          <w:szCs w:val="20"/>
        </w:rPr>
        <w:t>3</w:t>
      </w:r>
    </w:p>
    <w:p w:rsidR="00000000" w:rsidRDefault="00A309A2">
      <w:pPr>
        <w:rPr>
          <w:rFonts w:eastAsia="Times New Roman"/>
        </w:rPr>
      </w:pPr>
      <w:r>
        <w:rPr>
          <w:rFonts w:eastAsia="Times New Roman"/>
        </w:rPr>
        <w:pict>
          <v:rect id="_x0000_i1059"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identifies deficiencies in our internal control over financial reporting that are deemed to be</w:t>
      </w:r>
      <w:r>
        <w:rPr>
          <w:sz w:val="20"/>
          <w:szCs w:val="20"/>
        </w:rPr>
        <w:t xml:space="preserve"> material weaknesses, the market price of our stock could decline and we could be subject to sanctions or investigations by the SEC or other regulatory authorities, which would require additional financial and management resources</w:t>
      </w:r>
      <w:r>
        <w:rPr>
          <w:sz w:val="20"/>
          <w:szCs w:val="20"/>
        </w:rPr>
        <w:t>.</w:t>
      </w:r>
    </w:p>
    <w:p w:rsidR="00000000" w:rsidRDefault="00A309A2">
      <w:pPr>
        <w:pStyle w:val="a3"/>
        <w:spacing w:before="200" w:beforeAutospacing="0" w:after="0" w:afterAutospacing="0"/>
        <w:ind w:firstLine="630"/>
        <w:rPr>
          <w:sz w:val="20"/>
          <w:szCs w:val="20"/>
        </w:rPr>
      </w:pPr>
      <w:r>
        <w:rPr>
          <w:sz w:val="20"/>
          <w:szCs w:val="20"/>
        </w:rPr>
        <w:t>Furthermore, investor pe</w:t>
      </w:r>
      <w:r>
        <w:rPr>
          <w:sz w:val="20"/>
          <w:szCs w:val="20"/>
        </w:rPr>
        <w:t xml:space="preserve">rceptions of our company may suffer if deficiencies are found, and this could cause a decline in the market price of our stock. Irrespective of compliance with Section 404, any failure of our internal control over financial reporting could have a material </w:t>
      </w:r>
      <w:r>
        <w:rPr>
          <w:sz w:val="20"/>
          <w:szCs w:val="20"/>
        </w:rPr>
        <w:t>adverse effect on our stated operating results and harm our reputation. If we are unable to implement these requirements effectively or efficiently, it could harm our operations, financial reporting, or financial results and could result in an adverse opin</w:t>
      </w:r>
      <w:r>
        <w:rPr>
          <w:sz w:val="20"/>
          <w:szCs w:val="20"/>
        </w:rPr>
        <w:t>ion on our internal controls from our independent registered public accounting firm. In addition, as a result of our hybrid culture, many of our employees – including those critical to maintaining an effective system of disclosure controls and internal con</w:t>
      </w:r>
      <w:r>
        <w:rPr>
          <w:sz w:val="20"/>
          <w:szCs w:val="20"/>
        </w:rPr>
        <w:t xml:space="preserve">trol over financial reporting – are working, and are expected to continue to work for the near term, in a remote environment and not in the office environment from which they have historically performed their duties. We have limited experience maintaining </w:t>
      </w:r>
      <w:r>
        <w:rPr>
          <w:sz w:val="20"/>
          <w:szCs w:val="20"/>
        </w:rPr>
        <w:t>effective control systems with our employees working in remote environments, and risks that we have not contemplated may arise and result in our failure to maintain effective disclosure controls or internal control over financial reporting</w:t>
      </w:r>
      <w:r>
        <w:rPr>
          <w:sz w:val="20"/>
          <w:szCs w:val="20"/>
        </w:rPr>
        <w:t>.</w:t>
      </w:r>
    </w:p>
    <w:p w:rsidR="00000000" w:rsidRDefault="00A309A2">
      <w:pPr>
        <w:pStyle w:val="a3"/>
        <w:spacing w:before="240" w:beforeAutospacing="0" w:after="0" w:afterAutospacing="0"/>
        <w:jc w:val="center"/>
        <w:rPr>
          <w:sz w:val="20"/>
          <w:szCs w:val="20"/>
        </w:rPr>
      </w:pPr>
      <w:r>
        <w:rPr>
          <w:sz w:val="20"/>
          <w:szCs w:val="20"/>
        </w:rPr>
        <w:t>3</w:t>
      </w:r>
      <w:r>
        <w:rPr>
          <w:sz w:val="20"/>
          <w:szCs w:val="20"/>
        </w:rPr>
        <w:t>4</w:t>
      </w:r>
    </w:p>
    <w:p w:rsidR="00000000" w:rsidRDefault="00A309A2">
      <w:pPr>
        <w:rPr>
          <w:rFonts w:eastAsia="Times New Roman"/>
        </w:rPr>
      </w:pPr>
      <w:r>
        <w:rPr>
          <w:rFonts w:eastAsia="Times New Roman"/>
        </w:rPr>
        <w:pict>
          <v:rect id="_x0000_i106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i/>
          <w:iCs/>
          <w:sz w:val="20"/>
          <w:szCs w:val="20"/>
        </w:rPr>
        <w:t>Anti-takeover provisions in our charter documents and Delaware law may delay or prevent an acquisition of our company</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amended and restated certificate of incorporation, amended and restated bylaws and Delaware law contain pro</w:t>
      </w:r>
      <w:r>
        <w:rPr>
          <w:sz w:val="20"/>
          <w:szCs w:val="20"/>
        </w:rPr>
        <w:t>visions that may have the effect of delaying or preventing a change in control of us or changes in our management. Our amended and restated certificate of incorporation and bylaws include provisions that</w:t>
      </w:r>
      <w:r>
        <w:rPr>
          <w:sz w:val="20"/>
          <w:szCs w:val="20"/>
        </w:rPr>
        <w:t>:</w:t>
      </w:r>
    </w:p>
    <w:p w:rsidR="00000000" w:rsidRDefault="00A309A2">
      <w:pPr>
        <w:divId w:val="704401572"/>
        <w:rPr>
          <w:rFonts w:eastAsia="Times New Roman"/>
        </w:rPr>
      </w:pPr>
      <w:r>
        <w:rPr>
          <w:rFonts w:eastAsia="Times New Roman"/>
          <w:sz w:val="20"/>
          <w:szCs w:val="20"/>
        </w:rPr>
        <w:t>•</w:t>
      </w:r>
    </w:p>
    <w:p w:rsidR="00000000" w:rsidRDefault="00A309A2">
      <w:pPr>
        <w:divId w:val="611326518"/>
        <w:rPr>
          <w:rFonts w:eastAsia="Times New Roman"/>
        </w:rPr>
      </w:pPr>
      <w:r>
        <w:rPr>
          <w:rFonts w:eastAsia="Times New Roman"/>
          <w:sz w:val="20"/>
          <w:szCs w:val="20"/>
        </w:rPr>
        <w:t>authorize “blank check” preferred stock, which co</w:t>
      </w:r>
      <w:r>
        <w:rPr>
          <w:rFonts w:eastAsia="Times New Roman"/>
          <w:sz w:val="20"/>
          <w:szCs w:val="20"/>
        </w:rPr>
        <w:t>uld be issued by the board without stockholder approval and may contain voting, liquidation, dividend and other rights superior to our common stock</w:t>
      </w:r>
      <w:r>
        <w:rPr>
          <w:rFonts w:eastAsia="Times New Roman"/>
          <w:sz w:val="20"/>
          <w:szCs w:val="20"/>
        </w:rPr>
        <w:t>;</w:t>
      </w:r>
    </w:p>
    <w:p w:rsidR="00000000" w:rsidRDefault="00A309A2">
      <w:pPr>
        <w:divId w:val="1282691315"/>
        <w:rPr>
          <w:rFonts w:eastAsia="Times New Roman"/>
        </w:rPr>
      </w:pPr>
      <w:r>
        <w:rPr>
          <w:rFonts w:eastAsia="Times New Roman"/>
          <w:sz w:val="20"/>
          <w:szCs w:val="20"/>
        </w:rPr>
        <w:t>•</w:t>
      </w:r>
    </w:p>
    <w:p w:rsidR="00000000" w:rsidRDefault="00A309A2">
      <w:pPr>
        <w:divId w:val="1016231769"/>
        <w:rPr>
          <w:rFonts w:eastAsia="Times New Roman"/>
        </w:rPr>
      </w:pPr>
      <w:r>
        <w:rPr>
          <w:rFonts w:eastAsia="Times New Roman"/>
          <w:sz w:val="20"/>
          <w:szCs w:val="20"/>
        </w:rPr>
        <w:t>provide for a classified board of directors whose members serve staggered three-year terms</w:t>
      </w:r>
      <w:r>
        <w:rPr>
          <w:rFonts w:eastAsia="Times New Roman"/>
          <w:sz w:val="20"/>
          <w:szCs w:val="20"/>
        </w:rPr>
        <w:t>;</w:t>
      </w:r>
    </w:p>
    <w:p w:rsidR="00000000" w:rsidRDefault="00A309A2">
      <w:pPr>
        <w:divId w:val="802776217"/>
        <w:rPr>
          <w:rFonts w:eastAsia="Times New Roman"/>
        </w:rPr>
      </w:pPr>
      <w:r>
        <w:rPr>
          <w:rFonts w:eastAsia="Times New Roman"/>
          <w:sz w:val="20"/>
          <w:szCs w:val="20"/>
        </w:rPr>
        <w:t>•</w:t>
      </w:r>
    </w:p>
    <w:p w:rsidR="00000000" w:rsidRDefault="00A309A2">
      <w:pPr>
        <w:divId w:val="475606594"/>
        <w:rPr>
          <w:rFonts w:eastAsia="Times New Roman"/>
        </w:rPr>
      </w:pPr>
      <w:r>
        <w:rPr>
          <w:rFonts w:eastAsia="Times New Roman"/>
          <w:sz w:val="20"/>
          <w:szCs w:val="20"/>
        </w:rPr>
        <w:t>specify tha</w:t>
      </w:r>
      <w:r>
        <w:rPr>
          <w:rFonts w:eastAsia="Times New Roman"/>
          <w:sz w:val="20"/>
          <w:szCs w:val="20"/>
        </w:rPr>
        <w:t>t special meetings of our stockholders can be called only by our board of directors, the chairperson of the board, the chief executive officer or the president</w:t>
      </w:r>
      <w:r>
        <w:rPr>
          <w:rFonts w:eastAsia="Times New Roman"/>
          <w:sz w:val="20"/>
          <w:szCs w:val="20"/>
        </w:rPr>
        <w:t>;</w:t>
      </w:r>
    </w:p>
    <w:p w:rsidR="00000000" w:rsidRDefault="00A309A2">
      <w:pPr>
        <w:divId w:val="186798277"/>
        <w:rPr>
          <w:rFonts w:eastAsia="Times New Roman"/>
        </w:rPr>
      </w:pPr>
      <w:r>
        <w:rPr>
          <w:rFonts w:eastAsia="Times New Roman"/>
          <w:sz w:val="20"/>
          <w:szCs w:val="20"/>
        </w:rPr>
        <w:t>•</w:t>
      </w:r>
    </w:p>
    <w:p w:rsidR="00000000" w:rsidRDefault="00A309A2">
      <w:pPr>
        <w:divId w:val="1824932365"/>
        <w:rPr>
          <w:rFonts w:eastAsia="Times New Roman"/>
        </w:rPr>
      </w:pPr>
      <w:r>
        <w:rPr>
          <w:rFonts w:eastAsia="Times New Roman"/>
          <w:sz w:val="20"/>
          <w:szCs w:val="20"/>
        </w:rPr>
        <w:t>prohibit stockholder action by written consent</w:t>
      </w:r>
      <w:r>
        <w:rPr>
          <w:rFonts w:eastAsia="Times New Roman"/>
          <w:sz w:val="20"/>
          <w:szCs w:val="20"/>
        </w:rPr>
        <w:t>;</w:t>
      </w:r>
    </w:p>
    <w:p w:rsidR="00000000" w:rsidRDefault="00A309A2">
      <w:pPr>
        <w:divId w:val="799567246"/>
        <w:rPr>
          <w:rFonts w:eastAsia="Times New Roman"/>
        </w:rPr>
      </w:pPr>
      <w:r>
        <w:rPr>
          <w:rFonts w:eastAsia="Times New Roman"/>
          <w:sz w:val="20"/>
          <w:szCs w:val="20"/>
        </w:rPr>
        <w:t>•</w:t>
      </w:r>
    </w:p>
    <w:p w:rsidR="00000000" w:rsidRDefault="00A309A2">
      <w:pPr>
        <w:divId w:val="584416272"/>
        <w:rPr>
          <w:rFonts w:eastAsia="Times New Roman"/>
        </w:rPr>
      </w:pPr>
      <w:r>
        <w:rPr>
          <w:rFonts w:eastAsia="Times New Roman"/>
          <w:sz w:val="20"/>
          <w:szCs w:val="20"/>
        </w:rPr>
        <w:t>establish an advance notice procedure for s</w:t>
      </w:r>
      <w:r>
        <w:rPr>
          <w:rFonts w:eastAsia="Times New Roman"/>
          <w:sz w:val="20"/>
          <w:szCs w:val="20"/>
        </w:rPr>
        <w:t>tockholder approvals to be brought before an annual meeting of our stockholders, including proposed nominations of persons for election to our board of directors</w:t>
      </w:r>
      <w:r>
        <w:rPr>
          <w:rFonts w:eastAsia="Times New Roman"/>
          <w:sz w:val="20"/>
          <w:szCs w:val="20"/>
        </w:rPr>
        <w:t>;</w:t>
      </w:r>
    </w:p>
    <w:p w:rsidR="00000000" w:rsidRDefault="00A309A2">
      <w:pPr>
        <w:divId w:val="1299072652"/>
        <w:rPr>
          <w:rFonts w:eastAsia="Times New Roman"/>
        </w:rPr>
      </w:pPr>
      <w:r>
        <w:rPr>
          <w:rFonts w:eastAsia="Times New Roman"/>
          <w:sz w:val="20"/>
          <w:szCs w:val="20"/>
        </w:rPr>
        <w:t>•</w:t>
      </w:r>
    </w:p>
    <w:p w:rsidR="00000000" w:rsidRDefault="00A309A2">
      <w:pPr>
        <w:divId w:val="307563649"/>
        <w:rPr>
          <w:rFonts w:eastAsia="Times New Roman"/>
        </w:rPr>
      </w:pPr>
      <w:r>
        <w:rPr>
          <w:rFonts w:eastAsia="Times New Roman"/>
          <w:sz w:val="20"/>
          <w:szCs w:val="20"/>
        </w:rPr>
        <w:t>provide that our directors may be removed only for cause</w:t>
      </w:r>
      <w:r>
        <w:rPr>
          <w:rFonts w:eastAsia="Times New Roman"/>
          <w:sz w:val="20"/>
          <w:szCs w:val="20"/>
        </w:rPr>
        <w:t>;</w:t>
      </w:r>
    </w:p>
    <w:p w:rsidR="00000000" w:rsidRDefault="00A309A2">
      <w:pPr>
        <w:divId w:val="380641771"/>
        <w:rPr>
          <w:rFonts w:eastAsia="Times New Roman"/>
        </w:rPr>
      </w:pPr>
      <w:r>
        <w:rPr>
          <w:rFonts w:eastAsia="Times New Roman"/>
          <w:sz w:val="20"/>
          <w:szCs w:val="20"/>
        </w:rPr>
        <w:t>•</w:t>
      </w:r>
    </w:p>
    <w:p w:rsidR="00000000" w:rsidRDefault="00A309A2">
      <w:pPr>
        <w:divId w:val="1954432185"/>
        <w:rPr>
          <w:rFonts w:eastAsia="Times New Roman"/>
        </w:rPr>
      </w:pPr>
      <w:r>
        <w:rPr>
          <w:rFonts w:eastAsia="Times New Roman"/>
          <w:sz w:val="20"/>
          <w:szCs w:val="20"/>
        </w:rPr>
        <w:t>provide that vacancies on our board of directors may be filled only by a majority of directors then in office, even though less than a quorum</w:t>
      </w:r>
      <w:r>
        <w:rPr>
          <w:rFonts w:eastAsia="Times New Roman"/>
          <w:sz w:val="20"/>
          <w:szCs w:val="20"/>
        </w:rPr>
        <w:t>;</w:t>
      </w:r>
    </w:p>
    <w:p w:rsidR="00000000" w:rsidRDefault="00A309A2">
      <w:pPr>
        <w:divId w:val="1694768700"/>
        <w:rPr>
          <w:rFonts w:eastAsia="Times New Roman"/>
        </w:rPr>
      </w:pPr>
      <w:r>
        <w:rPr>
          <w:rFonts w:eastAsia="Times New Roman"/>
          <w:sz w:val="20"/>
          <w:szCs w:val="20"/>
        </w:rPr>
        <w:t>•</w:t>
      </w:r>
    </w:p>
    <w:p w:rsidR="00000000" w:rsidRDefault="00A309A2">
      <w:pPr>
        <w:divId w:val="975138259"/>
        <w:rPr>
          <w:rFonts w:eastAsia="Times New Roman"/>
        </w:rPr>
      </w:pPr>
      <w:r>
        <w:rPr>
          <w:rFonts w:eastAsia="Times New Roman"/>
          <w:sz w:val="20"/>
          <w:szCs w:val="20"/>
        </w:rPr>
        <w:t>specify that no stockholder is permitted to cumulat</w:t>
      </w:r>
      <w:r>
        <w:rPr>
          <w:rFonts w:eastAsia="Times New Roman"/>
          <w:sz w:val="20"/>
          <w:szCs w:val="20"/>
        </w:rPr>
        <w:t>e votes at any election of directors</w:t>
      </w:r>
      <w:r>
        <w:rPr>
          <w:rFonts w:eastAsia="Times New Roman"/>
          <w:sz w:val="20"/>
          <w:szCs w:val="20"/>
        </w:rPr>
        <w:t>;</w:t>
      </w:r>
    </w:p>
    <w:p w:rsidR="00000000" w:rsidRDefault="00A309A2">
      <w:pPr>
        <w:divId w:val="1963152271"/>
        <w:rPr>
          <w:rFonts w:eastAsia="Times New Roman"/>
        </w:rPr>
      </w:pPr>
      <w:r>
        <w:rPr>
          <w:rFonts w:eastAsia="Times New Roman"/>
          <w:sz w:val="20"/>
          <w:szCs w:val="20"/>
        </w:rPr>
        <w:t>•</w:t>
      </w:r>
    </w:p>
    <w:p w:rsidR="00000000" w:rsidRDefault="00A309A2">
      <w:pPr>
        <w:divId w:val="1867326816"/>
        <w:rPr>
          <w:rFonts w:eastAsia="Times New Roman"/>
        </w:rPr>
      </w:pPr>
      <w:r>
        <w:rPr>
          <w:rFonts w:eastAsia="Times New Roman"/>
          <w:sz w:val="20"/>
          <w:szCs w:val="20"/>
        </w:rPr>
        <w:t>authorize our board of directors to modify, alter or repeal our amended and restated bylaws; an</w:t>
      </w:r>
      <w:r>
        <w:rPr>
          <w:rFonts w:eastAsia="Times New Roman"/>
          <w:sz w:val="20"/>
          <w:szCs w:val="20"/>
        </w:rPr>
        <w:t>d</w:t>
      </w:r>
    </w:p>
    <w:p w:rsidR="00000000" w:rsidRDefault="00A309A2">
      <w:pPr>
        <w:divId w:val="565184936"/>
        <w:rPr>
          <w:rFonts w:eastAsia="Times New Roman"/>
        </w:rPr>
      </w:pPr>
      <w:r>
        <w:rPr>
          <w:rFonts w:eastAsia="Times New Roman"/>
          <w:sz w:val="20"/>
          <w:szCs w:val="20"/>
        </w:rPr>
        <w:t>•</w:t>
      </w:r>
    </w:p>
    <w:p w:rsidR="00000000" w:rsidRDefault="00A309A2">
      <w:pPr>
        <w:divId w:val="923684920"/>
        <w:rPr>
          <w:rFonts w:eastAsia="Times New Roman"/>
        </w:rPr>
      </w:pPr>
      <w:r>
        <w:rPr>
          <w:rFonts w:eastAsia="Times New Roman"/>
          <w:sz w:val="20"/>
          <w:szCs w:val="20"/>
        </w:rPr>
        <w:t>require supermajority votes of the holders of our common stock to amend specified provisions of our charter documents</w:t>
      </w:r>
      <w:r>
        <w:rPr>
          <w:rFonts w:eastAsia="Times New Roman"/>
          <w:sz w:val="20"/>
          <w:szCs w:val="20"/>
        </w:rPr>
        <w:t>.</w:t>
      </w:r>
    </w:p>
    <w:p w:rsidR="00000000" w:rsidRDefault="00A309A2">
      <w:pPr>
        <w:pStyle w:val="a3"/>
        <w:spacing w:before="200" w:beforeAutospacing="0" w:after="0" w:afterAutospacing="0"/>
        <w:ind w:firstLine="555"/>
        <w:rPr>
          <w:sz w:val="20"/>
          <w:szCs w:val="20"/>
        </w:rPr>
      </w:pPr>
      <w:r>
        <w:rPr>
          <w:sz w:val="20"/>
          <w:szCs w:val="20"/>
        </w:rPr>
        <w:t>These provisions, alone or together, could delay or prevent hostile takeovers and changes in control or changes in our management</w:t>
      </w:r>
      <w:r>
        <w:rPr>
          <w:sz w:val="20"/>
          <w:szCs w:val="20"/>
        </w:rPr>
        <w:t>.</w:t>
      </w:r>
    </w:p>
    <w:p w:rsidR="00000000" w:rsidRDefault="00A309A2">
      <w:pPr>
        <w:pStyle w:val="a3"/>
        <w:spacing w:before="200" w:beforeAutospacing="0" w:after="0" w:afterAutospacing="0"/>
        <w:ind w:firstLine="555"/>
        <w:rPr>
          <w:sz w:val="20"/>
          <w:szCs w:val="20"/>
        </w:rPr>
      </w:pPr>
      <w:r>
        <w:rPr>
          <w:sz w:val="20"/>
          <w:szCs w:val="20"/>
        </w:rPr>
        <w:t>In addition, because we are incorporated in Delaware, we are governed by the provisions of Section 203 of the Delaware Gene</w:t>
      </w:r>
      <w:r>
        <w:rPr>
          <w:sz w:val="20"/>
          <w:szCs w:val="20"/>
        </w:rPr>
        <w:t>ral Corporation Law, which limits the ability of stockholders owning in excess of 15% of our outstanding voting stock to merge or combine with us in certain circumstances</w:t>
      </w:r>
      <w:r>
        <w:rPr>
          <w:sz w:val="20"/>
          <w:szCs w:val="20"/>
        </w:rPr>
        <w:t>.</w:t>
      </w:r>
    </w:p>
    <w:p w:rsidR="00000000" w:rsidRDefault="00A309A2">
      <w:pPr>
        <w:pStyle w:val="a3"/>
        <w:spacing w:before="200" w:beforeAutospacing="0" w:after="0" w:afterAutospacing="0"/>
        <w:ind w:firstLine="555"/>
        <w:rPr>
          <w:sz w:val="20"/>
          <w:szCs w:val="20"/>
        </w:rPr>
      </w:pPr>
      <w:r>
        <w:rPr>
          <w:sz w:val="20"/>
          <w:szCs w:val="20"/>
        </w:rPr>
        <w:t>Any provision of our amended and restated certificate of incorporation or amended an</w:t>
      </w:r>
      <w:r>
        <w:rPr>
          <w:sz w:val="20"/>
          <w:szCs w:val="20"/>
        </w:rPr>
        <w:t>d restated bylaws or Delaware law that has the effect of delaying or deterring a change in control could limit the opportunity for our stockholders to receive a premium for their shares of our common stock, and could also affect the price that some investo</w:t>
      </w:r>
      <w:r>
        <w:rPr>
          <w:sz w:val="20"/>
          <w:szCs w:val="20"/>
        </w:rPr>
        <w:t>rs are willing to pay for our common stock</w:t>
      </w:r>
      <w:r>
        <w:rPr>
          <w:sz w:val="20"/>
          <w:szCs w:val="20"/>
        </w:rPr>
        <w:t>.</w:t>
      </w:r>
    </w:p>
    <w:p w:rsidR="00000000" w:rsidRDefault="00A309A2">
      <w:pPr>
        <w:pStyle w:val="a3"/>
        <w:spacing w:before="200" w:beforeAutospacing="0" w:after="0" w:afterAutospacing="0"/>
        <w:rPr>
          <w:sz w:val="20"/>
          <w:szCs w:val="20"/>
        </w:rPr>
      </w:pPr>
      <w:r>
        <w:rPr>
          <w:b/>
          <w:bCs/>
          <w:sz w:val="20"/>
          <w:szCs w:val="20"/>
        </w:rPr>
        <w:t>General Risk</w:t>
      </w:r>
      <w:r>
        <w:rPr>
          <w:b/>
          <w:bCs/>
          <w:sz w:val="20"/>
          <w:szCs w:val="20"/>
        </w:rPr>
        <w:t>s</w:t>
      </w:r>
    </w:p>
    <w:p w:rsidR="00000000" w:rsidRDefault="00A309A2">
      <w:pPr>
        <w:pStyle w:val="a3"/>
        <w:spacing w:before="200" w:beforeAutospacing="0" w:after="0" w:afterAutospacing="0"/>
        <w:rPr>
          <w:sz w:val="20"/>
          <w:szCs w:val="20"/>
        </w:rPr>
      </w:pPr>
      <w:r>
        <w:rPr>
          <w:b/>
          <w:bCs/>
          <w:i/>
          <w:iCs/>
          <w:sz w:val="20"/>
          <w:szCs w:val="20"/>
        </w:rPr>
        <w:t xml:space="preserve">The continuing effects of the COVID-19 pandemic are highly unpredictable and could be significant, and the duration and extent to which this will impact our future results of operations and overall </w:t>
      </w:r>
      <w:r>
        <w:rPr>
          <w:b/>
          <w:bCs/>
          <w:i/>
          <w:iCs/>
          <w:sz w:val="20"/>
          <w:szCs w:val="20"/>
        </w:rPr>
        <w:t>financial performance remains uncertain</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The COVID-19 pandemic and virus containment measures taken by federal and state governments have resulted in, and are expected to continue to result in, business slowdowns or shutdowns, weakened economic conditions,</w:t>
      </w:r>
      <w:r>
        <w:rPr>
          <w:sz w:val="20"/>
          <w:szCs w:val="20"/>
        </w:rPr>
        <w:t xml:space="preserve"> economic uncertainty, and volatility in the financial markets, both regionally and worldwide. We have continued to conduct business during the COVID-19 pandemic with substantial modifications to employee travel and where employees work, as well as virtual</w:t>
      </w:r>
      <w:r>
        <w:rPr>
          <w:sz w:val="20"/>
          <w:szCs w:val="20"/>
        </w:rPr>
        <w:t>ization, postponement, or cancellation of certain events, among other changes. We have begun to slowly re-open our offices on a staggered, region-by-region basis in accordance with local authority guidelines, we continue to actively monitor the situation a</w:t>
      </w:r>
      <w:r>
        <w:rPr>
          <w:sz w:val="20"/>
          <w:szCs w:val="20"/>
        </w:rPr>
        <w:t>nd have taken and may take further actions to alter our business operations as may be required by federal, state, or local authorities. Although we have been able to navigate workplace restrictions and limitations with minimal disruptions to our business o</w:t>
      </w:r>
      <w:r>
        <w:rPr>
          <w:sz w:val="20"/>
          <w:szCs w:val="20"/>
        </w:rPr>
        <w:t>perations to date, we may further modify our business practices and real estate needs in response to the risks and negative impacts caused by the COVID-19 pandemic, but we cannot be certain that these measures will continue to be successful. We continue to</w:t>
      </w:r>
      <w:r>
        <w:rPr>
          <w:sz w:val="20"/>
          <w:szCs w:val="20"/>
        </w:rPr>
        <w:t xml:space="preserve"> actively monitor the situation and may take further actions to alter our business operations as may be required by federal, state, or local authorities, or that we determine are in the best interests of our employees, customers, partners, suppliers, and s</w:t>
      </w:r>
      <w:r>
        <w:rPr>
          <w:sz w:val="20"/>
          <w:szCs w:val="20"/>
        </w:rPr>
        <w:t>tockholders, including in response to outbreaks and variants</w:t>
      </w:r>
      <w:r>
        <w:rPr>
          <w:sz w:val="20"/>
          <w:szCs w:val="20"/>
        </w:rPr>
        <w: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3</w:t>
      </w:r>
      <w:r>
        <w:rPr>
          <w:sz w:val="20"/>
          <w:szCs w:val="20"/>
        </w:rPr>
        <w:t>5</w:t>
      </w:r>
    </w:p>
    <w:p w:rsidR="00000000" w:rsidRDefault="00A309A2">
      <w:pPr>
        <w:rPr>
          <w:rFonts w:eastAsia="Times New Roman"/>
        </w:rPr>
      </w:pPr>
      <w:r>
        <w:rPr>
          <w:rFonts w:eastAsia="Times New Roman"/>
        </w:rPr>
        <w:pict>
          <v:rect id="_x0000_i106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sz w:val="20"/>
          <w:szCs w:val="20"/>
        </w:rPr>
        <w:t>While we have not been materially adversely affected to date, the conditions caused by the pandemic may affect the rate of spending on software products</w:t>
      </w:r>
      <w:r>
        <w:rPr>
          <w:sz w:val="20"/>
          <w:szCs w:val="20"/>
        </w:rPr>
        <w:t xml:space="preserve"> and may adversely affect our customers’ ability or willingness to purchase our offerings; the timing of our current or prospective customers’ purchasing decisions; pricing discounts or extended payment terms; reductions in the amount or duration of custom</w:t>
      </w:r>
      <w:r>
        <w:rPr>
          <w:sz w:val="20"/>
          <w:szCs w:val="20"/>
        </w:rPr>
        <w:t xml:space="preserve">ers’ subscription contracts; or increase customer attrition rates, all of which could adversely affect our future sales, operating results and overall financial performance. If the pandemic and its residual effects have a substantial impact on the ability </w:t>
      </w:r>
      <w:r>
        <w:rPr>
          <w:sz w:val="20"/>
          <w:szCs w:val="20"/>
        </w:rPr>
        <w:t>of our customers to purchase our offerings, our results of operations, and overall financial performance may be harmed</w:t>
      </w:r>
      <w:r>
        <w:rPr>
          <w:sz w:val="20"/>
          <w:szCs w:val="20"/>
        </w:rPr>
        <w:t>.</w:t>
      </w:r>
    </w:p>
    <w:p w:rsidR="00000000" w:rsidRDefault="00A309A2">
      <w:pPr>
        <w:pStyle w:val="a3"/>
        <w:spacing w:before="200" w:beforeAutospacing="0" w:after="0" w:afterAutospacing="0"/>
        <w:ind w:firstLine="555"/>
        <w:rPr>
          <w:sz w:val="20"/>
          <w:szCs w:val="20"/>
        </w:rPr>
      </w:pPr>
      <w:r>
        <w:rPr>
          <w:sz w:val="20"/>
          <w:szCs w:val="20"/>
        </w:rPr>
        <w:t>The extent to which the pandemic impacts our business operations in future periods will depend on multiple factors that cannot be accura</w:t>
      </w:r>
      <w:r>
        <w:rPr>
          <w:sz w:val="20"/>
          <w:szCs w:val="20"/>
        </w:rPr>
        <w:t>tely predicated at this time, such as the duration and scope of the pandemic, future spikes of COVID-19 infections (including the spread of variants or mutant strains, and the degree of transmissibility and severity thereof), the extent and effectiveness o</w:t>
      </w:r>
      <w:r>
        <w:rPr>
          <w:sz w:val="20"/>
          <w:szCs w:val="20"/>
        </w:rPr>
        <w:t xml:space="preserve">f containment actions, the disruption caused by such actions, and the impact of these and other factors on our employees, customers, partners and vendors. If we are not able to respond to and manage the impact of such events effectively, our business will </w:t>
      </w:r>
      <w:r>
        <w:rPr>
          <w:sz w:val="20"/>
          <w:szCs w:val="20"/>
        </w:rPr>
        <w:t>be harmed. In addition, supply chain disruption and resulting inflationary pressures, a global labor shortage, the ebb and flow of COVID-19, including in specific geographies, and changes in economic policy could impact our outlook</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sz w:val="20"/>
          <w:szCs w:val="20"/>
        </w:rPr>
        <w:t>To the extent the pand</w:t>
      </w:r>
      <w:r>
        <w:rPr>
          <w:sz w:val="20"/>
          <w:szCs w:val="20"/>
        </w:rPr>
        <w:t>emic adversely affects our business and financial results, it may also have the effect of heightening many of the other risks described in this “Risk Factors” section, including, in particular, risks related to our dependence on customer renewals, the addi</w:t>
      </w:r>
      <w:r>
        <w:rPr>
          <w:sz w:val="20"/>
          <w:szCs w:val="20"/>
        </w:rPr>
        <w:t>tion of new customers and increased revenue from existing customer, risks that our operating results could be negatively affected by changes in the sizes or types of businesses that purchase our platform and the risk that weakened global economic condition</w:t>
      </w:r>
      <w:r>
        <w:rPr>
          <w:sz w:val="20"/>
          <w:szCs w:val="20"/>
        </w:rPr>
        <w:t>s may harm our industry, business and results of operations</w:t>
      </w:r>
      <w:r>
        <w:rPr>
          <w:sz w:val="20"/>
          <w:szCs w:val="20"/>
        </w:rPr>
        <w:t>.</w:t>
      </w:r>
    </w:p>
    <w:p w:rsidR="00000000" w:rsidRDefault="00A309A2">
      <w:pPr>
        <w:pStyle w:val="a3"/>
        <w:spacing w:before="200" w:beforeAutospacing="0" w:after="0" w:afterAutospacing="0"/>
        <w:rPr>
          <w:sz w:val="20"/>
          <w:szCs w:val="20"/>
        </w:rPr>
      </w:pPr>
      <w:r>
        <w:rPr>
          <w:b/>
          <w:bCs/>
          <w:i/>
          <w:iCs/>
          <w:sz w:val="20"/>
          <w:szCs w:val="20"/>
        </w:rPr>
        <w:t>Failure to comply with laws and regulations could harm our business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business is subject to regulation by various federal, state, local and foreign governmental agencies, including agencies r</w:t>
      </w:r>
      <w:r>
        <w:rPr>
          <w:sz w:val="20"/>
          <w:szCs w:val="20"/>
        </w:rPr>
        <w:t>esponsible for monitoring and enforcing employment and labor laws, workplace safety, environmental laws, consumer protection laws, anti-bribery laws, import/export controls, federal securities laws and tax laws and regulations. In certain jurisdictions, th</w:t>
      </w:r>
      <w:r>
        <w:rPr>
          <w:sz w:val="20"/>
          <w:szCs w:val="20"/>
        </w:rPr>
        <w:t>ese regulatory requirements may be more stringent than those in the United States. Noncompliance with applicable regulations or requirements could subject us to investigations, sanctions, mandatory recalls, enforcement actions, disgorgement of profits, fin</w:t>
      </w:r>
      <w:r>
        <w:rPr>
          <w:sz w:val="20"/>
          <w:szCs w:val="20"/>
        </w:rPr>
        <w:t>es, damages, civil and criminal penalties or injunctions</w:t>
      </w:r>
      <w:r>
        <w:rPr>
          <w:sz w:val="20"/>
          <w:szCs w:val="20"/>
        </w:rPr>
        <w:t>.</w:t>
      </w:r>
    </w:p>
    <w:p w:rsidR="00000000" w:rsidRDefault="00A309A2">
      <w:pPr>
        <w:pStyle w:val="a3"/>
        <w:spacing w:before="200" w:beforeAutospacing="0" w:after="0" w:afterAutospacing="0"/>
        <w:rPr>
          <w:sz w:val="20"/>
          <w:szCs w:val="20"/>
        </w:rPr>
      </w:pPr>
      <w:r>
        <w:rPr>
          <w:b/>
          <w:bCs/>
          <w:i/>
          <w:iCs/>
          <w:sz w:val="20"/>
          <w:szCs w:val="20"/>
        </w:rPr>
        <w:t>We are exposed to fluctuations in currency exchange rates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We face exposure to movements in currency exchange rates, which may cause our revenue and operating results to differ materially from expectations. As we have expanded our international operations, our exposure to exchange rate fluctuations has increased, </w:t>
      </w:r>
      <w:r>
        <w:rPr>
          <w:sz w:val="20"/>
          <w:szCs w:val="20"/>
        </w:rPr>
        <w:t>in particular with respect to the Euro, British Pound Sterling, Australian Dollar, Singapore Dollar, Japanese Yen, Colombian Peso, and Canadian Dollar. As exchange rates vary, revenue, cost of revenue, operating expenses and other operating results, when r</w:t>
      </w:r>
      <w:r>
        <w:rPr>
          <w:sz w:val="20"/>
          <w:szCs w:val="20"/>
        </w:rPr>
        <w:t>e-measured, may differ materially from expectations. In addition, our operating results are subject to fluctuation if our mix of U.S. and foreign currency denominated transactions and expenses changes in the future. Furthermore, global political events, in</w:t>
      </w:r>
      <w:r>
        <w:rPr>
          <w:sz w:val="20"/>
          <w:szCs w:val="20"/>
        </w:rPr>
        <w:t xml:space="preserve">cluding Brexit and similar geopolitical developments, fluctuating commodity prices and trade tariff developments, have caused global economic uncertainty, which could amplify the volatility of currency fluctuations. Such volatility, even when it increases </w:t>
      </w:r>
      <w:r>
        <w:rPr>
          <w:sz w:val="20"/>
          <w:szCs w:val="20"/>
        </w:rPr>
        <w:t>our revenues or decreases our expenses, impacts our ability to predict our future results and earnings accurately. Although we may apply certain strategies to mitigate foreign currency risk, these strategies might not eliminate our exposure to foreign exch</w:t>
      </w:r>
      <w:r>
        <w:rPr>
          <w:sz w:val="20"/>
          <w:szCs w:val="20"/>
        </w:rPr>
        <w:t>ange rate fluctuations and would involve costs and risks of their own, such as ongoing management time and expertise, external costs to implement the strategies and potential accounting implications. Additionally, as we anticipate growing our business furt</w:t>
      </w:r>
      <w:r>
        <w:rPr>
          <w:sz w:val="20"/>
          <w:szCs w:val="20"/>
        </w:rPr>
        <w:t>her outside of the United States, the effects of movements in currency exchange rates will increase as our transaction volume outside of the United States increases</w:t>
      </w:r>
      <w:r>
        <w:rPr>
          <w:sz w:val="20"/>
          <w:szCs w:val="20"/>
        </w:rPr>
        <w:t>.</w:t>
      </w:r>
    </w:p>
    <w:p w:rsidR="00000000" w:rsidRDefault="00A309A2">
      <w:pPr>
        <w:pStyle w:val="a3"/>
        <w:spacing w:before="240" w:beforeAutospacing="0" w:after="0" w:afterAutospacing="0"/>
        <w:jc w:val="center"/>
        <w:rPr>
          <w:sz w:val="20"/>
          <w:szCs w:val="20"/>
        </w:rPr>
      </w:pPr>
      <w:r>
        <w:rPr>
          <w:sz w:val="20"/>
          <w:szCs w:val="20"/>
        </w:rPr>
        <w:t>3</w:t>
      </w:r>
      <w:r>
        <w:rPr>
          <w:sz w:val="20"/>
          <w:szCs w:val="20"/>
        </w:rPr>
        <w:t>6</w:t>
      </w:r>
    </w:p>
    <w:p w:rsidR="00000000" w:rsidRDefault="00A309A2">
      <w:pPr>
        <w:rPr>
          <w:rFonts w:eastAsia="Times New Roman"/>
        </w:rPr>
      </w:pPr>
      <w:r>
        <w:rPr>
          <w:rFonts w:eastAsia="Times New Roman"/>
        </w:rPr>
        <w:pict>
          <v:rect id="_x0000_i106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b/>
          <w:bCs/>
          <w:i/>
          <w:iCs/>
          <w:sz w:val="20"/>
          <w:szCs w:val="20"/>
        </w:rPr>
        <w:t>Weakened global economic conditions may harm our industry, business and results of operations</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overall performance depends in part on worldwide economic conditions. Global financial developments and downturns seemingly unrelated to us or the software i</w:t>
      </w:r>
      <w:r>
        <w:rPr>
          <w:sz w:val="20"/>
          <w:szCs w:val="20"/>
        </w:rPr>
        <w:t>ndustry may harm us. The United States and other key international economies have been affected from time to time by falling demand for a variety of goods and services, restricted credit, poor liquidity, reduced corporate profitability, volatility in credi</w:t>
      </w:r>
      <w:r>
        <w:rPr>
          <w:sz w:val="20"/>
          <w:szCs w:val="20"/>
        </w:rPr>
        <w:t>t, equity and foreign exchange markets, bankruptcies, inflation and overall uncertainty with respect to the economy, including with respect to tariff and trade issues. In particular, the economies of countries in Europe have been experiencing weakness asso</w:t>
      </w:r>
      <w:r>
        <w:rPr>
          <w:sz w:val="20"/>
          <w:szCs w:val="20"/>
        </w:rPr>
        <w:t>ciated with high sovereign debt levels, weakness in the banking sector, uncertainty over the future of the Euro zone and volatility in the value of the pound sterling and the Euro, including instability surrounding Brexit. We have operations, as well as cu</w:t>
      </w:r>
      <w:r>
        <w:rPr>
          <w:sz w:val="20"/>
          <w:szCs w:val="20"/>
        </w:rPr>
        <w:t>rrent and potential new customers, throughout most of Europe. If economic conditions in Europe and other key markets for our platform continue to remain uncertain or deteriorate further, it could adversely affect our customers’ ability or willingness to su</w:t>
      </w:r>
      <w:r>
        <w:rPr>
          <w:sz w:val="20"/>
          <w:szCs w:val="20"/>
        </w:rPr>
        <w:t>bscribe to our platform, delay prospective customers’ purchasing decisions, reduce the value or duration of their subscriptions or affect renewal rates, all of which could harm our operating results</w:t>
      </w:r>
      <w:r>
        <w:rPr>
          <w:sz w:val="20"/>
          <w:szCs w:val="20"/>
        </w:rPr>
        <w:t>.</w:t>
      </w:r>
    </w:p>
    <w:p w:rsidR="00000000" w:rsidRDefault="00A309A2">
      <w:pPr>
        <w:pStyle w:val="a3"/>
        <w:spacing w:before="200" w:beforeAutospacing="0" w:after="0" w:afterAutospacing="0"/>
        <w:rPr>
          <w:sz w:val="20"/>
          <w:szCs w:val="20"/>
        </w:rPr>
      </w:pPr>
      <w:r>
        <w:rPr>
          <w:b/>
          <w:bCs/>
          <w:i/>
          <w:iCs/>
          <w:sz w:val="20"/>
          <w:szCs w:val="20"/>
        </w:rPr>
        <w:t>Our ability to raise capital in the future may be limite</w:t>
      </w:r>
      <w:r>
        <w:rPr>
          <w:b/>
          <w:bCs/>
          <w:i/>
          <w:iCs/>
          <w:sz w:val="20"/>
          <w:szCs w:val="20"/>
        </w:rPr>
        <w:t>d, and our failure to raise capital when needed could prevent us from growing</w:t>
      </w:r>
      <w:r>
        <w:rPr>
          <w:b/>
          <w:bCs/>
          <w:i/>
          <w:iCs/>
          <w:sz w:val="20"/>
          <w:szCs w:val="20"/>
        </w:rPr>
        <w:t>.</w:t>
      </w:r>
    </w:p>
    <w:p w:rsidR="00000000" w:rsidRDefault="00A309A2">
      <w:pPr>
        <w:pStyle w:val="a3"/>
        <w:spacing w:before="200" w:beforeAutospacing="0" w:after="0" w:afterAutospacing="0"/>
        <w:ind w:firstLine="555"/>
        <w:rPr>
          <w:sz w:val="20"/>
          <w:szCs w:val="20"/>
        </w:rPr>
      </w:pPr>
      <w:r>
        <w:rPr>
          <w:sz w:val="20"/>
          <w:szCs w:val="20"/>
        </w:rPr>
        <w:t>Our business and operations may consume resources faster than we anticipate. In the future, we may need to raise additional funds to invest in future growth opportunities. Addit</w:t>
      </w:r>
      <w:r>
        <w:rPr>
          <w:sz w:val="20"/>
          <w:szCs w:val="20"/>
        </w:rPr>
        <w:t>ional financing may not be available on favorable terms, if at all. If adequate funds are not available on acceptable terms, we may be unable to invest in future growth opportunities, which could seriously harm our business and operating results. If we inc</w:t>
      </w:r>
      <w:r>
        <w:rPr>
          <w:sz w:val="20"/>
          <w:szCs w:val="20"/>
        </w:rPr>
        <w:t>ur debt, the debt holders would have rights senior to common stockholders to make claims on our assets, and the terms of any debt could restrict our operations, including our ability to pay dividends on our common stock. Furthermore, if we issue equity sec</w:t>
      </w:r>
      <w:r>
        <w:rPr>
          <w:sz w:val="20"/>
          <w:szCs w:val="20"/>
        </w:rPr>
        <w:t>urities, stockholders will experience dilution, and the new equity securities could have rights senior to those of our common stock. The Notes are and any additional equity or equity-linked financings would be dilutive to our stockholders. Because our deci</w:t>
      </w:r>
      <w:r>
        <w:rPr>
          <w:sz w:val="20"/>
          <w:szCs w:val="20"/>
        </w:rPr>
        <w:t>sion to issue securities in any future offering will depend on market conditions and other factors beyond our control, we cannot predict or estimate the amount, timing or nature of our future offerings. As a result, our stockholders bear the risk of our fu</w:t>
      </w:r>
      <w:r>
        <w:rPr>
          <w:sz w:val="20"/>
          <w:szCs w:val="20"/>
        </w:rPr>
        <w:t>ture securities offerings reducing the market price of our common stock and diluting their interest</w:t>
      </w:r>
      <w:r>
        <w:rPr>
          <w:sz w:val="20"/>
          <w:szCs w:val="20"/>
        </w:rPr>
        <w:t>.</w:t>
      </w:r>
    </w:p>
    <w:p w:rsidR="00000000" w:rsidRDefault="00A309A2">
      <w:pPr>
        <w:pStyle w:val="a3"/>
        <w:spacing w:before="360" w:beforeAutospacing="0" w:after="0" w:afterAutospacing="0"/>
        <w:ind w:hanging="1220"/>
        <w:rPr>
          <w:sz w:val="20"/>
          <w:szCs w:val="20"/>
        </w:rPr>
      </w:pPr>
      <w:r>
        <w:rPr>
          <w:b/>
          <w:bCs/>
          <w:sz w:val="20"/>
          <w:szCs w:val="20"/>
        </w:rPr>
        <w:t>ITEM 1B. UNRESOL</w:t>
      </w:r>
      <w:r>
        <w:rPr>
          <w:b/>
          <w:bCs/>
          <w:sz w:val="20"/>
          <w:szCs w:val="20"/>
        </w:rPr>
        <w:t>V</w:t>
      </w:r>
      <w:r>
        <w:rPr>
          <w:b/>
          <w:bCs/>
          <w:sz w:val="20"/>
          <w:szCs w:val="20"/>
        </w:rPr>
        <w:t>ED STAFF COMMENT</w:t>
      </w:r>
      <w:r>
        <w:rPr>
          <w:b/>
          <w:bCs/>
          <w:sz w:val="20"/>
          <w:szCs w:val="20"/>
        </w:rPr>
        <w:t>S</w:t>
      </w:r>
    </w:p>
    <w:p w:rsidR="00000000" w:rsidRDefault="00A309A2">
      <w:pPr>
        <w:pStyle w:val="a3"/>
        <w:spacing w:before="120" w:beforeAutospacing="0" w:after="0" w:afterAutospacing="0"/>
        <w:ind w:firstLine="555"/>
        <w:rPr>
          <w:sz w:val="20"/>
          <w:szCs w:val="20"/>
        </w:rPr>
      </w:pPr>
      <w:r>
        <w:rPr>
          <w:sz w:val="20"/>
          <w:szCs w:val="20"/>
        </w:rPr>
        <w:t>None</w:t>
      </w:r>
      <w:r>
        <w:rPr>
          <w:sz w:val="20"/>
          <w:szCs w:val="20"/>
        </w:rPr>
        <w:t>.</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ITEM 2. P</w:t>
      </w:r>
      <w:r>
        <w:rPr>
          <w:b/>
          <w:bCs/>
          <w:sz w:val="20"/>
          <w:szCs w:val="20"/>
        </w:rPr>
        <w:t>r</w:t>
      </w:r>
      <w:r>
        <w:rPr>
          <w:b/>
          <w:bCs/>
          <w:sz w:val="20"/>
          <w:szCs w:val="20"/>
        </w:rPr>
        <w:t>opertie</w:t>
      </w:r>
      <w:r>
        <w:rPr>
          <w:b/>
          <w:bCs/>
          <w:sz w:val="20"/>
          <w:szCs w:val="20"/>
        </w:rPr>
        <w:t>s</w:t>
      </w:r>
    </w:p>
    <w:p w:rsidR="00000000" w:rsidRDefault="00A309A2">
      <w:pPr>
        <w:pStyle w:val="a3"/>
        <w:spacing w:before="120" w:beforeAutospacing="0" w:after="0" w:afterAutospacing="0"/>
        <w:ind w:firstLine="555"/>
        <w:rPr>
          <w:sz w:val="20"/>
          <w:szCs w:val="20"/>
        </w:rPr>
      </w:pPr>
      <w:r>
        <w:rPr>
          <w:sz w:val="20"/>
          <w:szCs w:val="20"/>
        </w:rPr>
        <w:t>We occupy approximately 447,000 square feet of office space in Cambridge, Massachusetts pur</w:t>
      </w:r>
      <w:r>
        <w:rPr>
          <w:sz w:val="20"/>
          <w:szCs w:val="20"/>
        </w:rPr>
        <w:t>suant to lease agreements that expire through 2035. We also maintain a number of international offices across the world. We believe that our current facilities are suitable and adequate to meet our current needs. We intend to add new facilities or expand e</w:t>
      </w:r>
      <w:r>
        <w:rPr>
          <w:sz w:val="20"/>
          <w:szCs w:val="20"/>
        </w:rPr>
        <w:t>xisting facilities as we add employees, and we believe that suitable additional or substitute space will be available as needed to accommodate any such expansion of our operations</w:t>
      </w:r>
      <w:r>
        <w:rPr>
          <w:sz w:val="20"/>
          <w:szCs w:val="20"/>
        </w:rPr>
        <w:t>.</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ITEM 3. Lega</w:t>
      </w:r>
      <w:r>
        <w:rPr>
          <w:b/>
          <w:bCs/>
          <w:sz w:val="20"/>
          <w:szCs w:val="20"/>
        </w:rPr>
        <w:t>l</w:t>
      </w:r>
      <w:r>
        <w:rPr>
          <w:b/>
          <w:bCs/>
          <w:sz w:val="20"/>
          <w:szCs w:val="20"/>
        </w:rPr>
        <w:t xml:space="preserve"> Proceeding</w:t>
      </w:r>
      <w:r>
        <w:rPr>
          <w:b/>
          <w:bCs/>
          <w:sz w:val="20"/>
          <w:szCs w:val="20"/>
        </w:rPr>
        <w:t>s</w:t>
      </w:r>
    </w:p>
    <w:p w:rsidR="00000000" w:rsidRDefault="00A309A2">
      <w:pPr>
        <w:pStyle w:val="a3"/>
        <w:spacing w:before="0" w:beforeAutospacing="0" w:after="0" w:afterAutospacing="0"/>
        <w:ind w:hanging="1220"/>
        <w:rPr>
          <w:sz w:val="20"/>
          <w:szCs w:val="20"/>
        </w:rPr>
      </w:pPr>
      <w:r>
        <w:rPr>
          <w:sz w:val="12"/>
          <w:szCs w:val="12"/>
        </w:rPr>
        <w:t> </w:t>
      </w:r>
    </w:p>
    <w:p w:rsidR="00000000" w:rsidRDefault="00A309A2">
      <w:pPr>
        <w:pStyle w:val="a3"/>
        <w:spacing w:before="0" w:beforeAutospacing="0" w:after="0" w:afterAutospacing="0"/>
        <w:ind w:firstLine="555"/>
        <w:rPr>
          <w:sz w:val="20"/>
          <w:szCs w:val="20"/>
        </w:rPr>
      </w:pPr>
      <w:r>
        <w:rPr>
          <w:sz w:val="20"/>
          <w:szCs w:val="20"/>
        </w:rPr>
        <w:t>From time to time we may become involved in legal proceedings or be subject to claims arising in the ordinary course of our business. Although the results of litigation and claims cannot be predicted with certainty, we currently believe that the ultimate c</w:t>
      </w:r>
      <w:r>
        <w:rPr>
          <w:sz w:val="20"/>
          <w:szCs w:val="20"/>
        </w:rPr>
        <w:t>osts to resolve any pending matter will not have a material adverse effect on our business, operating results, financial condition or cash flows. Regardless of the outcome, litigation can have an adverse impact on us because of defense and settlement costs</w:t>
      </w:r>
      <w:r>
        <w:rPr>
          <w:sz w:val="20"/>
          <w:szCs w:val="20"/>
        </w:rPr>
        <w:t>, diversion of management resources and other factors</w:t>
      </w:r>
      <w:r>
        <w:rPr>
          <w:sz w:val="20"/>
          <w:szCs w:val="20"/>
        </w:rPr>
        <w:t>.</w:t>
      </w:r>
    </w:p>
    <w:p w:rsidR="00000000" w:rsidRDefault="00A309A2">
      <w:pPr>
        <w:pStyle w:val="a3"/>
        <w:spacing w:before="0" w:beforeAutospacing="0" w:after="0" w:afterAutospacing="0"/>
        <w:ind w:hanging="1220"/>
        <w:rPr>
          <w:sz w:val="20"/>
          <w:szCs w:val="20"/>
        </w:rPr>
      </w:pPr>
      <w:r>
        <w:rPr>
          <w:sz w:val="20"/>
          <w:szCs w:val="20"/>
        </w:rPr>
        <w:t> </w:t>
      </w:r>
    </w:p>
    <w:p w:rsidR="00000000" w:rsidRDefault="00A309A2">
      <w:pPr>
        <w:pStyle w:val="a3"/>
        <w:spacing w:before="160" w:beforeAutospacing="0" w:after="0" w:afterAutospacing="0"/>
        <w:ind w:hanging="1220"/>
        <w:rPr>
          <w:sz w:val="20"/>
          <w:szCs w:val="20"/>
        </w:rPr>
      </w:pPr>
      <w:r>
        <w:rPr>
          <w:b/>
          <w:bCs/>
          <w:sz w:val="20"/>
          <w:szCs w:val="20"/>
        </w:rPr>
        <w:t>ITEM 4. Mine Safety Disclos</w:t>
      </w:r>
      <w:r>
        <w:rPr>
          <w:b/>
          <w:bCs/>
          <w:sz w:val="20"/>
          <w:szCs w:val="20"/>
        </w:rPr>
        <w:t>u</w:t>
      </w:r>
      <w:r>
        <w:rPr>
          <w:b/>
          <w:bCs/>
          <w:sz w:val="20"/>
          <w:szCs w:val="20"/>
        </w:rPr>
        <w:t>re</w:t>
      </w:r>
      <w:r>
        <w:rPr>
          <w:b/>
          <w:bCs/>
          <w:sz w:val="20"/>
          <w:szCs w:val="20"/>
        </w:rPr>
        <w:t>s</w:t>
      </w:r>
    </w:p>
    <w:p w:rsidR="00000000" w:rsidRDefault="00A309A2">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A309A2">
      <w:pPr>
        <w:pStyle w:val="a3"/>
        <w:spacing w:before="240" w:beforeAutospacing="0" w:after="0" w:afterAutospacing="0"/>
        <w:jc w:val="center"/>
        <w:rPr>
          <w:sz w:val="20"/>
          <w:szCs w:val="20"/>
        </w:rPr>
      </w:pPr>
      <w:r>
        <w:rPr>
          <w:sz w:val="20"/>
          <w:szCs w:val="20"/>
        </w:rPr>
        <w:t>3</w:t>
      </w:r>
      <w:r>
        <w:rPr>
          <w:sz w:val="20"/>
          <w:szCs w:val="20"/>
        </w:rPr>
        <w:t>7</w:t>
      </w:r>
    </w:p>
    <w:p w:rsidR="00000000" w:rsidRDefault="00A309A2">
      <w:pPr>
        <w:rPr>
          <w:rFonts w:eastAsia="Times New Roman"/>
        </w:rPr>
      </w:pPr>
      <w:r>
        <w:rPr>
          <w:rFonts w:eastAsia="Times New Roman"/>
        </w:rPr>
        <w:pict>
          <v:rect id="_x0000_i106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rsidR="00000000" w:rsidRDefault="00A309A2">
      <w:pPr>
        <w:pStyle w:val="a3"/>
        <w:spacing w:before="240" w:beforeAutospacing="0" w:after="0" w:afterAutospacing="0"/>
        <w:ind w:hanging="1220"/>
        <w:rPr>
          <w:sz w:val="20"/>
          <w:szCs w:val="20"/>
        </w:rPr>
      </w:pPr>
      <w:r>
        <w:rPr>
          <w:b/>
          <w:bCs/>
          <w:sz w:val="20"/>
          <w:szCs w:val="20"/>
        </w:rPr>
        <w:t>ITEM 5. Market for Registrant’s Common Equity, Related St</w:t>
      </w:r>
      <w:r>
        <w:rPr>
          <w:b/>
          <w:bCs/>
          <w:sz w:val="20"/>
          <w:szCs w:val="20"/>
        </w:rPr>
        <w:t>o</w:t>
      </w:r>
      <w:r>
        <w:rPr>
          <w:b/>
          <w:bCs/>
          <w:sz w:val="20"/>
          <w:szCs w:val="20"/>
        </w:rPr>
        <w:t>ckholder Matters and Issuer Purchases of Equ</w:t>
      </w:r>
      <w:r>
        <w:rPr>
          <w:b/>
          <w:bCs/>
          <w:sz w:val="20"/>
          <w:szCs w:val="20"/>
        </w:rPr>
        <w:t>ity Securities</w:t>
      </w:r>
      <w:r>
        <w:rPr>
          <w:b/>
          <w:bCs/>
          <w:sz w:val="20"/>
          <w:szCs w:val="20"/>
        </w:rPr>
        <w:br/>
      </w:r>
      <w:r>
        <w:rPr>
          <w:b/>
          <w:bCs/>
          <w:sz w:val="20"/>
          <w:szCs w:val="20"/>
        </w:rPr>
        <w:t> </w:t>
      </w:r>
    </w:p>
    <w:p w:rsidR="00000000" w:rsidRDefault="00A309A2">
      <w:pPr>
        <w:pStyle w:val="a3"/>
        <w:spacing w:before="120" w:beforeAutospacing="0" w:after="0" w:afterAutospacing="0"/>
        <w:rPr>
          <w:sz w:val="20"/>
          <w:szCs w:val="20"/>
        </w:rPr>
      </w:pPr>
      <w:r>
        <w:rPr>
          <w:b/>
          <w:bCs/>
          <w:i/>
          <w:iCs/>
          <w:sz w:val="20"/>
          <w:szCs w:val="20"/>
        </w:rPr>
        <w:t>Market Information for Common Stoc</w:t>
      </w:r>
      <w:r>
        <w:rPr>
          <w:b/>
          <w:bCs/>
          <w:i/>
          <w:iCs/>
          <w:sz w:val="20"/>
          <w:szCs w:val="20"/>
        </w:rPr>
        <w:t>k</w:t>
      </w:r>
    </w:p>
    <w:p w:rsidR="00000000" w:rsidRDefault="00A309A2">
      <w:pPr>
        <w:pStyle w:val="a3"/>
        <w:spacing w:before="120" w:beforeAutospacing="0" w:after="0" w:afterAutospacing="0"/>
        <w:ind w:firstLine="555"/>
        <w:rPr>
          <w:sz w:val="20"/>
          <w:szCs w:val="20"/>
        </w:rPr>
      </w:pPr>
      <w:r>
        <w:rPr>
          <w:sz w:val="20"/>
          <w:szCs w:val="20"/>
        </w:rPr>
        <w:t>Our common stock has been listed on the New York Stock Exchange under the symbol “HUBS” since October 9, 2014. Prior to that date, there was no public trading market for our common stock. Our initial pub</w:t>
      </w:r>
      <w:r>
        <w:rPr>
          <w:sz w:val="20"/>
          <w:szCs w:val="20"/>
        </w:rPr>
        <w:t>lic offering was priced at $25.00 per share on October 8, 2014</w:t>
      </w:r>
      <w:r>
        <w:rPr>
          <w:sz w:val="20"/>
          <w:szCs w:val="20"/>
        </w:rPr>
        <w:t>.</w:t>
      </w:r>
      <w:r>
        <w:rPr>
          <w:sz w:val="20"/>
          <w:szCs w:val="20"/>
        </w:rPr>
        <w:t xml:space="preserve"> </w:t>
      </w:r>
    </w:p>
    <w:p w:rsidR="00000000" w:rsidRDefault="00A309A2">
      <w:pPr>
        <w:pStyle w:val="a3"/>
        <w:spacing w:before="240" w:beforeAutospacing="0" w:after="0" w:afterAutospacing="0"/>
        <w:ind w:firstLine="555"/>
        <w:rPr>
          <w:sz w:val="20"/>
          <w:szCs w:val="20"/>
        </w:rPr>
      </w:pPr>
      <w:r>
        <w:rPr>
          <w:sz w:val="20"/>
          <w:szCs w:val="20"/>
        </w:rPr>
        <w:t>As of February 11, 2022, we had 30 holders of record of our common stock. The actual number of shareholders is greater than this number of record holders, and includes shareholders who are be</w:t>
      </w:r>
      <w:r>
        <w:rPr>
          <w:sz w:val="20"/>
          <w:szCs w:val="20"/>
        </w:rPr>
        <w:t>neficial owners, but whose shares are held in street name by brokers and other nominees. This number of holders of record also does not include shareholders whose shares may be held in trust by other entities</w:t>
      </w:r>
      <w:r>
        <w:rPr>
          <w:sz w:val="20"/>
          <w:szCs w:val="20"/>
        </w:rPr>
        <w:t>.</w:t>
      </w:r>
    </w:p>
    <w:p w:rsidR="00000000" w:rsidRDefault="00A309A2">
      <w:pPr>
        <w:pStyle w:val="a3"/>
        <w:spacing w:before="360" w:beforeAutospacing="0" w:after="0" w:afterAutospacing="0"/>
        <w:rPr>
          <w:sz w:val="20"/>
          <w:szCs w:val="20"/>
        </w:rPr>
      </w:pPr>
      <w:r>
        <w:rPr>
          <w:b/>
          <w:bCs/>
          <w:i/>
          <w:iCs/>
          <w:sz w:val="20"/>
          <w:szCs w:val="20"/>
        </w:rPr>
        <w:t>Dividend</w:t>
      </w:r>
      <w:r>
        <w:rPr>
          <w:b/>
          <w:bCs/>
          <w:i/>
          <w:iCs/>
          <w:sz w:val="20"/>
          <w:szCs w:val="20"/>
        </w:rPr>
        <w:t>s</w:t>
      </w:r>
    </w:p>
    <w:p w:rsidR="00000000" w:rsidRDefault="00A309A2">
      <w:pPr>
        <w:pStyle w:val="a3"/>
        <w:spacing w:before="120" w:beforeAutospacing="0" w:after="0" w:afterAutospacing="0"/>
        <w:ind w:firstLine="555"/>
        <w:rPr>
          <w:sz w:val="20"/>
          <w:szCs w:val="20"/>
        </w:rPr>
      </w:pPr>
      <w:r>
        <w:rPr>
          <w:sz w:val="20"/>
          <w:szCs w:val="20"/>
        </w:rPr>
        <w:t>We have never declared or paid any c</w:t>
      </w:r>
      <w:r>
        <w:rPr>
          <w:sz w:val="20"/>
          <w:szCs w:val="20"/>
        </w:rPr>
        <w:t>ash dividends on our common stock. We currently anticipate that we will retain future earnings to fund development and growth of our business, and do not anticipate declaring or paying cash dividends in the foreseeable future. Any future determination to p</w:t>
      </w:r>
      <w:r>
        <w:rPr>
          <w:sz w:val="20"/>
          <w:szCs w:val="20"/>
        </w:rPr>
        <w:t>ay dividends will be, subject to applicable law, at the discretion of our board of directors and will depend upon, among other factors, our results of operations, financial condition, contractual restrictions, and capital requirements</w:t>
      </w:r>
      <w:r>
        <w:rPr>
          <w:sz w:val="20"/>
          <w:szCs w:val="20"/>
        </w:rPr>
        <w:t>.</w:t>
      </w:r>
      <w:r>
        <w:rPr>
          <w:sz w:val="20"/>
          <w:szCs w:val="20"/>
        </w:rPr>
        <w:t xml:space="preserve"> </w:t>
      </w:r>
    </w:p>
    <w:p w:rsidR="00000000" w:rsidRDefault="00A309A2">
      <w:pPr>
        <w:pStyle w:val="a3"/>
        <w:spacing w:before="360" w:beforeAutospacing="0" w:after="0" w:afterAutospacing="0"/>
        <w:rPr>
          <w:sz w:val="20"/>
          <w:szCs w:val="20"/>
        </w:rPr>
      </w:pPr>
      <w:r>
        <w:rPr>
          <w:b/>
          <w:bCs/>
          <w:i/>
          <w:iCs/>
          <w:sz w:val="20"/>
          <w:szCs w:val="20"/>
        </w:rPr>
        <w:t>Performance Grap</w:t>
      </w:r>
      <w:r>
        <w:rPr>
          <w:b/>
          <w:bCs/>
          <w:i/>
          <w:iCs/>
          <w:sz w:val="20"/>
          <w:szCs w:val="20"/>
        </w:rPr>
        <w:t>h</w:t>
      </w:r>
    </w:p>
    <w:p w:rsidR="00000000" w:rsidRDefault="00A309A2">
      <w:pPr>
        <w:pStyle w:val="a3"/>
        <w:spacing w:before="120" w:beforeAutospacing="0" w:after="0" w:afterAutospacing="0"/>
        <w:ind w:firstLine="555"/>
        <w:rPr>
          <w:sz w:val="20"/>
          <w:szCs w:val="20"/>
        </w:rPr>
      </w:pPr>
      <w:r>
        <w:rPr>
          <w:sz w:val="20"/>
          <w:szCs w:val="20"/>
        </w:rPr>
        <w:t>The following performance graph shall not be deemed “soliciting material” or to be “filed” with the Securities and Exchange Commission for purposes of Section 18 of the Exchange Act or otherwise subject to the liabilities under that Secti</w:t>
      </w:r>
      <w:r>
        <w:rPr>
          <w:sz w:val="20"/>
          <w:szCs w:val="20"/>
        </w:rPr>
        <w:t>on, and shall not be deemed to be incorporated by reference into any filing of the company under the Securities Act of 1933, as amended (the “Securities Act”) or the Exchange Act</w:t>
      </w:r>
      <w:r>
        <w:rPr>
          <w:sz w:val="20"/>
          <w:szCs w:val="20"/>
        </w:rPr>
        <w:t>.</w:t>
      </w:r>
    </w:p>
    <w:p w:rsidR="00000000" w:rsidRDefault="00A309A2">
      <w:pPr>
        <w:pStyle w:val="a3"/>
        <w:spacing w:before="240" w:beforeAutospacing="0" w:after="0" w:afterAutospacing="0"/>
        <w:ind w:firstLine="555"/>
        <w:rPr>
          <w:sz w:val="20"/>
          <w:szCs w:val="20"/>
        </w:rPr>
      </w:pPr>
      <w:r>
        <w:rPr>
          <w:sz w:val="20"/>
          <w:szCs w:val="20"/>
        </w:rPr>
        <w:t>The following graph shows a comparison of the cumulative total return for ou</w:t>
      </w:r>
      <w:r>
        <w:rPr>
          <w:sz w:val="20"/>
          <w:szCs w:val="20"/>
        </w:rPr>
        <w:t>r common stock, the Nasdaq Computer Index and the S&amp;P 500 Index for each of the last six fiscal years ended December 31, 2021. The graph assumes an initial investment of $100 in each of the Company’s common stock, the Nasdaq Computer Index and the S&amp;P 500.</w:t>
      </w:r>
      <w:r>
        <w:rPr>
          <w:sz w:val="20"/>
          <w:szCs w:val="20"/>
        </w:rPr>
        <w:t xml:space="preserve"> Such returns are based on historical results and are not intended to suggest future performance</w:t>
      </w:r>
      <w:r>
        <w:rPr>
          <w:sz w:val="20"/>
          <w:szCs w:val="20"/>
        </w:rPr>
        <w:t>.</w:t>
      </w:r>
    </w:p>
    <w:p w:rsidR="00000000" w:rsidRDefault="00A309A2">
      <w:pPr>
        <w:pStyle w:val="a3"/>
        <w:spacing w:before="240" w:beforeAutospacing="0" w:after="0" w:afterAutospacing="0"/>
        <w:ind w:firstLine="555"/>
        <w:jc w:val="center"/>
        <w:rPr>
          <w:sz w:val="20"/>
          <w:szCs w:val="20"/>
        </w:rPr>
      </w:pPr>
      <w:r>
        <w:rPr>
          <w:noProof/>
          <w:sz w:val="20"/>
          <w:szCs w:val="20"/>
        </w:rPr>
        <w:drawing>
          <wp:inline distT="0" distB="0" distL="0" distR="0">
            <wp:extent cx="3048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5"/>
        <w:gridCol w:w="110"/>
        <w:gridCol w:w="161"/>
        <w:gridCol w:w="677"/>
        <w:gridCol w:w="110"/>
        <w:gridCol w:w="110"/>
        <w:gridCol w:w="161"/>
        <w:gridCol w:w="677"/>
        <w:gridCol w:w="110"/>
        <w:gridCol w:w="110"/>
        <w:gridCol w:w="161"/>
        <w:gridCol w:w="677"/>
        <w:gridCol w:w="110"/>
        <w:gridCol w:w="110"/>
        <w:gridCol w:w="161"/>
        <w:gridCol w:w="677"/>
        <w:gridCol w:w="110"/>
        <w:gridCol w:w="110"/>
        <w:gridCol w:w="161"/>
        <w:gridCol w:w="677"/>
        <w:gridCol w:w="110"/>
        <w:gridCol w:w="110"/>
        <w:gridCol w:w="161"/>
        <w:gridCol w:w="677"/>
        <w:gridCol w:w="110"/>
        <w:gridCol w:w="110"/>
        <w:gridCol w:w="161"/>
        <w:gridCol w:w="677"/>
        <w:gridCol w:w="125"/>
      </w:tblGrid>
      <w:tr w:rsidR="00000000">
        <w:trPr>
          <w:tblCellSpacing w:w="15" w:type="dxa"/>
        </w:trPr>
        <w:tc>
          <w:tcPr>
            <w:tcW w:w="894" w:type="pct"/>
            <w:vAlign w:val="center"/>
            <w:hideMark/>
          </w:tcPr>
          <w:p w:rsidR="00000000" w:rsidRDefault="00A309A2">
            <w:pPr>
              <w:rPr>
                <w:sz w:val="20"/>
                <w:szCs w:val="20"/>
              </w:rPr>
            </w:pPr>
          </w:p>
        </w:tc>
        <w:tc>
          <w:tcPr>
            <w:tcW w:w="39"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460"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460"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460"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460"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460"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460"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c>
          <w:tcPr>
            <w:tcW w:w="32"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460"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rFonts w:ascii="Calibri" w:hAnsi="Calibri" w:cs="Calibri"/>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12/31/201</w:t>
            </w:r>
            <w:r>
              <w:rPr>
                <w:b/>
                <w:bCs/>
                <w:sz w:val="16"/>
                <w:szCs w:val="16"/>
              </w:rPr>
              <w:t>5</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12/31/201</w:t>
            </w:r>
            <w:r>
              <w:rPr>
                <w:b/>
                <w:bCs/>
                <w:sz w:val="16"/>
                <w:szCs w:val="16"/>
              </w:rPr>
              <w:t>6</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12/31/201</w:t>
            </w:r>
            <w:r>
              <w:rPr>
                <w:b/>
                <w:bCs/>
                <w:sz w:val="16"/>
                <w:szCs w:val="16"/>
              </w:rPr>
              <w:t>7</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12/31/201</w:t>
            </w:r>
            <w:r>
              <w:rPr>
                <w:b/>
                <w:bCs/>
                <w:sz w:val="16"/>
                <w:szCs w:val="16"/>
              </w:rPr>
              <w:t>8</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12/31/201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12/31/202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12/31/202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HubSpo</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70</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S&amp;P 500 Inde</w:t>
            </w:r>
            <w:r>
              <w:rPr>
                <w:sz w:val="20"/>
                <w:szCs w:val="20"/>
              </w:rPr>
              <w:t>x</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Nasdaq Computer Inde</w:t>
            </w:r>
            <w:r>
              <w:rPr>
                <w:sz w:val="20"/>
                <w:szCs w:val="20"/>
              </w:rPr>
              <w:t>x</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3</w:t>
      </w:r>
      <w:r>
        <w:rPr>
          <w:sz w:val="20"/>
          <w:szCs w:val="20"/>
        </w:rPr>
        <w:t>8</w:t>
      </w:r>
    </w:p>
    <w:p w:rsidR="00000000" w:rsidRDefault="00A309A2">
      <w:pPr>
        <w:rPr>
          <w:rFonts w:eastAsia="Times New Roman"/>
        </w:rPr>
      </w:pPr>
      <w:r>
        <w:rPr>
          <w:rFonts w:eastAsia="Times New Roman"/>
        </w:rPr>
        <w:pict>
          <v:rect id="_x0000_i106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160" w:beforeAutospacing="0" w:after="0" w:afterAutospacing="0"/>
        <w:rPr>
          <w:sz w:val="20"/>
          <w:szCs w:val="20"/>
        </w:rPr>
      </w:pPr>
      <w:r>
        <w:rPr>
          <w:b/>
          <w:bCs/>
          <w:i/>
          <w:iCs/>
          <w:sz w:val="20"/>
          <w:szCs w:val="20"/>
        </w:rPr>
        <w:t>Recent Sales of Unregistered Securitie</w:t>
      </w:r>
      <w:r>
        <w:rPr>
          <w:b/>
          <w:bCs/>
          <w:i/>
          <w:iCs/>
          <w:sz w:val="20"/>
          <w:szCs w:val="20"/>
        </w:rPr>
        <w:t>s</w:t>
      </w:r>
    </w:p>
    <w:p w:rsidR="00000000" w:rsidRDefault="00A309A2">
      <w:pPr>
        <w:pStyle w:val="a3"/>
        <w:spacing w:before="120" w:beforeAutospacing="0" w:after="0" w:afterAutospacing="0"/>
        <w:ind w:firstLine="555"/>
        <w:rPr>
          <w:sz w:val="20"/>
          <w:szCs w:val="20"/>
        </w:rPr>
      </w:pPr>
      <w:r>
        <w:rPr>
          <w:sz w:val="20"/>
          <w:szCs w:val="20"/>
        </w:rPr>
        <w:t>None</w:t>
      </w:r>
      <w:r>
        <w:rPr>
          <w:sz w:val="20"/>
          <w:szCs w:val="20"/>
        </w:rPr>
        <w:t>.</w:t>
      </w:r>
    </w:p>
    <w:p w:rsidR="00000000" w:rsidRDefault="00A309A2">
      <w:pPr>
        <w:pStyle w:val="a3"/>
        <w:spacing w:before="360" w:beforeAutospacing="0" w:after="0" w:afterAutospacing="0"/>
        <w:rPr>
          <w:sz w:val="20"/>
          <w:szCs w:val="20"/>
        </w:rPr>
      </w:pPr>
      <w:r>
        <w:rPr>
          <w:b/>
          <w:bCs/>
          <w:i/>
          <w:iCs/>
          <w:sz w:val="20"/>
          <w:szCs w:val="20"/>
        </w:rPr>
        <w:t>Purchases of Equity Securities by the Issuer and Affiliated Purchaser</w:t>
      </w:r>
      <w:r>
        <w:rPr>
          <w:b/>
          <w:bCs/>
          <w:i/>
          <w:iCs/>
          <w:sz w:val="20"/>
          <w:szCs w:val="20"/>
        </w:rPr>
        <w:t>s</w:t>
      </w:r>
    </w:p>
    <w:p w:rsidR="00000000" w:rsidRDefault="00A309A2">
      <w:pPr>
        <w:pStyle w:val="a3"/>
        <w:spacing w:before="120" w:beforeAutospacing="0" w:after="0" w:afterAutospacing="0"/>
        <w:ind w:firstLine="555"/>
        <w:rPr>
          <w:sz w:val="20"/>
          <w:szCs w:val="20"/>
        </w:rPr>
      </w:pPr>
      <w:r>
        <w:rPr>
          <w:sz w:val="20"/>
          <w:szCs w:val="20"/>
        </w:rPr>
        <w:t>None</w:t>
      </w:r>
      <w:r>
        <w:rPr>
          <w:sz w:val="20"/>
          <w:szCs w:val="20"/>
        </w:rPr>
        <w:t>.</w:t>
      </w:r>
    </w:p>
    <w:p w:rsidR="00000000" w:rsidRDefault="00A309A2">
      <w:pPr>
        <w:pStyle w:val="a3"/>
        <w:spacing w:before="360" w:beforeAutospacing="0" w:after="0" w:afterAutospacing="0"/>
        <w:rPr>
          <w:sz w:val="20"/>
          <w:szCs w:val="20"/>
        </w:rPr>
      </w:pPr>
      <w:r>
        <w:rPr>
          <w:b/>
          <w:bCs/>
          <w:i/>
          <w:iCs/>
          <w:sz w:val="20"/>
          <w:szCs w:val="20"/>
        </w:rPr>
        <w:t>Securities Authorized for Issuance Under Equity Compensation Plan</w:t>
      </w:r>
      <w:r>
        <w:rPr>
          <w:b/>
          <w:bCs/>
          <w:i/>
          <w:iCs/>
          <w:sz w:val="20"/>
          <w:szCs w:val="20"/>
        </w:rPr>
        <w:t>s</w:t>
      </w:r>
    </w:p>
    <w:p w:rsidR="00000000" w:rsidRDefault="00A309A2">
      <w:pPr>
        <w:pStyle w:val="a3"/>
        <w:spacing w:before="120" w:beforeAutospacing="0" w:after="0" w:afterAutospacing="0"/>
        <w:ind w:firstLine="555"/>
        <w:rPr>
          <w:sz w:val="20"/>
          <w:szCs w:val="20"/>
        </w:rPr>
      </w:pPr>
      <w:r>
        <w:rPr>
          <w:sz w:val="20"/>
          <w:szCs w:val="20"/>
        </w:rPr>
        <w:t>See Item 12, “Security Owner</w:t>
      </w:r>
      <w:r>
        <w:rPr>
          <w:sz w:val="20"/>
          <w:szCs w:val="20"/>
        </w:rPr>
        <w:t>ship of Certain Beneficial Owners and Management and Related Stockholder Matters,” for information regarding securities authorized for issuance</w:t>
      </w:r>
      <w:r>
        <w:rPr>
          <w:sz w:val="20"/>
          <w:szCs w:val="20"/>
        </w:rPr>
        <w:t>.</w:t>
      </w:r>
      <w:r>
        <w:rPr>
          <w:sz w:val="20"/>
          <w:szCs w:val="20"/>
        </w:rPr>
        <w:t xml:space="preserve"> </w:t>
      </w:r>
    </w:p>
    <w:p w:rsidR="00000000" w:rsidRDefault="00A309A2">
      <w:pPr>
        <w:pStyle w:val="a3"/>
        <w:spacing w:before="360" w:beforeAutospacing="0" w:after="0" w:afterAutospacing="0"/>
        <w:rPr>
          <w:sz w:val="20"/>
          <w:szCs w:val="20"/>
        </w:rPr>
      </w:pPr>
      <w:r>
        <w:rPr>
          <w:b/>
          <w:bCs/>
          <w:i/>
          <w:iCs/>
          <w:sz w:val="20"/>
          <w:szCs w:val="20"/>
        </w:rPr>
        <w:t>Outstanding Convertible Senior Notes, Convertible Note Hedges, Capped Call Options and Warrant</w:t>
      </w:r>
      <w:r>
        <w:rPr>
          <w:b/>
          <w:bCs/>
          <w:i/>
          <w:iCs/>
          <w:sz w:val="20"/>
          <w:szCs w:val="20"/>
        </w:rPr>
        <w:t>s</w:t>
      </w:r>
    </w:p>
    <w:p w:rsidR="00000000" w:rsidRDefault="00A309A2">
      <w:pPr>
        <w:pStyle w:val="a3"/>
        <w:spacing w:before="120" w:beforeAutospacing="0" w:after="0" w:afterAutospacing="0"/>
        <w:ind w:firstLine="555"/>
        <w:rPr>
          <w:sz w:val="20"/>
          <w:szCs w:val="20"/>
        </w:rPr>
      </w:pPr>
      <w:r>
        <w:rPr>
          <w:sz w:val="20"/>
          <w:szCs w:val="20"/>
        </w:rPr>
        <w:t>In May 2017, w</w:t>
      </w:r>
      <w:r>
        <w:rPr>
          <w:sz w:val="20"/>
          <w:szCs w:val="20"/>
        </w:rPr>
        <w:t xml:space="preserve">e issued $400.0 million aggregate principal amount of 0.25% convertible senior (the “2022 Notes”) due June 1, 2022, of which $272.1 million was repurchased in June 2020 and $2.8 million was settled in cash during the fourth quarter of 2021. As of December </w:t>
      </w:r>
      <w:r>
        <w:rPr>
          <w:sz w:val="20"/>
          <w:szCs w:val="20"/>
        </w:rPr>
        <w:t>31, 2021, $19.4 million of principal remains outstanding on the 2022 Notes. Also in June 2020, we issued $460 million aggregate principal amount of convertible senior notes due June 1, 2025 (the “2025 Notes”)</w:t>
      </w:r>
      <w:r>
        <w:rPr>
          <w:sz w:val="20"/>
          <w:szCs w:val="20"/>
        </w:rPr>
        <w:t>.</w:t>
      </w:r>
      <w:r>
        <w:rPr>
          <w:sz w:val="20"/>
          <w:szCs w:val="20"/>
        </w:rPr>
        <w:t xml:space="preserve"> </w:t>
      </w:r>
    </w:p>
    <w:p w:rsidR="00000000" w:rsidRDefault="00A309A2">
      <w:pPr>
        <w:pStyle w:val="a3"/>
        <w:spacing w:before="120" w:beforeAutospacing="0" w:after="0" w:afterAutospacing="0"/>
        <w:ind w:firstLine="555"/>
        <w:rPr>
          <w:sz w:val="20"/>
          <w:szCs w:val="20"/>
        </w:rPr>
      </w:pPr>
      <w:r>
        <w:rPr>
          <w:sz w:val="20"/>
          <w:szCs w:val="20"/>
        </w:rPr>
        <w:t>In connection with the offering of the 2022 Notes, the Company entered into convertible note hedge transactions (the “Convertible Note Hedges”) with certain counterparties in which the Company has the option to purchase (subject to adjustment for certain s</w:t>
      </w:r>
      <w:r>
        <w:rPr>
          <w:sz w:val="20"/>
          <w:szCs w:val="20"/>
        </w:rPr>
        <w:t>pecified events) shares of the Company’s common stock at a price of approximately $94.77 per share. In addition, the Company sold warrants (the “Warrants”) to certain bank counterparties whereby the holders of the warrants have the option to purchase (subj</w:t>
      </w:r>
      <w:r>
        <w:rPr>
          <w:sz w:val="20"/>
          <w:szCs w:val="20"/>
        </w:rPr>
        <w:t xml:space="preserve">ect to adjustment for certain specified events) shares of the Company’s common stock at a price of $115.8 per share. In connection with the offering of the 2025 Notes, the Company purchased capped call options (“Capped Call Options”) that give the Company </w:t>
      </w:r>
      <w:r>
        <w:rPr>
          <w:sz w:val="20"/>
          <w:szCs w:val="20"/>
        </w:rPr>
        <w:t>the option to purchase up to approximately 1.6 million shares of its common stock for $282.52 per share. As of December 31, 2021, Convertible Note Hedges corresponding to approximately 0.2 million shares of the Company’s common stock and Warrants correspon</w:t>
      </w:r>
      <w:r>
        <w:rPr>
          <w:sz w:val="20"/>
          <w:szCs w:val="20"/>
        </w:rPr>
        <w:t>ding to approximately 1.3 million shares of the Company’s common stock remain outstanding. See Note 9 in the Notes to the Consolidated Financial Statements for more information</w:t>
      </w:r>
      <w:r>
        <w:rPr>
          <w:sz w:val="20"/>
          <w:szCs w:val="20"/>
        </w:rPr>
        <w:t>.</w:t>
      </w:r>
    </w:p>
    <w:p w:rsidR="00000000" w:rsidRDefault="00A309A2">
      <w:pPr>
        <w:pStyle w:val="a3"/>
        <w:spacing w:before="0" w:beforeAutospacing="0" w:after="0" w:afterAutospacing="0"/>
        <w:ind w:hanging="1220"/>
        <w:rPr>
          <w:sz w:val="20"/>
          <w:szCs w:val="20"/>
        </w:rPr>
      </w:pPr>
      <w:r>
        <w:rPr>
          <w:sz w:val="20"/>
          <w:szCs w:val="20"/>
        </w:rPr>
        <w:t> </w:t>
      </w:r>
    </w:p>
    <w:p w:rsidR="00000000" w:rsidRDefault="00A309A2">
      <w:pPr>
        <w:pStyle w:val="a3"/>
        <w:spacing w:before="0" w:beforeAutospacing="0" w:after="0" w:afterAutospacing="0"/>
        <w:ind w:hanging="122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3</w:t>
      </w:r>
      <w:r>
        <w:rPr>
          <w:sz w:val="20"/>
          <w:szCs w:val="20"/>
        </w:rPr>
        <w:t>9</w:t>
      </w:r>
    </w:p>
    <w:p w:rsidR="00000000" w:rsidRDefault="00A309A2">
      <w:pPr>
        <w:rPr>
          <w:rFonts w:eastAsia="Times New Roman"/>
        </w:rPr>
      </w:pPr>
      <w:r>
        <w:rPr>
          <w:rFonts w:eastAsia="Times New Roman"/>
        </w:rPr>
        <w:pict>
          <v:rect id="_x0000_i106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hanging="1220"/>
        <w:rPr>
          <w:sz w:val="20"/>
          <w:szCs w:val="20"/>
        </w:rPr>
      </w:pPr>
      <w:r>
        <w:rPr>
          <w:b/>
          <w:bCs/>
          <w:sz w:val="20"/>
          <w:szCs w:val="20"/>
        </w:rPr>
        <w:t>ITEM 6. Selected Conso</w:t>
      </w:r>
      <w:r>
        <w:rPr>
          <w:b/>
          <w:bCs/>
          <w:sz w:val="20"/>
          <w:szCs w:val="20"/>
        </w:rPr>
        <w:t>l</w:t>
      </w:r>
      <w:r>
        <w:rPr>
          <w:b/>
          <w:bCs/>
          <w:sz w:val="20"/>
          <w:szCs w:val="20"/>
        </w:rPr>
        <w:t>idated Fi</w:t>
      </w:r>
      <w:r>
        <w:rPr>
          <w:b/>
          <w:bCs/>
          <w:sz w:val="20"/>
          <w:szCs w:val="20"/>
        </w:rPr>
        <w:t>nancial Dat</w:t>
      </w:r>
      <w:r>
        <w:rPr>
          <w:b/>
          <w:bCs/>
          <w:sz w:val="20"/>
          <w:szCs w:val="20"/>
        </w:rPr>
        <w:t>a</w:t>
      </w:r>
    </w:p>
    <w:p w:rsidR="00000000" w:rsidRDefault="00A309A2">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A309A2">
      <w:pPr>
        <w:pStyle w:val="a3"/>
        <w:spacing w:before="0" w:beforeAutospacing="0" w:after="0" w:afterAutospacing="0"/>
        <w:jc w:val="both"/>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4</w:t>
      </w:r>
      <w:r>
        <w:rPr>
          <w:sz w:val="20"/>
          <w:szCs w:val="20"/>
        </w:rPr>
        <w:t>0</w:t>
      </w:r>
    </w:p>
    <w:p w:rsidR="00000000" w:rsidRDefault="00A309A2">
      <w:pPr>
        <w:rPr>
          <w:rFonts w:eastAsia="Times New Roman"/>
        </w:rPr>
      </w:pPr>
      <w:r>
        <w:rPr>
          <w:rFonts w:eastAsia="Times New Roman"/>
        </w:rPr>
        <w:pict>
          <v:rect id="_x0000_i106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hanging="1220"/>
        <w:rPr>
          <w:sz w:val="20"/>
          <w:szCs w:val="20"/>
        </w:rPr>
      </w:pPr>
      <w:r>
        <w:rPr>
          <w:b/>
          <w:bCs/>
          <w:sz w:val="20"/>
          <w:szCs w:val="20"/>
        </w:rPr>
        <w:t>ITEM 7. Management’s Discussion and Analysis o</w:t>
      </w:r>
      <w:r>
        <w:rPr>
          <w:b/>
          <w:bCs/>
          <w:sz w:val="20"/>
          <w:szCs w:val="20"/>
        </w:rPr>
        <w:t>f</w:t>
      </w:r>
      <w:r>
        <w:rPr>
          <w:b/>
          <w:bCs/>
          <w:sz w:val="20"/>
          <w:szCs w:val="20"/>
        </w:rPr>
        <w:t xml:space="preserve"> Financial Condition and Results of Operation</w:t>
      </w:r>
      <w:r>
        <w:rPr>
          <w:b/>
          <w:bCs/>
          <w:sz w:val="20"/>
          <w:szCs w:val="20"/>
        </w:rPr>
        <w:t>s</w:t>
      </w:r>
    </w:p>
    <w:p w:rsidR="00000000" w:rsidRDefault="00A309A2">
      <w:pPr>
        <w:pStyle w:val="a3"/>
        <w:spacing w:before="200" w:beforeAutospacing="0" w:after="0" w:afterAutospacing="0"/>
        <w:ind w:firstLine="555"/>
        <w:rPr>
          <w:sz w:val="20"/>
          <w:szCs w:val="20"/>
        </w:rPr>
      </w:pPr>
      <w:r>
        <w:rPr>
          <w:i/>
          <w:iCs/>
          <w:sz w:val="20"/>
          <w:szCs w:val="20"/>
        </w:rPr>
        <w:t>The following discussion and analysis of our financial condition and results of operatio</w:t>
      </w:r>
      <w:r>
        <w:rPr>
          <w:i/>
          <w:iCs/>
          <w:sz w:val="20"/>
          <w:szCs w:val="20"/>
        </w:rPr>
        <w:t>ns should be read in conjunction with our consolidated financial statements and related notes that appear elsewhere in this Annual Report on Form 10-K. As discussed in the section titled “Special Note Regarding Forward-Looking Statements,” the following di</w:t>
      </w:r>
      <w:r>
        <w:rPr>
          <w:i/>
          <w:iCs/>
          <w:sz w:val="20"/>
          <w:szCs w:val="20"/>
        </w:rPr>
        <w:t xml:space="preserve">scussion and analysis contains forward-looking statements that involve risks and uncertainties, as well as assumptions that, if they never materialize or prove incorrect, could cause our results to differ materially from those expressed or implied by such </w:t>
      </w:r>
      <w:r>
        <w:rPr>
          <w:i/>
          <w:iCs/>
          <w:sz w:val="20"/>
          <w:szCs w:val="20"/>
        </w:rPr>
        <w:t>forward-looking statements. Factors that could cause or contribute to such differences include, but are not limited to, those identified below, and those discussed in the section titled “Risk Factors” included under Part I, Item 1A within this Annual Repor</w:t>
      </w:r>
      <w:r>
        <w:rPr>
          <w:i/>
          <w:iCs/>
          <w:sz w:val="20"/>
          <w:szCs w:val="20"/>
        </w:rPr>
        <w:t>t on Form 10-K</w:t>
      </w:r>
      <w:r>
        <w:rPr>
          <w:i/>
          <w:iCs/>
          <w:sz w:val="20"/>
          <w:szCs w:val="20"/>
        </w:rPr>
        <w:t>.</w:t>
      </w:r>
    </w:p>
    <w:p w:rsidR="00000000" w:rsidRDefault="00A309A2">
      <w:pPr>
        <w:pStyle w:val="a3"/>
        <w:spacing w:before="200" w:beforeAutospacing="0" w:after="0" w:afterAutospacing="0"/>
        <w:rPr>
          <w:sz w:val="20"/>
          <w:szCs w:val="20"/>
        </w:rPr>
      </w:pPr>
      <w:r>
        <w:rPr>
          <w:b/>
          <w:bCs/>
          <w:sz w:val="20"/>
          <w:szCs w:val="20"/>
        </w:rPr>
        <w:t>Company Overvie</w:t>
      </w:r>
      <w:r>
        <w:rPr>
          <w:b/>
          <w:bCs/>
          <w:sz w:val="20"/>
          <w:szCs w:val="20"/>
        </w:rPr>
        <w:t>w</w:t>
      </w:r>
    </w:p>
    <w:p w:rsidR="00000000" w:rsidRDefault="00A309A2">
      <w:pPr>
        <w:pStyle w:val="a3"/>
        <w:spacing w:before="200" w:beforeAutospacing="0" w:after="0" w:afterAutospacing="0"/>
        <w:ind w:firstLine="555"/>
        <w:rPr>
          <w:sz w:val="20"/>
          <w:szCs w:val="20"/>
        </w:rPr>
      </w:pPr>
      <w:r>
        <w:rPr>
          <w:sz w:val="20"/>
          <w:szCs w:val="20"/>
        </w:rPr>
        <w:t xml:space="preserve">We provide a cloud-based customer relationship management (“CRM”) Platform. Our CRM Platform is comprised of Marketing Hub, Sales Hub, Service Hub, content management system ("CMS") Hub, and Operations Hub as well as other </w:t>
      </w:r>
      <w:r>
        <w:rPr>
          <w:sz w:val="20"/>
          <w:szCs w:val="20"/>
        </w:rPr>
        <w:t>tools, integrations, and a native payment solution that enable companies to attract, engage, and delight customers throughout the customer experience</w:t>
      </w:r>
      <w:r>
        <w:rPr>
          <w:sz w:val="20"/>
          <w:szCs w:val="20"/>
        </w:rPr>
        <w:t>.</w:t>
      </w:r>
    </w:p>
    <w:p w:rsidR="00000000" w:rsidRDefault="00A309A2">
      <w:pPr>
        <w:pStyle w:val="a3"/>
        <w:spacing w:before="200" w:beforeAutospacing="0" w:after="0" w:afterAutospacing="0"/>
        <w:ind w:firstLine="555"/>
        <w:rPr>
          <w:sz w:val="20"/>
          <w:szCs w:val="20"/>
        </w:rPr>
      </w:pPr>
      <w:r>
        <w:rPr>
          <w:sz w:val="20"/>
          <w:szCs w:val="20"/>
        </w:rPr>
        <w:t>At the core of our CRM Platform is our CRM that our customers use which creates a single view of all inte</w:t>
      </w:r>
      <w:r>
        <w:rPr>
          <w:sz w:val="20"/>
          <w:szCs w:val="20"/>
        </w:rPr>
        <w:t>ractions a prospective or existing customer has with their marketing, sales and customer service teams. The CRM shares data across every application in the CRM Platform, automatically informing more personalized emails, website content, ads, and conversati</w:t>
      </w:r>
      <w:r>
        <w:rPr>
          <w:sz w:val="20"/>
          <w:szCs w:val="20"/>
        </w:rPr>
        <w:t>ons, and enables more accurate timing cues for our customer’s internal teams. Our CRM Platform was built to easily and seamlessly integrate third party applications to further customize to an individual company’s industry or needs. In addition, an end-to-e</w:t>
      </w:r>
      <w:r>
        <w:rPr>
          <w:sz w:val="20"/>
          <w:szCs w:val="20"/>
        </w:rPr>
        <w:t>nd payment solution, Payments, is built within our CRM Platform which enables customers to streamline their payment process</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designed and built our CRM Platform to serve a broad range of customers globally. Our CRM Platform starts completely free and grows with our customers to meet their needs at different stages in their life-cycles. It supports multiple languages and curre</w:t>
      </w:r>
      <w:r>
        <w:rPr>
          <w:sz w:val="20"/>
          <w:szCs w:val="20"/>
        </w:rPr>
        <w:t>ncies and offers an array of sophisticated features, including content partitioning at the enterprise level for companies operating in or serving multiple countries</w:t>
      </w:r>
      <w:r>
        <w:rPr>
          <w:sz w:val="20"/>
          <w:szCs w:val="20"/>
        </w:rPr>
        <w:t>.</w:t>
      </w:r>
    </w:p>
    <w:p w:rsidR="00000000" w:rsidRDefault="00A309A2">
      <w:pPr>
        <w:pStyle w:val="a3"/>
        <w:spacing w:before="200" w:beforeAutospacing="0" w:after="0" w:afterAutospacing="0"/>
        <w:ind w:firstLine="555"/>
        <w:rPr>
          <w:sz w:val="20"/>
          <w:szCs w:val="20"/>
        </w:rPr>
      </w:pPr>
      <w:r>
        <w:rPr>
          <w:sz w:val="20"/>
          <w:szCs w:val="20"/>
        </w:rPr>
        <w:t>We focus on selling to mid-market business-to-business, or B2B, companies, which we define</w:t>
      </w:r>
      <w:r>
        <w:rPr>
          <w:sz w:val="20"/>
          <w:szCs w:val="20"/>
        </w:rPr>
        <w:t xml:space="preserve"> as companies that have between two and 2,000 employees. While our CRM Platform was built to grow with any company, we focus on selling to mid-market businesses because we believe we have significant competitive advantages attracting and serving this marke</w:t>
      </w:r>
      <w:r>
        <w:rPr>
          <w:sz w:val="20"/>
          <w:szCs w:val="20"/>
        </w:rPr>
        <w:t>t segment. These mid-market businesses seek an integrated, easy-to-implement and easy-to-use solution to reach customers and compete with organizations that have larger marketing, sales, and customer service budgets. We efficiently reach these businesses a</w:t>
      </w:r>
      <w:r>
        <w:rPr>
          <w:sz w:val="20"/>
          <w:szCs w:val="20"/>
        </w:rPr>
        <w:t>t scale through our proven inbound methodology, our Solutions Partners, and our “freemium” model. A Solutions Partner is a service provider that helps businesses with strategy, execution, and implementation of go-to-market activities and technology solutio</w:t>
      </w:r>
      <w:r>
        <w:rPr>
          <w:sz w:val="20"/>
          <w:szCs w:val="20"/>
        </w:rPr>
        <w:t>ns. Our freemium model attracts customers who begin using our CRM Platform through our free products and then upgrade to our paid products. As of December 31, 2021, we had</w:t>
      </w:r>
      <w:r>
        <w:rPr>
          <w:sz w:val="20"/>
          <w:szCs w:val="20"/>
        </w:rPr>
        <w:t xml:space="preserve"> </w:t>
      </w:r>
      <w:r>
        <w:rPr>
          <w:sz w:val="20"/>
          <w:szCs w:val="20"/>
        </w:rPr>
        <w:t>5,895</w:t>
      </w:r>
      <w:r>
        <w:rPr>
          <w:sz w:val="20"/>
          <w:szCs w:val="20"/>
        </w:rPr>
        <w:t xml:space="preserve"> </w:t>
      </w:r>
      <w:r>
        <w:rPr>
          <w:sz w:val="20"/>
          <w:szCs w:val="20"/>
        </w:rPr>
        <w:t>full-time employees and 135,442 Customers of varying sizes in more than 120 co</w:t>
      </w:r>
      <w:r>
        <w:rPr>
          <w:sz w:val="20"/>
          <w:szCs w:val="20"/>
        </w:rPr>
        <w:t>untries, representing almost every industry</w:t>
      </w:r>
      <w:r>
        <w:rPr>
          <w:sz w:val="20"/>
          <w:szCs w:val="20"/>
        </w:rPr>
        <w:t>.</w:t>
      </w:r>
    </w:p>
    <w:p w:rsidR="00000000" w:rsidRDefault="00A309A2">
      <w:pPr>
        <w:pStyle w:val="a3"/>
        <w:spacing w:before="200" w:beforeAutospacing="0" w:after="0" w:afterAutospacing="0"/>
        <w:ind w:firstLine="555"/>
        <w:rPr>
          <w:sz w:val="20"/>
          <w:szCs w:val="20"/>
        </w:rPr>
      </w:pPr>
      <w:r>
        <w:rPr>
          <w:sz w:val="20"/>
          <w:szCs w:val="20"/>
        </w:rPr>
        <w:t>Our CRM Platform is a multi-tenant, single code-based and globally available software-as-a-service product delivered through web browsers or mobile applications. We sell our CRM Platform on a subscription basis.</w:t>
      </w:r>
      <w:r>
        <w:rPr>
          <w:sz w:val="20"/>
          <w:szCs w:val="20"/>
        </w:rPr>
        <w:t xml:space="preserve"> </w:t>
      </w:r>
      <w:r>
        <w:rPr>
          <w:sz w:val="20"/>
          <w:szCs w:val="20"/>
        </w:rPr>
        <w:t>Our total revenue increased to $1.3 billion in 2021, from $883.0 million in 2020, and from $674.9 million in 2019, representing year-over-year increases of 47% in 2021 and 31% in 2020. We had net losses of $77.8 million in 2021, $85.0 million in 2020, and</w:t>
      </w:r>
      <w:r>
        <w:rPr>
          <w:sz w:val="20"/>
          <w:szCs w:val="20"/>
        </w:rPr>
        <w:t xml:space="preserve"> $53.7 million in 2019, primarily due to investments in our growth</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derive most of our revenue from subscriptions to our cloud-based CRM Platform and related professional services, which consist of customer on-boarding, training and consulting services</w:t>
      </w:r>
      <w:r>
        <w:rPr>
          <w:sz w:val="20"/>
          <w:szCs w:val="20"/>
        </w:rPr>
        <w:t>. Subscription revenue accounted for</w:t>
      </w:r>
      <w:r>
        <w:rPr>
          <w:sz w:val="20"/>
          <w:szCs w:val="20"/>
        </w:rPr>
        <w:t xml:space="preserve"> </w:t>
      </w:r>
      <w:r>
        <w:rPr>
          <w:sz w:val="20"/>
          <w:szCs w:val="20"/>
        </w:rPr>
        <w:t>97% of our total revenue for the years ended December 31, 2021 and 2020, and 96% of our total revenue for the year ended December 31, 2019.</w:t>
      </w:r>
      <w:r>
        <w:rPr>
          <w:sz w:val="20"/>
          <w:szCs w:val="20"/>
        </w:rPr>
        <w:t xml:space="preserve"> </w:t>
      </w:r>
      <w:r>
        <w:rPr>
          <w:sz w:val="20"/>
          <w:szCs w:val="20"/>
        </w:rPr>
        <w:t>We sell multiple product plans at different base prices on a subscription basis</w:t>
      </w:r>
      <w:r>
        <w:rPr>
          <w:sz w:val="20"/>
          <w:szCs w:val="20"/>
        </w:rPr>
        <w:t>, each of which includes our CRM and integrated applications to meet the needs of the various customers we serve. Customers pay additional fees if the number of contacts stored and tracked in the customer’s database exceeds specified thresholds. We also ge</w:t>
      </w:r>
      <w:r>
        <w:rPr>
          <w:sz w:val="20"/>
          <w:szCs w:val="20"/>
        </w:rPr>
        <w:t>nerate additional revenue based on the purchase of additional subscriptions and products, and the number of account users and subdomains. Most of our customers’ subscriptions are one year or less in duration</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Subscriptions are billed in advance on various </w:t>
      </w:r>
      <w:r>
        <w:rPr>
          <w:sz w:val="20"/>
          <w:szCs w:val="20"/>
        </w:rPr>
        <w:t xml:space="preserve">schedules. Because the mix of billing terms for orders can vary from period to period, the annualized value of the orders we enter into with our customers will not be completely reflected in deferred revenue at any single point in time. Accordingly, we do </w:t>
      </w:r>
      <w:r>
        <w:rPr>
          <w:sz w:val="20"/>
          <w:szCs w:val="20"/>
        </w:rPr>
        <w:t>not believe that change in deferred revenue is an accurate indicator of future revenue</w:t>
      </w:r>
      <w:r>
        <w:rPr>
          <w:sz w:val="20"/>
          <w:szCs w:val="20"/>
        </w:rPr>
        <w:t>.</w:t>
      </w:r>
    </w:p>
    <w:p w:rsidR="00000000" w:rsidRDefault="00A309A2">
      <w:pPr>
        <w:pStyle w:val="a3"/>
        <w:spacing w:before="200" w:beforeAutospacing="0" w:after="0" w:afterAutospacing="0"/>
        <w:ind w:firstLine="555"/>
        <w:rPr>
          <w:sz w:val="20"/>
          <w:szCs w:val="20"/>
        </w:rPr>
      </w:pPr>
      <w:r>
        <w:rPr>
          <w:sz w:val="20"/>
          <w:szCs w:val="20"/>
        </w:rPr>
        <w:t>Many of our customers purchase on-boarding, training, and consulting services, as well as other tools and Payments, which are designed to help customers enhance their a</w:t>
      </w:r>
      <w:r>
        <w:rPr>
          <w:sz w:val="20"/>
          <w:szCs w:val="20"/>
        </w:rPr>
        <w:t>bility to attract, engage and delight their customers using our CRM Platform. We als</w:t>
      </w:r>
      <w:r>
        <w:rPr>
          <w:sz w:val="20"/>
          <w:szCs w:val="20"/>
        </w:rPr>
        <w:t>o</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4</w:t>
      </w:r>
      <w:r>
        <w:rPr>
          <w:sz w:val="20"/>
          <w:szCs w:val="20"/>
        </w:rPr>
        <w:t>1</w:t>
      </w:r>
    </w:p>
    <w:p w:rsidR="00000000" w:rsidRDefault="00A309A2">
      <w:pPr>
        <w:rPr>
          <w:rFonts w:eastAsia="Times New Roman"/>
        </w:rPr>
      </w:pPr>
      <w:r>
        <w:rPr>
          <w:rFonts w:eastAsia="Times New Roman"/>
        </w:rPr>
        <w:pict>
          <v:rect id="_x0000_i106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generate revenue from a number of revenue-share agreements with other companies based on mutually agreed upon terms. Professional services and other revenue accounted for 3% of total revenue for the year ended December 31, 2021 and 2020, and 4% of total re</w:t>
      </w:r>
      <w:r>
        <w:rPr>
          <w:sz w:val="20"/>
          <w:szCs w:val="20"/>
        </w:rPr>
        <w:t>venue for the year ended December 31, 2019</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have focused on rapidly growing our business and plan to continue to make investments to help us address some of the challenges facing us to support this growth, such as demand for our CRM Platform by existin</w:t>
      </w:r>
      <w:r>
        <w:rPr>
          <w:sz w:val="20"/>
          <w:szCs w:val="20"/>
        </w:rPr>
        <w:t>g and new customers, significan</w:t>
      </w:r>
      <w:r>
        <w:rPr>
          <w:sz w:val="20"/>
          <w:szCs w:val="20"/>
        </w:rPr>
        <w:t>t</w:t>
      </w:r>
      <w:r>
        <w:rPr>
          <w:sz w:val="20"/>
          <w:szCs w:val="20"/>
        </w:rPr>
        <w:t xml:space="preserve"> competition from other providers of marketing, sales, customer service, operations, and content management software and related applications and rapid technological change in our industry</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believe that the growth of our</w:t>
      </w:r>
      <w:r>
        <w:rPr>
          <w:sz w:val="20"/>
          <w:szCs w:val="20"/>
        </w:rPr>
        <w:t xml:space="preserve"> business is dependent on many factors, including our ability to expand our customer base, increase adoption of our CRM Platform within existing customers, develop new products and applications to extend the functionality of our CRM Platform and provide a </w:t>
      </w:r>
      <w:r>
        <w:rPr>
          <w:sz w:val="20"/>
          <w:szCs w:val="20"/>
        </w:rPr>
        <w:t>high level of customer service. We expect to increase our investment in sales and marketing as we continue to expand our sales teams, increase our marketing activities and grow our international operations. We also expect to increase our investment in rese</w:t>
      </w:r>
      <w:r>
        <w:rPr>
          <w:sz w:val="20"/>
          <w:szCs w:val="20"/>
        </w:rPr>
        <w:t>arch and development as we continue to introduce new products and applications to extend the functionality of our CRM Platform. We also intend to invest in maintaining a high level of customer service and support which we consider critical for our continue</w:t>
      </w:r>
      <w:r>
        <w:rPr>
          <w:sz w:val="20"/>
          <w:szCs w:val="20"/>
        </w:rPr>
        <w:t>d success. We plan to continue investing in our data center infrastructure and services capabilities in order to support continued future customer growth. We also expect to continue to incur additional general and administrative expenses as a result of bot</w:t>
      </w:r>
      <w:r>
        <w:rPr>
          <w:sz w:val="20"/>
          <w:szCs w:val="20"/>
        </w:rPr>
        <w:t>h our growth and the infrastructure required to be a public company. We expect to use our cash flow from operations and the proceeds from our convertible debt and prior stock offerings to fund these growth strategies and support our business and do not exp</w:t>
      </w:r>
      <w:r>
        <w:rPr>
          <w:sz w:val="20"/>
          <w:szCs w:val="20"/>
        </w:rPr>
        <w:t>ect to be profitable in the near term</w:t>
      </w:r>
      <w:r>
        <w:rPr>
          <w:sz w:val="20"/>
          <w:szCs w:val="20"/>
        </w:rPr>
        <w:t>.</w:t>
      </w:r>
    </w:p>
    <w:p w:rsidR="00000000" w:rsidRDefault="00A309A2">
      <w:pPr>
        <w:pStyle w:val="a3"/>
        <w:spacing w:before="200" w:beforeAutospacing="0" w:after="0" w:afterAutospacing="0"/>
        <w:rPr>
          <w:sz w:val="20"/>
          <w:szCs w:val="20"/>
        </w:rPr>
      </w:pPr>
      <w:r>
        <w:rPr>
          <w:b/>
          <w:bCs/>
          <w:sz w:val="20"/>
          <w:szCs w:val="20"/>
        </w:rPr>
        <w:t>COVID-19 Updat</w:t>
      </w:r>
      <w:r>
        <w:rPr>
          <w:b/>
          <w:bCs/>
          <w:sz w:val="20"/>
          <w:szCs w:val="20"/>
        </w:rPr>
        <w:t>e</w:t>
      </w:r>
    </w:p>
    <w:p w:rsidR="00000000" w:rsidRDefault="00A309A2">
      <w:pPr>
        <w:pStyle w:val="a3"/>
        <w:spacing w:before="200" w:beforeAutospacing="0" w:after="0" w:afterAutospacing="0"/>
        <w:ind w:firstLine="643"/>
        <w:rPr>
          <w:sz w:val="20"/>
          <w:szCs w:val="20"/>
        </w:rPr>
      </w:pPr>
      <w:r>
        <w:rPr>
          <w:sz w:val="20"/>
          <w:szCs w:val="20"/>
        </w:rPr>
        <w:t>In March 2020, the World Health Organization, or WHO, declared the outbreak of a disease caused by a novel strain of the coronavirus (“COVID-19”) to be a pandemic (the “pandemic”). This pandemic has ha</w:t>
      </w:r>
      <w:r>
        <w:rPr>
          <w:sz w:val="20"/>
          <w:szCs w:val="20"/>
        </w:rPr>
        <w:t>d widespread, rapidly-evolving, and unpredictable impacts on global societies, economies, financial markets, and business practices. Federal and state governments have implemented various measures in an effort to contain the virus, which have caused, and a</w:t>
      </w:r>
      <w:r>
        <w:rPr>
          <w:sz w:val="20"/>
          <w:szCs w:val="20"/>
        </w:rPr>
        <w:t>re continuing to cause, business slowdowns or shutdowns in affected areas, both regionally and worldwide</w:t>
      </w:r>
      <w:r>
        <w:rPr>
          <w:sz w:val="20"/>
          <w:szCs w:val="20"/>
        </w:rPr>
        <w:t>.</w:t>
      </w:r>
    </w:p>
    <w:p w:rsidR="00000000" w:rsidRDefault="00A309A2">
      <w:pPr>
        <w:pStyle w:val="a3"/>
        <w:spacing w:before="200" w:beforeAutospacing="0" w:after="0" w:afterAutospacing="0"/>
        <w:ind w:firstLine="643"/>
        <w:rPr>
          <w:sz w:val="20"/>
          <w:szCs w:val="20"/>
        </w:rPr>
      </w:pPr>
      <w:r>
        <w:rPr>
          <w:sz w:val="20"/>
          <w:szCs w:val="20"/>
        </w:rPr>
        <w:t xml:space="preserve">Our focus remains on promoting employee health and safety, serving our customers, complying with regulations, and ensuring business continuity. As we </w:t>
      </w:r>
      <w:r>
        <w:rPr>
          <w:sz w:val="20"/>
          <w:szCs w:val="20"/>
        </w:rPr>
        <w:t>continue to reassess local regulations and restrictions across the globe and the administration of vaccine programs ramps up and cases decline, we are moving towards slowly re-opening some of our offices on a staggered, region-to-region basis in accordance</w:t>
      </w:r>
      <w:r>
        <w:rPr>
          <w:sz w:val="20"/>
          <w:szCs w:val="20"/>
        </w:rPr>
        <w:t xml:space="preserve"> with local authority guidelines while ensuring that our return to work is thoughtful, prudent, and handled with an abundance of caution with the health of our employees being the top priority</w:t>
      </w:r>
      <w:r>
        <w:rPr>
          <w:sz w:val="20"/>
          <w:szCs w:val="20"/>
        </w:rPr>
        <w:t>.</w:t>
      </w:r>
      <w:r>
        <w:rPr>
          <w:sz w:val="20"/>
          <w:szCs w:val="20"/>
        </w:rPr>
        <w:t xml:space="preserve"> </w:t>
      </w:r>
    </w:p>
    <w:p w:rsidR="00000000" w:rsidRDefault="00A309A2">
      <w:pPr>
        <w:pStyle w:val="a3"/>
        <w:spacing w:before="200" w:beforeAutospacing="0" w:after="0" w:afterAutospacing="0"/>
        <w:ind w:firstLine="643"/>
        <w:rPr>
          <w:sz w:val="20"/>
          <w:szCs w:val="20"/>
        </w:rPr>
      </w:pPr>
      <w:r>
        <w:rPr>
          <w:sz w:val="20"/>
          <w:szCs w:val="20"/>
        </w:rPr>
        <w:t>While the pandemic has not had a material adverse financial i</w:t>
      </w:r>
      <w:r>
        <w:rPr>
          <w:sz w:val="20"/>
          <w:szCs w:val="20"/>
        </w:rPr>
        <w:t>mpact on our business to date, the broader implications of the pandemic on our results of operations and overall financial performance will depend on future developments and conditions. See Part I, Item 1A. "Risk Factors" for further discussion of the impa</w:t>
      </w:r>
      <w:r>
        <w:rPr>
          <w:sz w:val="20"/>
          <w:szCs w:val="20"/>
        </w:rPr>
        <w:t>ct and possible future impacts of the pandemic on our business</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sz w:val="20"/>
          <w:szCs w:val="20"/>
        </w:rPr>
        <w:t>Key Business Metric</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 xml:space="preserve">The following key business metrics are presented in this Annual Report on Form 10-K or in our press releases announcing our financial results which are furnished on Form </w:t>
      </w:r>
      <w:r>
        <w:rPr>
          <w:sz w:val="20"/>
          <w:szCs w:val="20"/>
        </w:rPr>
        <w:t>8-K. We use these key business metrics to evaluate our business, measure our performance, identify trends affecting our business and results of operations, formulate financial projections and make strategic decisions. These key business metrics may be calc</w:t>
      </w:r>
      <w:r>
        <w:rPr>
          <w:sz w:val="20"/>
          <w:szCs w:val="20"/>
        </w:rPr>
        <w:t>ulated in a manner different than similar key business metrics used by other companies</w:t>
      </w:r>
      <w:r>
        <w:rPr>
          <w:sz w:val="20"/>
          <w:szCs w:val="20"/>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659"/>
        <w:gridCol w:w="110"/>
        <w:gridCol w:w="160"/>
        <w:gridCol w:w="893"/>
        <w:gridCol w:w="227"/>
        <w:gridCol w:w="110"/>
        <w:gridCol w:w="160"/>
        <w:gridCol w:w="806"/>
        <w:gridCol w:w="227"/>
        <w:gridCol w:w="110"/>
        <w:gridCol w:w="160"/>
        <w:gridCol w:w="781"/>
        <w:gridCol w:w="242"/>
      </w:tblGrid>
      <w:tr w:rsidR="00000000">
        <w:trPr>
          <w:tblCellSpacing w:w="15" w:type="dxa"/>
        </w:trPr>
        <w:tc>
          <w:tcPr>
            <w:tcW w:w="2137" w:type="pct"/>
            <w:vAlign w:val="center"/>
            <w:hideMark/>
          </w:tcPr>
          <w:p w:rsidR="00000000" w:rsidRDefault="00A309A2">
            <w:pPr>
              <w:rPr>
                <w:sz w:val="20"/>
                <w:szCs w:val="20"/>
              </w:rPr>
            </w:pPr>
          </w:p>
        </w:tc>
        <w:tc>
          <w:tcPr>
            <w:tcW w:w="59" w:type="pct"/>
            <w:vAlign w:val="center"/>
            <w:hideMark/>
          </w:tcPr>
          <w:p w:rsidR="00000000" w:rsidRDefault="00A309A2">
            <w:pPr>
              <w:rPr>
                <w:rFonts w:eastAsia="Times New Roman"/>
                <w:sz w:val="20"/>
                <w:szCs w:val="20"/>
              </w:rPr>
            </w:pPr>
          </w:p>
        </w:tc>
        <w:tc>
          <w:tcPr>
            <w:tcW w:w="81" w:type="pct"/>
            <w:vAlign w:val="center"/>
            <w:hideMark/>
          </w:tcPr>
          <w:p w:rsidR="00000000" w:rsidRDefault="00A309A2">
            <w:pPr>
              <w:rPr>
                <w:rFonts w:eastAsia="Times New Roman"/>
                <w:sz w:val="20"/>
                <w:szCs w:val="20"/>
              </w:rPr>
            </w:pPr>
          </w:p>
        </w:tc>
        <w:tc>
          <w:tcPr>
            <w:tcW w:w="732" w:type="pct"/>
            <w:vAlign w:val="center"/>
            <w:hideMark/>
          </w:tcPr>
          <w:p w:rsidR="00000000" w:rsidRDefault="00A309A2">
            <w:pPr>
              <w:rPr>
                <w:rFonts w:eastAsia="Times New Roman"/>
                <w:sz w:val="20"/>
                <w:szCs w:val="20"/>
              </w:rPr>
            </w:pPr>
          </w:p>
        </w:tc>
        <w:tc>
          <w:tcPr>
            <w:tcW w:w="135" w:type="pct"/>
            <w:vAlign w:val="center"/>
            <w:hideMark/>
          </w:tcPr>
          <w:p w:rsidR="00000000" w:rsidRDefault="00A309A2">
            <w:pPr>
              <w:rPr>
                <w:rFonts w:eastAsia="Times New Roman"/>
                <w:sz w:val="20"/>
                <w:szCs w:val="20"/>
              </w:rPr>
            </w:pPr>
          </w:p>
        </w:tc>
        <w:tc>
          <w:tcPr>
            <w:tcW w:w="59" w:type="pct"/>
            <w:vAlign w:val="center"/>
            <w:hideMark/>
          </w:tcPr>
          <w:p w:rsidR="00000000" w:rsidRDefault="00A309A2">
            <w:pPr>
              <w:rPr>
                <w:rFonts w:eastAsia="Times New Roman"/>
                <w:sz w:val="20"/>
                <w:szCs w:val="20"/>
              </w:rPr>
            </w:pPr>
          </w:p>
        </w:tc>
        <w:tc>
          <w:tcPr>
            <w:tcW w:w="81" w:type="pct"/>
            <w:vAlign w:val="center"/>
            <w:hideMark/>
          </w:tcPr>
          <w:p w:rsidR="00000000" w:rsidRDefault="00A309A2">
            <w:pPr>
              <w:rPr>
                <w:rFonts w:eastAsia="Times New Roman"/>
                <w:sz w:val="20"/>
                <w:szCs w:val="20"/>
              </w:rPr>
            </w:pPr>
          </w:p>
        </w:tc>
        <w:tc>
          <w:tcPr>
            <w:tcW w:w="662" w:type="pct"/>
            <w:vAlign w:val="center"/>
            <w:hideMark/>
          </w:tcPr>
          <w:p w:rsidR="00000000" w:rsidRDefault="00A309A2">
            <w:pPr>
              <w:rPr>
                <w:rFonts w:eastAsia="Times New Roman"/>
                <w:sz w:val="20"/>
                <w:szCs w:val="20"/>
              </w:rPr>
            </w:pPr>
          </w:p>
        </w:tc>
        <w:tc>
          <w:tcPr>
            <w:tcW w:w="135" w:type="pct"/>
            <w:vAlign w:val="center"/>
            <w:hideMark/>
          </w:tcPr>
          <w:p w:rsidR="00000000" w:rsidRDefault="00A309A2">
            <w:pPr>
              <w:rPr>
                <w:rFonts w:eastAsia="Times New Roman"/>
                <w:sz w:val="20"/>
                <w:szCs w:val="20"/>
              </w:rPr>
            </w:pPr>
          </w:p>
        </w:tc>
        <w:tc>
          <w:tcPr>
            <w:tcW w:w="59" w:type="pct"/>
            <w:vAlign w:val="center"/>
            <w:hideMark/>
          </w:tcPr>
          <w:p w:rsidR="00000000" w:rsidRDefault="00A309A2">
            <w:pPr>
              <w:rPr>
                <w:rFonts w:eastAsia="Times New Roman"/>
                <w:sz w:val="20"/>
                <w:szCs w:val="20"/>
              </w:rPr>
            </w:pPr>
          </w:p>
        </w:tc>
        <w:tc>
          <w:tcPr>
            <w:tcW w:w="81" w:type="pct"/>
            <w:vAlign w:val="center"/>
            <w:hideMark/>
          </w:tcPr>
          <w:p w:rsidR="00000000" w:rsidRDefault="00A309A2">
            <w:pPr>
              <w:rPr>
                <w:rFonts w:eastAsia="Times New Roman"/>
                <w:sz w:val="20"/>
                <w:szCs w:val="20"/>
              </w:rPr>
            </w:pPr>
          </w:p>
        </w:tc>
        <w:tc>
          <w:tcPr>
            <w:tcW w:w="641" w:type="pct"/>
            <w:vAlign w:val="center"/>
            <w:hideMark/>
          </w:tcPr>
          <w:p w:rsidR="00000000" w:rsidRDefault="00A309A2">
            <w:pPr>
              <w:rPr>
                <w:rFonts w:eastAsia="Times New Roman"/>
                <w:sz w:val="20"/>
                <w:szCs w:val="20"/>
              </w:rPr>
            </w:pPr>
          </w:p>
        </w:tc>
        <w:tc>
          <w:tcPr>
            <w:tcW w:w="135"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Customer</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135,44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103,99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73,48</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Average Subscription Revenue per Custome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10,48</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9,58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9,92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Revenue Retentio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115.</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200" w:beforeAutospacing="0" w:after="0" w:afterAutospacing="0"/>
        <w:ind w:firstLine="555"/>
        <w:rPr>
          <w:sz w:val="20"/>
          <w:szCs w:val="20"/>
        </w:rPr>
      </w:pPr>
      <w:r>
        <w:rPr>
          <w:b/>
          <w:bCs/>
          <w:sz w:val="20"/>
          <w:szCs w:val="20"/>
        </w:rPr>
        <w:t>Customer</w:t>
      </w:r>
      <w:r>
        <w:rPr>
          <w:b/>
          <w:bCs/>
          <w:sz w:val="20"/>
          <w:szCs w:val="20"/>
        </w:rPr>
        <w:t>s</w:t>
      </w:r>
      <w:r>
        <w:rPr>
          <w:sz w:val="20"/>
          <w:szCs w:val="20"/>
        </w:rPr>
        <w:t xml:space="preserve">. </w:t>
      </w:r>
      <w:r>
        <w:rPr>
          <w:sz w:val="20"/>
          <w:szCs w:val="20"/>
        </w:rPr>
        <w:t>We believe that our ability to increase our customer base is an indicator of our market penetration, the growth of our business, and our potential future business opportunities as we continue to expand our sales force and invest in marketing efforts. We de</w:t>
      </w:r>
      <w:r>
        <w:rPr>
          <w:sz w:val="20"/>
          <w:szCs w:val="20"/>
        </w:rPr>
        <w:t>fine our Customers at the end of a particular period as the number of business entities with one or more paid subscriptions to our CRM Platform either purchased directly with us or purchased from a Solutions Partner. We do not include in Customers business</w:t>
      </w:r>
      <w:r>
        <w:rPr>
          <w:sz w:val="20"/>
          <w:szCs w:val="20"/>
        </w:rPr>
        <w:t xml:space="preserve"> entities with one or more paid subscriptions solely for our legacy Sales Hub ($10) product or any PieSync product. A single customer may have separate paid subscriptions to our CRM Platform, but we count these as one Customer if certain customer-provided </w:t>
      </w:r>
      <w:r>
        <w:rPr>
          <w:sz w:val="20"/>
          <w:szCs w:val="20"/>
        </w:rPr>
        <w:t>information such as company name, URL, or email address indicate that these subscriptions are managed by the same business entity</w:t>
      </w:r>
      <w:r>
        <w:rPr>
          <w:sz w:val="20"/>
          <w:szCs w:val="20"/>
        </w:rPr>
        <w:t>.</w:t>
      </w:r>
    </w:p>
    <w:p w:rsidR="00000000" w:rsidRDefault="00A309A2">
      <w:pPr>
        <w:pStyle w:val="a3"/>
        <w:spacing w:before="240" w:beforeAutospacing="0" w:after="0" w:afterAutospacing="0"/>
        <w:jc w:val="center"/>
        <w:rPr>
          <w:sz w:val="20"/>
          <w:szCs w:val="20"/>
        </w:rPr>
      </w:pPr>
      <w:r>
        <w:rPr>
          <w:sz w:val="20"/>
          <w:szCs w:val="20"/>
        </w:rPr>
        <w:t>4</w:t>
      </w:r>
      <w:r>
        <w:rPr>
          <w:sz w:val="20"/>
          <w:szCs w:val="20"/>
        </w:rPr>
        <w:t>2</w:t>
      </w:r>
    </w:p>
    <w:p w:rsidR="00000000" w:rsidRDefault="00A309A2">
      <w:pPr>
        <w:rPr>
          <w:rFonts w:eastAsia="Times New Roman"/>
        </w:rPr>
      </w:pPr>
      <w:r>
        <w:rPr>
          <w:rFonts w:eastAsia="Times New Roman"/>
        </w:rPr>
        <w:pict>
          <v:rect id="_x0000_i1069"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b/>
          <w:bCs/>
          <w:sz w:val="20"/>
          <w:szCs w:val="20"/>
        </w:rPr>
        <w:t>Average Subscription Revenue per Customer.</w:t>
      </w:r>
      <w:r>
        <w:rPr>
          <w:b/>
          <w:bCs/>
          <w:sz w:val="20"/>
          <w:szCs w:val="20"/>
        </w:rPr>
        <w:t xml:space="preserve"> </w:t>
      </w:r>
      <w:r>
        <w:rPr>
          <w:sz w:val="20"/>
          <w:szCs w:val="20"/>
        </w:rPr>
        <w:t>We believe that our ability to increase t</w:t>
      </w:r>
      <w:r>
        <w:rPr>
          <w:sz w:val="20"/>
          <w:szCs w:val="20"/>
        </w:rPr>
        <w:t>he Average Subscription Revenue per Customer is an indicator of our ability to grow the long-term value of our existing customer relationships. We define Average Subscription Revenue per Customer during a particular period as subscription revenue, excludin</w:t>
      </w:r>
      <w:r>
        <w:rPr>
          <w:sz w:val="20"/>
          <w:szCs w:val="20"/>
        </w:rPr>
        <w:t>g revenue from our legacy Sales Hub ($10) and PieSync products, from our Customers during the period divided by the average Customers during the same period</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sz w:val="20"/>
          <w:szCs w:val="20"/>
        </w:rPr>
        <w:t>Net Revenue Retention.</w:t>
      </w:r>
      <w:r>
        <w:rPr>
          <w:b/>
          <w:bCs/>
          <w:sz w:val="20"/>
          <w:szCs w:val="20"/>
        </w:rPr>
        <w:t xml:space="preserve"> </w:t>
      </w:r>
      <w:r>
        <w:rPr>
          <w:sz w:val="20"/>
          <w:szCs w:val="20"/>
        </w:rPr>
        <w:t>We believe that our ability to retain and expand a customer relationship i</w:t>
      </w:r>
      <w:r>
        <w:rPr>
          <w:sz w:val="20"/>
          <w:szCs w:val="20"/>
        </w:rPr>
        <w:t>s an indicator of the stability of our revenue base and the long-term value of our Customers. Net Revenue Retention is a measure of the percentage of recurring revenue retained from customers over a given period of time. Our Net Revenue Retention for a giv</w:t>
      </w:r>
      <w:r>
        <w:rPr>
          <w:sz w:val="20"/>
          <w:szCs w:val="20"/>
        </w:rPr>
        <w:t>en period is calculated by first dividing Retained Subscription Revenue by Retention Base Revenue in the given period, calculating the weighted average of these rates using the Retention Base Revenue for the period, and then annualizing the resulting rates</w:t>
      </w:r>
      <w:r>
        <w:rPr>
          <w:sz w:val="20"/>
          <w:szCs w:val="20"/>
        </w:rPr>
        <w:t>. A definition of each of the key terms used to calculate Net Revenue Retention is included below</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i/>
          <w:iCs/>
          <w:sz w:val="20"/>
          <w:szCs w:val="20"/>
        </w:rPr>
        <w:t>Retained Subscription Revenue</w:t>
      </w:r>
      <w:r>
        <w:rPr>
          <w:i/>
          <w:iCs/>
          <w:sz w:val="20"/>
          <w:szCs w:val="20"/>
        </w:rPr>
        <w:t>.</w:t>
      </w:r>
      <w:r>
        <w:rPr>
          <w:sz w:val="20"/>
          <w:szCs w:val="20"/>
        </w:rPr>
        <w:t xml:space="preserve"> Contractual Monthly Subscription Revenue of the same cohort of Customers as those that comprise the Retention Base Revenue at</w:t>
      </w:r>
      <w:r>
        <w:rPr>
          <w:sz w:val="20"/>
          <w:szCs w:val="20"/>
        </w:rPr>
        <w:t xml:space="preserve"> the end of the same month</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i/>
          <w:iCs/>
          <w:sz w:val="20"/>
          <w:szCs w:val="20"/>
        </w:rPr>
        <w:t>Retention Base Revenue.</w:t>
      </w:r>
      <w:r>
        <w:rPr>
          <w:i/>
          <w:iCs/>
          <w:sz w:val="20"/>
          <w:szCs w:val="20"/>
        </w:rPr>
        <w:t xml:space="preserve"> </w:t>
      </w:r>
      <w:r>
        <w:rPr>
          <w:sz w:val="20"/>
          <w:szCs w:val="20"/>
        </w:rPr>
        <w:t>Contractual Monthly Subscription Revenue of our Customers as of the beginning of each month.</w:t>
      </w:r>
      <w:r>
        <w:rPr>
          <w:sz w:val="20"/>
          <w:szCs w:val="20"/>
        </w:rPr>
        <w:br/>
      </w:r>
    </w:p>
    <w:p w:rsidR="00000000" w:rsidRDefault="00A309A2">
      <w:pPr>
        <w:pStyle w:val="a3"/>
        <w:spacing w:before="200" w:beforeAutospacing="0" w:after="0" w:afterAutospacing="0"/>
        <w:ind w:firstLine="555"/>
        <w:rPr>
          <w:sz w:val="20"/>
          <w:szCs w:val="20"/>
        </w:rPr>
      </w:pPr>
      <w:r>
        <w:rPr>
          <w:i/>
          <w:iCs/>
          <w:sz w:val="20"/>
          <w:szCs w:val="20"/>
        </w:rPr>
        <w:t>Contractual Monthly Subscription Revenue</w:t>
      </w:r>
      <w:r>
        <w:rPr>
          <w:i/>
          <w:iCs/>
          <w:sz w:val="20"/>
          <w:szCs w:val="20"/>
        </w:rPr>
        <w:t>.</w:t>
      </w:r>
      <w:r>
        <w:rPr>
          <w:sz w:val="20"/>
          <w:szCs w:val="20"/>
        </w:rPr>
        <w:t xml:space="preserve"> The subscription fees contractually committed to be paid for a full</w:t>
      </w:r>
      <w:r>
        <w:rPr>
          <w:sz w:val="20"/>
          <w:szCs w:val="20"/>
        </w:rPr>
        <w:t xml:space="preserve"> month under our Customer agreements, converted into USD at fixed rates that are held consistent over time, excluding commissions owed to our Solutions Partners</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sz w:val="20"/>
          <w:szCs w:val="20"/>
        </w:rPr>
        <w:t>Key Components of Consolidated Statements of Operation</w:t>
      </w:r>
      <w:r>
        <w:rPr>
          <w:b/>
          <w:bCs/>
          <w:sz w:val="20"/>
          <w:szCs w:val="20"/>
        </w:rPr>
        <w:t>s</w:t>
      </w:r>
    </w:p>
    <w:p w:rsidR="00000000" w:rsidRDefault="00A309A2">
      <w:pPr>
        <w:pStyle w:val="a3"/>
        <w:spacing w:before="200" w:beforeAutospacing="0" w:after="0" w:afterAutospacing="0"/>
        <w:rPr>
          <w:sz w:val="20"/>
          <w:szCs w:val="20"/>
        </w:rPr>
      </w:pPr>
      <w:r>
        <w:rPr>
          <w:b/>
          <w:bCs/>
          <w:sz w:val="20"/>
          <w:szCs w:val="20"/>
        </w:rPr>
        <w:t>Revenu</w:t>
      </w:r>
      <w:r>
        <w:rPr>
          <w:b/>
          <w:bCs/>
          <w:sz w:val="20"/>
          <w:szCs w:val="20"/>
        </w:rPr>
        <w:t>e</w:t>
      </w:r>
    </w:p>
    <w:p w:rsidR="00000000" w:rsidRDefault="00A309A2">
      <w:pPr>
        <w:pStyle w:val="a3"/>
        <w:spacing w:before="200" w:beforeAutospacing="0" w:after="0" w:afterAutospacing="0"/>
        <w:ind w:firstLine="555"/>
        <w:rPr>
          <w:sz w:val="20"/>
          <w:szCs w:val="20"/>
        </w:rPr>
      </w:pPr>
      <w:r>
        <w:rPr>
          <w:sz w:val="20"/>
          <w:szCs w:val="20"/>
        </w:rPr>
        <w:t>We derive our revenue from tw</w:t>
      </w:r>
      <w:r>
        <w:rPr>
          <w:sz w:val="20"/>
          <w:szCs w:val="20"/>
        </w:rPr>
        <w:t>o major sources, revenue from subscriptions to our CRM Platform and professional services and other revenue consisting mainly of on-boarding, training, and consulting services fees</w:t>
      </w:r>
      <w:r>
        <w:rPr>
          <w:sz w:val="20"/>
          <w:szCs w:val="20"/>
        </w:rPr>
        <w:t>.</w:t>
      </w:r>
    </w:p>
    <w:p w:rsidR="00000000" w:rsidRDefault="00A309A2">
      <w:pPr>
        <w:pStyle w:val="a3"/>
        <w:spacing w:before="200" w:beforeAutospacing="0" w:after="0" w:afterAutospacing="0"/>
        <w:ind w:firstLine="555"/>
        <w:rPr>
          <w:sz w:val="20"/>
          <w:szCs w:val="20"/>
        </w:rPr>
      </w:pPr>
      <w:r>
        <w:rPr>
          <w:sz w:val="20"/>
          <w:szCs w:val="20"/>
        </w:rPr>
        <w:t>Subscription based revenue is derived from customers using our CRM Platfor</w:t>
      </w:r>
      <w:r>
        <w:rPr>
          <w:sz w:val="20"/>
          <w:szCs w:val="20"/>
        </w:rPr>
        <w:t>m for their inbound marketing, sales, service, operations, and content management needs. Our CRM Platform features integrated applications that create a cohesive and adaptable customer experience. These integrated applications include SEO, blogging, websit</w:t>
      </w:r>
      <w:r>
        <w:rPr>
          <w:sz w:val="20"/>
          <w:szCs w:val="20"/>
        </w:rPr>
        <w:t xml:space="preserve">e content management, messaging, chatbots, social media, marketing automation, email, predictive lead scoring, sales productivity, ticketing and helpdesk tools, customer NPS surveys, analytics, and reporting. Subscriptions are billed in advance on various </w:t>
      </w:r>
      <w:r>
        <w:rPr>
          <w:sz w:val="20"/>
          <w:szCs w:val="20"/>
        </w:rPr>
        <w:t>schedules. All subscription fees that are billed in advance of service are recorded in deferred revenue. Subscription based revenue is recognized net of consideration paid to Solutions Partners when those Solutions Partners purchase a subscription to our C</w:t>
      </w:r>
      <w:r>
        <w:rPr>
          <w:sz w:val="20"/>
          <w:szCs w:val="20"/>
        </w:rPr>
        <w:t>RM Platform</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Professional services and other revenue are derived primarily from customer on-boarding, training, and consulting services. These services provided to customers typically involve an implementation specialist. An implementation specialist will </w:t>
      </w:r>
      <w:r>
        <w:rPr>
          <w:sz w:val="20"/>
          <w:szCs w:val="20"/>
        </w:rPr>
        <w:t xml:space="preserve">typically work with our customers to enhance their understanding of how to attract leads and convert them into customers through SEO, social media, blogging and other content. Training is generally sold in connection with a customer’s initial subscription </w:t>
      </w:r>
      <w:r>
        <w:rPr>
          <w:sz w:val="20"/>
          <w:szCs w:val="20"/>
        </w:rPr>
        <w:t>and is billed in advance. The training is also available to be purchased separately following a customer’s purchase of its initial subscription and our Solutions Partners routinely provide the same training to customers. We also derive revenue from process</w:t>
      </w:r>
      <w:r>
        <w:rPr>
          <w:sz w:val="20"/>
          <w:szCs w:val="20"/>
        </w:rPr>
        <w:t>ing fees from Payments and from a number of revenue-share agreements with other companies based on mutually agreed upon terms</w:t>
      </w:r>
      <w:r>
        <w:rPr>
          <w:sz w:val="20"/>
          <w:szCs w:val="20"/>
        </w:rPr>
        <w:t>.</w:t>
      </w:r>
      <w:r>
        <w:rPr>
          <w:sz w:val="20"/>
          <w:szCs w:val="20"/>
        </w:rPr>
        <w:t xml:space="preserve"> </w:t>
      </w:r>
    </w:p>
    <w:p w:rsidR="00000000" w:rsidRDefault="00A309A2">
      <w:pPr>
        <w:pStyle w:val="a3"/>
        <w:spacing w:before="200" w:beforeAutospacing="0" w:after="0" w:afterAutospacing="0"/>
        <w:rPr>
          <w:sz w:val="20"/>
          <w:szCs w:val="20"/>
        </w:rPr>
      </w:pPr>
      <w:r>
        <w:rPr>
          <w:b/>
          <w:bCs/>
          <w:sz w:val="20"/>
          <w:szCs w:val="20"/>
        </w:rPr>
        <w:t>Cost of Revenue, Operating and Other Expense</w:t>
      </w:r>
      <w:r>
        <w:rPr>
          <w:b/>
          <w:bCs/>
          <w:sz w:val="20"/>
          <w:szCs w:val="20"/>
        </w:rPr>
        <w:t>s</w:t>
      </w:r>
    </w:p>
    <w:p w:rsidR="00000000" w:rsidRDefault="00A309A2">
      <w:pPr>
        <w:pStyle w:val="a3"/>
        <w:spacing w:before="200" w:beforeAutospacing="0" w:after="0" w:afterAutospacing="0"/>
        <w:ind w:firstLine="555"/>
        <w:rPr>
          <w:sz w:val="20"/>
          <w:szCs w:val="20"/>
        </w:rPr>
      </w:pPr>
      <w:r>
        <w:rPr>
          <w:b/>
          <w:bCs/>
          <w:i/>
          <w:iCs/>
          <w:sz w:val="20"/>
          <w:szCs w:val="20"/>
        </w:rPr>
        <w:t>Cost of Revenu</w:t>
      </w:r>
      <w:r>
        <w:rPr>
          <w:b/>
          <w:bCs/>
          <w:i/>
          <w:iCs/>
          <w:sz w:val="20"/>
          <w:szCs w:val="20"/>
        </w:rPr>
        <w:t>e</w:t>
      </w:r>
    </w:p>
    <w:p w:rsidR="00000000" w:rsidRDefault="00A309A2">
      <w:pPr>
        <w:pStyle w:val="a3"/>
        <w:spacing w:before="200" w:beforeAutospacing="0" w:after="0" w:afterAutospacing="0"/>
        <w:ind w:firstLine="555"/>
        <w:rPr>
          <w:sz w:val="20"/>
          <w:szCs w:val="20"/>
        </w:rPr>
      </w:pPr>
      <w:r>
        <w:rPr>
          <w:sz w:val="20"/>
          <w:szCs w:val="20"/>
        </w:rPr>
        <w:t>Cost of subscription revenue consists primarily of managed hosting providers and other third-party service providers, employee-related costs including payroll, benefits and stock-based compensation expense for our customer support team, amortization of cap</w:t>
      </w:r>
      <w:r>
        <w:rPr>
          <w:sz w:val="20"/>
          <w:szCs w:val="20"/>
        </w:rPr>
        <w:t>italized software development costs and acquired technology, and allocated overhead costs, which we define as rent, facilities, depreciation of fixed assets, and costs related to information technology</w:t>
      </w:r>
      <w:r>
        <w:rPr>
          <w:sz w:val="20"/>
          <w:szCs w:val="20"/>
        </w:rPr>
        <w:t>.</w:t>
      </w:r>
    </w:p>
    <w:p w:rsidR="00000000" w:rsidRDefault="00A309A2">
      <w:pPr>
        <w:pStyle w:val="a3"/>
        <w:spacing w:before="200" w:beforeAutospacing="0" w:after="0" w:afterAutospacing="0"/>
        <w:ind w:firstLine="555"/>
        <w:rPr>
          <w:sz w:val="20"/>
          <w:szCs w:val="20"/>
        </w:rPr>
      </w:pPr>
      <w:r>
        <w:rPr>
          <w:sz w:val="20"/>
          <w:szCs w:val="20"/>
        </w:rPr>
        <w:t>Cost of professional services and other revenue consi</w:t>
      </w:r>
      <w:r>
        <w:rPr>
          <w:sz w:val="20"/>
          <w:szCs w:val="20"/>
        </w:rPr>
        <w:t>sts primarily of personnel costs of our professional services organization, including salaries, benefits, bonuses and stock-based compensation, amortization of capitalized software development costs associated with our internally built software platform, a</w:t>
      </w:r>
      <w:r>
        <w:rPr>
          <w:sz w:val="20"/>
          <w:szCs w:val="20"/>
        </w:rPr>
        <w:t>s well as professional fees and allocated overhead costs</w:t>
      </w:r>
      <w:r>
        <w:rPr>
          <w:sz w:val="20"/>
          <w:szCs w:val="20"/>
        </w:rPr>
        <w:t>.</w:t>
      </w:r>
    </w:p>
    <w:p w:rsidR="00000000" w:rsidRDefault="00A309A2">
      <w:pPr>
        <w:pStyle w:val="a3"/>
        <w:spacing w:before="200" w:beforeAutospacing="0" w:after="0" w:afterAutospacing="0"/>
        <w:ind w:firstLine="555"/>
        <w:rPr>
          <w:sz w:val="20"/>
          <w:szCs w:val="20"/>
        </w:rPr>
      </w:pPr>
      <w:r>
        <w:rPr>
          <w:sz w:val="20"/>
          <w:szCs w:val="20"/>
        </w:rPr>
        <w:t>We expect that the cost of subscription and professional services and other revenue will increase in absolute dollars as we continue to invest in growing our business. We expect stock-based compensa</w:t>
      </w:r>
      <w:r>
        <w:rPr>
          <w:sz w:val="20"/>
          <w:szCs w:val="20"/>
        </w:rPr>
        <w:t>tion to increase on an absolute dollar value basis due to anticipated headcount growth, continued investment in stock-based awards, and a shift in stock award vesting schedules from fou</w:t>
      </w:r>
      <w:r>
        <w:rPr>
          <w:sz w:val="20"/>
          <w:szCs w:val="20"/>
        </w:rPr>
        <w:t>r</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4</w:t>
      </w:r>
      <w:r>
        <w:rPr>
          <w:sz w:val="20"/>
          <w:szCs w:val="20"/>
        </w:rPr>
        <w:t>3</w:t>
      </w:r>
    </w:p>
    <w:p w:rsidR="00000000" w:rsidRDefault="00A309A2">
      <w:pPr>
        <w:rPr>
          <w:rFonts w:eastAsia="Times New Roman"/>
        </w:rPr>
      </w:pPr>
      <w:r>
        <w:rPr>
          <w:rFonts w:eastAsia="Times New Roman"/>
        </w:rPr>
        <w:pict>
          <v:rect id="_x0000_i107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rPr>
          <w:sz w:val="20"/>
          <w:szCs w:val="20"/>
        </w:rPr>
      </w:pPr>
      <w:r>
        <w:rPr>
          <w:sz w:val="20"/>
          <w:szCs w:val="20"/>
        </w:rPr>
        <w:t>years to three years begin</w:t>
      </w:r>
      <w:r>
        <w:rPr>
          <w:sz w:val="20"/>
          <w:szCs w:val="20"/>
        </w:rPr>
        <w:t>ning in 2022. Over time, we expect to gain benefits of scale associated with our costs of hosting our CRM Platform relative to subscription revenues, resulting in improved subscription gross margin, exclusive of stock-based compensation. We expect professi</w:t>
      </w:r>
      <w:r>
        <w:rPr>
          <w:sz w:val="20"/>
          <w:szCs w:val="20"/>
        </w:rPr>
        <w:t>onal services and other margins to range from a moderate loss to breakeven for the foreseeable future, exclusive of stock-based compensation</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Research and Developmen</w:t>
      </w:r>
      <w:r>
        <w:rPr>
          <w:b/>
          <w:bCs/>
          <w:i/>
          <w:iCs/>
          <w:sz w:val="20"/>
          <w:szCs w:val="20"/>
        </w:rPr>
        <w:t>t</w:t>
      </w:r>
      <w:r>
        <w:rPr>
          <w:b/>
          <w:bCs/>
          <w:i/>
          <w:iCs/>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Research and development expenses consist primarily of personnel costs of our developme</w:t>
      </w:r>
      <w:r>
        <w:rPr>
          <w:sz w:val="20"/>
          <w:szCs w:val="20"/>
        </w:rPr>
        <w:t>nt team, including payroll, benefits and stock-based compensation expense, professional and contractor fees and allocated overhead costs. We capitalize certain software development costs that are attributable to developing new products and adding increment</w:t>
      </w:r>
      <w:r>
        <w:rPr>
          <w:sz w:val="20"/>
          <w:szCs w:val="20"/>
        </w:rPr>
        <w:t>al functionality to our CRM Platform and amortize such costs as costs of subscription revenue over the estimated life of the new product or incremental functionality, which is generally two years. We also capitalize certain development costs that are attri</w:t>
      </w:r>
      <w:r>
        <w:rPr>
          <w:sz w:val="20"/>
          <w:szCs w:val="20"/>
        </w:rPr>
        <w:t>butable to developing our internally developed software platforms and amortize such costs throughout the consolidated statement of operations over the estimated life of our internally developed software platforms, which is generally five years. We focus ou</w:t>
      </w:r>
      <w:r>
        <w:rPr>
          <w:sz w:val="20"/>
          <w:szCs w:val="20"/>
        </w:rPr>
        <w:t>r research and development efforts on improving our products and developing new ones, delivering new functionality and enhancing the customer experience. We believe delivering new functionality for our customers is an integral part of our solution and prov</w:t>
      </w:r>
      <w:r>
        <w:rPr>
          <w:sz w:val="20"/>
          <w:szCs w:val="20"/>
        </w:rPr>
        <w:t>ides our customers with access to a broad array of options and information critical to their marketing, sales, and customer service efforts. We expect to continue to make investments in and expand our offerings to enhance our customers’ experience and sati</w:t>
      </w:r>
      <w:r>
        <w:rPr>
          <w:sz w:val="20"/>
          <w:szCs w:val="20"/>
        </w:rPr>
        <w:t>sfaction and attract new customers. We expect stock-based compensation to increase on an absolute dollar value basis due to anticipated headcount growth, continued investment in stock-based awards, and a shift in stock award vesting schedules from four yea</w:t>
      </w:r>
      <w:r>
        <w:rPr>
          <w:sz w:val="20"/>
          <w:szCs w:val="20"/>
        </w:rPr>
        <w:t>rs to three years beginning in 2022. We expect research and development expenses to increase in absolute dollars as we continue to increase the functionality of our CRM Platform</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Sales and Marketin</w:t>
      </w:r>
      <w:r>
        <w:rPr>
          <w:b/>
          <w:bCs/>
          <w:i/>
          <w:iCs/>
          <w:sz w:val="20"/>
          <w:szCs w:val="20"/>
        </w:rPr>
        <w:t>g</w:t>
      </w:r>
    </w:p>
    <w:p w:rsidR="00000000" w:rsidRDefault="00A309A2">
      <w:pPr>
        <w:pStyle w:val="a3"/>
        <w:spacing w:before="200" w:beforeAutospacing="0" w:after="0" w:afterAutospacing="0"/>
        <w:ind w:firstLine="555"/>
        <w:rPr>
          <w:sz w:val="20"/>
          <w:szCs w:val="20"/>
        </w:rPr>
      </w:pPr>
      <w:r>
        <w:rPr>
          <w:sz w:val="20"/>
          <w:szCs w:val="20"/>
        </w:rPr>
        <w:t>Sales and marketing expenses consist primarily of personn</w:t>
      </w:r>
      <w:r>
        <w:rPr>
          <w:sz w:val="20"/>
          <w:szCs w:val="20"/>
        </w:rPr>
        <w:t xml:space="preserve">el costs of our sales and marketing employees, including sales commissions and incentives, benefits and stock-based compensation expense, marketing programs, including lead generation, costs of our annual INBOUND conference, other brand building expenses, </w:t>
      </w:r>
      <w:r>
        <w:rPr>
          <w:sz w:val="20"/>
          <w:szCs w:val="20"/>
        </w:rPr>
        <w:t>amortization of capitalized software development costs associated with our internally built software platforms, professional and contractor fees and allocated overhead costs. We defer certain sales commissions related to acquiring new contracts and amortiz</w:t>
      </w:r>
      <w:r>
        <w:rPr>
          <w:sz w:val="20"/>
          <w:szCs w:val="20"/>
        </w:rPr>
        <w:t>e them ratably over a period of benefit that we have determined to be approximately one to three years. Sales and marketing expenses also include commissions paid to our Solutions Partners in instances where the end customer purchases and pays for a subscr</w:t>
      </w:r>
      <w:r>
        <w:rPr>
          <w:sz w:val="20"/>
          <w:szCs w:val="20"/>
        </w:rPr>
        <w:t>iption to our CRM Platform</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We plan to continue to expand sales and marketing to grow our customer base and increase sales to existing customers. This growth will include adding sales personnel and expanding our marketing activities to continue to generat</w:t>
      </w:r>
      <w:r>
        <w:rPr>
          <w:sz w:val="20"/>
          <w:szCs w:val="20"/>
        </w:rPr>
        <w:t xml:space="preserve">e additional leads and build brand awareness. We expect sales and marketing expenses will increase absolute dollars as a result of hiring net new quota-carrying sales representatives in the United States and worldwide and adding to our marketing staff. We </w:t>
      </w:r>
      <w:r>
        <w:rPr>
          <w:sz w:val="20"/>
          <w:szCs w:val="20"/>
        </w:rPr>
        <w:t>expect stock-based compensation to increase on an absolute dollar value basis due to anticipated headcount growth, continued investment in stock-based awards, and a shift in stock award vesting schedules from four years to three years beginning in 2022. Ov</w:t>
      </w:r>
      <w:r>
        <w:rPr>
          <w:sz w:val="20"/>
          <w:szCs w:val="20"/>
        </w:rPr>
        <w:t>er time, we expect sales and marketing expenses will decline as a percentage of total revenue, exclusive of stock-based compensation</w:t>
      </w:r>
      <w:r>
        <w:rPr>
          <w:sz w:val="20"/>
          <w:szCs w:val="20"/>
        </w:rPr>
        <w:t>.</w:t>
      </w:r>
      <w:r>
        <w:rPr>
          <w:sz w:val="20"/>
          <w:szCs w:val="20"/>
        </w:rPr>
        <w:t xml:space="preserve"> </w:t>
      </w:r>
    </w:p>
    <w:p w:rsidR="00000000" w:rsidRDefault="00A309A2">
      <w:pPr>
        <w:pStyle w:val="a3"/>
        <w:spacing w:before="200" w:beforeAutospacing="0" w:after="0" w:afterAutospacing="0"/>
        <w:ind w:firstLine="555"/>
        <w:rPr>
          <w:sz w:val="20"/>
          <w:szCs w:val="20"/>
        </w:rPr>
      </w:pPr>
      <w:r>
        <w:rPr>
          <w:b/>
          <w:bCs/>
          <w:i/>
          <w:iCs/>
          <w:sz w:val="20"/>
          <w:szCs w:val="20"/>
        </w:rPr>
        <w:t>General and Administrativ</w:t>
      </w:r>
      <w:r>
        <w:rPr>
          <w:b/>
          <w:bCs/>
          <w:i/>
          <w:iCs/>
          <w:sz w:val="20"/>
          <w:szCs w:val="20"/>
        </w:rPr>
        <w:t>e</w:t>
      </w:r>
    </w:p>
    <w:p w:rsidR="00000000" w:rsidRDefault="00A309A2">
      <w:pPr>
        <w:pStyle w:val="a3"/>
        <w:spacing w:before="200" w:beforeAutospacing="0" w:after="0" w:afterAutospacing="0"/>
        <w:ind w:firstLine="555"/>
        <w:rPr>
          <w:sz w:val="20"/>
          <w:szCs w:val="20"/>
        </w:rPr>
      </w:pPr>
      <w:r>
        <w:rPr>
          <w:sz w:val="20"/>
          <w:szCs w:val="20"/>
        </w:rPr>
        <w:t>General and administrative expenses consist of personnel costs and related expenses for execut</w:t>
      </w:r>
      <w:r>
        <w:rPr>
          <w:sz w:val="20"/>
          <w:szCs w:val="20"/>
        </w:rPr>
        <w:t>ive, finance, legal, human resources, employee-related information technology, administrative personnel, including payroll, benefits and stock-based compensation expense, professional fees for external legal, accounting and other consulting services, amort</w:t>
      </w:r>
      <w:r>
        <w:rPr>
          <w:sz w:val="20"/>
          <w:szCs w:val="20"/>
        </w:rPr>
        <w:t>ization of capitalized software development costs associated with our internally built software platforms, and allocated overhead costs. We expect stock-based compensation to increase on an absolute dollar value basis due to anticipated headcount growth, c</w:t>
      </w:r>
      <w:r>
        <w:rPr>
          <w:sz w:val="20"/>
          <w:szCs w:val="20"/>
        </w:rPr>
        <w:t>ontinued investment in stock-based awards, and a shift in stock award vesting schedules from four years to three years beginning in 2022. We expect that general and administrative expenses will increase on an absolute dollar basis but decrease as a percent</w:t>
      </w:r>
      <w:r>
        <w:rPr>
          <w:sz w:val="20"/>
          <w:szCs w:val="20"/>
        </w:rPr>
        <w:t>age of total revenue, exclusive of stock-based compensation expense, as we focus on processes, systems and controls to enable our internal support functions to scale with the growth of our business. We also anticipate continuing increases to general and ad</w:t>
      </w:r>
      <w:r>
        <w:rPr>
          <w:sz w:val="20"/>
          <w:szCs w:val="20"/>
        </w:rPr>
        <w:t>ministrative expenses as we incur the costs of compliance associated with being a publicly traded company, including audit and consulting fees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Other Expens</w:t>
      </w:r>
      <w:r>
        <w:rPr>
          <w:b/>
          <w:bCs/>
          <w:i/>
          <w:iCs/>
          <w:sz w:val="20"/>
          <w:szCs w:val="20"/>
        </w:rPr>
        <w:t>e</w:t>
      </w:r>
    </w:p>
    <w:p w:rsidR="00000000" w:rsidRDefault="00A309A2">
      <w:pPr>
        <w:pStyle w:val="a3"/>
        <w:spacing w:before="200" w:beforeAutospacing="0" w:after="0" w:afterAutospacing="0"/>
        <w:ind w:firstLine="555"/>
        <w:rPr>
          <w:sz w:val="20"/>
          <w:szCs w:val="20"/>
        </w:rPr>
      </w:pPr>
      <w:r>
        <w:rPr>
          <w:sz w:val="20"/>
          <w:szCs w:val="20"/>
        </w:rPr>
        <w:t>Interest income primarily consists of interest earned on invested cash and cash equivalents balanc</w:t>
      </w:r>
      <w:r>
        <w:rPr>
          <w:sz w:val="20"/>
          <w:szCs w:val="20"/>
        </w:rPr>
        <w:t>es and investments. Interest expense primarily consists of amortization of the debt discount,</w:t>
      </w:r>
      <w:r>
        <w:rPr>
          <w:sz w:val="20"/>
          <w:szCs w:val="20"/>
        </w:rPr>
        <w:t xml:space="preserve"> </w:t>
      </w:r>
      <w:r>
        <w:rPr>
          <w:sz w:val="20"/>
          <w:szCs w:val="20"/>
        </w:rPr>
        <w:t>issuance costs and contractual interest expense related to our Notes, and the loss on early extinguishment of our 2022 Notes. Other income (expense) primarily con</w:t>
      </w:r>
      <w:r>
        <w:rPr>
          <w:sz w:val="20"/>
          <w:szCs w:val="20"/>
        </w:rPr>
        <w:t>sists of the impact of foreign currency transaction gains and losses associated with monetary assets and liabilities, any gains or losses on our strategic investments, and our proportionate share of net earnings and losses on our equity method investments</w:t>
      </w:r>
      <w:r>
        <w:rPr>
          <w:sz w:val="20"/>
          <w:szCs w:val="20"/>
        </w:rPr>
        <w:t>.</w:t>
      </w:r>
    </w:p>
    <w:p w:rsidR="00000000" w:rsidRDefault="00A309A2">
      <w:pPr>
        <w:pStyle w:val="a3"/>
        <w:spacing w:before="240" w:beforeAutospacing="0" w:after="0" w:afterAutospacing="0"/>
        <w:jc w:val="center"/>
        <w:rPr>
          <w:sz w:val="20"/>
          <w:szCs w:val="20"/>
        </w:rPr>
      </w:pPr>
      <w:r>
        <w:rPr>
          <w:sz w:val="20"/>
          <w:szCs w:val="20"/>
        </w:rPr>
        <w:t>4</w:t>
      </w:r>
      <w:r>
        <w:rPr>
          <w:sz w:val="20"/>
          <w:szCs w:val="20"/>
        </w:rPr>
        <w:t>4</w:t>
      </w:r>
    </w:p>
    <w:p w:rsidR="00000000" w:rsidRDefault="00A309A2">
      <w:pPr>
        <w:rPr>
          <w:rFonts w:eastAsia="Times New Roman"/>
        </w:rPr>
      </w:pPr>
      <w:r>
        <w:rPr>
          <w:rFonts w:eastAsia="Times New Roman"/>
        </w:rPr>
        <w:pict>
          <v:rect id="_x0000_i107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b/>
          <w:bCs/>
          <w:i/>
          <w:iCs/>
          <w:sz w:val="20"/>
          <w:szCs w:val="20"/>
        </w:rPr>
        <w:t>Income Tax Expens</w:t>
      </w:r>
      <w:r>
        <w:rPr>
          <w:b/>
          <w:bCs/>
          <w:i/>
          <w:iCs/>
          <w:sz w:val="20"/>
          <w:szCs w:val="20"/>
        </w:rPr>
        <w:t>e</w:t>
      </w:r>
      <w:r>
        <w:rPr>
          <w:b/>
          <w:bCs/>
          <w:i/>
          <w:iCs/>
          <w:sz w:val="20"/>
          <w:szCs w:val="20"/>
        </w:rPr>
        <w:t xml:space="preserve"> </w:t>
      </w:r>
    </w:p>
    <w:p w:rsidR="00000000" w:rsidRDefault="00A309A2">
      <w:pPr>
        <w:pStyle w:val="a3"/>
        <w:spacing w:before="200" w:beforeAutospacing="0" w:after="0" w:afterAutospacing="0"/>
        <w:ind w:firstLine="555"/>
        <w:rPr>
          <w:sz w:val="20"/>
          <w:szCs w:val="20"/>
        </w:rPr>
      </w:pPr>
      <w:r>
        <w:rPr>
          <w:sz w:val="20"/>
          <w:szCs w:val="20"/>
        </w:rPr>
        <w:t>Income tax expense consists of current and deferred taxes for U.S. and foreign jurisdictions. We have historically had a taxable loss in our most significant jurisdiction, the U.S., and a full valuation allowance against the majority of our deferred tax as</w:t>
      </w:r>
      <w:r>
        <w:rPr>
          <w:sz w:val="20"/>
          <w:szCs w:val="20"/>
        </w:rPr>
        <w:t>sets. We expect this to continue in the near term</w:t>
      </w:r>
      <w:r>
        <w:rPr>
          <w:sz w:val="20"/>
          <w:szCs w:val="20"/>
        </w:rPr>
        <w:t>.</w:t>
      </w:r>
    </w:p>
    <w:p w:rsidR="00000000" w:rsidRDefault="00A309A2">
      <w:pPr>
        <w:pStyle w:val="a3"/>
        <w:spacing w:before="200" w:beforeAutospacing="0" w:after="0" w:afterAutospacing="0"/>
        <w:rPr>
          <w:sz w:val="20"/>
          <w:szCs w:val="20"/>
        </w:rPr>
      </w:pPr>
      <w:r>
        <w:rPr>
          <w:b/>
          <w:bCs/>
          <w:sz w:val="20"/>
          <w:szCs w:val="20"/>
        </w:rPr>
        <w:t>Results of Operation</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The following tables set forth certain consolidated financial data in dollar amounts and as a percentage of total revenue</w:t>
      </w:r>
      <w:r>
        <w:rPr>
          <w:sz w:val="20"/>
          <w:szCs w:val="20"/>
        </w:rPr>
        <w:t>.</w:t>
      </w:r>
    </w:p>
    <w:p w:rsidR="00000000" w:rsidRDefault="00A309A2">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159"/>
        <w:gridCol w:w="110"/>
        <w:gridCol w:w="160"/>
        <w:gridCol w:w="860"/>
        <w:gridCol w:w="127"/>
        <w:gridCol w:w="110"/>
        <w:gridCol w:w="160"/>
        <w:gridCol w:w="710"/>
        <w:gridCol w:w="127"/>
        <w:gridCol w:w="110"/>
        <w:gridCol w:w="160"/>
        <w:gridCol w:w="710"/>
        <w:gridCol w:w="142"/>
      </w:tblGrid>
      <w:tr w:rsidR="00000000">
        <w:trPr>
          <w:tblCellSpacing w:w="15" w:type="dxa"/>
        </w:trPr>
        <w:tc>
          <w:tcPr>
            <w:tcW w:w="2674" w:type="pct"/>
            <w:vAlign w:val="center"/>
            <w:hideMark/>
          </w:tcPr>
          <w:p w:rsidR="00000000" w:rsidRDefault="00A309A2">
            <w:pPr>
              <w:rPr>
                <w:sz w:val="20"/>
                <w:szCs w:val="20"/>
              </w:rPr>
            </w:pPr>
          </w:p>
        </w:tc>
        <w:tc>
          <w:tcPr>
            <w:tcW w:w="55"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600"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72"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75"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1,258,31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853,02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646,26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42,33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30,00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28,59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1,300,65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883,02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674,86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211,13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130,68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98,51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47,72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36,27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31,44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258,85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166,95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129,95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1,041,80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716,06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544,90</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301,97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205,58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158,23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649,68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452,08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340,68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144,94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109,22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92,97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1,096,60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766,89</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591,89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(54,79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(50,82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(46,99</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19,42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(37,04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(22,81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10,09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other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(29,98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(73,81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(80,81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(50,77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(77,83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(85,03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(53,74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81"/>
        <w:gridCol w:w="110"/>
        <w:gridCol w:w="110"/>
        <w:gridCol w:w="629"/>
        <w:gridCol w:w="227"/>
        <w:gridCol w:w="110"/>
        <w:gridCol w:w="111"/>
        <w:gridCol w:w="649"/>
        <w:gridCol w:w="227"/>
        <w:gridCol w:w="110"/>
        <w:gridCol w:w="110"/>
        <w:gridCol w:w="629"/>
        <w:gridCol w:w="242"/>
      </w:tblGrid>
      <w:tr w:rsidR="00000000">
        <w:trPr>
          <w:tblCellSpacing w:w="15" w:type="dxa"/>
        </w:trPr>
        <w:tc>
          <w:tcPr>
            <w:tcW w:w="2714" w:type="pct"/>
            <w:vAlign w:val="center"/>
            <w:hideMark/>
          </w:tcPr>
          <w:p w:rsidR="00000000" w:rsidRDefault="00A309A2">
            <w:pPr>
              <w:rPr>
                <w:sz w:val="20"/>
                <w:szCs w:val="20"/>
              </w:rPr>
            </w:pPr>
          </w:p>
        </w:tc>
        <w:tc>
          <w:tcPr>
            <w:tcW w:w="62"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518" w:type="pct"/>
            <w:vAlign w:val="center"/>
            <w:hideMark/>
          </w:tcPr>
          <w:p w:rsidR="00000000" w:rsidRDefault="00A309A2">
            <w:pPr>
              <w:rPr>
                <w:rFonts w:eastAsia="Times New Roman"/>
                <w:sz w:val="20"/>
                <w:szCs w:val="20"/>
              </w:rPr>
            </w:pPr>
          </w:p>
        </w:tc>
        <w:tc>
          <w:tcPr>
            <w:tcW w:w="137" w:type="pct"/>
            <w:vAlign w:val="center"/>
            <w:hideMark/>
          </w:tcPr>
          <w:p w:rsidR="00000000" w:rsidRDefault="00A309A2">
            <w:pPr>
              <w:rPr>
                <w:rFonts w:eastAsia="Times New Roman"/>
                <w:sz w:val="20"/>
                <w:szCs w:val="20"/>
              </w:rPr>
            </w:pPr>
          </w:p>
        </w:tc>
        <w:tc>
          <w:tcPr>
            <w:tcW w:w="62" w:type="pct"/>
            <w:vAlign w:val="center"/>
            <w:hideMark/>
          </w:tcPr>
          <w:p w:rsidR="00000000" w:rsidRDefault="00A309A2">
            <w:pPr>
              <w:rPr>
                <w:rFonts w:eastAsia="Times New Roman"/>
                <w:sz w:val="20"/>
                <w:szCs w:val="20"/>
              </w:rPr>
            </w:pPr>
          </w:p>
        </w:tc>
        <w:tc>
          <w:tcPr>
            <w:tcW w:w="38" w:type="pct"/>
            <w:vAlign w:val="center"/>
            <w:hideMark/>
          </w:tcPr>
          <w:p w:rsidR="00000000" w:rsidRDefault="00A309A2">
            <w:pPr>
              <w:rPr>
                <w:rFonts w:eastAsia="Times New Roman"/>
                <w:sz w:val="20"/>
                <w:szCs w:val="20"/>
              </w:rPr>
            </w:pPr>
          </w:p>
        </w:tc>
        <w:tc>
          <w:tcPr>
            <w:tcW w:w="534" w:type="pct"/>
            <w:vAlign w:val="center"/>
            <w:hideMark/>
          </w:tcPr>
          <w:p w:rsidR="00000000" w:rsidRDefault="00A309A2">
            <w:pPr>
              <w:rPr>
                <w:rFonts w:eastAsia="Times New Roman"/>
                <w:sz w:val="20"/>
                <w:szCs w:val="20"/>
              </w:rPr>
            </w:pPr>
          </w:p>
        </w:tc>
        <w:tc>
          <w:tcPr>
            <w:tcW w:w="137" w:type="pct"/>
            <w:vAlign w:val="center"/>
            <w:hideMark/>
          </w:tcPr>
          <w:p w:rsidR="00000000" w:rsidRDefault="00A309A2">
            <w:pPr>
              <w:rPr>
                <w:rFonts w:eastAsia="Times New Roman"/>
                <w:sz w:val="20"/>
                <w:szCs w:val="20"/>
              </w:rPr>
            </w:pPr>
          </w:p>
        </w:tc>
        <w:tc>
          <w:tcPr>
            <w:tcW w:w="62"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518" w:type="pct"/>
            <w:vAlign w:val="center"/>
            <w:hideMark/>
          </w:tcPr>
          <w:p w:rsidR="00000000" w:rsidRDefault="00A309A2">
            <w:pPr>
              <w:rPr>
                <w:rFonts w:eastAsia="Times New Roman"/>
                <w:sz w:val="20"/>
                <w:szCs w:val="20"/>
              </w:rPr>
            </w:pPr>
          </w:p>
        </w:tc>
        <w:tc>
          <w:tcPr>
            <w:tcW w:w="13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other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4</w:t>
      </w:r>
      <w:r>
        <w:rPr>
          <w:sz w:val="20"/>
          <w:szCs w:val="20"/>
        </w:rPr>
        <w:t>5</w:t>
      </w:r>
    </w:p>
    <w:p w:rsidR="00000000" w:rsidRDefault="00A309A2">
      <w:pPr>
        <w:rPr>
          <w:rFonts w:eastAsia="Times New Roman"/>
        </w:rPr>
      </w:pPr>
      <w:r>
        <w:rPr>
          <w:rFonts w:eastAsia="Times New Roman"/>
        </w:rPr>
        <w:pict>
          <v:rect id="_x0000_i107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hanging="581"/>
        <w:rPr>
          <w:sz w:val="20"/>
          <w:szCs w:val="20"/>
        </w:rPr>
      </w:pPr>
      <w:r>
        <w:rPr>
          <w:sz w:val="20"/>
          <w:szCs w:val="20"/>
        </w:rPr>
        <w:t>* Percentages are based on actual values. Totals may not sum due to rounding</w:t>
      </w:r>
      <w:r>
        <w:rPr>
          <w:sz w:val="20"/>
          <w:szCs w:val="20"/>
        </w:rPr>
        <w:t>.</w:t>
      </w:r>
    </w:p>
    <w:p w:rsidR="00000000" w:rsidRDefault="00A309A2">
      <w:pPr>
        <w:pStyle w:val="a3"/>
        <w:spacing w:before="360" w:beforeAutospacing="0" w:after="0" w:afterAutospacing="0"/>
        <w:rPr>
          <w:sz w:val="20"/>
          <w:szCs w:val="20"/>
        </w:rPr>
      </w:pPr>
      <w:r>
        <w:rPr>
          <w:b/>
          <w:bCs/>
          <w:sz w:val="20"/>
          <w:szCs w:val="20"/>
        </w:rPr>
        <w:t>Year Ended December 31, 2021 Compared to the Year Ended December 31, 202</w:t>
      </w:r>
      <w:r>
        <w:rPr>
          <w:b/>
          <w:bCs/>
          <w:sz w:val="20"/>
          <w:szCs w:val="20"/>
        </w:rPr>
        <w:t>0</w:t>
      </w:r>
    </w:p>
    <w:p w:rsidR="00000000" w:rsidRDefault="00A309A2">
      <w:pPr>
        <w:pStyle w:val="a3"/>
        <w:spacing w:before="120" w:beforeAutospacing="0" w:after="0" w:afterAutospacing="0"/>
        <w:ind w:left="476"/>
        <w:rPr>
          <w:sz w:val="20"/>
          <w:szCs w:val="20"/>
        </w:rPr>
      </w:pPr>
      <w:r>
        <w:rPr>
          <w:b/>
          <w:bCs/>
          <w:i/>
          <w:iCs/>
          <w:sz w:val="20"/>
          <w:szCs w:val="20"/>
        </w:rPr>
        <w:t>Revenu</w:t>
      </w:r>
      <w:r>
        <w:rPr>
          <w:b/>
          <w:bCs/>
          <w:i/>
          <w:iCs/>
          <w:sz w:val="20"/>
          <w:szCs w:val="20"/>
        </w:rPr>
        <w:t>e</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74"/>
        <w:gridCol w:w="110"/>
        <w:gridCol w:w="160"/>
        <w:gridCol w:w="860"/>
        <w:gridCol w:w="110"/>
        <w:gridCol w:w="110"/>
        <w:gridCol w:w="160"/>
        <w:gridCol w:w="710"/>
        <w:gridCol w:w="110"/>
        <w:gridCol w:w="110"/>
        <w:gridCol w:w="160"/>
        <w:gridCol w:w="710"/>
        <w:gridCol w:w="110"/>
        <w:gridCol w:w="110"/>
        <w:gridCol w:w="110"/>
        <w:gridCol w:w="419"/>
        <w:gridCol w:w="242"/>
      </w:tblGrid>
      <w:tr w:rsidR="00000000">
        <w:trPr>
          <w:tblCellSpacing w:w="15" w:type="dxa"/>
        </w:trPr>
        <w:tc>
          <w:tcPr>
            <w:tcW w:w="2410" w:type="pct"/>
            <w:vAlign w:val="center"/>
            <w:hideMark/>
          </w:tcPr>
          <w:p w:rsidR="00000000" w:rsidRDefault="00A309A2">
            <w:pPr>
              <w:rPr>
                <w:sz w:val="20"/>
                <w:szCs w:val="20"/>
              </w:rPr>
            </w:pPr>
          </w:p>
        </w:tc>
        <w:tc>
          <w:tcPr>
            <w:tcW w:w="52"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89" w:type="pct"/>
            <w:vAlign w:val="center"/>
            <w:hideMark/>
          </w:tcPr>
          <w:p w:rsidR="00000000" w:rsidRDefault="00A309A2">
            <w:pPr>
              <w:rPr>
                <w:rFonts w:eastAsia="Times New Roman"/>
                <w:sz w:val="20"/>
                <w:szCs w:val="20"/>
              </w:rPr>
            </w:pPr>
          </w:p>
        </w:tc>
        <w:tc>
          <w:tcPr>
            <w:tcW w:w="41" w:type="pct"/>
            <w:vAlign w:val="center"/>
            <w:hideMark/>
          </w:tcPr>
          <w:p w:rsidR="00000000" w:rsidRDefault="00A309A2">
            <w:pPr>
              <w:rPr>
                <w:rFonts w:eastAsia="Times New Roman"/>
                <w:sz w:val="20"/>
                <w:szCs w:val="20"/>
              </w:rPr>
            </w:pPr>
          </w:p>
        </w:tc>
        <w:tc>
          <w:tcPr>
            <w:tcW w:w="52"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7" w:type="pct"/>
            <w:vAlign w:val="center"/>
            <w:hideMark/>
          </w:tcPr>
          <w:p w:rsidR="00000000" w:rsidRDefault="00A309A2">
            <w:pPr>
              <w:rPr>
                <w:rFonts w:eastAsia="Times New Roman"/>
                <w:sz w:val="20"/>
                <w:szCs w:val="20"/>
              </w:rPr>
            </w:pPr>
          </w:p>
        </w:tc>
        <w:tc>
          <w:tcPr>
            <w:tcW w:w="41" w:type="pct"/>
            <w:vAlign w:val="center"/>
            <w:hideMark/>
          </w:tcPr>
          <w:p w:rsidR="00000000" w:rsidRDefault="00A309A2">
            <w:pPr>
              <w:rPr>
                <w:rFonts w:eastAsia="Times New Roman"/>
                <w:sz w:val="20"/>
                <w:szCs w:val="20"/>
              </w:rPr>
            </w:pPr>
          </w:p>
        </w:tc>
        <w:tc>
          <w:tcPr>
            <w:tcW w:w="52"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6"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437"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1,258,31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853,02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405,29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42,33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30,00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12,33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1,300,65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883,02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417,63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rPr>
          <w:sz w:val="20"/>
          <w:szCs w:val="20"/>
        </w:rPr>
      </w:pPr>
      <w:r>
        <w:t> </w:t>
      </w:r>
    </w:p>
    <w:p w:rsidR="00000000" w:rsidRDefault="00A309A2">
      <w:pPr>
        <w:pStyle w:val="a3"/>
        <w:spacing w:before="40" w:beforeAutospacing="0" w:after="0" w:afterAutospacing="0"/>
        <w:ind w:firstLine="630"/>
        <w:rPr>
          <w:sz w:val="20"/>
          <w:szCs w:val="20"/>
        </w:rPr>
      </w:pPr>
      <w:r>
        <w:rPr>
          <w:sz w:val="20"/>
          <w:szCs w:val="20"/>
        </w:rPr>
        <w:t xml:space="preserve">Subscription revenue increased during 2021 due to an increase throughout the year in Customers, which grew from 103,994 as of December 31, 2020 to 135,442 as of December 31, </w:t>
      </w:r>
      <w:r>
        <w:rPr>
          <w:sz w:val="20"/>
          <w:szCs w:val="20"/>
        </w:rPr>
        <w:t>2</w:t>
      </w:r>
      <w:r>
        <w:rPr>
          <w:sz w:val="20"/>
          <w:szCs w:val="20"/>
        </w:rPr>
        <w:t>021. Average Subscription Revenue per Customer increased from $9,582 for the year</w:t>
      </w:r>
      <w:r>
        <w:rPr>
          <w:sz w:val="20"/>
          <w:szCs w:val="20"/>
        </w:rPr>
        <w:t xml:space="preserve"> ended December 31, 2020 to $10,486 for the year ended December 31, 2021. The growth in Customers was primarily driven by our increased sales representative capacity to meet market demand as well as an increase in demand primarily for our Professional and </w:t>
      </w:r>
      <w:r>
        <w:rPr>
          <w:sz w:val="20"/>
          <w:szCs w:val="20"/>
        </w:rPr>
        <w:t>Enterprise products. The increase in average subscription revenue per customer was primarily driven by an increase in demand for our Professional and Enterprise products, product upgrades by existing customers and impact from customer mix</w:t>
      </w:r>
      <w:r>
        <w:rPr>
          <w:sz w:val="20"/>
          <w:szCs w:val="20"/>
        </w:rPr>
        <w:t>.</w:t>
      </w:r>
      <w:r>
        <w:rPr>
          <w:sz w:val="20"/>
          <w:szCs w:val="20"/>
        </w:rPr>
        <w:t xml:space="preserve"> </w:t>
      </w:r>
    </w:p>
    <w:p w:rsidR="00000000" w:rsidRDefault="00A309A2">
      <w:pPr>
        <w:pStyle w:val="a3"/>
        <w:spacing w:before="0" w:beforeAutospacing="0" w:after="0" w:afterAutospacing="0"/>
        <w:ind w:firstLine="555"/>
        <w:rPr>
          <w:sz w:val="20"/>
          <w:szCs w:val="20"/>
        </w:rPr>
      </w:pPr>
      <w:r>
        <w:rPr>
          <w:sz w:val="20"/>
          <w:szCs w:val="20"/>
        </w:rPr>
        <w:t> </w:t>
      </w:r>
    </w:p>
    <w:p w:rsidR="00000000" w:rsidRDefault="00A309A2">
      <w:pPr>
        <w:pStyle w:val="a3"/>
        <w:spacing w:before="40" w:beforeAutospacing="0" w:after="0" w:afterAutospacing="0"/>
        <w:ind w:firstLine="555"/>
        <w:rPr>
          <w:sz w:val="20"/>
          <w:szCs w:val="20"/>
        </w:rPr>
      </w:pPr>
      <w:r>
        <w:rPr>
          <w:sz w:val="20"/>
          <w:szCs w:val="20"/>
        </w:rPr>
        <w:t xml:space="preserve">Professional </w:t>
      </w:r>
      <w:r>
        <w:rPr>
          <w:sz w:val="20"/>
          <w:szCs w:val="20"/>
        </w:rPr>
        <w:t>services and other revenue increased during 2021 primarily due to the increase in Customers and from the delivery of on-boarding, training, and consulting services for the additional subscriptions sold, as well as additional advertising revenue generated f</w:t>
      </w:r>
      <w:r>
        <w:rPr>
          <w:sz w:val="20"/>
          <w:szCs w:val="20"/>
        </w:rPr>
        <w:t>rom our acquisition of the Hustle, which will not recur, and fees earned from Payments and revenue share arrangements with third parties.</w:t>
      </w:r>
      <w:r>
        <w:rPr>
          <w:sz w:val="20"/>
          <w:szCs w:val="20"/>
        </w:rPr>
        <w:t xml:space="preserve"> </w:t>
      </w:r>
      <w:r>
        <w:rPr>
          <w:sz w:val="20"/>
          <w:szCs w:val="20"/>
        </w:rPr>
        <w:br/>
      </w:r>
      <w:r>
        <w:rPr>
          <w:sz w:val="20"/>
          <w:szCs w:val="20"/>
        </w:rPr>
        <w:t> </w:t>
      </w:r>
    </w:p>
    <w:p w:rsidR="00000000" w:rsidRDefault="00A309A2">
      <w:pPr>
        <w:pStyle w:val="a3"/>
        <w:spacing w:before="0" w:beforeAutospacing="0" w:after="0" w:afterAutospacing="0"/>
        <w:ind w:left="476"/>
        <w:rPr>
          <w:sz w:val="20"/>
          <w:szCs w:val="20"/>
        </w:rPr>
      </w:pPr>
      <w:r>
        <w:rPr>
          <w:b/>
          <w:bCs/>
          <w:i/>
          <w:iCs/>
          <w:sz w:val="20"/>
          <w:szCs w:val="20"/>
        </w:rPr>
        <w:t>Cost of Revenue, Gross Profit and Gross Margin Percentag</w:t>
      </w:r>
      <w:r>
        <w:rPr>
          <w:b/>
          <w:bCs/>
          <w:i/>
          <w:iCs/>
          <w:sz w:val="20"/>
          <w:szCs w:val="20"/>
        </w:rPr>
        <w:t>e</w:t>
      </w:r>
    </w:p>
    <w:p w:rsidR="00000000" w:rsidRDefault="00A309A2">
      <w:pPr>
        <w:pStyle w:val="a3"/>
        <w:spacing w:before="0" w:beforeAutospacing="0" w:after="0" w:afterAutospacing="0"/>
        <w:ind w:firstLine="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83"/>
        <w:gridCol w:w="110"/>
        <w:gridCol w:w="160"/>
        <w:gridCol w:w="1103"/>
        <w:gridCol w:w="227"/>
        <w:gridCol w:w="110"/>
        <w:gridCol w:w="160"/>
        <w:gridCol w:w="1082"/>
        <w:gridCol w:w="227"/>
        <w:gridCol w:w="110"/>
        <w:gridCol w:w="160"/>
        <w:gridCol w:w="710"/>
        <w:gridCol w:w="110"/>
        <w:gridCol w:w="110"/>
        <w:gridCol w:w="110"/>
        <w:gridCol w:w="461"/>
        <w:gridCol w:w="242"/>
      </w:tblGrid>
      <w:tr w:rsidR="00000000">
        <w:trPr>
          <w:tblCellSpacing w:w="15" w:type="dxa"/>
        </w:trPr>
        <w:tc>
          <w:tcPr>
            <w:tcW w:w="1680" w:type="pct"/>
            <w:vAlign w:val="center"/>
            <w:hideMark/>
          </w:tcPr>
          <w:p w:rsidR="00000000" w:rsidRDefault="00A309A2">
            <w:pPr>
              <w:rPr>
                <w:sz w:val="20"/>
                <w:szCs w:val="20"/>
              </w:rPr>
            </w:pPr>
          </w:p>
        </w:tc>
        <w:tc>
          <w:tcPr>
            <w:tcW w:w="48"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841"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827"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4"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379"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Total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258,85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166,95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91,89</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1,041,80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716,06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325,73</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margi</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40" w:beforeAutospacing="0" w:after="0" w:afterAutospacing="0"/>
        <w:ind w:firstLine="555"/>
        <w:rPr>
          <w:sz w:val="20"/>
          <w:szCs w:val="20"/>
        </w:rPr>
      </w:pPr>
      <w:r>
        <w:rPr>
          <w:sz w:val="20"/>
          <w:szCs w:val="20"/>
        </w:rPr>
        <w:t> </w:t>
      </w:r>
    </w:p>
    <w:p w:rsidR="00000000" w:rsidRDefault="00A309A2">
      <w:pPr>
        <w:pStyle w:val="a3"/>
        <w:spacing w:before="40" w:beforeAutospacing="0" w:after="0" w:afterAutospacing="0"/>
        <w:ind w:firstLine="555"/>
        <w:rPr>
          <w:sz w:val="20"/>
          <w:szCs w:val="20"/>
        </w:rPr>
      </w:pPr>
      <w:r>
        <w:rPr>
          <w:sz w:val="20"/>
          <w:szCs w:val="20"/>
        </w:rPr>
        <w:t>Total cost of revenue increased during 2021 primarily due to an increase in subscription and hosting costs, employee-related costs, amortization of capitalized software development costs, and allocated overhead expenses, offset by a decrease in amortizatio</w:t>
      </w:r>
      <w:r>
        <w:rPr>
          <w:sz w:val="20"/>
          <w:szCs w:val="20"/>
        </w:rPr>
        <w:t>n of acquired technology due to certain acquired technology reaching the end of its useful life during the year ended December 31, 2020. Gross margin remained consistent year-over-year</w:t>
      </w:r>
      <w:r>
        <w:rPr>
          <w:sz w:val="20"/>
          <w:szCs w:val="20"/>
        </w:rPr>
        <w:t>.</w:t>
      </w:r>
      <w:r>
        <w:rPr>
          <w:sz w:val="20"/>
          <w:szCs w:val="20"/>
        </w:rPr>
        <w:t xml:space="preserve"> </w:t>
      </w:r>
    </w:p>
    <w:p w:rsidR="00000000" w:rsidRDefault="00A309A2">
      <w:pPr>
        <w:pStyle w:val="a3"/>
        <w:spacing w:before="40" w:beforeAutospacing="0" w:after="0" w:afterAutospacing="0"/>
        <w:ind w:firstLine="555"/>
        <w:rPr>
          <w:sz w:val="20"/>
          <w:szCs w:val="20"/>
        </w:rPr>
      </w:pPr>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31"/>
        <w:gridCol w:w="110"/>
        <w:gridCol w:w="160"/>
        <w:gridCol w:w="710"/>
        <w:gridCol w:w="227"/>
        <w:gridCol w:w="110"/>
        <w:gridCol w:w="160"/>
        <w:gridCol w:w="710"/>
        <w:gridCol w:w="227"/>
        <w:gridCol w:w="110"/>
        <w:gridCol w:w="160"/>
        <w:gridCol w:w="610"/>
        <w:gridCol w:w="110"/>
        <w:gridCol w:w="110"/>
        <w:gridCol w:w="110"/>
        <w:gridCol w:w="378"/>
        <w:gridCol w:w="242"/>
      </w:tblGrid>
      <w:tr w:rsidR="00000000">
        <w:trPr>
          <w:tblCellSpacing w:w="15" w:type="dxa"/>
        </w:trPr>
        <w:tc>
          <w:tcPr>
            <w:tcW w:w="2412" w:type="pct"/>
            <w:vAlign w:val="center"/>
            <w:hideMark/>
          </w:tcPr>
          <w:p w:rsidR="00000000" w:rsidRDefault="00A309A2">
            <w:pPr>
              <w:rPr>
                <w:sz w:val="20"/>
                <w:szCs w:val="20"/>
              </w:rPr>
            </w:pPr>
          </w:p>
        </w:tc>
        <w:tc>
          <w:tcPr>
            <w:tcW w:w="47"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35"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7"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35"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7"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83" w:type="pct"/>
            <w:vAlign w:val="center"/>
            <w:hideMark/>
          </w:tcPr>
          <w:p w:rsidR="00000000" w:rsidRDefault="00A309A2">
            <w:pPr>
              <w:rPr>
                <w:rFonts w:eastAsia="Times New Roman"/>
                <w:sz w:val="20"/>
                <w:szCs w:val="20"/>
              </w:rPr>
            </w:pPr>
          </w:p>
        </w:tc>
        <w:tc>
          <w:tcPr>
            <w:tcW w:w="31" w:type="pct"/>
            <w:vAlign w:val="center"/>
            <w:hideMark/>
          </w:tcPr>
          <w:p w:rsidR="00000000" w:rsidRDefault="00A309A2">
            <w:pPr>
              <w:rPr>
                <w:rFonts w:eastAsia="Times New Roman"/>
                <w:sz w:val="20"/>
                <w:szCs w:val="20"/>
              </w:rPr>
            </w:pPr>
          </w:p>
        </w:tc>
        <w:tc>
          <w:tcPr>
            <w:tcW w:w="47" w:type="pct"/>
            <w:vAlign w:val="center"/>
            <w:hideMark/>
          </w:tcPr>
          <w:p w:rsidR="00000000" w:rsidRDefault="00A309A2">
            <w:pPr>
              <w:rPr>
                <w:rFonts w:eastAsia="Times New Roman"/>
                <w:sz w:val="20"/>
                <w:szCs w:val="20"/>
              </w:rPr>
            </w:pPr>
          </w:p>
        </w:tc>
        <w:tc>
          <w:tcPr>
            <w:tcW w:w="31" w:type="pct"/>
            <w:vAlign w:val="center"/>
            <w:hideMark/>
          </w:tcPr>
          <w:p w:rsidR="00000000" w:rsidRDefault="00A309A2">
            <w:pPr>
              <w:rPr>
                <w:rFonts w:eastAsia="Times New Roman"/>
                <w:sz w:val="20"/>
                <w:szCs w:val="20"/>
              </w:rPr>
            </w:pPr>
          </w:p>
        </w:tc>
        <w:tc>
          <w:tcPr>
            <w:tcW w:w="419"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Subscription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211,13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130,68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80,44</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subscription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ind w:firstLine="555"/>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The increase in subscription cost of revenue for the year ended December 31, 2021 compared to the year ended December 31, 2020 was primarily due to the following</w:t>
      </w:r>
      <w:r>
        <w:rPr>
          <w:sz w:val="20"/>
          <w:szCs w:val="20"/>
        </w:rPr>
        <w:t>:</w:t>
      </w:r>
    </w:p>
    <w:p w:rsidR="00000000" w:rsidRDefault="00A309A2">
      <w:pPr>
        <w:pStyle w:val="a3"/>
        <w:spacing w:before="0" w:beforeAutospacing="0" w:after="0" w:afterAutospacing="0"/>
        <w:ind w:firstLine="55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10"/>
        <w:gridCol w:w="110"/>
        <w:gridCol w:w="161"/>
        <w:gridCol w:w="991"/>
        <w:gridCol w:w="142"/>
      </w:tblGrid>
      <w:tr w:rsidR="00000000">
        <w:trPr>
          <w:tblCellSpacing w:w="15" w:type="dxa"/>
        </w:trPr>
        <w:tc>
          <w:tcPr>
            <w:tcW w:w="3883" w:type="pct"/>
            <w:vAlign w:val="center"/>
            <w:hideMark/>
          </w:tcPr>
          <w:p w:rsidR="00000000" w:rsidRDefault="00A309A2">
            <w:pPr>
              <w:rPr>
                <w:sz w:val="20"/>
                <w:szCs w:val="20"/>
              </w:rPr>
            </w:pPr>
          </w:p>
        </w:tc>
        <w:tc>
          <w:tcPr>
            <w:tcW w:w="82"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864" w:type="pct"/>
            <w:vAlign w:val="center"/>
            <w:hideMark/>
          </w:tcPr>
          <w:p w:rsidR="00000000" w:rsidRDefault="00A309A2">
            <w:pPr>
              <w:rPr>
                <w:rFonts w:eastAsia="Times New Roman"/>
                <w:sz w:val="20"/>
                <w:szCs w:val="20"/>
              </w:rPr>
            </w:pPr>
          </w:p>
        </w:tc>
        <w:tc>
          <w:tcPr>
            <w:tcW w:w="6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58,17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14,97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1,57</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acquired technolog</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(1,40</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80,44</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4</w:t>
      </w:r>
      <w:r>
        <w:rPr>
          <w:sz w:val="20"/>
          <w:szCs w:val="20"/>
        </w:rPr>
        <w:t>6</w:t>
      </w:r>
    </w:p>
    <w:p w:rsidR="00000000" w:rsidRDefault="00A309A2">
      <w:pPr>
        <w:rPr>
          <w:rFonts w:eastAsia="Times New Roman"/>
        </w:rPr>
      </w:pPr>
      <w:r>
        <w:rPr>
          <w:rFonts w:eastAsia="Times New Roman"/>
        </w:rPr>
        <w:pict>
          <v:rect id="_x0000_i107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 xml:space="preserve">Subscription and hosting costs increased primarily due to growth in our Customer base from 103,994 at December 31, 2020 to 135,442 at December 31, 2021. We also saw higher subscription and hosting costs as we launched </w:t>
      </w:r>
      <w:r>
        <w:rPr>
          <w:sz w:val="20"/>
          <w:szCs w:val="20"/>
        </w:rPr>
        <w:t>an additional data center and continued to focus on the security, reliability and performance of our CRM Platform. Employee-related costs increased as a result of increased headcount as we continue to grow our customer support organization to support our c</w:t>
      </w:r>
      <w:r>
        <w:rPr>
          <w:sz w:val="20"/>
          <w:szCs w:val="20"/>
        </w:rPr>
        <w:t>ustomer growth and improve service levels and offerings. Amortization of capitalized software development costs increased due to the increased number of developers working on our software platform as we continue to develop new products and increased functi</w:t>
      </w:r>
      <w:r>
        <w:rPr>
          <w:sz w:val="20"/>
          <w:szCs w:val="20"/>
        </w:rPr>
        <w:t>onality. Allocated overhead expenses increased due to an increase in shared company expenses associated with our systems and infrastructure as we continued to grow our business and expand headcount. Amortization of acquired technology decreased due to cert</w:t>
      </w:r>
      <w:r>
        <w:rPr>
          <w:sz w:val="20"/>
          <w:szCs w:val="20"/>
        </w:rPr>
        <w:t>ain acquired technology reaching the end of its useful life during the year ended December 31, 2020</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09"/>
        <w:gridCol w:w="110"/>
        <w:gridCol w:w="160"/>
        <w:gridCol w:w="610"/>
        <w:gridCol w:w="227"/>
        <w:gridCol w:w="110"/>
        <w:gridCol w:w="160"/>
        <w:gridCol w:w="610"/>
        <w:gridCol w:w="227"/>
        <w:gridCol w:w="110"/>
        <w:gridCol w:w="160"/>
        <w:gridCol w:w="610"/>
        <w:gridCol w:w="110"/>
        <w:gridCol w:w="110"/>
        <w:gridCol w:w="110"/>
        <w:gridCol w:w="500"/>
        <w:gridCol w:w="242"/>
      </w:tblGrid>
      <w:tr w:rsidR="00000000">
        <w:trPr>
          <w:tblCellSpacing w:w="15" w:type="dxa"/>
        </w:trPr>
        <w:tc>
          <w:tcPr>
            <w:tcW w:w="2404" w:type="pct"/>
            <w:vAlign w:val="center"/>
            <w:hideMark/>
          </w:tcPr>
          <w:p w:rsidR="00000000" w:rsidRDefault="00A309A2">
            <w:pPr>
              <w:rPr>
                <w:sz w:val="20"/>
                <w:szCs w:val="20"/>
              </w:rPr>
            </w:pPr>
          </w:p>
        </w:tc>
        <w:tc>
          <w:tcPr>
            <w:tcW w:w="4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8"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8"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8"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c>
          <w:tcPr>
            <w:tcW w:w="34" w:type="pct"/>
            <w:vAlign w:val="center"/>
            <w:hideMark/>
          </w:tcPr>
          <w:p w:rsidR="00000000" w:rsidRDefault="00A309A2">
            <w:pPr>
              <w:rPr>
                <w:rFonts w:eastAsia="Times New Roman"/>
                <w:sz w:val="20"/>
                <w:szCs w:val="20"/>
              </w:rPr>
            </w:pPr>
          </w:p>
        </w:tc>
        <w:tc>
          <w:tcPr>
            <w:tcW w:w="428"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services and other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47,72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36,27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11,45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professional services and other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ind w:firstLine="555"/>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The increase in professional services and other cost of revenue for the year ended December 31, 2021 compared to the year ended December 31, 2020 was primarily due to the following</w:t>
      </w:r>
      <w:r>
        <w:rPr>
          <w:sz w:val="20"/>
          <w:szCs w:val="20"/>
        </w:rPr>
        <w:t>:</w:t>
      </w:r>
    </w:p>
    <w:p w:rsidR="00000000" w:rsidRDefault="00A309A2">
      <w:pPr>
        <w:pStyle w:val="a3"/>
        <w:spacing w:before="0" w:beforeAutospacing="0" w:after="0" w:afterAutospacing="0"/>
        <w:ind w:firstLine="55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03"/>
        <w:gridCol w:w="115"/>
        <w:gridCol w:w="161"/>
        <w:gridCol w:w="1010"/>
        <w:gridCol w:w="125"/>
      </w:tblGrid>
      <w:tr w:rsidR="00000000">
        <w:trPr>
          <w:tblCellSpacing w:w="15" w:type="dxa"/>
        </w:trPr>
        <w:tc>
          <w:tcPr>
            <w:tcW w:w="3881" w:type="pct"/>
            <w:vAlign w:val="center"/>
            <w:hideMark/>
          </w:tcPr>
          <w:p w:rsidR="00000000" w:rsidRDefault="00A309A2">
            <w:pPr>
              <w:rPr>
                <w:sz w:val="20"/>
                <w:szCs w:val="20"/>
              </w:rPr>
            </w:pPr>
          </w:p>
        </w:tc>
        <w:tc>
          <w:tcPr>
            <w:tcW w:w="84"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889"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9,55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11,45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ind w:firstLine="555"/>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 Professional fees increased as we continued to expand our Solutions Partners onboarding servic</w:t>
      </w:r>
      <w:r>
        <w:rPr>
          <w:sz w:val="20"/>
          <w:szCs w:val="20"/>
        </w:rPr>
        <w:t>es program. Allocated overhead expenses increased due to an increase in shared company expenses associated with our systems and infrastructure as we continued to grow our business and expand headcount</w:t>
      </w:r>
      <w:r>
        <w:rPr>
          <w:sz w:val="20"/>
          <w:szCs w:val="20"/>
        </w:rPr>
        <w:t>.</w:t>
      </w:r>
    </w:p>
    <w:p w:rsidR="00000000" w:rsidRDefault="00A309A2">
      <w:pPr>
        <w:pStyle w:val="a3"/>
        <w:spacing w:before="360" w:beforeAutospacing="0" w:after="0" w:afterAutospacing="0"/>
        <w:ind w:left="476"/>
        <w:rPr>
          <w:sz w:val="20"/>
          <w:szCs w:val="20"/>
        </w:rPr>
      </w:pPr>
      <w:r>
        <w:rPr>
          <w:b/>
          <w:bCs/>
          <w:i/>
          <w:iCs/>
          <w:sz w:val="20"/>
          <w:szCs w:val="20"/>
        </w:rPr>
        <w:t>Research and Developmen</w:t>
      </w:r>
      <w:r>
        <w:rPr>
          <w:b/>
          <w:bCs/>
          <w:i/>
          <w:iCs/>
          <w:sz w:val="20"/>
          <w:szCs w:val="20"/>
        </w:rPr>
        <w:t>t</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25"/>
        <w:gridCol w:w="110"/>
        <w:gridCol w:w="160"/>
        <w:gridCol w:w="710"/>
        <w:gridCol w:w="227"/>
        <w:gridCol w:w="110"/>
        <w:gridCol w:w="160"/>
        <w:gridCol w:w="710"/>
        <w:gridCol w:w="227"/>
        <w:gridCol w:w="110"/>
        <w:gridCol w:w="160"/>
        <w:gridCol w:w="610"/>
        <w:gridCol w:w="110"/>
        <w:gridCol w:w="110"/>
        <w:gridCol w:w="110"/>
        <w:gridCol w:w="384"/>
        <w:gridCol w:w="242"/>
      </w:tblGrid>
      <w:tr w:rsidR="00000000">
        <w:trPr>
          <w:tblCellSpacing w:w="15" w:type="dxa"/>
        </w:trPr>
        <w:tc>
          <w:tcPr>
            <w:tcW w:w="2394" w:type="pct"/>
            <w:vAlign w:val="center"/>
            <w:hideMark/>
          </w:tcPr>
          <w:p w:rsidR="00000000" w:rsidRDefault="00A309A2">
            <w:pPr>
              <w:rPr>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5"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6"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34" w:type="pct"/>
            <w:vAlign w:val="center"/>
            <w:hideMark/>
          </w:tcPr>
          <w:p w:rsidR="00000000" w:rsidRDefault="00A309A2">
            <w:pPr>
              <w:rPr>
                <w:rFonts w:eastAsia="Times New Roman"/>
                <w:sz w:val="20"/>
                <w:szCs w:val="20"/>
              </w:rPr>
            </w:pPr>
          </w:p>
        </w:tc>
        <w:tc>
          <w:tcPr>
            <w:tcW w:w="42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301,97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205,58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96,38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The increase in research and development expense for the year ended December 31, 2021 compared to the year ended December 31, 2020 was primarily due to the following</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03"/>
        <w:gridCol w:w="115"/>
        <w:gridCol w:w="161"/>
        <w:gridCol w:w="1010"/>
        <w:gridCol w:w="125"/>
      </w:tblGrid>
      <w:tr w:rsidR="00000000">
        <w:trPr>
          <w:tblCellSpacing w:w="15" w:type="dxa"/>
        </w:trPr>
        <w:tc>
          <w:tcPr>
            <w:tcW w:w="3881" w:type="pct"/>
            <w:vAlign w:val="center"/>
            <w:hideMark/>
          </w:tcPr>
          <w:p w:rsidR="00000000" w:rsidRDefault="00A309A2">
            <w:pPr>
              <w:rPr>
                <w:sz w:val="20"/>
                <w:szCs w:val="20"/>
              </w:rPr>
            </w:pPr>
          </w:p>
        </w:tc>
        <w:tc>
          <w:tcPr>
            <w:tcW w:w="84"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889"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83,58</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4,92</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96,38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Employee-related costs increased as a result of increased headcount as we continued to grow our engineering organization to develop new products, increase functionality and to maintain our existing CRM Platform. Hosting expense increased due to incremental</w:t>
      </w:r>
      <w:r>
        <w:rPr>
          <w:sz w:val="20"/>
          <w:szCs w:val="20"/>
        </w:rPr>
        <w:t xml:space="preserve"> spend associated with product development infrastructure that is unrelated to the hosting of our CRM Platform for paying Customers. In July of 2021, we launched a new data center and ongoing expenses related to the hosting of our CRM Platform on that data</w:t>
      </w:r>
      <w:r>
        <w:rPr>
          <w:sz w:val="20"/>
          <w:szCs w:val="20"/>
        </w:rPr>
        <w:t xml:space="preserve"> center have been classified as subscription cost of revenue. Allocated overhead expenses increased due to an increase in shared company expenses associated with our systems and infrastructure as we continued to grow our business and expand headcount. Prof</w:t>
      </w:r>
      <w:r>
        <w:rPr>
          <w:sz w:val="20"/>
          <w:szCs w:val="20"/>
        </w:rPr>
        <w:t>essional fees increased due to an increase in the use of third party services and contractors as we continued to grow our engineering organization</w:t>
      </w:r>
      <w:r>
        <w:rPr>
          <w:sz w:val="20"/>
          <w:szCs w:val="20"/>
        </w:rPr>
        <w: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4</w:t>
      </w:r>
      <w:r>
        <w:rPr>
          <w:sz w:val="20"/>
          <w:szCs w:val="20"/>
        </w:rPr>
        <w:t>7</w:t>
      </w:r>
    </w:p>
    <w:p w:rsidR="00000000" w:rsidRDefault="00A309A2">
      <w:pPr>
        <w:rPr>
          <w:rFonts w:eastAsia="Times New Roman"/>
        </w:rPr>
      </w:pPr>
      <w:r>
        <w:rPr>
          <w:rFonts w:eastAsia="Times New Roman"/>
        </w:rPr>
        <w:pict>
          <v:rect id="_x0000_i107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360" w:beforeAutospacing="0" w:after="0" w:afterAutospacing="0"/>
        <w:ind w:left="476"/>
        <w:rPr>
          <w:sz w:val="20"/>
          <w:szCs w:val="20"/>
        </w:rPr>
      </w:pPr>
      <w:r>
        <w:rPr>
          <w:b/>
          <w:bCs/>
          <w:i/>
          <w:iCs/>
          <w:sz w:val="20"/>
          <w:szCs w:val="20"/>
        </w:rPr>
        <w:t>Sales and Marketin</w:t>
      </w:r>
      <w:r>
        <w:rPr>
          <w:b/>
          <w:bCs/>
          <w:i/>
          <w:iCs/>
          <w:sz w:val="20"/>
          <w:szCs w:val="20"/>
        </w:rPr>
        <w:t>g</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19"/>
        <w:gridCol w:w="110"/>
        <w:gridCol w:w="160"/>
        <w:gridCol w:w="710"/>
        <w:gridCol w:w="227"/>
        <w:gridCol w:w="115"/>
        <w:gridCol w:w="160"/>
        <w:gridCol w:w="710"/>
        <w:gridCol w:w="227"/>
        <w:gridCol w:w="110"/>
        <w:gridCol w:w="160"/>
        <w:gridCol w:w="710"/>
        <w:gridCol w:w="110"/>
        <w:gridCol w:w="110"/>
        <w:gridCol w:w="110"/>
        <w:gridCol w:w="385"/>
        <w:gridCol w:w="242"/>
      </w:tblGrid>
      <w:tr w:rsidR="00000000">
        <w:trPr>
          <w:tblCellSpacing w:w="15" w:type="dxa"/>
        </w:trPr>
        <w:tc>
          <w:tcPr>
            <w:tcW w:w="2383" w:type="pct"/>
            <w:vAlign w:val="center"/>
            <w:hideMark/>
          </w:tcPr>
          <w:p w:rsidR="00000000" w:rsidRDefault="00A309A2">
            <w:pPr>
              <w:rPr>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7"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34" w:type="pct"/>
            <w:vAlign w:val="center"/>
            <w:hideMark/>
          </w:tcPr>
          <w:p w:rsidR="00000000" w:rsidRDefault="00A309A2">
            <w:pPr>
              <w:rPr>
                <w:rFonts w:eastAsia="Times New Roman"/>
                <w:sz w:val="20"/>
                <w:szCs w:val="20"/>
              </w:rPr>
            </w:pPr>
          </w:p>
        </w:tc>
        <w:tc>
          <w:tcPr>
            <w:tcW w:w="42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649,68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452,08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197,60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The increase in sales and marketing expense for the year ended December 31, 2021 compared to the year ended December 31, 2020 was primarily due to the following</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87"/>
        <w:gridCol w:w="110"/>
        <w:gridCol w:w="160"/>
        <w:gridCol w:w="902"/>
        <w:gridCol w:w="125"/>
      </w:tblGrid>
      <w:tr w:rsidR="00000000">
        <w:trPr>
          <w:tblCellSpacing w:w="15" w:type="dxa"/>
        </w:trPr>
        <w:tc>
          <w:tcPr>
            <w:tcW w:w="3814" w:type="pct"/>
            <w:vAlign w:val="center"/>
            <w:hideMark/>
          </w:tcPr>
          <w:p w:rsidR="00000000" w:rsidRDefault="00A309A2">
            <w:pPr>
              <w:rPr>
                <w:sz w:val="20"/>
                <w:szCs w:val="20"/>
              </w:rPr>
            </w:pPr>
          </w:p>
        </w:tc>
        <w:tc>
          <w:tcPr>
            <w:tcW w:w="82" w:type="pct"/>
            <w:vAlign w:val="center"/>
            <w:hideMark/>
          </w:tcPr>
          <w:p w:rsidR="00000000" w:rsidRDefault="00A309A2">
            <w:pPr>
              <w:rPr>
                <w:rFonts w:eastAsia="Times New Roman"/>
                <w:sz w:val="20"/>
                <w:szCs w:val="20"/>
              </w:rPr>
            </w:pPr>
          </w:p>
        </w:tc>
        <w:tc>
          <w:tcPr>
            <w:tcW w:w="123" w:type="pct"/>
            <w:vAlign w:val="center"/>
            <w:hideMark/>
          </w:tcPr>
          <w:p w:rsidR="00000000" w:rsidRDefault="00A309A2">
            <w:pPr>
              <w:rPr>
                <w:rFonts w:eastAsia="Times New Roman"/>
                <w:sz w:val="20"/>
                <w:szCs w:val="20"/>
              </w:rPr>
            </w:pPr>
          </w:p>
        </w:tc>
        <w:tc>
          <w:tcPr>
            <w:tcW w:w="932"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center"/>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127,42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26,65</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26,70</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9,61</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6,89</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customer relationship</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197,60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Employee-related costs increased as a result of increased headcount as we continued to expand our selling and marketing organizations to grow our customer base. Marketing programs increased due to the timing and size of certain marketing efforts as we cont</w:t>
      </w:r>
      <w:r>
        <w:rPr>
          <w:sz w:val="20"/>
          <w:szCs w:val="20"/>
        </w:rPr>
        <w:t>inue to make investments in attracting new customers. Solutions Partner commissions increased as a result of increased revenue generated through our partners. Allocated overhead expenses increased due to an increase in shared company expenses associated wi</w:t>
      </w:r>
      <w:r>
        <w:rPr>
          <w:sz w:val="20"/>
          <w:szCs w:val="20"/>
        </w:rPr>
        <w:t>th our systems and infrastructure as we continued to grow our business and expand headcount. Professional fees increased due to an increase in the use of third party services and contractors for our marketing efforts. Amortization of acquired intangible as</w:t>
      </w:r>
      <w:r>
        <w:rPr>
          <w:sz w:val="20"/>
          <w:szCs w:val="20"/>
        </w:rPr>
        <w:t>sets increased due to the amortization of customer relationships associated with our acquisition of the Hustle during 2021</w:t>
      </w:r>
      <w:r>
        <w:rPr>
          <w:sz w:val="20"/>
          <w:szCs w:val="20"/>
        </w:rPr>
        <w:t>.</w:t>
      </w:r>
      <w:r>
        <w:rPr>
          <w:sz w:val="20"/>
          <w:szCs w:val="20"/>
        </w:rPr>
        <w:t xml:space="preserve"> </w:t>
      </w:r>
    </w:p>
    <w:p w:rsidR="00000000" w:rsidRDefault="00A309A2">
      <w:pPr>
        <w:pStyle w:val="a3"/>
        <w:spacing w:before="360" w:beforeAutospacing="0" w:after="0" w:afterAutospacing="0"/>
        <w:ind w:left="476"/>
        <w:rPr>
          <w:sz w:val="20"/>
          <w:szCs w:val="20"/>
        </w:rPr>
      </w:pPr>
      <w:r>
        <w:rPr>
          <w:b/>
          <w:bCs/>
          <w:i/>
          <w:iCs/>
          <w:sz w:val="20"/>
          <w:szCs w:val="20"/>
        </w:rPr>
        <w:t>General and Administrativ</w:t>
      </w:r>
      <w:r>
        <w:rPr>
          <w:b/>
          <w:bCs/>
          <w:i/>
          <w:iCs/>
          <w:sz w:val="20"/>
          <w:szCs w:val="20"/>
        </w:rPr>
        <w:t>e</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27"/>
        <w:gridCol w:w="110"/>
        <w:gridCol w:w="160"/>
        <w:gridCol w:w="710"/>
        <w:gridCol w:w="227"/>
        <w:gridCol w:w="115"/>
        <w:gridCol w:w="160"/>
        <w:gridCol w:w="710"/>
        <w:gridCol w:w="227"/>
        <w:gridCol w:w="110"/>
        <w:gridCol w:w="160"/>
        <w:gridCol w:w="610"/>
        <w:gridCol w:w="110"/>
        <w:gridCol w:w="110"/>
        <w:gridCol w:w="110"/>
        <w:gridCol w:w="377"/>
        <w:gridCol w:w="242"/>
      </w:tblGrid>
      <w:tr w:rsidR="00000000">
        <w:trPr>
          <w:tblCellSpacing w:w="15" w:type="dxa"/>
        </w:trPr>
        <w:tc>
          <w:tcPr>
            <w:tcW w:w="2398" w:type="pct"/>
            <w:vAlign w:val="center"/>
            <w:hideMark/>
          </w:tcPr>
          <w:p w:rsidR="00000000" w:rsidRDefault="00A309A2">
            <w:pPr>
              <w:rPr>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6"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34" w:type="pct"/>
            <w:vAlign w:val="center"/>
            <w:hideMark/>
          </w:tcPr>
          <w:p w:rsidR="00000000" w:rsidRDefault="00A309A2">
            <w:pPr>
              <w:rPr>
                <w:rFonts w:eastAsia="Times New Roman"/>
                <w:sz w:val="20"/>
                <w:szCs w:val="20"/>
              </w:rPr>
            </w:pPr>
          </w:p>
        </w:tc>
        <w:tc>
          <w:tcPr>
            <w:tcW w:w="425"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144,94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109,22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35,72</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The increase in general and administrative expense for the year ended December 31, 2021 compared to the year ended December 31, 2020 was primarily due to the following</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81"/>
        <w:gridCol w:w="115"/>
        <w:gridCol w:w="161"/>
        <w:gridCol w:w="902"/>
        <w:gridCol w:w="125"/>
      </w:tblGrid>
      <w:tr w:rsidR="00000000">
        <w:trPr>
          <w:tblCellSpacing w:w="15" w:type="dxa"/>
        </w:trPr>
        <w:tc>
          <w:tcPr>
            <w:tcW w:w="3811" w:type="pct"/>
            <w:vAlign w:val="center"/>
            <w:hideMark/>
          </w:tcPr>
          <w:p w:rsidR="00000000" w:rsidRDefault="00A309A2">
            <w:pPr>
              <w:rPr>
                <w:sz w:val="20"/>
                <w:szCs w:val="20"/>
              </w:rPr>
            </w:pPr>
          </w:p>
        </w:tc>
        <w:tc>
          <w:tcPr>
            <w:tcW w:w="82" w:type="pct"/>
            <w:vAlign w:val="center"/>
            <w:hideMark/>
          </w:tcPr>
          <w:p w:rsidR="00000000" w:rsidRDefault="00A309A2">
            <w:pPr>
              <w:rPr>
                <w:rFonts w:eastAsia="Times New Roman"/>
                <w:sz w:val="20"/>
                <w:szCs w:val="20"/>
              </w:rPr>
            </w:pPr>
          </w:p>
        </w:tc>
        <w:tc>
          <w:tcPr>
            <w:tcW w:w="123" w:type="pct"/>
            <w:vAlign w:val="center"/>
            <w:hideMark/>
          </w:tcPr>
          <w:p w:rsidR="00000000" w:rsidRDefault="00A309A2">
            <w:pPr>
              <w:rPr>
                <w:rFonts w:eastAsia="Times New Roman"/>
                <w:sz w:val="20"/>
                <w:szCs w:val="20"/>
              </w:rPr>
            </w:pPr>
          </w:p>
        </w:tc>
        <w:tc>
          <w:tcPr>
            <w:tcW w:w="935"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20,69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6,60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35,72</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t> </w:t>
      </w:r>
    </w:p>
    <w:p w:rsidR="00000000" w:rsidRDefault="00A309A2">
      <w:pPr>
        <w:pStyle w:val="a3"/>
        <w:spacing w:before="0" w:beforeAutospacing="0" w:after="0" w:afterAutospacing="0"/>
        <w:ind w:firstLine="555"/>
        <w:rPr>
          <w:sz w:val="20"/>
          <w:szCs w:val="20"/>
        </w:rPr>
      </w:pPr>
      <w:r>
        <w:rPr>
          <w:sz w:val="20"/>
          <w:szCs w:val="20"/>
        </w:rPr>
        <w:t>Employee-related costs increased as a result of increased headcount as we continue to grow our business and require additional personnel to support our expanded operations. Customer credit card fees increased due to increased customer transactions as we co</w:t>
      </w:r>
      <w:r>
        <w:rPr>
          <w:sz w:val="20"/>
          <w:szCs w:val="20"/>
        </w:rPr>
        <w:t>ntinue to grow our business. Allocated overhead expenses increased due to an increase in shared company expenses associated with our systems and infrastructure as we continued to grow our business and expand headcount. Professional fees increased primarily</w:t>
      </w:r>
      <w:r>
        <w:rPr>
          <w:sz w:val="20"/>
          <w:szCs w:val="20"/>
        </w:rPr>
        <w:t xml:space="preserve"> due to an increase in legal and consulting services</w:t>
      </w:r>
      <w:r>
        <w:rPr>
          <w:sz w:val="20"/>
          <w:szCs w:val="20"/>
        </w:rPr>
        <w:t>.</w:t>
      </w:r>
      <w:r>
        <w:rPr>
          <w:sz w:val="20"/>
          <w:szCs w:val="20"/>
        </w:rPr>
        <w:t xml:space="preserve"> </w:t>
      </w:r>
    </w:p>
    <w:p w:rsidR="00000000" w:rsidRDefault="00A309A2">
      <w:pPr>
        <w:pStyle w:val="a3"/>
        <w:spacing w:before="0" w:beforeAutospacing="0" w:after="0" w:afterAutospacing="0"/>
        <w:ind w:firstLine="555"/>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4</w:t>
      </w:r>
      <w:r>
        <w:rPr>
          <w:sz w:val="20"/>
          <w:szCs w:val="20"/>
        </w:rPr>
        <w:t>8</w:t>
      </w:r>
    </w:p>
    <w:p w:rsidR="00000000" w:rsidRDefault="00A309A2">
      <w:pPr>
        <w:rPr>
          <w:rFonts w:eastAsia="Times New Roman"/>
        </w:rPr>
      </w:pPr>
      <w:r>
        <w:rPr>
          <w:rFonts w:eastAsia="Times New Roman"/>
        </w:rPr>
        <w:pict>
          <v:rect id="_x0000_i107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160" w:beforeAutospacing="0" w:after="0" w:afterAutospacing="0"/>
        <w:ind w:left="476"/>
        <w:rPr>
          <w:sz w:val="20"/>
          <w:szCs w:val="20"/>
        </w:rPr>
      </w:pPr>
      <w:r>
        <w:rPr>
          <w:b/>
          <w:bCs/>
          <w:i/>
          <w:iCs/>
          <w:sz w:val="20"/>
          <w:szCs w:val="20"/>
        </w:rPr>
        <w:t>Other Expens</w:t>
      </w:r>
      <w:r>
        <w:rPr>
          <w:b/>
          <w:bCs/>
          <w:i/>
          <w:iCs/>
          <w:sz w:val="20"/>
          <w:szCs w:val="20"/>
        </w:rPr>
        <w:t>e</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97"/>
        <w:gridCol w:w="110"/>
        <w:gridCol w:w="160"/>
        <w:gridCol w:w="677"/>
        <w:gridCol w:w="294"/>
        <w:gridCol w:w="110"/>
        <w:gridCol w:w="160"/>
        <w:gridCol w:w="677"/>
        <w:gridCol w:w="294"/>
        <w:gridCol w:w="110"/>
        <w:gridCol w:w="160"/>
        <w:gridCol w:w="610"/>
        <w:gridCol w:w="127"/>
        <w:gridCol w:w="110"/>
        <w:gridCol w:w="110"/>
        <w:gridCol w:w="460"/>
        <w:gridCol w:w="309"/>
      </w:tblGrid>
      <w:tr w:rsidR="00000000">
        <w:trPr>
          <w:tblCellSpacing w:w="15" w:type="dxa"/>
        </w:trPr>
        <w:tc>
          <w:tcPr>
            <w:tcW w:w="2334" w:type="pct"/>
            <w:vAlign w:val="center"/>
            <w:hideMark/>
          </w:tcPr>
          <w:p w:rsidR="00000000" w:rsidRDefault="00A309A2">
            <w:pPr>
              <w:rPr>
                <w:sz w:val="20"/>
                <w:szCs w:val="20"/>
              </w:rPr>
            </w:pPr>
          </w:p>
        </w:tc>
        <w:tc>
          <w:tcPr>
            <w:tcW w:w="2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2" w:type="pct"/>
            <w:vAlign w:val="center"/>
            <w:hideMark/>
          </w:tcPr>
          <w:p w:rsidR="00000000" w:rsidRDefault="00A309A2">
            <w:pPr>
              <w:rPr>
                <w:rFonts w:eastAsia="Times New Roman"/>
                <w:sz w:val="20"/>
                <w:szCs w:val="20"/>
              </w:rPr>
            </w:pPr>
          </w:p>
        </w:tc>
        <w:tc>
          <w:tcPr>
            <w:tcW w:w="162" w:type="pct"/>
            <w:vAlign w:val="center"/>
            <w:hideMark/>
          </w:tcPr>
          <w:p w:rsidR="00000000" w:rsidRDefault="00A309A2">
            <w:pPr>
              <w:rPr>
                <w:rFonts w:eastAsia="Times New Roman"/>
                <w:sz w:val="20"/>
                <w:szCs w:val="20"/>
              </w:rPr>
            </w:pPr>
          </w:p>
        </w:tc>
        <w:tc>
          <w:tcPr>
            <w:tcW w:w="2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3" w:type="pct"/>
            <w:vAlign w:val="center"/>
            <w:hideMark/>
          </w:tcPr>
          <w:p w:rsidR="00000000" w:rsidRDefault="00A309A2">
            <w:pPr>
              <w:rPr>
                <w:rFonts w:eastAsia="Times New Roman"/>
                <w:sz w:val="20"/>
                <w:szCs w:val="20"/>
              </w:rPr>
            </w:pPr>
          </w:p>
        </w:tc>
        <w:tc>
          <w:tcPr>
            <w:tcW w:w="162" w:type="pct"/>
            <w:vAlign w:val="center"/>
            <w:hideMark/>
          </w:tcPr>
          <w:p w:rsidR="00000000" w:rsidRDefault="00A309A2">
            <w:pPr>
              <w:rPr>
                <w:rFonts w:eastAsia="Times New Roman"/>
                <w:sz w:val="20"/>
                <w:szCs w:val="20"/>
              </w:rPr>
            </w:pPr>
          </w:p>
        </w:tc>
        <w:tc>
          <w:tcPr>
            <w:tcW w:w="2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45" w:type="pct"/>
            <w:vAlign w:val="center"/>
            <w:hideMark/>
          </w:tcPr>
          <w:p w:rsidR="00000000" w:rsidRDefault="00A309A2">
            <w:pPr>
              <w:rPr>
                <w:rFonts w:eastAsia="Times New Roman"/>
                <w:sz w:val="20"/>
                <w:szCs w:val="20"/>
              </w:rPr>
            </w:pPr>
          </w:p>
        </w:tc>
        <w:tc>
          <w:tcPr>
            <w:tcW w:w="46" w:type="pct"/>
            <w:vAlign w:val="center"/>
            <w:hideMark/>
          </w:tcPr>
          <w:p w:rsidR="00000000" w:rsidRDefault="00A309A2">
            <w:pPr>
              <w:rPr>
                <w:rFonts w:eastAsia="Times New Roman"/>
                <w:sz w:val="20"/>
                <w:szCs w:val="20"/>
              </w:rPr>
            </w:pPr>
          </w:p>
        </w:tc>
        <w:tc>
          <w:tcPr>
            <w:tcW w:w="16"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431" w:type="pct"/>
            <w:vAlign w:val="center"/>
            <w:hideMark/>
          </w:tcPr>
          <w:p w:rsidR="00000000" w:rsidRDefault="00A309A2">
            <w:pPr>
              <w:rPr>
                <w:rFonts w:eastAsia="Times New Roman"/>
                <w:sz w:val="20"/>
                <w:szCs w:val="20"/>
              </w:rPr>
            </w:pPr>
          </w:p>
        </w:tc>
        <w:tc>
          <w:tcPr>
            <w:tcW w:w="162"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Interest incom</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(6,60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(37,04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income (expense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10,09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10,80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pBdr>
          <w:bottom w:val="single" w:sz="4" w:space="1" w:color="auto"/>
        </w:pBdr>
        <w:spacing w:before="0" w:beforeAutospacing="0" w:after="0" w:afterAutospacing="0"/>
        <w:ind w:right="10239"/>
        <w:rPr>
          <w:sz w:val="20"/>
          <w:szCs w:val="20"/>
        </w:rPr>
      </w:pPr>
      <w:r>
        <w:rPr>
          <w:sz w:val="20"/>
          <w:szCs w:val="20"/>
        </w:rPr>
        <w:t> </w:t>
      </w:r>
    </w:p>
    <w:p w:rsidR="00000000" w:rsidRDefault="00A309A2">
      <w:pPr>
        <w:pStyle w:val="a3"/>
        <w:spacing w:before="40" w:beforeAutospacing="0" w:after="0" w:afterAutospacing="0"/>
        <w:ind w:hanging="581"/>
        <w:rPr>
          <w:sz w:val="20"/>
          <w:szCs w:val="20"/>
        </w:rPr>
      </w:pPr>
      <w:r>
        <w:rPr>
          <w:sz w:val="20"/>
          <w:szCs w:val="20"/>
        </w:rPr>
        <w:t>* not meaningfu</w:t>
      </w:r>
      <w:r>
        <w:rPr>
          <w:sz w:val="20"/>
          <w:szCs w:val="20"/>
        </w:rPr>
        <w:t>l</w:t>
      </w:r>
    </w:p>
    <w:p w:rsidR="00000000" w:rsidRDefault="00A309A2">
      <w:pPr>
        <w:pStyle w:val="a3"/>
        <w:spacing w:before="240" w:beforeAutospacing="0" w:after="0" w:afterAutospacing="0"/>
        <w:ind w:firstLine="555"/>
        <w:rPr>
          <w:sz w:val="20"/>
          <w:szCs w:val="20"/>
        </w:rPr>
      </w:pPr>
      <w:r>
        <w:rPr>
          <w:sz w:val="20"/>
          <w:szCs w:val="20"/>
        </w:rPr>
        <w:t>Interest income primarily consists of interest earned on invested cash and cash equivalents balances and investments. The decrease during the year is due to a decrease in yields on our investment balances</w:t>
      </w:r>
      <w:r>
        <w:rPr>
          <w:sz w:val="20"/>
          <w:szCs w:val="20"/>
        </w:rPr>
        <w:t>.</w:t>
      </w:r>
    </w:p>
    <w:p w:rsidR="00000000" w:rsidRDefault="00A309A2">
      <w:pPr>
        <w:pStyle w:val="a3"/>
        <w:spacing w:before="240" w:beforeAutospacing="0" w:after="0" w:afterAutospacing="0"/>
        <w:ind w:firstLine="555"/>
        <w:rPr>
          <w:sz w:val="20"/>
          <w:szCs w:val="20"/>
        </w:rPr>
      </w:pPr>
      <w:r>
        <w:rPr>
          <w:sz w:val="20"/>
          <w:szCs w:val="20"/>
        </w:rPr>
        <w:t>Interest expense primarily consists of amortization of the debt discount and issuance costs and contractual interest expense related to our Notes, and the loss on early extinguishment of our 2022 Notes. The change in interest expense during 2021 was primar</w:t>
      </w:r>
      <w:r>
        <w:rPr>
          <w:sz w:val="20"/>
          <w:szCs w:val="20"/>
        </w:rPr>
        <w:t>ily due to the following</w:t>
      </w:r>
      <w:r>
        <w:rPr>
          <w:sz w:val="20"/>
          <w:szCs w:val="20"/>
        </w:rPr>
        <w:t>:</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02"/>
        <w:gridCol w:w="111"/>
        <w:gridCol w:w="161"/>
        <w:gridCol w:w="998"/>
        <w:gridCol w:w="142"/>
      </w:tblGrid>
      <w:tr w:rsidR="00000000">
        <w:trPr>
          <w:tblCellSpacing w:w="15" w:type="dxa"/>
        </w:trPr>
        <w:tc>
          <w:tcPr>
            <w:tcW w:w="3876" w:type="pct"/>
            <w:vAlign w:val="center"/>
            <w:hideMark/>
          </w:tcPr>
          <w:p w:rsidR="00000000" w:rsidRDefault="00A309A2">
            <w:pPr>
              <w:rPr>
                <w:sz w:val="20"/>
                <w:szCs w:val="20"/>
              </w:rPr>
            </w:pPr>
          </w:p>
        </w:tc>
        <w:tc>
          <w:tcPr>
            <w:tcW w:w="83" w:type="pct"/>
            <w:vAlign w:val="center"/>
            <w:hideMark/>
          </w:tcPr>
          <w:p w:rsidR="00000000" w:rsidRDefault="00A309A2">
            <w:pPr>
              <w:rPr>
                <w:rFonts w:eastAsia="Times New Roman"/>
                <w:sz w:val="20"/>
                <w:szCs w:val="20"/>
              </w:rPr>
            </w:pPr>
          </w:p>
        </w:tc>
        <w:tc>
          <w:tcPr>
            <w:tcW w:w="101" w:type="pct"/>
            <w:vAlign w:val="center"/>
            <w:hideMark/>
          </w:tcPr>
          <w:p w:rsidR="00000000" w:rsidRDefault="00A309A2">
            <w:pPr>
              <w:rPr>
                <w:rFonts w:eastAsia="Times New Roman"/>
                <w:sz w:val="20"/>
                <w:szCs w:val="20"/>
              </w:rPr>
            </w:pPr>
          </w:p>
        </w:tc>
        <w:tc>
          <w:tcPr>
            <w:tcW w:w="871" w:type="pct"/>
            <w:vAlign w:val="center"/>
            <w:hideMark/>
          </w:tcPr>
          <w:p w:rsidR="00000000" w:rsidRDefault="00A309A2">
            <w:pPr>
              <w:rPr>
                <w:rFonts w:eastAsia="Times New Roman"/>
                <w:sz w:val="20"/>
                <w:szCs w:val="20"/>
              </w:rPr>
            </w:pPr>
          </w:p>
        </w:tc>
        <w:tc>
          <w:tcPr>
            <w:tcW w:w="6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 xml:space="preserve">Amortization of the debt discount and issuance costs and </w:t>
            </w:r>
            <w:r>
              <w:rPr>
                <w:sz w:val="20"/>
                <w:szCs w:val="20"/>
              </w:rPr>
              <w:br/>
              <w:t>  contractual interest expense related to our Note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w:t>
            </w:r>
          </w:p>
        </w:tc>
        <w:tc>
          <w:tcPr>
            <w:tcW w:w="0" w:type="auto"/>
            <w:hideMark/>
          </w:tcPr>
          <w:p w:rsidR="00000000" w:rsidRDefault="00A309A2">
            <w:pPr>
              <w:pStyle w:val="a3"/>
              <w:spacing w:before="0" w:beforeAutospacing="0" w:after="0" w:afterAutospacing="0"/>
              <w:jc w:val="right"/>
              <w:rPr>
                <w:sz w:val="20"/>
                <w:szCs w:val="20"/>
              </w:rPr>
            </w:pPr>
            <w:r>
              <w:rPr>
                <w:sz w:val="20"/>
                <w:szCs w:val="20"/>
              </w:rPr>
              <w:t>(1,15</w:t>
            </w:r>
            <w:r>
              <w:rPr>
                <w:sz w:val="20"/>
                <w:szCs w:val="20"/>
              </w:rPr>
              <w:t>1</w:t>
            </w:r>
          </w:p>
        </w:tc>
        <w:tc>
          <w:tcPr>
            <w:tcW w:w="0" w:type="auto"/>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Loss on early extinguishment of 2022 Convertible Note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(5,61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240" w:beforeAutospacing="0" w:after="0" w:afterAutospacing="0"/>
        <w:ind w:firstLine="555"/>
        <w:rPr>
          <w:sz w:val="20"/>
          <w:szCs w:val="20"/>
        </w:rPr>
      </w:pPr>
      <w:r>
        <w:rPr>
          <w:sz w:val="20"/>
          <w:szCs w:val="20"/>
        </w:rPr>
        <w:t>Other income (expense) primarily consists of the impact of foreign currency transaction gains and losses associated with monetary assets and liabilities and any gains or losses on our strategic investments. The change in other expense during 2021 is primar</w:t>
      </w:r>
      <w:r>
        <w:rPr>
          <w:sz w:val="20"/>
          <w:szCs w:val="20"/>
        </w:rPr>
        <w:t xml:space="preserve">ily due to the following: </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389"/>
        <w:gridCol w:w="112"/>
        <w:gridCol w:w="161"/>
        <w:gridCol w:w="1010"/>
        <w:gridCol w:w="142"/>
      </w:tblGrid>
      <w:tr w:rsidR="00000000">
        <w:trPr>
          <w:tblCellSpacing w:w="15" w:type="dxa"/>
        </w:trPr>
        <w:tc>
          <w:tcPr>
            <w:tcW w:w="3865" w:type="pct"/>
            <w:vAlign w:val="center"/>
            <w:hideMark/>
          </w:tcPr>
          <w:p w:rsidR="00000000" w:rsidRDefault="00A309A2">
            <w:pPr>
              <w:rPr>
                <w:sz w:val="20"/>
                <w:szCs w:val="20"/>
              </w:rPr>
            </w:pPr>
          </w:p>
        </w:tc>
        <w:tc>
          <w:tcPr>
            <w:tcW w:w="84"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879" w:type="pct"/>
            <w:vAlign w:val="center"/>
            <w:hideMark/>
          </w:tcPr>
          <w:p w:rsidR="00000000" w:rsidRDefault="00A309A2">
            <w:pPr>
              <w:rPr>
                <w:rFonts w:eastAsia="Times New Roman"/>
                <w:sz w:val="20"/>
                <w:szCs w:val="20"/>
              </w:rPr>
            </w:pPr>
          </w:p>
        </w:tc>
        <w:tc>
          <w:tcPr>
            <w:tcW w:w="6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Gain on strategic investments (Note 5</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w:t>
            </w:r>
          </w:p>
        </w:tc>
        <w:tc>
          <w:tcPr>
            <w:tcW w:w="0" w:type="auto"/>
            <w:hideMark/>
          </w:tcPr>
          <w:p w:rsidR="00000000" w:rsidRDefault="00A309A2">
            <w:pPr>
              <w:pStyle w:val="a3"/>
              <w:spacing w:before="0" w:beforeAutospacing="0" w:after="0" w:afterAutospacing="0"/>
              <w:jc w:val="right"/>
              <w:rPr>
                <w:sz w:val="20"/>
                <w:szCs w:val="20"/>
              </w:rPr>
            </w:pPr>
            <w:r>
              <w:rPr>
                <w:sz w:val="20"/>
                <w:szCs w:val="20"/>
              </w:rPr>
              <w:t>11,74</w:t>
            </w:r>
            <w:r>
              <w:rPr>
                <w:sz w:val="20"/>
                <w:szCs w:val="20"/>
              </w:rPr>
              <w:t>1</w:t>
            </w:r>
          </w:p>
        </w:tc>
        <w:tc>
          <w:tcPr>
            <w:tcW w:w="0" w:type="auto"/>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Foreign currency gains and losse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10,80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360" w:beforeAutospacing="0" w:after="0" w:afterAutospacing="0"/>
        <w:ind w:left="476"/>
        <w:rPr>
          <w:sz w:val="20"/>
          <w:szCs w:val="20"/>
        </w:rPr>
      </w:pPr>
      <w:r>
        <w:rPr>
          <w:b/>
          <w:bCs/>
          <w:i/>
          <w:iCs/>
          <w:sz w:val="20"/>
          <w:szCs w:val="20"/>
        </w:rPr>
        <w:t>Income Tax expens</w:t>
      </w:r>
      <w:r>
        <w:rPr>
          <w:b/>
          <w:bCs/>
          <w:i/>
          <w:iCs/>
          <w:sz w:val="20"/>
          <w:szCs w:val="20"/>
        </w:rPr>
        <w:t>e</w:t>
      </w:r>
    </w:p>
    <w:p w:rsidR="00000000" w:rsidRDefault="00A309A2">
      <w:pPr>
        <w:pStyle w:val="a3"/>
        <w:spacing w:before="0" w:beforeAutospacing="0" w:after="0" w:afterAutospacing="0"/>
        <w:ind w:left="47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58"/>
        <w:gridCol w:w="110"/>
        <w:gridCol w:w="160"/>
        <w:gridCol w:w="585"/>
        <w:gridCol w:w="227"/>
        <w:gridCol w:w="110"/>
        <w:gridCol w:w="160"/>
        <w:gridCol w:w="586"/>
        <w:gridCol w:w="227"/>
        <w:gridCol w:w="115"/>
        <w:gridCol w:w="161"/>
        <w:gridCol w:w="578"/>
        <w:gridCol w:w="127"/>
        <w:gridCol w:w="110"/>
        <w:gridCol w:w="110"/>
        <w:gridCol w:w="542"/>
        <w:gridCol w:w="309"/>
      </w:tblGrid>
      <w:tr w:rsidR="00000000">
        <w:trPr>
          <w:tblCellSpacing w:w="15" w:type="dxa"/>
        </w:trPr>
        <w:tc>
          <w:tcPr>
            <w:tcW w:w="2368" w:type="pct"/>
            <w:vAlign w:val="center"/>
            <w:hideMark/>
          </w:tcPr>
          <w:p w:rsidR="00000000" w:rsidRDefault="00A309A2">
            <w:pPr>
              <w:rPr>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3"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4"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48" w:type="pct"/>
            <w:vAlign w:val="center"/>
            <w:hideMark/>
          </w:tcPr>
          <w:p w:rsidR="00000000" w:rsidRDefault="00A309A2">
            <w:pPr>
              <w:rPr>
                <w:rFonts w:eastAsia="Times New Roman"/>
                <w:sz w:val="20"/>
                <w:szCs w:val="20"/>
              </w:rPr>
            </w:pPr>
          </w:p>
        </w:tc>
        <w:tc>
          <w:tcPr>
            <w:tcW w:w="47"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34" w:type="pct"/>
            <w:vAlign w:val="center"/>
            <w:hideMark/>
          </w:tcPr>
          <w:p w:rsidR="00000000" w:rsidRDefault="00A309A2">
            <w:pPr>
              <w:rPr>
                <w:rFonts w:eastAsia="Times New Roman"/>
                <w:sz w:val="20"/>
                <w:szCs w:val="20"/>
              </w:rPr>
            </w:pPr>
          </w:p>
        </w:tc>
        <w:tc>
          <w:tcPr>
            <w:tcW w:w="422" w:type="pct"/>
            <w:vAlign w:val="center"/>
            <w:hideMark/>
          </w:tcPr>
          <w:p w:rsidR="00000000" w:rsidRDefault="00A309A2">
            <w:pPr>
              <w:rPr>
                <w:rFonts w:eastAsia="Times New Roman"/>
                <w:sz w:val="20"/>
                <w:szCs w:val="20"/>
              </w:rPr>
            </w:pPr>
          </w:p>
        </w:tc>
        <w:tc>
          <w:tcPr>
            <w:tcW w:w="163"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rPr>
          <w:sz w:val="20"/>
          <w:szCs w:val="20"/>
        </w:rPr>
      </w:pPr>
      <w:r>
        <w:t> </w:t>
      </w:r>
    </w:p>
    <w:p w:rsidR="00000000" w:rsidRDefault="00A309A2">
      <w:pPr>
        <w:pStyle w:val="a3"/>
        <w:spacing w:before="0" w:beforeAutospacing="0" w:after="0" w:afterAutospacing="0"/>
        <w:ind w:firstLine="555"/>
        <w:rPr>
          <w:sz w:val="20"/>
          <w:szCs w:val="20"/>
        </w:rPr>
      </w:pPr>
      <w:r>
        <w:rPr>
          <w:sz w:val="20"/>
          <w:szCs w:val="20"/>
        </w:rPr>
        <w:t>Income tax expense consists of current and deferred taxes for U.S. and foreign income taxes. The decrease during 2021 was primarily driven by a non-recurring income tax benefit relating to the release of a portion of the Company’s valuation allowance, offs</w:t>
      </w:r>
      <w:r>
        <w:rPr>
          <w:sz w:val="20"/>
          <w:szCs w:val="20"/>
        </w:rPr>
        <w:t>et by increased income in jurisdictions outside of the United States that are profitable from a tax perspective. The release was due to recording net deferred tax liabilities related to the Hustle acquisition, which are a source of income to support the re</w:t>
      </w:r>
      <w:r>
        <w:rPr>
          <w:sz w:val="20"/>
          <w:szCs w:val="20"/>
        </w:rPr>
        <w:t>alizability of the Company’s pre-existing U.S. deferred tax assets</w:t>
      </w:r>
      <w:r>
        <w:rPr>
          <w:sz w:val="20"/>
          <w:szCs w:val="20"/>
        </w:rPr>
        <w:t>.</w:t>
      </w:r>
    </w:p>
    <w:p w:rsidR="00000000" w:rsidRDefault="00A309A2">
      <w:pPr>
        <w:pStyle w:val="a3"/>
        <w:spacing w:before="200" w:beforeAutospacing="0" w:after="0" w:afterAutospacing="0"/>
        <w:rPr>
          <w:sz w:val="20"/>
          <w:szCs w:val="20"/>
        </w:rPr>
      </w:pPr>
      <w:r>
        <w:rPr>
          <w:b/>
          <w:bCs/>
          <w:sz w:val="20"/>
          <w:szCs w:val="20"/>
        </w:rPr>
        <w:t>Year Ended December 31, 2020 Compared to the Year Ended December 31, 201</w:t>
      </w:r>
      <w:r>
        <w:rPr>
          <w:b/>
          <w:bCs/>
          <w:sz w:val="20"/>
          <w:szCs w:val="20"/>
        </w:rPr>
        <w:t>9</w:t>
      </w:r>
      <w:r>
        <w:rPr>
          <w:b/>
          <w:bCs/>
          <w:sz w:val="20"/>
          <w:szCs w:val="20"/>
        </w:rPr>
        <w:t xml:space="preserve"> </w:t>
      </w:r>
    </w:p>
    <w:p w:rsidR="00000000" w:rsidRDefault="00A309A2">
      <w:pPr>
        <w:pStyle w:val="a3"/>
        <w:spacing w:before="240" w:beforeAutospacing="0" w:after="0" w:afterAutospacing="0"/>
        <w:jc w:val="center"/>
        <w:rPr>
          <w:sz w:val="20"/>
          <w:szCs w:val="20"/>
        </w:rPr>
      </w:pPr>
      <w:r>
        <w:rPr>
          <w:sz w:val="20"/>
          <w:szCs w:val="20"/>
        </w:rPr>
        <w:t>4</w:t>
      </w:r>
      <w:r>
        <w:rPr>
          <w:sz w:val="20"/>
          <w:szCs w:val="20"/>
        </w:rPr>
        <w:t>9</w:t>
      </w:r>
    </w:p>
    <w:p w:rsidR="00000000" w:rsidRDefault="00A309A2">
      <w:pPr>
        <w:rPr>
          <w:rFonts w:eastAsia="Times New Roman"/>
        </w:rPr>
      </w:pPr>
      <w:r>
        <w:rPr>
          <w:rFonts w:eastAsia="Times New Roman"/>
        </w:rPr>
        <w:pict>
          <v:rect id="_x0000_i107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left="476"/>
        <w:rPr>
          <w:sz w:val="20"/>
          <w:szCs w:val="20"/>
        </w:rPr>
      </w:pPr>
      <w:r>
        <w:rPr>
          <w:b/>
          <w:bCs/>
          <w:i/>
          <w:iCs/>
          <w:sz w:val="20"/>
          <w:szCs w:val="20"/>
        </w:rPr>
        <w:t>Revenu</w:t>
      </w:r>
      <w:r>
        <w:rPr>
          <w:b/>
          <w:bCs/>
          <w:i/>
          <w:iCs/>
          <w:sz w:val="20"/>
          <w:szCs w:val="20"/>
        </w:rPr>
        <w:t>e</w:t>
      </w:r>
      <w:r>
        <w:rPr>
          <w:sz w:val="20"/>
          <w:szCs w:val="20"/>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56"/>
        <w:gridCol w:w="110"/>
        <w:gridCol w:w="160"/>
        <w:gridCol w:w="710"/>
        <w:gridCol w:w="110"/>
        <w:gridCol w:w="110"/>
        <w:gridCol w:w="160"/>
        <w:gridCol w:w="710"/>
        <w:gridCol w:w="110"/>
        <w:gridCol w:w="110"/>
        <w:gridCol w:w="160"/>
        <w:gridCol w:w="710"/>
        <w:gridCol w:w="110"/>
        <w:gridCol w:w="110"/>
        <w:gridCol w:w="110"/>
        <w:gridCol w:w="487"/>
        <w:gridCol w:w="242"/>
      </w:tblGrid>
      <w:tr w:rsidR="00000000">
        <w:trPr>
          <w:tblCellSpacing w:w="15" w:type="dxa"/>
        </w:trPr>
        <w:tc>
          <w:tcPr>
            <w:tcW w:w="2423"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7"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8"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7"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440"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853,02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646,26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206,75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30,00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28,59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1,40</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883,02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674,86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208,16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200" w:beforeAutospacing="0" w:after="0" w:afterAutospacing="0"/>
        <w:ind w:firstLine="555"/>
        <w:rPr>
          <w:sz w:val="20"/>
          <w:szCs w:val="20"/>
        </w:rPr>
      </w:pPr>
      <w:r>
        <w:rPr>
          <w:sz w:val="20"/>
          <w:szCs w:val="20"/>
        </w:rPr>
        <w:t xml:space="preserve">Subscription revenue increased during 2020 due to an increase throughout the year in Customers, which grew from 73,483 as of December 31, 2019 to 103,994 as of December 31, 2020. Average Subscription Revenue per Customer decreased from $9,920 for the year </w:t>
      </w:r>
      <w:r>
        <w:rPr>
          <w:sz w:val="20"/>
          <w:szCs w:val="20"/>
        </w:rPr>
        <w:t>ended December 31, 2019 to $9,582 for the year ended December 31, 2020. The growth in Customers was primarily driven by our increased sales representative capacity to meet market demand as well as our freemium product offering and lower priced starter prod</w:t>
      </w:r>
      <w:r>
        <w:rPr>
          <w:sz w:val="20"/>
          <w:szCs w:val="20"/>
        </w:rPr>
        <w:t>ucts. The decrease in average subscription revenue per customer was driven primarily by the volume of continued purchases of our lower priced starter products</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The increase in professional services and other revenue resulted primarily from the increase in </w:t>
      </w:r>
      <w:r>
        <w:rPr>
          <w:sz w:val="20"/>
          <w:szCs w:val="20"/>
        </w:rPr>
        <w:t>Customers and from the delivery of on-boarding services for the additional subscriptions sold, slightly offset by fewer classroom trainings being held due to social gathering restrictions and travel bans implemented due to the pandemic</w:t>
      </w:r>
      <w:r>
        <w:rPr>
          <w:sz w:val="20"/>
          <w:szCs w:val="20"/>
        </w:rPr>
        <w:t>.</w:t>
      </w:r>
    </w:p>
    <w:p w:rsidR="00000000" w:rsidRDefault="00A309A2">
      <w:pPr>
        <w:pStyle w:val="a3"/>
        <w:spacing w:before="200" w:beforeAutospacing="0" w:after="0" w:afterAutospacing="0"/>
        <w:ind w:left="476"/>
        <w:rPr>
          <w:sz w:val="20"/>
          <w:szCs w:val="20"/>
        </w:rPr>
      </w:pPr>
      <w:r>
        <w:rPr>
          <w:b/>
          <w:bCs/>
          <w:i/>
          <w:iCs/>
          <w:sz w:val="20"/>
          <w:szCs w:val="20"/>
        </w:rPr>
        <w:t>Total Cost of Reven</w:t>
      </w:r>
      <w:r>
        <w:rPr>
          <w:b/>
          <w:bCs/>
          <w:i/>
          <w:iCs/>
          <w:sz w:val="20"/>
          <w:szCs w:val="20"/>
        </w:rPr>
        <w:t>ue, Gross Profit and Gross Margi</w:t>
      </w:r>
      <w:r>
        <w:rPr>
          <w:b/>
          <w:bCs/>
          <w:i/>
          <w:iCs/>
          <w:sz w:val="20"/>
          <w:szCs w:val="20"/>
        </w:rPr>
        <w:t>n</w:t>
      </w:r>
      <w:r>
        <w:rPr>
          <w:sz w:val="20"/>
          <w:szCs w:val="20"/>
        </w:rPr>
        <w:t xml:space="preserve"> </w:t>
      </w:r>
      <w:r>
        <w:rPr>
          <w:sz w:val="20"/>
          <w:szCs w:val="20"/>
        </w:rPr>
        <w:br/>
      </w:r>
      <w:r>
        <w:rPr>
          <w:sz w:val="20"/>
          <w:szCs w:val="20"/>
        </w:rPr>
        <w:t> </w:t>
      </w:r>
    </w:p>
    <w:tbl>
      <w:tblPr>
        <w:tblW w:w="4550" w:type="pct"/>
        <w:tblCellSpacing w:w="15" w:type="dxa"/>
        <w:tblCellMar>
          <w:top w:w="15" w:type="dxa"/>
          <w:left w:w="15" w:type="dxa"/>
          <w:bottom w:w="15" w:type="dxa"/>
          <w:right w:w="15" w:type="dxa"/>
        </w:tblCellMar>
        <w:tblLook w:val="04A0" w:firstRow="1" w:lastRow="0" w:firstColumn="1" w:lastColumn="0" w:noHBand="0" w:noVBand="1"/>
      </w:tblPr>
      <w:tblGrid>
        <w:gridCol w:w="3195"/>
        <w:gridCol w:w="110"/>
        <w:gridCol w:w="160"/>
        <w:gridCol w:w="710"/>
        <w:gridCol w:w="227"/>
        <w:gridCol w:w="110"/>
        <w:gridCol w:w="160"/>
        <w:gridCol w:w="710"/>
        <w:gridCol w:w="227"/>
        <w:gridCol w:w="110"/>
        <w:gridCol w:w="160"/>
        <w:gridCol w:w="710"/>
        <w:gridCol w:w="110"/>
        <w:gridCol w:w="110"/>
        <w:gridCol w:w="110"/>
        <w:gridCol w:w="397"/>
        <w:gridCol w:w="242"/>
      </w:tblGrid>
      <w:tr w:rsidR="00000000">
        <w:trPr>
          <w:tblCellSpacing w:w="15" w:type="dxa"/>
        </w:trPr>
        <w:tc>
          <w:tcPr>
            <w:tcW w:w="2399" w:type="pct"/>
            <w:vAlign w:val="center"/>
            <w:hideMark/>
          </w:tcPr>
          <w:p w:rsidR="00000000" w:rsidRDefault="00A309A2">
            <w:pPr>
              <w:rPr>
                <w:sz w:val="20"/>
                <w:szCs w:val="20"/>
              </w:rPr>
            </w:pPr>
          </w:p>
        </w:tc>
        <w:tc>
          <w:tcPr>
            <w:tcW w:w="54" w:type="pct"/>
            <w:vAlign w:val="center"/>
            <w:hideMark/>
          </w:tcPr>
          <w:p w:rsidR="00000000" w:rsidRDefault="00A309A2">
            <w:pPr>
              <w:rPr>
                <w:rFonts w:eastAsia="Times New Roman"/>
                <w:sz w:val="20"/>
                <w:szCs w:val="20"/>
              </w:rPr>
            </w:pPr>
          </w:p>
        </w:tc>
        <w:tc>
          <w:tcPr>
            <w:tcW w:w="69" w:type="pct"/>
            <w:vAlign w:val="center"/>
            <w:hideMark/>
          </w:tcPr>
          <w:p w:rsidR="00000000" w:rsidRDefault="00A309A2">
            <w:pPr>
              <w:rPr>
                <w:rFonts w:eastAsia="Times New Roman"/>
                <w:sz w:val="20"/>
                <w:szCs w:val="20"/>
              </w:rPr>
            </w:pPr>
          </w:p>
        </w:tc>
        <w:tc>
          <w:tcPr>
            <w:tcW w:w="447"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69" w:type="pct"/>
            <w:vAlign w:val="center"/>
            <w:hideMark/>
          </w:tcPr>
          <w:p w:rsidR="00000000" w:rsidRDefault="00A309A2">
            <w:pPr>
              <w:rPr>
                <w:rFonts w:eastAsia="Times New Roman"/>
                <w:sz w:val="20"/>
                <w:szCs w:val="20"/>
              </w:rPr>
            </w:pPr>
          </w:p>
        </w:tc>
        <w:tc>
          <w:tcPr>
            <w:tcW w:w="449"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69" w:type="pct"/>
            <w:vAlign w:val="center"/>
            <w:hideMark/>
          </w:tcPr>
          <w:p w:rsidR="00000000" w:rsidRDefault="00A309A2">
            <w:pPr>
              <w:rPr>
                <w:rFonts w:eastAsia="Times New Roman"/>
                <w:sz w:val="20"/>
                <w:szCs w:val="20"/>
              </w:rPr>
            </w:pPr>
          </w:p>
        </w:tc>
        <w:tc>
          <w:tcPr>
            <w:tcW w:w="447" w:type="pct"/>
            <w:vAlign w:val="center"/>
            <w:hideMark/>
          </w:tcPr>
          <w:p w:rsidR="00000000" w:rsidRDefault="00A309A2">
            <w:pPr>
              <w:rPr>
                <w:rFonts w:eastAsia="Times New Roman"/>
                <w:sz w:val="20"/>
                <w:szCs w:val="20"/>
              </w:rPr>
            </w:pPr>
          </w:p>
        </w:tc>
        <w:tc>
          <w:tcPr>
            <w:tcW w:w="32"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32" w:type="pct"/>
            <w:vAlign w:val="center"/>
            <w:hideMark/>
          </w:tcPr>
          <w:p w:rsidR="00000000" w:rsidRDefault="00A309A2">
            <w:pPr>
              <w:rPr>
                <w:rFonts w:eastAsia="Times New Roman"/>
                <w:sz w:val="20"/>
                <w:szCs w:val="20"/>
              </w:rPr>
            </w:pPr>
          </w:p>
        </w:tc>
        <w:tc>
          <w:tcPr>
            <w:tcW w:w="417" w:type="pct"/>
            <w:vAlign w:val="center"/>
            <w:hideMark/>
          </w:tcPr>
          <w:p w:rsidR="00000000" w:rsidRDefault="00A309A2">
            <w:pPr>
              <w:rPr>
                <w:rFonts w:eastAsia="Times New Roman"/>
                <w:sz w:val="20"/>
                <w:szCs w:val="20"/>
              </w:rPr>
            </w:pPr>
          </w:p>
        </w:tc>
        <w:tc>
          <w:tcPr>
            <w:tcW w:w="116"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Total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166,95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129,95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37,00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716,06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544,90</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171,16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margi</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200" w:beforeAutospacing="0" w:after="0" w:afterAutospacing="0"/>
        <w:ind w:firstLine="555"/>
        <w:rPr>
          <w:sz w:val="20"/>
          <w:szCs w:val="20"/>
        </w:rPr>
      </w:pPr>
      <w:r>
        <w:rPr>
          <w:sz w:val="20"/>
          <w:szCs w:val="20"/>
        </w:rPr>
        <w:t>Total cost of revenue increased during 2020 primarily due to an increase in subscription and hosting costs, employee-related costs, amortization of capitalized software development costs, and allocated overhead expenses, offset by a decrease in amortizatio</w:t>
      </w:r>
      <w:r>
        <w:rPr>
          <w:sz w:val="20"/>
          <w:szCs w:val="20"/>
        </w:rPr>
        <w:t>n of acquired technology due to certain acquired technology reaching the end of its useful life during the year ended December 31, 2020. Gross margin remained consistent year-over-year.</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59"/>
        <w:gridCol w:w="110"/>
        <w:gridCol w:w="160"/>
        <w:gridCol w:w="710"/>
        <w:gridCol w:w="227"/>
        <w:gridCol w:w="110"/>
        <w:gridCol w:w="160"/>
        <w:gridCol w:w="610"/>
        <w:gridCol w:w="227"/>
        <w:gridCol w:w="110"/>
        <w:gridCol w:w="160"/>
        <w:gridCol w:w="610"/>
        <w:gridCol w:w="110"/>
        <w:gridCol w:w="110"/>
        <w:gridCol w:w="110"/>
        <w:gridCol w:w="450"/>
        <w:gridCol w:w="242"/>
      </w:tblGrid>
      <w:tr w:rsidR="00000000">
        <w:trPr>
          <w:tblCellSpacing w:w="15" w:type="dxa"/>
        </w:trPr>
        <w:tc>
          <w:tcPr>
            <w:tcW w:w="2383" w:type="pct"/>
            <w:vAlign w:val="center"/>
            <w:hideMark/>
          </w:tcPr>
          <w:p w:rsidR="00000000" w:rsidRDefault="00A309A2">
            <w:pPr>
              <w:rPr>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8"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7"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2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Subscription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130,68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98,51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32,17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subscription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200" w:beforeAutospacing="0" w:after="0" w:afterAutospacing="0"/>
        <w:ind w:firstLine="555"/>
        <w:rPr>
          <w:sz w:val="20"/>
          <w:szCs w:val="20"/>
        </w:rPr>
      </w:pPr>
      <w:r>
        <w:rPr>
          <w:sz w:val="20"/>
          <w:szCs w:val="20"/>
        </w:rPr>
        <w:t xml:space="preserve">The increase in subscription cost of revenue for the year ended December 31, 2020 compared to the year ended December 31, 2019 was primarily due to the following: </w:t>
      </w:r>
      <w:r>
        <w:rPr>
          <w:sz w:val="20"/>
          <w:szCs w:val="20"/>
        </w:rPr>
        <w:br/>
      </w: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88"/>
        <w:gridCol w:w="110"/>
        <w:gridCol w:w="161"/>
        <w:gridCol w:w="883"/>
        <w:gridCol w:w="142"/>
      </w:tblGrid>
      <w:tr w:rsidR="00000000">
        <w:trPr>
          <w:tblCellSpacing w:w="15" w:type="dxa"/>
        </w:trPr>
        <w:tc>
          <w:tcPr>
            <w:tcW w:w="3809" w:type="pct"/>
            <w:vAlign w:val="center"/>
            <w:hideMark/>
          </w:tcPr>
          <w:p w:rsidR="00000000" w:rsidRDefault="00A309A2">
            <w:pPr>
              <w:rPr>
                <w:sz w:val="20"/>
                <w:szCs w:val="20"/>
              </w:rPr>
            </w:pPr>
          </w:p>
        </w:tc>
        <w:tc>
          <w:tcPr>
            <w:tcW w:w="76" w:type="pct"/>
            <w:vAlign w:val="center"/>
            <w:hideMark/>
          </w:tcPr>
          <w:p w:rsidR="00000000" w:rsidRDefault="00A309A2">
            <w:pPr>
              <w:rPr>
                <w:rFonts w:eastAsia="Times New Roman"/>
                <w:sz w:val="20"/>
                <w:szCs w:val="20"/>
              </w:rPr>
            </w:pPr>
          </w:p>
        </w:tc>
        <w:tc>
          <w:tcPr>
            <w:tcW w:w="123" w:type="pct"/>
            <w:vAlign w:val="center"/>
            <w:hideMark/>
          </w:tcPr>
          <w:p w:rsidR="00000000" w:rsidRDefault="00A309A2">
            <w:pPr>
              <w:rPr>
                <w:rFonts w:eastAsia="Times New Roman"/>
                <w:sz w:val="20"/>
                <w:szCs w:val="20"/>
              </w:rPr>
            </w:pPr>
          </w:p>
        </w:tc>
        <w:tc>
          <w:tcPr>
            <w:tcW w:w="908"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21,99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5,23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4,83</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acquired technolog</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32,17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5</w:t>
      </w:r>
      <w:r>
        <w:rPr>
          <w:sz w:val="20"/>
          <w:szCs w:val="20"/>
        </w:rPr>
        <w:t>0</w:t>
      </w:r>
    </w:p>
    <w:p w:rsidR="00000000" w:rsidRDefault="00A309A2">
      <w:pPr>
        <w:rPr>
          <w:rFonts w:eastAsia="Times New Roman"/>
        </w:rPr>
      </w:pPr>
      <w:r>
        <w:rPr>
          <w:rFonts w:eastAsia="Times New Roman"/>
        </w:rPr>
        <w:pict>
          <v:rect id="_x0000_i107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sz w:val="20"/>
          <w:szCs w:val="20"/>
        </w:rPr>
        <w:t xml:space="preserve">Subscription and hosting costs increased primarily due to growth in our Customer base from 73,483 at December 31, 2019 to 103,994 at December 31, 2020. Additionally, we saw higher subscription and hosting costs as we focus on the security, reliability and </w:t>
      </w:r>
      <w:r>
        <w:rPr>
          <w:sz w:val="20"/>
          <w:szCs w:val="20"/>
        </w:rPr>
        <w:t>performance of our CRM Platform. Employee-related costs increased as a result of increased headcount as we continue to grow our customer support organization to support our customer growth and improve service levels and offerings, offset slightly by reduce</w:t>
      </w:r>
      <w:r>
        <w:rPr>
          <w:sz w:val="20"/>
          <w:szCs w:val="20"/>
        </w:rPr>
        <w:t>d discretionary spending as a result of the pandemic. Amortization of capitalized software development costs increased due to the increased number of developers working on our software platform as we continue to develop new products and increased functiona</w:t>
      </w:r>
      <w:r>
        <w:rPr>
          <w:sz w:val="20"/>
          <w:szCs w:val="20"/>
        </w:rPr>
        <w:t>lity. Allocated overhead expenses increased due to the expansion of our leased space and infrastructure as we continued to grow our business and expand headcount. Amortization of acquired technology decreased due to certain acquired technology reaching the</w:t>
      </w:r>
      <w:r>
        <w:rPr>
          <w:sz w:val="20"/>
          <w:szCs w:val="20"/>
        </w:rPr>
        <w:t xml:space="preserve"> end of its useful life during the year ended December 31, 2020.</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01"/>
        <w:gridCol w:w="110"/>
        <w:gridCol w:w="160"/>
        <w:gridCol w:w="610"/>
        <w:gridCol w:w="227"/>
        <w:gridCol w:w="110"/>
        <w:gridCol w:w="160"/>
        <w:gridCol w:w="610"/>
        <w:gridCol w:w="227"/>
        <w:gridCol w:w="110"/>
        <w:gridCol w:w="160"/>
        <w:gridCol w:w="562"/>
        <w:gridCol w:w="110"/>
        <w:gridCol w:w="110"/>
        <w:gridCol w:w="110"/>
        <w:gridCol w:w="556"/>
        <w:gridCol w:w="242"/>
      </w:tblGrid>
      <w:tr w:rsidR="00000000">
        <w:trPr>
          <w:tblCellSpacing w:w="15" w:type="dxa"/>
        </w:trPr>
        <w:tc>
          <w:tcPr>
            <w:tcW w:w="2394" w:type="pct"/>
            <w:vAlign w:val="center"/>
            <w:hideMark/>
          </w:tcPr>
          <w:p w:rsidR="00000000" w:rsidRDefault="00A309A2">
            <w:pPr>
              <w:rPr>
                <w:sz w:val="20"/>
                <w:szCs w:val="20"/>
              </w:rPr>
            </w:pPr>
          </w:p>
        </w:tc>
        <w:tc>
          <w:tcPr>
            <w:tcW w:w="43"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8"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9"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0"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28"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Professional services and other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36,27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31,44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professional services and other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200" w:beforeAutospacing="0" w:after="0" w:afterAutospacing="0"/>
        <w:ind w:firstLine="555"/>
        <w:rPr>
          <w:sz w:val="20"/>
          <w:szCs w:val="20"/>
        </w:rPr>
      </w:pPr>
      <w:r>
        <w:rPr>
          <w:sz w:val="20"/>
          <w:szCs w:val="20"/>
        </w:rPr>
        <w:t>The i</w:t>
      </w:r>
      <w:r>
        <w:rPr>
          <w:sz w:val="20"/>
          <w:szCs w:val="20"/>
        </w:rPr>
        <w:t>n</w:t>
      </w:r>
      <w:r>
        <w:rPr>
          <w:sz w:val="20"/>
          <w:szCs w:val="20"/>
        </w:rPr>
        <w:t>crease in professional services and other cost of revenue for the year ended December 31, 2020 compared to the year ended December 31, 2019 was primarily due to the following</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97"/>
        <w:gridCol w:w="115"/>
        <w:gridCol w:w="161"/>
        <w:gridCol w:w="886"/>
        <w:gridCol w:w="125"/>
      </w:tblGrid>
      <w:tr w:rsidR="00000000">
        <w:trPr>
          <w:tblCellSpacing w:w="15" w:type="dxa"/>
        </w:trPr>
        <w:tc>
          <w:tcPr>
            <w:tcW w:w="3830" w:type="pct"/>
            <w:vAlign w:val="center"/>
            <w:hideMark/>
          </w:tcPr>
          <w:p w:rsidR="00000000" w:rsidRDefault="00A309A2">
            <w:pPr>
              <w:rPr>
                <w:sz w:val="20"/>
                <w:szCs w:val="20"/>
              </w:rPr>
            </w:pPr>
          </w:p>
        </w:tc>
        <w:tc>
          <w:tcPr>
            <w:tcW w:w="74" w:type="pct"/>
            <w:vAlign w:val="center"/>
            <w:hideMark/>
          </w:tcPr>
          <w:p w:rsidR="00000000" w:rsidRDefault="00A309A2">
            <w:pPr>
              <w:rPr>
                <w:rFonts w:eastAsia="Times New Roman"/>
                <w:sz w:val="20"/>
                <w:szCs w:val="20"/>
              </w:rPr>
            </w:pPr>
          </w:p>
        </w:tc>
        <w:tc>
          <w:tcPr>
            <w:tcW w:w="124" w:type="pct"/>
            <w:vAlign w:val="center"/>
            <w:hideMark/>
          </w:tcPr>
          <w:p w:rsidR="00000000" w:rsidRDefault="00A309A2">
            <w:pPr>
              <w:rPr>
                <w:rFonts w:eastAsia="Times New Roman"/>
                <w:sz w:val="20"/>
                <w:szCs w:val="20"/>
              </w:rPr>
            </w:pPr>
          </w:p>
        </w:tc>
        <w:tc>
          <w:tcPr>
            <w:tcW w:w="920"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costs and 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ind w:firstLine="555"/>
        <w:rPr>
          <w:sz w:val="20"/>
          <w:szCs w:val="20"/>
        </w:rPr>
      </w:pPr>
      <w:r>
        <w:rPr>
          <w:sz w:val="20"/>
          <w:szCs w:val="20"/>
        </w:rPr>
        <w:t>Employee-related costs increased as a result of increased headcount as we continue to grow our professional services organization to support our customer growth</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Research and Developmen</w:t>
      </w:r>
      <w:r>
        <w:rPr>
          <w:b/>
          <w:bCs/>
          <w:i/>
          <w:iCs/>
          <w:sz w:val="20"/>
          <w:szCs w:val="20"/>
        </w:rPr>
        <w:t>t</w:t>
      </w:r>
    </w:p>
    <w:p w:rsidR="00000000" w:rsidRDefault="00A309A2">
      <w:pPr>
        <w:pStyle w:val="a3"/>
        <w:spacing w:before="20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10"/>
        <w:gridCol w:w="110"/>
        <w:gridCol w:w="160"/>
        <w:gridCol w:w="710"/>
        <w:gridCol w:w="227"/>
        <w:gridCol w:w="110"/>
        <w:gridCol w:w="160"/>
        <w:gridCol w:w="710"/>
        <w:gridCol w:w="227"/>
        <w:gridCol w:w="110"/>
        <w:gridCol w:w="160"/>
        <w:gridCol w:w="610"/>
        <w:gridCol w:w="110"/>
        <w:gridCol w:w="110"/>
        <w:gridCol w:w="110"/>
        <w:gridCol w:w="399"/>
        <w:gridCol w:w="242"/>
      </w:tblGrid>
      <w:tr w:rsidR="00000000">
        <w:trPr>
          <w:tblCellSpacing w:w="15" w:type="dxa"/>
        </w:trPr>
        <w:tc>
          <w:tcPr>
            <w:tcW w:w="2378" w:type="pct"/>
            <w:vAlign w:val="center"/>
            <w:hideMark/>
          </w:tcPr>
          <w:p w:rsidR="00000000" w:rsidRDefault="00A309A2">
            <w:pPr>
              <w:rPr>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7"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6"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24"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205,58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158,23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47,35</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200" w:beforeAutospacing="0" w:after="0" w:afterAutospacing="0"/>
        <w:rPr>
          <w:sz w:val="20"/>
          <w:szCs w:val="20"/>
        </w:rPr>
      </w:pPr>
      <w:r>
        <w:t> </w:t>
      </w:r>
    </w:p>
    <w:p w:rsidR="00000000" w:rsidRDefault="00A309A2">
      <w:pPr>
        <w:pStyle w:val="a3"/>
        <w:spacing w:before="200" w:beforeAutospacing="0" w:after="0" w:afterAutospacing="0"/>
        <w:ind w:firstLine="555"/>
        <w:rPr>
          <w:sz w:val="20"/>
          <w:szCs w:val="20"/>
        </w:rPr>
      </w:pPr>
      <w:r>
        <w:rPr>
          <w:sz w:val="20"/>
          <w:szCs w:val="20"/>
        </w:rPr>
        <w:t>The increase in research and development expense for the year ended December 31, 2020 compared to the year ended December 31, 2019 was primarily due to the following</w:t>
      </w:r>
      <w:r>
        <w:rPr>
          <w:sz w:val="20"/>
          <w:szCs w:val="20"/>
        </w:rPr>
        <w:t>:</w:t>
      </w:r>
    </w:p>
    <w:p w:rsidR="00000000" w:rsidRDefault="00A309A2">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90"/>
        <w:gridCol w:w="115"/>
        <w:gridCol w:w="161"/>
        <w:gridCol w:w="893"/>
        <w:gridCol w:w="125"/>
      </w:tblGrid>
      <w:tr w:rsidR="00000000">
        <w:trPr>
          <w:tblCellSpacing w:w="15" w:type="dxa"/>
        </w:trPr>
        <w:tc>
          <w:tcPr>
            <w:tcW w:w="3819" w:type="pct"/>
            <w:vAlign w:val="center"/>
            <w:hideMark/>
          </w:tcPr>
          <w:p w:rsidR="00000000" w:rsidRDefault="00A309A2">
            <w:pPr>
              <w:rPr>
                <w:sz w:val="20"/>
                <w:szCs w:val="20"/>
              </w:rPr>
            </w:pPr>
          </w:p>
        </w:tc>
        <w:tc>
          <w:tcPr>
            <w:tcW w:w="82" w:type="pct"/>
            <w:vAlign w:val="center"/>
            <w:hideMark/>
          </w:tcPr>
          <w:p w:rsidR="00000000" w:rsidRDefault="00A309A2">
            <w:pPr>
              <w:rPr>
                <w:rFonts w:eastAsia="Times New Roman"/>
                <w:sz w:val="20"/>
                <w:szCs w:val="20"/>
              </w:rPr>
            </w:pPr>
          </w:p>
        </w:tc>
        <w:tc>
          <w:tcPr>
            <w:tcW w:w="124" w:type="pct"/>
            <w:vAlign w:val="center"/>
            <w:hideMark/>
          </w:tcPr>
          <w:p w:rsidR="00000000" w:rsidRDefault="00A309A2">
            <w:pPr>
              <w:rPr>
                <w:rFonts w:eastAsia="Times New Roman"/>
                <w:sz w:val="20"/>
                <w:szCs w:val="20"/>
              </w:rPr>
            </w:pPr>
          </w:p>
        </w:tc>
        <w:tc>
          <w:tcPr>
            <w:tcW w:w="924"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39,79</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7,56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47,35</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t> </w:t>
      </w:r>
    </w:p>
    <w:p w:rsidR="00000000" w:rsidRDefault="00A309A2">
      <w:pPr>
        <w:pStyle w:val="a3"/>
        <w:spacing w:before="200" w:beforeAutospacing="0" w:after="0" w:afterAutospacing="0"/>
        <w:ind w:firstLine="555"/>
        <w:rPr>
          <w:sz w:val="20"/>
          <w:szCs w:val="20"/>
        </w:rPr>
      </w:pPr>
      <w:r>
        <w:rPr>
          <w:sz w:val="20"/>
          <w:szCs w:val="20"/>
        </w:rPr>
        <w:t>E</w:t>
      </w:r>
      <w:r>
        <w:rPr>
          <w:sz w:val="20"/>
          <w:szCs w:val="20"/>
        </w:rPr>
        <w:t>mployee-related costs increased as a result of increased headcount as we continue to grow our engineering organization to develop new products, increase functionality and to maintain our existing CRM Platform, slightly offset by reduced discretionary spend</w:t>
      </w:r>
      <w:r>
        <w:rPr>
          <w:sz w:val="20"/>
          <w:szCs w:val="20"/>
        </w:rPr>
        <w:t>ing as a result of the pandemic. Allocated overhead expense increased due to expanding our leased space and infrastructure as we continue to grow our business and expand headcount</w:t>
      </w:r>
      <w:r>
        <w:rPr>
          <w:sz w:val="20"/>
          <w:szCs w:val="20"/>
        </w:rPr>
        <w:t>.</w:t>
      </w:r>
    </w:p>
    <w:p w:rsidR="00000000" w:rsidRDefault="00A309A2">
      <w:pPr>
        <w:pStyle w:val="a3"/>
        <w:spacing w:before="200" w:beforeAutospacing="0" w:after="0" w:afterAutospacing="0"/>
        <w:ind w:left="476"/>
        <w:rPr>
          <w:sz w:val="20"/>
          <w:szCs w:val="20"/>
        </w:rPr>
      </w:pPr>
      <w:r>
        <w:rPr>
          <w:b/>
          <w:bCs/>
          <w:i/>
          <w:iCs/>
          <w:sz w:val="20"/>
          <w:szCs w:val="20"/>
        </w:rPr>
        <w:t>Sales and Marketin</w:t>
      </w:r>
      <w:r>
        <w:rPr>
          <w:b/>
          <w:bCs/>
          <w:i/>
          <w:iCs/>
          <w:sz w:val="20"/>
          <w:szCs w:val="20"/>
        </w:rPr>
        <w:t>g</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10"/>
        <w:gridCol w:w="110"/>
        <w:gridCol w:w="160"/>
        <w:gridCol w:w="710"/>
        <w:gridCol w:w="227"/>
        <w:gridCol w:w="110"/>
        <w:gridCol w:w="160"/>
        <w:gridCol w:w="710"/>
        <w:gridCol w:w="227"/>
        <w:gridCol w:w="110"/>
        <w:gridCol w:w="160"/>
        <w:gridCol w:w="710"/>
        <w:gridCol w:w="110"/>
        <w:gridCol w:w="110"/>
        <w:gridCol w:w="110"/>
        <w:gridCol w:w="399"/>
        <w:gridCol w:w="242"/>
      </w:tblGrid>
      <w:tr w:rsidR="00000000">
        <w:trPr>
          <w:tblCellSpacing w:w="15" w:type="dxa"/>
        </w:trPr>
        <w:tc>
          <w:tcPr>
            <w:tcW w:w="2367" w:type="pct"/>
            <w:vAlign w:val="center"/>
            <w:hideMark/>
          </w:tcPr>
          <w:p w:rsidR="00000000" w:rsidRDefault="00A309A2">
            <w:pPr>
              <w:rPr>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7"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25"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452,08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340,68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111,39</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5</w:t>
      </w:r>
      <w:r>
        <w:rPr>
          <w:sz w:val="20"/>
          <w:szCs w:val="20"/>
        </w:rPr>
        <w:t>1</w:t>
      </w:r>
    </w:p>
    <w:p w:rsidR="00000000" w:rsidRDefault="00A309A2">
      <w:pPr>
        <w:rPr>
          <w:rFonts w:eastAsia="Times New Roman"/>
        </w:rPr>
      </w:pPr>
      <w:r>
        <w:rPr>
          <w:rFonts w:eastAsia="Times New Roman"/>
        </w:rPr>
        <w:pict>
          <v:rect id="_x0000_i107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The increase in sales and marketing expense for the year ended December 31, 2020 compared to the year ended December 31, 2019 was primarily due to the following</w:t>
      </w:r>
      <w:r>
        <w:rPr>
          <w:sz w:val="20"/>
          <w:szCs w:val="20"/>
        </w:rPr>
        <w:t>:</w:t>
      </w:r>
    </w:p>
    <w:p w:rsidR="00000000" w:rsidRDefault="00A309A2">
      <w:pPr>
        <w:pStyle w:val="a3"/>
        <w:spacing w:before="0" w:beforeAutospacing="0" w:after="0" w:afterAutospacing="0"/>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703"/>
        <w:gridCol w:w="110"/>
        <w:gridCol w:w="160"/>
        <w:gridCol w:w="886"/>
        <w:gridCol w:w="125"/>
      </w:tblGrid>
      <w:tr w:rsidR="00000000">
        <w:trPr>
          <w:tblCellSpacing w:w="15" w:type="dxa"/>
        </w:trPr>
        <w:tc>
          <w:tcPr>
            <w:tcW w:w="3831" w:type="pct"/>
            <w:vAlign w:val="center"/>
            <w:hideMark/>
          </w:tcPr>
          <w:p w:rsidR="00000000" w:rsidRDefault="00A309A2">
            <w:pPr>
              <w:rPr>
                <w:sz w:val="20"/>
                <w:szCs w:val="20"/>
              </w:rPr>
            </w:pPr>
          </w:p>
        </w:tc>
        <w:tc>
          <w:tcPr>
            <w:tcW w:w="80" w:type="pct"/>
            <w:vAlign w:val="center"/>
            <w:hideMark/>
          </w:tcPr>
          <w:p w:rsidR="00000000" w:rsidRDefault="00A309A2">
            <w:pPr>
              <w:rPr>
                <w:rFonts w:eastAsia="Times New Roman"/>
                <w:sz w:val="20"/>
                <w:szCs w:val="20"/>
              </w:rPr>
            </w:pPr>
          </w:p>
        </w:tc>
        <w:tc>
          <w:tcPr>
            <w:tcW w:w="123" w:type="pct"/>
            <w:vAlign w:val="center"/>
            <w:hideMark/>
          </w:tcPr>
          <w:p w:rsidR="00000000" w:rsidRDefault="00A309A2">
            <w:pPr>
              <w:rPr>
                <w:rFonts w:eastAsia="Times New Roman"/>
                <w:sz w:val="20"/>
                <w:szCs w:val="20"/>
              </w:rPr>
            </w:pPr>
          </w:p>
        </w:tc>
        <w:tc>
          <w:tcPr>
            <w:tcW w:w="915"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center"/>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65,64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17,53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14,63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13,57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111,39</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0" w:afterAutospacing="0"/>
        <w:ind w:firstLine="555"/>
        <w:rPr>
          <w:sz w:val="20"/>
          <w:szCs w:val="20"/>
        </w:rPr>
      </w:pPr>
      <w:r>
        <w:rPr>
          <w:sz w:val="20"/>
          <w:szCs w:val="20"/>
        </w:rPr>
        <w:t>Employee-related costs increased as a result of increased headcount as we continue to expand our selling and marketing organizations to grow our customer base, offset by reduced discretionary spending as a result of the pandemic. Marketing programs increas</w:t>
      </w:r>
      <w:r>
        <w:rPr>
          <w:sz w:val="20"/>
          <w:szCs w:val="20"/>
        </w:rPr>
        <w:t xml:space="preserve">ed due to the timing and size of certain marketing efforts as we continue to make investments in attracting new customers. Solutions Partner commissions increased as a result of increased revenue generated through our partners. Allocated overhead expenses </w:t>
      </w:r>
      <w:r>
        <w:rPr>
          <w:sz w:val="20"/>
          <w:szCs w:val="20"/>
        </w:rPr>
        <w:t>increased due to expanding our leased space and infrastructure as we continue to grow our business and expand headcount</w:t>
      </w:r>
      <w:r>
        <w:rPr>
          <w:sz w:val="20"/>
          <w:szCs w:val="20"/>
        </w:rPr>
        <w:t>.</w:t>
      </w:r>
    </w:p>
    <w:p w:rsidR="00000000" w:rsidRDefault="00A309A2">
      <w:pPr>
        <w:pStyle w:val="a3"/>
        <w:spacing w:before="200" w:beforeAutospacing="0" w:after="0" w:afterAutospacing="0"/>
        <w:ind w:left="476"/>
        <w:rPr>
          <w:sz w:val="20"/>
          <w:szCs w:val="20"/>
        </w:rPr>
      </w:pPr>
      <w:r>
        <w:rPr>
          <w:b/>
          <w:bCs/>
          <w:i/>
          <w:iCs/>
          <w:sz w:val="20"/>
          <w:szCs w:val="20"/>
        </w:rPr>
        <w:t>General and Administrative</w:t>
      </w:r>
      <w:r>
        <w:rPr>
          <w:b/>
          <w:bCs/>
          <w:i/>
          <w:iCs/>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66"/>
        <w:gridCol w:w="110"/>
        <w:gridCol w:w="160"/>
        <w:gridCol w:w="710"/>
        <w:gridCol w:w="227"/>
        <w:gridCol w:w="110"/>
        <w:gridCol w:w="160"/>
        <w:gridCol w:w="610"/>
        <w:gridCol w:w="227"/>
        <w:gridCol w:w="110"/>
        <w:gridCol w:w="160"/>
        <w:gridCol w:w="610"/>
        <w:gridCol w:w="110"/>
        <w:gridCol w:w="110"/>
        <w:gridCol w:w="110"/>
        <w:gridCol w:w="443"/>
        <w:gridCol w:w="242"/>
      </w:tblGrid>
      <w:tr w:rsidR="00000000">
        <w:trPr>
          <w:tblCellSpacing w:w="15" w:type="dxa"/>
        </w:trPr>
        <w:tc>
          <w:tcPr>
            <w:tcW w:w="2387" w:type="pct"/>
            <w:vAlign w:val="center"/>
            <w:hideMark/>
          </w:tcPr>
          <w:p w:rsidR="00000000" w:rsidRDefault="00A309A2">
            <w:pPr>
              <w:rPr>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5"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7"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6"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424"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109,22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92,97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16,25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200" w:beforeAutospacing="0" w:after="0" w:afterAutospacing="0"/>
        <w:ind w:firstLine="555"/>
        <w:rPr>
          <w:sz w:val="20"/>
          <w:szCs w:val="20"/>
        </w:rPr>
      </w:pPr>
      <w:r>
        <w:rPr>
          <w:sz w:val="20"/>
          <w:szCs w:val="20"/>
        </w:rPr>
        <w:t>The increase in general and administrative expense for the year ended December 31, 2020 compared to the year ended December 31, 2019 was primarily due to the following</w:t>
      </w:r>
      <w:r>
        <w:rPr>
          <w:sz w:val="20"/>
          <w:szCs w:val="20"/>
        </w:rPr>
        <w:t>:</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697"/>
        <w:gridCol w:w="115"/>
        <w:gridCol w:w="161"/>
        <w:gridCol w:w="886"/>
        <w:gridCol w:w="125"/>
      </w:tblGrid>
      <w:tr w:rsidR="00000000">
        <w:trPr>
          <w:tblCellSpacing w:w="15" w:type="dxa"/>
        </w:trPr>
        <w:tc>
          <w:tcPr>
            <w:tcW w:w="3830" w:type="pct"/>
            <w:vAlign w:val="center"/>
            <w:hideMark/>
          </w:tcPr>
          <w:p w:rsidR="00000000" w:rsidRDefault="00A309A2">
            <w:pPr>
              <w:rPr>
                <w:sz w:val="20"/>
                <w:szCs w:val="20"/>
              </w:rPr>
            </w:pPr>
          </w:p>
        </w:tc>
        <w:tc>
          <w:tcPr>
            <w:tcW w:w="74" w:type="pct"/>
            <w:vAlign w:val="center"/>
            <w:hideMark/>
          </w:tcPr>
          <w:p w:rsidR="00000000" w:rsidRDefault="00A309A2">
            <w:pPr>
              <w:rPr>
                <w:rFonts w:eastAsia="Times New Roman"/>
                <w:sz w:val="20"/>
                <w:szCs w:val="20"/>
              </w:rPr>
            </w:pPr>
          </w:p>
        </w:tc>
        <w:tc>
          <w:tcPr>
            <w:tcW w:w="124" w:type="pct"/>
            <w:vAlign w:val="center"/>
            <w:hideMark/>
          </w:tcPr>
          <w:p w:rsidR="00000000" w:rsidRDefault="00A309A2">
            <w:pPr>
              <w:rPr>
                <w:rFonts w:eastAsia="Times New Roman"/>
                <w:sz w:val="20"/>
                <w:szCs w:val="20"/>
              </w:rPr>
            </w:pPr>
          </w:p>
        </w:tc>
        <w:tc>
          <w:tcPr>
            <w:tcW w:w="920"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7,00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5,88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3,36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16,25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rPr>
          <w:sz w:val="20"/>
          <w:szCs w:val="20"/>
        </w:rPr>
      </w:pPr>
      <w:r>
        <w:rPr>
          <w:sz w:val="20"/>
          <w:szCs w:val="20"/>
        </w:rPr>
        <w:t>Employee-related costs increased as a result of increased headcount as we continue to grow our business and require additional personnel to support our expanded operations, offset by reduced discretionary spending as a result of the pandemic. Allocated ove</w:t>
      </w:r>
      <w:r>
        <w:rPr>
          <w:sz w:val="20"/>
          <w:szCs w:val="20"/>
        </w:rPr>
        <w:t>rhead expenses increased due to expanding our leased space and infrastructure as we continue to grow our business and expand headcount. Customer credit card fees increased due to increased customer transactions as we continue to grow our business</w:t>
      </w:r>
      <w:r>
        <w:rPr>
          <w:sz w:val="20"/>
          <w:szCs w:val="20"/>
        </w:rPr>
        <w:t>.</w:t>
      </w:r>
    </w:p>
    <w:p w:rsidR="00000000" w:rsidRDefault="00A309A2">
      <w:pPr>
        <w:pStyle w:val="a3"/>
        <w:spacing w:before="360" w:beforeAutospacing="0" w:after="0" w:afterAutospacing="0"/>
        <w:ind w:left="476"/>
        <w:rPr>
          <w:sz w:val="20"/>
          <w:szCs w:val="20"/>
        </w:rPr>
      </w:pPr>
      <w:r>
        <w:rPr>
          <w:b/>
          <w:bCs/>
          <w:i/>
          <w:iCs/>
          <w:sz w:val="20"/>
          <w:szCs w:val="20"/>
        </w:rPr>
        <w:t>Other Ex</w:t>
      </w:r>
      <w:r>
        <w:rPr>
          <w:b/>
          <w:bCs/>
          <w:i/>
          <w:iCs/>
          <w:sz w:val="20"/>
          <w:szCs w:val="20"/>
        </w:rPr>
        <w:t>pens</w:t>
      </w:r>
      <w:r>
        <w:rPr>
          <w:b/>
          <w:bCs/>
          <w:i/>
          <w:iCs/>
          <w:sz w:val="20"/>
          <w:szCs w:val="20"/>
        </w:rPr>
        <w:t>e</w:t>
      </w:r>
      <w:r>
        <w:rPr>
          <w:b/>
          <w:bCs/>
          <w:i/>
          <w:iCs/>
          <w:sz w:val="20"/>
          <w:szCs w:val="20"/>
        </w:rPr>
        <w:t xml:space="preserve"> </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89"/>
        <w:gridCol w:w="110"/>
        <w:gridCol w:w="160"/>
        <w:gridCol w:w="677"/>
        <w:gridCol w:w="294"/>
        <w:gridCol w:w="110"/>
        <w:gridCol w:w="160"/>
        <w:gridCol w:w="677"/>
        <w:gridCol w:w="294"/>
        <w:gridCol w:w="110"/>
        <w:gridCol w:w="160"/>
        <w:gridCol w:w="677"/>
        <w:gridCol w:w="127"/>
        <w:gridCol w:w="110"/>
        <w:gridCol w:w="110"/>
        <w:gridCol w:w="368"/>
        <w:gridCol w:w="242"/>
      </w:tblGrid>
      <w:tr w:rsidR="00000000">
        <w:trPr>
          <w:tblCellSpacing w:w="15" w:type="dxa"/>
        </w:trPr>
        <w:tc>
          <w:tcPr>
            <w:tcW w:w="2363" w:type="pct"/>
            <w:vAlign w:val="center"/>
            <w:hideMark/>
          </w:tcPr>
          <w:p w:rsidR="00000000" w:rsidRDefault="00A309A2">
            <w:pPr>
              <w:rPr>
                <w:sz w:val="20"/>
                <w:szCs w:val="20"/>
              </w:rPr>
            </w:pPr>
          </w:p>
        </w:tc>
        <w:tc>
          <w:tcPr>
            <w:tcW w:w="3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4" w:type="pct"/>
            <w:vAlign w:val="center"/>
            <w:hideMark/>
          </w:tcPr>
          <w:p w:rsidR="00000000" w:rsidRDefault="00A309A2">
            <w:pPr>
              <w:rPr>
                <w:rFonts w:eastAsia="Times New Roman"/>
                <w:sz w:val="20"/>
                <w:szCs w:val="20"/>
              </w:rPr>
            </w:pPr>
          </w:p>
        </w:tc>
        <w:tc>
          <w:tcPr>
            <w:tcW w:w="163"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5" w:type="pct"/>
            <w:vAlign w:val="center"/>
            <w:hideMark/>
          </w:tcPr>
          <w:p w:rsidR="00000000" w:rsidRDefault="00A309A2">
            <w:pPr>
              <w:rPr>
                <w:rFonts w:eastAsia="Times New Roman"/>
                <w:sz w:val="20"/>
                <w:szCs w:val="20"/>
              </w:rPr>
            </w:pPr>
          </w:p>
        </w:tc>
        <w:tc>
          <w:tcPr>
            <w:tcW w:w="163"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4" w:type="pct"/>
            <w:vAlign w:val="center"/>
            <w:hideMark/>
          </w:tcPr>
          <w:p w:rsidR="00000000" w:rsidRDefault="00A309A2">
            <w:pPr>
              <w:rPr>
                <w:rFonts w:eastAsia="Times New Roman"/>
                <w:sz w:val="20"/>
                <w:szCs w:val="20"/>
              </w:rPr>
            </w:pPr>
          </w:p>
        </w:tc>
        <w:tc>
          <w:tcPr>
            <w:tcW w:w="46" w:type="pct"/>
            <w:vAlign w:val="center"/>
            <w:hideMark/>
          </w:tcPr>
          <w:p w:rsidR="00000000" w:rsidRDefault="00A309A2">
            <w:pPr>
              <w:rPr>
                <w:rFonts w:eastAsia="Times New Roman"/>
                <w:sz w:val="20"/>
                <w:szCs w:val="20"/>
              </w:rPr>
            </w:pPr>
          </w:p>
        </w:tc>
        <w:tc>
          <w:tcPr>
            <w:tcW w:w="16" w:type="pct"/>
            <w:vAlign w:val="center"/>
            <w:hideMark/>
          </w:tcPr>
          <w:p w:rsidR="00000000" w:rsidRDefault="00A309A2">
            <w:pPr>
              <w:rPr>
                <w:rFonts w:eastAsia="Times New Roman"/>
                <w:sz w:val="20"/>
                <w:szCs w:val="20"/>
              </w:rPr>
            </w:pPr>
          </w:p>
        </w:tc>
        <w:tc>
          <w:tcPr>
            <w:tcW w:w="31" w:type="pct"/>
            <w:vAlign w:val="center"/>
            <w:hideMark/>
          </w:tcPr>
          <w:p w:rsidR="00000000" w:rsidRDefault="00A309A2">
            <w:pPr>
              <w:rPr>
                <w:rFonts w:eastAsia="Times New Roman"/>
                <w:sz w:val="20"/>
                <w:szCs w:val="20"/>
              </w:rPr>
            </w:pPr>
          </w:p>
        </w:tc>
        <w:tc>
          <w:tcPr>
            <w:tcW w:w="415" w:type="pct"/>
            <w:vAlign w:val="center"/>
            <w:hideMark/>
          </w:tcPr>
          <w:p w:rsidR="00000000" w:rsidRDefault="00A309A2">
            <w:pPr>
              <w:rPr>
                <w:rFonts w:eastAsia="Times New Roman"/>
                <w:sz w:val="20"/>
                <w:szCs w:val="20"/>
              </w:rPr>
            </w:pPr>
          </w:p>
        </w:tc>
        <w:tc>
          <w:tcPr>
            <w:tcW w:w="131"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Interest incom</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19,42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(11,65</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(37,04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(22,81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(14,23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pBdr>
          <w:bottom w:val="single" w:sz="4" w:space="1" w:color="auto"/>
        </w:pBdr>
        <w:spacing w:before="0" w:beforeAutospacing="0" w:after="0" w:afterAutospacing="0"/>
        <w:ind w:right="10239"/>
        <w:rPr>
          <w:sz w:val="20"/>
          <w:szCs w:val="20"/>
        </w:rPr>
      </w:pPr>
      <w:r>
        <w:rPr>
          <w:sz w:val="12"/>
          <w:szCs w:val="12"/>
        </w:rPr>
        <w:t> </w:t>
      </w:r>
    </w:p>
    <w:p w:rsidR="00000000" w:rsidRDefault="00A309A2">
      <w:pPr>
        <w:pStyle w:val="a3"/>
        <w:spacing w:before="40" w:beforeAutospacing="0" w:after="0" w:afterAutospacing="0"/>
        <w:ind w:hanging="581"/>
        <w:rPr>
          <w:sz w:val="20"/>
          <w:szCs w:val="20"/>
        </w:rPr>
      </w:pPr>
      <w:r>
        <w:rPr>
          <w:sz w:val="20"/>
          <w:szCs w:val="20"/>
        </w:rPr>
        <w:t>* not meaningfu</w:t>
      </w:r>
      <w:r>
        <w:rPr>
          <w:sz w:val="20"/>
          <w:szCs w:val="20"/>
        </w:rPr>
        <w:t>l</w:t>
      </w:r>
    </w:p>
    <w:p w:rsidR="00000000" w:rsidRDefault="00A309A2">
      <w:pPr>
        <w:pStyle w:val="a3"/>
        <w:spacing w:before="240" w:beforeAutospacing="0" w:after="0" w:afterAutospacing="0"/>
        <w:ind w:firstLine="555"/>
        <w:rPr>
          <w:sz w:val="20"/>
          <w:szCs w:val="20"/>
        </w:rPr>
      </w:pPr>
      <w:r>
        <w:rPr>
          <w:sz w:val="20"/>
          <w:szCs w:val="20"/>
        </w:rPr>
        <w:t>Interest income primarily consists of interest earned on invested cash and cash equivalents balances and investments. The decrease during the year is due to a decrease in yields on our investment balance</w:t>
      </w:r>
      <w:r>
        <w:rPr>
          <w:sz w:val="20"/>
          <w:szCs w:val="20"/>
        </w:rPr>
        <w:t>s</w:t>
      </w:r>
      <w:r>
        <w:rPr>
          <w:sz w:val="20"/>
          <w:szCs w:val="20"/>
        </w:rPr>
        <w:t xml:space="preserve">, offset by an increase in the amount of investment </w:t>
      </w:r>
      <w:r>
        <w:rPr>
          <w:sz w:val="20"/>
          <w:szCs w:val="20"/>
        </w:rPr>
        <w:t>holdings from the proceeds received from the issuance of the 2025 Notes</w:t>
      </w:r>
      <w:r>
        <w:rPr>
          <w:sz w:val="20"/>
          <w:szCs w:val="20"/>
        </w:rPr>
        <w:t>.</w:t>
      </w:r>
    </w:p>
    <w:p w:rsidR="00000000" w:rsidRDefault="00A309A2">
      <w:pPr>
        <w:pStyle w:val="a3"/>
        <w:spacing w:before="240" w:beforeAutospacing="0" w:after="0" w:afterAutospacing="0"/>
        <w:ind w:firstLine="555"/>
        <w:rPr>
          <w:sz w:val="20"/>
          <w:szCs w:val="20"/>
        </w:rPr>
      </w:pPr>
      <w:r>
        <w:rPr>
          <w:sz w:val="20"/>
          <w:szCs w:val="20"/>
        </w:rPr>
        <w:t>Interest expense primarily consists of amortization of the debt discount and issuance costs and contractual interest expense related to our Notes, and the loss on early extinguishment of our 2022 Notes. The increase during the year ended December 31, 202</w:t>
      </w:r>
      <w:r>
        <w:rPr>
          <w:sz w:val="20"/>
          <w:szCs w:val="20"/>
        </w:rPr>
        <w:t>0</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5</w:t>
      </w:r>
      <w:r>
        <w:rPr>
          <w:sz w:val="20"/>
          <w:szCs w:val="20"/>
        </w:rPr>
        <w:t>2</w:t>
      </w:r>
    </w:p>
    <w:p w:rsidR="00000000" w:rsidRDefault="00A309A2">
      <w:pPr>
        <w:rPr>
          <w:rFonts w:eastAsia="Times New Roman"/>
        </w:rPr>
      </w:pPr>
      <w:r>
        <w:rPr>
          <w:rFonts w:eastAsia="Times New Roman"/>
        </w:rPr>
        <w:pict>
          <v:rect id="_x0000_i1079"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rPr>
          <w:sz w:val="20"/>
          <w:szCs w:val="20"/>
        </w:rPr>
      </w:pPr>
      <w:r>
        <w:rPr>
          <w:sz w:val="20"/>
          <w:szCs w:val="20"/>
        </w:rPr>
        <w:t xml:space="preserve">was primarily due to the $10.5 million loss on the early extinguishment of our 2022 Notes and </w:t>
      </w:r>
      <w:r>
        <w:rPr>
          <w:sz w:val="20"/>
          <w:szCs w:val="20"/>
        </w:rPr>
        <w:t>a</w:t>
      </w:r>
      <w:r>
        <w:rPr>
          <w:sz w:val="20"/>
          <w:szCs w:val="20"/>
        </w:rPr>
        <w:t>mortization of the debt discount and issuance costs related to the 2025 Note</w:t>
      </w:r>
      <w:r>
        <w:rPr>
          <w:sz w:val="20"/>
          <w:szCs w:val="20"/>
        </w:rPr>
        <w:t>s</w:t>
      </w:r>
      <w:r>
        <w:rPr>
          <w:sz w:val="20"/>
          <w:szCs w:val="20"/>
        </w:rPr>
        <w:t>.</w:t>
      </w:r>
      <w:r>
        <w:rPr>
          <w:sz w:val="20"/>
          <w:szCs w:val="20"/>
        </w:rPr>
        <w:t xml:space="preserve"> </w:t>
      </w:r>
    </w:p>
    <w:p w:rsidR="00000000" w:rsidRDefault="00A309A2">
      <w:pPr>
        <w:pStyle w:val="a3"/>
        <w:spacing w:before="240" w:beforeAutospacing="0" w:after="0" w:afterAutospacing="0"/>
        <w:ind w:firstLine="555"/>
        <w:rPr>
          <w:sz w:val="20"/>
          <w:szCs w:val="20"/>
        </w:rPr>
      </w:pPr>
      <w:r>
        <w:rPr>
          <w:sz w:val="20"/>
          <w:szCs w:val="20"/>
        </w:rPr>
        <w:t>Other expense primarily consists of the</w:t>
      </w:r>
      <w:r>
        <w:rPr>
          <w:sz w:val="20"/>
          <w:szCs w:val="20"/>
        </w:rPr>
        <w:t xml:space="preserve"> impact of foreign currency transaction gains and losses associated with monetary assets and liabilities. The increase was primarily due to exchange rate fluctuations</w:t>
      </w:r>
      <w:r>
        <w:rPr>
          <w:sz w:val="20"/>
          <w:szCs w:val="20"/>
        </w:rPr>
        <w:t>.</w:t>
      </w:r>
      <w:r>
        <w:rPr>
          <w:sz w:val="20"/>
          <w:szCs w:val="20"/>
        </w:rPr>
        <w:t xml:space="preserve"> </w:t>
      </w:r>
    </w:p>
    <w:p w:rsidR="00000000" w:rsidRDefault="00A309A2">
      <w:pPr>
        <w:pStyle w:val="a3"/>
        <w:spacing w:before="360" w:beforeAutospacing="0" w:after="0" w:afterAutospacing="0"/>
        <w:ind w:left="476"/>
        <w:rPr>
          <w:sz w:val="20"/>
          <w:szCs w:val="20"/>
        </w:rPr>
      </w:pPr>
      <w:r>
        <w:rPr>
          <w:b/>
          <w:bCs/>
          <w:i/>
          <w:iCs/>
          <w:sz w:val="20"/>
          <w:szCs w:val="20"/>
        </w:rPr>
        <w:t>Income Tax Expens</w:t>
      </w:r>
      <w:r>
        <w:rPr>
          <w:b/>
          <w:bCs/>
          <w:i/>
          <w:iCs/>
          <w:sz w:val="20"/>
          <w:szCs w:val="20"/>
        </w:rPr>
        <w:t>e</w:t>
      </w:r>
      <w:r>
        <w:rPr>
          <w:b/>
          <w:bCs/>
          <w:i/>
          <w:iCs/>
          <w:sz w:val="20"/>
          <w:szCs w:val="20"/>
        </w:rPr>
        <w:t xml:space="preserve"> </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00"/>
        <w:gridCol w:w="110"/>
        <w:gridCol w:w="160"/>
        <w:gridCol w:w="589"/>
        <w:gridCol w:w="227"/>
        <w:gridCol w:w="110"/>
        <w:gridCol w:w="160"/>
        <w:gridCol w:w="590"/>
        <w:gridCol w:w="227"/>
        <w:gridCol w:w="110"/>
        <w:gridCol w:w="160"/>
        <w:gridCol w:w="589"/>
        <w:gridCol w:w="127"/>
        <w:gridCol w:w="110"/>
        <w:gridCol w:w="110"/>
        <w:gridCol w:w="554"/>
        <w:gridCol w:w="242"/>
      </w:tblGrid>
      <w:tr w:rsidR="00000000">
        <w:trPr>
          <w:tblCellSpacing w:w="15" w:type="dxa"/>
        </w:trPr>
        <w:tc>
          <w:tcPr>
            <w:tcW w:w="2397" w:type="pct"/>
            <w:vAlign w:val="center"/>
            <w:hideMark/>
          </w:tcPr>
          <w:p w:rsidR="00000000" w:rsidRDefault="00A309A2">
            <w:pPr>
              <w:rPr>
                <w:sz w:val="20"/>
                <w:szCs w:val="20"/>
              </w:rPr>
            </w:pPr>
          </w:p>
        </w:tc>
        <w:tc>
          <w:tcPr>
            <w:tcW w:w="4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6"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7"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56" w:type="pct"/>
            <w:vAlign w:val="center"/>
            <w:hideMark/>
          </w:tcPr>
          <w:p w:rsidR="00000000" w:rsidRDefault="00A309A2">
            <w:pPr>
              <w:rPr>
                <w:rFonts w:eastAsia="Times New Roman"/>
                <w:sz w:val="20"/>
                <w:szCs w:val="20"/>
              </w:rPr>
            </w:pPr>
          </w:p>
        </w:tc>
        <w:tc>
          <w:tcPr>
            <w:tcW w:w="47" w:type="pct"/>
            <w:vAlign w:val="center"/>
            <w:hideMark/>
          </w:tcPr>
          <w:p w:rsidR="00000000" w:rsidRDefault="00A309A2">
            <w:pPr>
              <w:rPr>
                <w:rFonts w:eastAsia="Times New Roman"/>
                <w:sz w:val="20"/>
                <w:szCs w:val="20"/>
              </w:rPr>
            </w:pPr>
          </w:p>
        </w:tc>
        <w:tc>
          <w:tcPr>
            <w:tcW w:w="34" w:type="pct"/>
            <w:vAlign w:val="center"/>
            <w:hideMark/>
          </w:tcPr>
          <w:p w:rsidR="00000000" w:rsidRDefault="00A309A2">
            <w:pPr>
              <w:rPr>
                <w:rFonts w:eastAsia="Times New Roman"/>
                <w:sz w:val="20"/>
                <w:szCs w:val="20"/>
              </w:rPr>
            </w:pPr>
          </w:p>
        </w:tc>
        <w:tc>
          <w:tcPr>
            <w:tcW w:w="34" w:type="pct"/>
            <w:vAlign w:val="center"/>
            <w:hideMark/>
          </w:tcPr>
          <w:p w:rsidR="00000000" w:rsidRDefault="00A309A2">
            <w:pPr>
              <w:rPr>
                <w:rFonts w:eastAsia="Times New Roman"/>
                <w:sz w:val="20"/>
                <w:szCs w:val="20"/>
              </w:rPr>
            </w:pPr>
          </w:p>
        </w:tc>
        <w:tc>
          <w:tcPr>
            <w:tcW w:w="430" w:type="pct"/>
            <w:vAlign w:val="center"/>
            <w:hideMark/>
          </w:tcPr>
          <w:p w:rsidR="00000000" w:rsidRDefault="00A309A2">
            <w:pPr>
              <w:rPr>
                <w:rFonts w:eastAsia="Times New Roman"/>
                <w:sz w:val="20"/>
                <w:szCs w:val="20"/>
              </w:rPr>
            </w:pPr>
          </w:p>
        </w:tc>
        <w:tc>
          <w:tcPr>
            <w:tcW w:w="11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(1,24</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Effective tax rat</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bl>
    <w:p w:rsidR="00000000" w:rsidRDefault="00A309A2">
      <w:pPr>
        <w:pStyle w:val="a3"/>
        <w:spacing w:before="200" w:beforeAutospacing="0" w:after="0" w:afterAutospacing="0"/>
        <w:ind w:firstLine="555"/>
        <w:rPr>
          <w:sz w:val="20"/>
          <w:szCs w:val="20"/>
        </w:rPr>
      </w:pPr>
      <w:r>
        <w:rPr>
          <w:sz w:val="20"/>
          <w:szCs w:val="20"/>
        </w:rPr>
        <w:t>Income tax expense consists of current and deferred taxes for U.S. and foreign income taxes. The increase in the income tax expense was primarily driven by increased income in jurisdictions outside of the United States that are profitable from a tax perspe</w:t>
      </w:r>
      <w:r>
        <w:rPr>
          <w:sz w:val="20"/>
          <w:szCs w:val="20"/>
        </w:rPr>
        <w:t>ctive</w:t>
      </w:r>
      <w:r>
        <w:rPr>
          <w:sz w:val="20"/>
          <w:szCs w:val="20"/>
        </w:rPr>
        <w:t>.</w:t>
      </w:r>
    </w:p>
    <w:p w:rsidR="00000000" w:rsidRDefault="00A309A2">
      <w:pPr>
        <w:pStyle w:val="a3"/>
        <w:spacing w:before="200" w:beforeAutospacing="0" w:after="0" w:afterAutospacing="0"/>
        <w:rPr>
          <w:sz w:val="20"/>
          <w:szCs w:val="20"/>
        </w:rPr>
      </w:pPr>
      <w:r>
        <w:rPr>
          <w:b/>
          <w:bCs/>
          <w:sz w:val="20"/>
          <w:szCs w:val="20"/>
        </w:rPr>
        <w:t>Liquidity and Capital Resource</w:t>
      </w:r>
      <w:r>
        <w:rPr>
          <w:b/>
          <w:bCs/>
          <w:sz w:val="20"/>
          <w:szCs w:val="20"/>
        </w:rPr>
        <w:t>s</w:t>
      </w:r>
    </w:p>
    <w:p w:rsidR="00000000" w:rsidRDefault="00A309A2">
      <w:pPr>
        <w:pStyle w:val="a3"/>
        <w:spacing w:before="200" w:beforeAutospacing="0" w:after="0" w:afterAutospacing="0"/>
        <w:ind w:firstLine="555"/>
        <w:rPr>
          <w:sz w:val="20"/>
          <w:szCs w:val="20"/>
        </w:rPr>
      </w:pPr>
      <w:r>
        <w:rPr>
          <w:sz w:val="20"/>
          <w:szCs w:val="20"/>
        </w:rPr>
        <w:t>Our principal sources of liquidity to date have been cash and cash equivalents, net accounts receivable, our common stock offerings, and our convertible notes offerings</w:t>
      </w:r>
      <w:r>
        <w:rPr>
          <w:sz w:val="20"/>
          <w:szCs w:val="20"/>
        </w:rPr>
        <w:t>.</w:t>
      </w:r>
    </w:p>
    <w:p w:rsidR="00000000" w:rsidRDefault="00A309A2">
      <w:pPr>
        <w:pStyle w:val="a3"/>
        <w:spacing w:before="200" w:beforeAutospacing="0" w:after="0" w:afterAutospacing="0"/>
        <w:ind w:firstLine="555"/>
        <w:rPr>
          <w:sz w:val="20"/>
          <w:szCs w:val="20"/>
        </w:rPr>
      </w:pPr>
      <w:r>
        <w:rPr>
          <w:sz w:val="20"/>
          <w:szCs w:val="20"/>
        </w:rPr>
        <w:t>The following table shows cash and cash equivalents, working capital, net cash and cas</w:t>
      </w:r>
      <w:r>
        <w:rPr>
          <w:sz w:val="20"/>
          <w:szCs w:val="20"/>
        </w:rPr>
        <w:t>h equivalents provided by operating activities, net cash and cash equivalents used in investing activities, and net cash and cash equivalents (used in) and provided by financing activities for the years ended December 31, 2021, 2020 and 2019</w:t>
      </w:r>
      <w:r>
        <w:rPr>
          <w:sz w:val="20"/>
          <w:szCs w:val="20"/>
        </w:rPr>
        <w:t>:</w:t>
      </w:r>
    </w:p>
    <w:p w:rsidR="00000000" w:rsidRDefault="00A309A2">
      <w:pPr>
        <w:pStyle w:val="a3"/>
        <w:spacing w:before="0" w:beforeAutospacing="0" w:after="0" w:afterAutospacing="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55"/>
        <w:gridCol w:w="110"/>
        <w:gridCol w:w="160"/>
        <w:gridCol w:w="777"/>
        <w:gridCol w:w="127"/>
        <w:gridCol w:w="110"/>
        <w:gridCol w:w="160"/>
        <w:gridCol w:w="860"/>
        <w:gridCol w:w="127"/>
        <w:gridCol w:w="110"/>
        <w:gridCol w:w="160"/>
        <w:gridCol w:w="777"/>
        <w:gridCol w:w="142"/>
      </w:tblGrid>
      <w:tr w:rsidR="00000000">
        <w:trPr>
          <w:tblCellSpacing w:w="15" w:type="dxa"/>
        </w:trPr>
        <w:tc>
          <w:tcPr>
            <w:tcW w:w="2755" w:type="pct"/>
            <w:vAlign w:val="center"/>
            <w:hideMark/>
          </w:tcPr>
          <w:p w:rsidR="00000000" w:rsidRDefault="00A309A2">
            <w:pPr>
              <w:rPr>
                <w:sz w:val="20"/>
                <w:szCs w:val="20"/>
              </w:rPr>
            </w:pPr>
          </w:p>
        </w:tc>
        <w:tc>
          <w:tcPr>
            <w:tcW w:w="60"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550"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557"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600"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377,01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378,12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269,67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Working capita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836,10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1,011,42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787,23</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cash and cash equivalents provided by operating activitie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238,72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88,91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118,97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cash and cash equivalents used in investing activitie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(179,50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(215,56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(316,19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cash and cash equivalents (used in) provided by financing activitie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(51,46</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222,46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359,34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200" w:afterAutospacing="0"/>
        <w:rPr>
          <w:sz w:val="20"/>
          <w:szCs w:val="20"/>
        </w:rPr>
      </w:pPr>
      <w:r>
        <w:rPr>
          <w:sz w:val="20"/>
          <w:szCs w:val="20"/>
        </w:rPr>
        <w:t> </w:t>
      </w:r>
    </w:p>
    <w:p w:rsidR="00000000" w:rsidRDefault="00A309A2">
      <w:pPr>
        <w:pStyle w:val="a3"/>
        <w:spacing w:before="200" w:beforeAutospacing="0" w:afterAutospacing="0"/>
        <w:ind w:firstLine="555"/>
        <w:rPr>
          <w:sz w:val="20"/>
          <w:szCs w:val="20"/>
        </w:rPr>
      </w:pPr>
      <w:r>
        <w:rPr>
          <w:sz w:val="20"/>
          <w:szCs w:val="20"/>
        </w:rPr>
        <w:t>Our cash and cash equivalents at December 31, 2021 were held for working capital purposes. We believe our working capital is sufficient to support our operations for at least the next 12 months. At December 31, 2021, $110.5 million of our cash and cash equ</w:t>
      </w:r>
      <w:r>
        <w:rPr>
          <w:sz w:val="20"/>
          <w:szCs w:val="20"/>
        </w:rPr>
        <w:t>ivalents was held in accounts outside the United States. We do no</w:t>
      </w:r>
      <w:r>
        <w:rPr>
          <w:sz w:val="20"/>
          <w:szCs w:val="20"/>
        </w:rPr>
        <w:t>t</w:t>
      </w:r>
      <w:r>
        <w:rPr>
          <w:sz w:val="20"/>
          <w:szCs w:val="20"/>
        </w:rPr>
        <w:t xml:space="preserve"> assert indefinite reinvestment of our foreign earnings because these earnings have been subject to U.S. Federal tax. While we have concluded that any incremental tax incurred upon ultimate </w:t>
      </w:r>
      <w:r>
        <w:rPr>
          <w:sz w:val="20"/>
          <w:szCs w:val="20"/>
        </w:rPr>
        <w:t>distribution of these earnings to be immaterial, our current plans do not demonstrate a need to repatriate undistributed earnings to fund our U.S. operations</w:t>
      </w:r>
      <w:r>
        <w:rPr>
          <w:sz w:val="20"/>
          <w:szCs w:val="20"/>
        </w:rPr>
        <w:t>.</w:t>
      </w:r>
    </w:p>
    <w:p w:rsidR="00000000" w:rsidRDefault="00A309A2">
      <w:pPr>
        <w:pStyle w:val="a3"/>
        <w:spacing w:before="200" w:beforeAutospacing="0" w:afterAutospacing="0"/>
        <w:ind w:left="476"/>
        <w:rPr>
          <w:sz w:val="20"/>
          <w:szCs w:val="20"/>
        </w:rPr>
      </w:pPr>
      <w:r>
        <w:rPr>
          <w:b/>
          <w:bCs/>
          <w:i/>
          <w:iCs/>
          <w:sz w:val="20"/>
          <w:szCs w:val="20"/>
        </w:rPr>
        <w:t>Net Cash and Cash Equivalents Provided by Operating Activitie</w:t>
      </w:r>
      <w:r>
        <w:rPr>
          <w:b/>
          <w:bCs/>
          <w:i/>
          <w:iCs/>
          <w:sz w:val="20"/>
          <w:szCs w:val="20"/>
        </w:rPr>
        <w:t>s</w:t>
      </w:r>
    </w:p>
    <w:p w:rsidR="00000000" w:rsidRDefault="00A309A2">
      <w:pPr>
        <w:pStyle w:val="a3"/>
        <w:spacing w:before="200" w:beforeAutospacing="0" w:afterAutospacing="0"/>
        <w:ind w:firstLine="555"/>
        <w:rPr>
          <w:sz w:val="20"/>
          <w:szCs w:val="20"/>
        </w:rPr>
      </w:pPr>
      <w:r>
        <w:rPr>
          <w:sz w:val="20"/>
          <w:szCs w:val="20"/>
        </w:rPr>
        <w:t>Net cash and cash equivalents prov</w:t>
      </w:r>
      <w:r>
        <w:rPr>
          <w:sz w:val="20"/>
          <w:szCs w:val="20"/>
        </w:rPr>
        <w:t>ided by operating activities consists primarily of net loss adjusted for certain non-cash items, including stock-based compensation, depreciation and amortization and other non-cash charges, net</w:t>
      </w:r>
      <w:r>
        <w:rPr>
          <w:sz w:val="20"/>
          <w:szCs w:val="20"/>
        </w:rPr>
        <w:t>.</w:t>
      </w:r>
    </w:p>
    <w:p w:rsidR="00000000" w:rsidRDefault="00A309A2">
      <w:pPr>
        <w:pStyle w:val="a3"/>
        <w:spacing w:before="200" w:beforeAutospacing="0" w:afterAutospacing="0"/>
        <w:ind w:firstLine="555"/>
        <w:rPr>
          <w:sz w:val="20"/>
          <w:szCs w:val="20"/>
        </w:rPr>
      </w:pPr>
      <w:r>
        <w:rPr>
          <w:sz w:val="20"/>
          <w:szCs w:val="20"/>
        </w:rPr>
        <w:t>Net cash and cash equivalents provided by operating activiti</w:t>
      </w:r>
      <w:r>
        <w:rPr>
          <w:sz w:val="20"/>
          <w:szCs w:val="20"/>
        </w:rPr>
        <w:t>es during the year ended December 31, 2021 primarily reflected our net loss of $77.8 million, the portion of the repayment of the 2022 Notes attributable to the debt discount of $26.4 million, benefit from deferred income taxes of $2.9 million, gain on ter</w:t>
      </w:r>
      <w:r>
        <w:rPr>
          <w:sz w:val="20"/>
          <w:szCs w:val="20"/>
        </w:rPr>
        <w:t>mination of operating leases of $4.3 million, and gains on strategic investments of $11.7 million, offset by non-cash expenses that included $45.2 million of depreciation and amortization, $166.8 million in stock-based compensation, $4.3 million amortizati</w:t>
      </w:r>
      <w:r>
        <w:rPr>
          <w:sz w:val="20"/>
          <w:szCs w:val="20"/>
        </w:rPr>
        <w:t xml:space="preserve">on of bond discounts, $23.5 million of amortization of debt discount and issuance costs, loss on disposal of fixed assets of $6.5 million, and $4.9 million of loss on early extinguishment of 2022 Notes. Working capital sources of cash and cash equivalents </w:t>
      </w:r>
      <w:r>
        <w:rPr>
          <w:sz w:val="20"/>
          <w:szCs w:val="20"/>
        </w:rPr>
        <w:t>primarily included a $127.7 million increase in deferred revenue primarily resulting from the growth in the number of customers invoiced during the period, a $31.4 million increase in right-of-use asset, and $58.2 million increase in accrued expenses and o</w:t>
      </w:r>
      <w:r>
        <w:rPr>
          <w:sz w:val="20"/>
          <w:szCs w:val="20"/>
        </w:rPr>
        <w:t>ther liabilities. These sources of cash and cash equivalents were offset by a $10.6 million increase in accounts payable related to timing of bill payments, a $29.5 million decrease in operating lease liabilities, a $32.6 million increas</w:t>
      </w:r>
      <w:r>
        <w:rPr>
          <w:sz w:val="20"/>
          <w:szCs w:val="20"/>
        </w:rPr>
        <w:t>e</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5</w:t>
      </w:r>
      <w:r>
        <w:rPr>
          <w:sz w:val="20"/>
          <w:szCs w:val="20"/>
        </w:rPr>
        <w:t>3</w:t>
      </w:r>
    </w:p>
    <w:p w:rsidR="00000000" w:rsidRDefault="00A309A2">
      <w:pPr>
        <w:rPr>
          <w:rFonts w:eastAsia="Times New Roman"/>
        </w:rPr>
      </w:pPr>
      <w:r>
        <w:rPr>
          <w:rFonts w:eastAsia="Times New Roman"/>
        </w:rPr>
        <w:pict>
          <v:rect id="_x0000_i108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Autospacing="0"/>
        <w:rPr>
          <w:sz w:val="20"/>
          <w:szCs w:val="20"/>
        </w:rPr>
      </w:pPr>
      <w:r>
        <w:rPr>
          <w:sz w:val="20"/>
          <w:szCs w:val="20"/>
        </w:rPr>
        <w:t>in deferred commissions, a $1.1 million increase in prepaid and other assets, and a $34.1 million increase in accounts receivable as a result of increased billings to customers consistent with the overall growth of the business</w:t>
      </w:r>
      <w:r>
        <w:rPr>
          <w:sz w:val="20"/>
          <w:szCs w:val="20"/>
        </w:rPr>
        <w:t>.</w:t>
      </w:r>
      <w:r>
        <w:rPr>
          <w:sz w:val="20"/>
          <w:szCs w:val="20"/>
        </w:rPr>
        <w:t xml:space="preserve"> </w:t>
      </w:r>
    </w:p>
    <w:p w:rsidR="00000000" w:rsidRDefault="00A309A2">
      <w:pPr>
        <w:pStyle w:val="a3"/>
        <w:spacing w:before="200" w:beforeAutospacing="0" w:afterAutospacing="0"/>
        <w:ind w:firstLine="555"/>
        <w:rPr>
          <w:sz w:val="20"/>
          <w:szCs w:val="20"/>
        </w:rPr>
      </w:pPr>
      <w:r>
        <w:rPr>
          <w:sz w:val="20"/>
          <w:szCs w:val="20"/>
        </w:rPr>
        <w:t>Net cash and cash equivale</w:t>
      </w:r>
      <w:r>
        <w:rPr>
          <w:sz w:val="20"/>
          <w:szCs w:val="20"/>
        </w:rPr>
        <w:t>nts provided b</w:t>
      </w:r>
      <w:r>
        <w:rPr>
          <w:sz w:val="20"/>
          <w:szCs w:val="20"/>
        </w:rPr>
        <w:t>y</w:t>
      </w:r>
      <w:r>
        <w:rPr>
          <w:sz w:val="20"/>
          <w:szCs w:val="20"/>
        </w:rPr>
        <w:t xml:space="preserve"> operating activities during the year ended December 31, 2020 primarily reflected our net loss of $85.0 million, the portion of the repayment of the 2022 Notes attributable to the debt discount of $49.0 million, benefit from deferred income </w:t>
      </w:r>
      <w:r>
        <w:rPr>
          <w:sz w:val="20"/>
          <w:szCs w:val="20"/>
        </w:rPr>
        <w:t>taxes of $2.2 million and accretion of bond discounts of $3.7 million, offset by non-cash expenses that included $37.1 million of depreciation and amortization, $121.5 million in stock-based compensation, $10.5 million of loss on early extinguishment of 20</w:t>
      </w:r>
      <w:r>
        <w:rPr>
          <w:sz w:val="20"/>
          <w:szCs w:val="20"/>
        </w:rPr>
        <w:t>22 Notes and $24.9 million of amortization of debt discount and issuance costs. Working capital sources of cash and cash equivalents primarily included a $72.6 million increase in deferred revenue primarily resulting from the growth in the number of custom</w:t>
      </w:r>
      <w:r>
        <w:rPr>
          <w:sz w:val="20"/>
          <w:szCs w:val="20"/>
        </w:rPr>
        <w:t>ers invoiced during the period, a $26.0 million increase in accrued expenses, a $3.7 million increase in accounts payable related to timing of bill payments, and a $31.4 million increase in right-of-use asset. These sources of cash and cash equivalents wer</w:t>
      </w:r>
      <w:r>
        <w:rPr>
          <w:sz w:val="20"/>
          <w:szCs w:val="20"/>
        </w:rPr>
        <w:t>e offset by a $31.6 million decrease in lease liabilities, a $30.0 million increase in accounts receivable as a result of increased billings to customers consistent with the overall growth of the business, $19.3 million increase in deferred commissions and</w:t>
      </w:r>
      <w:r>
        <w:rPr>
          <w:sz w:val="20"/>
          <w:szCs w:val="20"/>
        </w:rPr>
        <w:t xml:space="preserve"> a $17.0 million increase in prepaid and other assets</w:t>
      </w:r>
      <w:r>
        <w:rPr>
          <w:sz w:val="20"/>
          <w:szCs w:val="20"/>
        </w:rPr>
        <w:t>.</w:t>
      </w:r>
      <w:r>
        <w:rPr>
          <w:sz w:val="20"/>
          <w:szCs w:val="20"/>
        </w:rPr>
        <w:t xml:space="preserve"> </w:t>
      </w:r>
    </w:p>
    <w:p w:rsidR="00000000" w:rsidRDefault="00A309A2">
      <w:pPr>
        <w:pStyle w:val="a3"/>
        <w:spacing w:before="200" w:beforeAutospacing="0" w:afterAutospacing="0"/>
        <w:ind w:firstLine="555"/>
        <w:rPr>
          <w:sz w:val="20"/>
          <w:szCs w:val="20"/>
        </w:rPr>
      </w:pPr>
      <w:r>
        <w:rPr>
          <w:sz w:val="20"/>
          <w:szCs w:val="20"/>
        </w:rPr>
        <w:t>Net cash and cash equivalents provided by operating activities during the year ended December 31, 2019 primarily reflected our net loss of $53.7 million and accretion of bond discount of $14.2 million</w:t>
      </w:r>
      <w:r>
        <w:rPr>
          <w:sz w:val="20"/>
          <w:szCs w:val="20"/>
        </w:rPr>
        <w:t xml:space="preserve"> offset by non-cash expenses that included $28.8 million of depreciation and amortization, $97.8 million in stock-based compensation, and $21.8 million of amortization of debt discount and issuance costs. Working capital sources of cash and cash equivalent</w:t>
      </w:r>
      <w:r>
        <w:rPr>
          <w:sz w:val="20"/>
          <w:szCs w:val="20"/>
        </w:rPr>
        <w:t>s primarily included a $49.3 million increase in deferred revenue primarily resulting from the growth in the number of customers invoiced during the period, a $7.8 million increase in accrued expenses, a $3.9 million increase in accounts payable related to</w:t>
      </w:r>
      <w:r>
        <w:rPr>
          <w:sz w:val="20"/>
          <w:szCs w:val="20"/>
        </w:rPr>
        <w:t xml:space="preserve"> timing of bill payments, and a $22.7 million increase in right-of-use asset. These sources of cash and cash equivalents were offset by a $15.8 million decrease in lease liabilities, a $15.4 million increase in accounts receivable as a result of increased </w:t>
      </w:r>
      <w:r>
        <w:rPr>
          <w:sz w:val="20"/>
          <w:szCs w:val="20"/>
        </w:rPr>
        <w:t>billings to customers consistent with the overall growth of the business, $9.7 million increase in deferred commissions and a $3.3 million increase in prepaid and other assets</w:t>
      </w:r>
      <w:r>
        <w:rPr>
          <w:sz w:val="20"/>
          <w:szCs w:val="20"/>
        </w:rPr>
        <w:t>.</w:t>
      </w:r>
    </w:p>
    <w:p w:rsidR="00000000" w:rsidRDefault="00A309A2">
      <w:pPr>
        <w:pStyle w:val="a3"/>
        <w:spacing w:before="200" w:beforeAutospacing="0" w:afterAutospacing="0"/>
        <w:ind w:left="476"/>
        <w:rPr>
          <w:sz w:val="20"/>
          <w:szCs w:val="20"/>
        </w:rPr>
      </w:pPr>
      <w:r>
        <w:rPr>
          <w:b/>
          <w:bCs/>
          <w:i/>
          <w:iCs/>
          <w:sz w:val="20"/>
          <w:szCs w:val="20"/>
        </w:rPr>
        <w:t>Net Cash and Cash Equivalents Used in Investing Activitie</w:t>
      </w:r>
      <w:r>
        <w:rPr>
          <w:b/>
          <w:bCs/>
          <w:i/>
          <w:iCs/>
          <w:sz w:val="20"/>
          <w:szCs w:val="20"/>
        </w:rPr>
        <w:t>s</w:t>
      </w:r>
    </w:p>
    <w:p w:rsidR="00000000" w:rsidRDefault="00A309A2">
      <w:pPr>
        <w:pStyle w:val="a3"/>
        <w:spacing w:before="200" w:beforeAutospacing="0" w:afterAutospacing="0"/>
        <w:ind w:firstLine="555"/>
        <w:rPr>
          <w:sz w:val="20"/>
          <w:szCs w:val="20"/>
        </w:rPr>
      </w:pPr>
      <w:r>
        <w:rPr>
          <w:sz w:val="20"/>
          <w:szCs w:val="20"/>
        </w:rPr>
        <w:t>Our investing activi</w:t>
      </w:r>
      <w:r>
        <w:rPr>
          <w:sz w:val="20"/>
          <w:szCs w:val="20"/>
        </w:rPr>
        <w:t>ties have consisted primarily of purchases, maturities and sale of investments, property and equipment purchases, business acquisitions, purchases of strategic investments, an equity method investment and capitalization of software development costs. Capit</w:t>
      </w:r>
      <w:r>
        <w:rPr>
          <w:sz w:val="20"/>
          <w:szCs w:val="20"/>
        </w:rPr>
        <w:t>alized software development costs are related to new products or improvements to our existing software platform that expands the functionality for our customers</w:t>
      </w:r>
      <w:r>
        <w:rPr>
          <w:sz w:val="20"/>
          <w:szCs w:val="20"/>
        </w:rPr>
        <w:t>.</w:t>
      </w:r>
    </w:p>
    <w:p w:rsidR="00000000" w:rsidRDefault="00A309A2">
      <w:pPr>
        <w:pStyle w:val="a3"/>
        <w:spacing w:before="200" w:beforeAutospacing="0" w:afterAutospacing="0"/>
        <w:ind w:firstLine="555"/>
        <w:rPr>
          <w:sz w:val="20"/>
          <w:szCs w:val="20"/>
        </w:rPr>
      </w:pPr>
      <w:r>
        <w:rPr>
          <w:sz w:val="20"/>
          <w:szCs w:val="20"/>
        </w:rPr>
        <w:t xml:space="preserve">Net cash and cash equivalents used in investing activities during the year ended December 31, </w:t>
      </w:r>
      <w:r>
        <w:rPr>
          <w:sz w:val="20"/>
          <w:szCs w:val="20"/>
        </w:rPr>
        <w:t>2021 consisted primarily of $1.5 billion purchases of investments, $28.7 million of purchased property and equipment, a $16.8 million business acquisition, $13.1 million of purchases of strategic investments, $3.1 million in an equity method investment and</w:t>
      </w:r>
      <w:r>
        <w:rPr>
          <w:sz w:val="20"/>
          <w:szCs w:val="20"/>
        </w:rPr>
        <w:t xml:space="preserve"> $33.1 million of capitalized software development costs. These uses of cash were offset by $1.4 billion received related to the maturity of investments and $12.6 million received for sale of strategic investments</w:t>
      </w:r>
      <w:r>
        <w:rPr>
          <w:sz w:val="20"/>
          <w:szCs w:val="20"/>
        </w:rPr>
        <w:t>.</w:t>
      </w:r>
      <w:r>
        <w:rPr>
          <w:sz w:val="20"/>
          <w:szCs w:val="20"/>
        </w:rPr>
        <w:t xml:space="preserve"> </w:t>
      </w:r>
    </w:p>
    <w:p w:rsidR="00000000" w:rsidRDefault="00A309A2">
      <w:pPr>
        <w:pStyle w:val="a3"/>
        <w:spacing w:before="200" w:beforeAutospacing="0" w:afterAutospacing="0"/>
        <w:ind w:firstLine="555"/>
        <w:rPr>
          <w:sz w:val="20"/>
          <w:szCs w:val="20"/>
        </w:rPr>
      </w:pPr>
      <w:r>
        <w:rPr>
          <w:sz w:val="20"/>
          <w:szCs w:val="20"/>
        </w:rPr>
        <w:t>Net cash and cash equivalents used in in</w:t>
      </w:r>
      <w:r>
        <w:rPr>
          <w:sz w:val="20"/>
          <w:szCs w:val="20"/>
        </w:rPr>
        <w:t>vesting activities during the year ended December 31, 2020</w:t>
      </w:r>
      <w:r>
        <w:rPr>
          <w:sz w:val="20"/>
          <w:szCs w:val="20"/>
        </w:rPr>
        <w:t xml:space="preserve"> </w:t>
      </w:r>
      <w:r>
        <w:rPr>
          <w:sz w:val="20"/>
          <w:szCs w:val="20"/>
        </w:rPr>
        <w:t>consisted primarily of $1.5 billion in purchases of investments, $37.3 million of purchased property and equipment, $2.5 million of purchases of strategic investments, and $21.6 million of capitali</w:t>
      </w:r>
      <w:r>
        <w:rPr>
          <w:sz w:val="20"/>
          <w:szCs w:val="20"/>
        </w:rPr>
        <w:t>zed software development costs. These uses of cash were offset by $1.4 billion received related to the maturity of investments and $10.9 million received for sale of investments</w:t>
      </w:r>
      <w:r>
        <w:rPr>
          <w:sz w:val="20"/>
          <w:szCs w:val="20"/>
        </w:rPr>
        <w:t>.</w:t>
      </w:r>
    </w:p>
    <w:p w:rsidR="00000000" w:rsidRDefault="00A309A2">
      <w:pPr>
        <w:pStyle w:val="a3"/>
        <w:spacing w:before="200" w:beforeAutospacing="0" w:afterAutospacing="0"/>
        <w:ind w:firstLine="555"/>
        <w:rPr>
          <w:sz w:val="20"/>
          <w:szCs w:val="20"/>
        </w:rPr>
      </w:pPr>
      <w:r>
        <w:rPr>
          <w:sz w:val="20"/>
          <w:szCs w:val="20"/>
        </w:rPr>
        <w:t>Net cash and cash equivalents used in investing activities during the year en</w:t>
      </w:r>
      <w:r>
        <w:rPr>
          <w:sz w:val="20"/>
          <w:szCs w:val="20"/>
        </w:rPr>
        <w:t>ded December 31, 2019 consisted primarily of $1.3 billion of purchases of investments, $40.4 million of purchased property and equipment, $13.5 million of capitalized software development costs, a $23.3 million business acquisition and $0.6 million related</w:t>
      </w:r>
      <w:r>
        <w:rPr>
          <w:sz w:val="20"/>
          <w:szCs w:val="20"/>
        </w:rPr>
        <w:t xml:space="preserve"> to the purchase of strategic investments. These uses of cash were offset by $1.1 billion received related to the maturity of investments</w:t>
      </w:r>
      <w:r>
        <w:rPr>
          <w:sz w:val="20"/>
          <w:szCs w:val="20"/>
        </w:rPr>
        <w:t>.</w:t>
      </w:r>
      <w:r>
        <w:rPr>
          <w:sz w:val="20"/>
          <w:szCs w:val="20"/>
        </w:rPr>
        <w:t xml:space="preserve"> </w:t>
      </w:r>
    </w:p>
    <w:p w:rsidR="00000000" w:rsidRDefault="00A309A2">
      <w:pPr>
        <w:pStyle w:val="a3"/>
        <w:spacing w:before="200" w:beforeAutospacing="0" w:afterAutospacing="0"/>
        <w:ind w:left="476"/>
        <w:rPr>
          <w:sz w:val="20"/>
          <w:szCs w:val="20"/>
        </w:rPr>
      </w:pPr>
      <w:r>
        <w:rPr>
          <w:b/>
          <w:bCs/>
          <w:i/>
          <w:iCs/>
          <w:sz w:val="20"/>
          <w:szCs w:val="20"/>
        </w:rPr>
        <w:t>Net Cash and Cash Equivalents (Used in) Provided by Financing Activitie</w:t>
      </w:r>
      <w:r>
        <w:rPr>
          <w:b/>
          <w:bCs/>
          <w:i/>
          <w:iCs/>
          <w:sz w:val="20"/>
          <w:szCs w:val="20"/>
        </w:rPr>
        <w:t>s</w:t>
      </w:r>
    </w:p>
    <w:p w:rsidR="00000000" w:rsidRDefault="00A309A2">
      <w:pPr>
        <w:pStyle w:val="a3"/>
        <w:spacing w:before="200" w:beforeAutospacing="0" w:afterAutospacing="0"/>
        <w:ind w:firstLine="555"/>
        <w:rPr>
          <w:sz w:val="20"/>
          <w:szCs w:val="20"/>
        </w:rPr>
      </w:pPr>
      <w:r>
        <w:rPr>
          <w:sz w:val="20"/>
          <w:szCs w:val="20"/>
        </w:rPr>
        <w:t>Our financing activities have consisted pri</w:t>
      </w:r>
      <w:r>
        <w:rPr>
          <w:sz w:val="20"/>
          <w:szCs w:val="20"/>
        </w:rPr>
        <w:t>marily of our stock offerings, the various components of our 2022 Notes repayment, the various components of our 2025 Notes offering, the issuance of common stock under our stock plans, payments of employee taxes related to the net share settlement of stoc</w:t>
      </w:r>
      <w:r>
        <w:rPr>
          <w:sz w:val="20"/>
          <w:szCs w:val="20"/>
        </w:rPr>
        <w:t>k-based awards, and repayments of our finance leases</w:t>
      </w:r>
      <w:r>
        <w:rPr>
          <w:sz w:val="20"/>
          <w:szCs w:val="20"/>
        </w:rPr>
        <w:t>.</w:t>
      </w:r>
      <w:r>
        <w:rPr>
          <w:sz w:val="20"/>
          <w:szCs w:val="20"/>
        </w:rPr>
        <w:t xml:space="preserve"> </w:t>
      </w:r>
    </w:p>
    <w:p w:rsidR="00000000" w:rsidRDefault="00A309A2">
      <w:pPr>
        <w:pStyle w:val="a3"/>
        <w:spacing w:before="200" w:beforeAutospacing="0" w:afterAutospacing="0"/>
        <w:ind w:firstLine="555"/>
        <w:rPr>
          <w:sz w:val="20"/>
          <w:szCs w:val="20"/>
        </w:rPr>
      </w:pPr>
      <w:r>
        <w:rPr>
          <w:sz w:val="20"/>
          <w:szCs w:val="20"/>
        </w:rPr>
        <w:t xml:space="preserve">For the year ended December 31, 2021, cash used in financing activities consisted of $89.5 million used for repayment of the 2022 Notes attributable to the principal and $17.4 million used for payment </w:t>
      </w:r>
      <w:r>
        <w:rPr>
          <w:sz w:val="20"/>
          <w:szCs w:val="20"/>
        </w:rPr>
        <w:t>of employee taxes related to the net share settlement of stock-based awards, offset by $9.0 million of proceeds from the settlement of the Convertible Note Hedges related to the 2022 Notes and $46.5 million of proceeds related to issuance of common stock u</w:t>
      </w:r>
      <w:r>
        <w:rPr>
          <w:sz w:val="20"/>
          <w:szCs w:val="20"/>
        </w:rPr>
        <w:t>nder stock plans</w:t>
      </w:r>
      <w:r>
        <w:rPr>
          <w:sz w:val="20"/>
          <w:szCs w:val="20"/>
        </w:rPr>
        <w:t>.</w:t>
      </w:r>
      <w:r>
        <w:rPr>
          <w:sz w:val="20"/>
          <w:szCs w:val="20"/>
        </w:rPr>
        <w:t xml:space="preserve"> </w:t>
      </w:r>
    </w:p>
    <w:p w:rsidR="00000000" w:rsidRDefault="00A309A2">
      <w:pPr>
        <w:pStyle w:val="a3"/>
        <w:spacing w:before="200" w:beforeAutospacing="0" w:afterAutospacing="0"/>
        <w:ind w:firstLine="555"/>
        <w:rPr>
          <w:sz w:val="20"/>
          <w:szCs w:val="20"/>
        </w:rPr>
      </w:pPr>
      <w:r>
        <w:rPr>
          <w:sz w:val="20"/>
          <w:szCs w:val="20"/>
        </w:rPr>
        <w:t>For the year ended December 31, 2020, cash provided by financing activities consisted of $450.1 million of net proceeds from the issuance of the 2025 Notes, $363.6 million of proceeds from the settlement of the Convertible Note Hedges re</w:t>
      </w:r>
      <w:r>
        <w:rPr>
          <w:sz w:val="20"/>
          <w:szCs w:val="20"/>
        </w:rPr>
        <w:t>lated to the 202</w:t>
      </w:r>
      <w:r>
        <w:rPr>
          <w:sz w:val="20"/>
          <w:szCs w:val="20"/>
        </w:rPr>
        <w:t>2</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5</w:t>
      </w:r>
      <w:r>
        <w:rPr>
          <w:sz w:val="20"/>
          <w:szCs w:val="20"/>
        </w:rPr>
        <w:t>4</w:t>
      </w:r>
    </w:p>
    <w:p w:rsidR="00000000" w:rsidRDefault="00A309A2">
      <w:pPr>
        <w:rPr>
          <w:rFonts w:eastAsia="Times New Roman"/>
        </w:rPr>
      </w:pPr>
      <w:r>
        <w:rPr>
          <w:rFonts w:eastAsia="Times New Roman"/>
        </w:rPr>
        <w:pict>
          <v:rect id="_x0000_i108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Autospacing="0"/>
        <w:rPr>
          <w:sz w:val="20"/>
          <w:szCs w:val="20"/>
        </w:rPr>
      </w:pPr>
      <w:r>
        <w:rPr>
          <w:sz w:val="20"/>
          <w:szCs w:val="20"/>
        </w:rPr>
        <w:t>Notes, and $30.4 million of proceeds related to issuance of common stock under stock plans. This source of cash was offset by $236.0 million used for repayment of the 2022 Notes attributable to th</w:t>
      </w:r>
      <w:r>
        <w:rPr>
          <w:sz w:val="20"/>
          <w:szCs w:val="20"/>
        </w:rPr>
        <w:t>e principal, $327.5 million for payment to settle the Warrants related to the 2022 Notes, $50.6 million for payment of the Capped Call Options related to the 2025 Notes, and $7.4 million used for payment of employee taxes related to the net share settlemen</w:t>
      </w:r>
      <w:r>
        <w:rPr>
          <w:sz w:val="20"/>
          <w:szCs w:val="20"/>
        </w:rPr>
        <w:t>t of stock-based awards</w:t>
      </w:r>
      <w:r>
        <w:rPr>
          <w:sz w:val="20"/>
          <w:szCs w:val="20"/>
        </w:rPr>
        <w:t>.</w:t>
      </w:r>
    </w:p>
    <w:p w:rsidR="00000000" w:rsidRDefault="00A309A2">
      <w:pPr>
        <w:pStyle w:val="a3"/>
        <w:spacing w:before="200" w:beforeAutospacing="0" w:afterAutospacing="0"/>
        <w:ind w:firstLine="555"/>
        <w:rPr>
          <w:sz w:val="20"/>
          <w:szCs w:val="20"/>
        </w:rPr>
      </w:pPr>
      <w:r>
        <w:rPr>
          <w:sz w:val="20"/>
          <w:szCs w:val="20"/>
        </w:rPr>
        <w:t>For the year ended December 31, 2019, cash and cash equivalents provided by financing activities consisted primarily of</w:t>
      </w:r>
      <w:r>
        <w:rPr>
          <w:sz w:val="20"/>
          <w:szCs w:val="20"/>
        </w:rPr>
        <w:t xml:space="preserve"> </w:t>
      </w:r>
      <w:r>
        <w:rPr>
          <w:sz w:val="20"/>
          <w:szCs w:val="20"/>
        </w:rPr>
        <w:t>$342.6 million of net proceeds related to common stock offering an</w:t>
      </w:r>
      <w:r>
        <w:rPr>
          <w:sz w:val="20"/>
          <w:szCs w:val="20"/>
        </w:rPr>
        <w:t>d</w:t>
      </w:r>
      <w:r>
        <w:rPr>
          <w:sz w:val="20"/>
          <w:szCs w:val="20"/>
        </w:rPr>
        <w:t xml:space="preserve"> $23.6 million of proceeds related to issuan</w:t>
      </w:r>
      <w:r>
        <w:rPr>
          <w:sz w:val="20"/>
          <w:szCs w:val="20"/>
        </w:rPr>
        <w:t>ce of common stock under stock plans. These sources of cash were offset by $6.2 million used for payment of employee taxes related to the net share settlement of stock-based awards, $0.3 million for repayment of debt associated with our business acquisitio</w:t>
      </w:r>
      <w:r>
        <w:rPr>
          <w:sz w:val="20"/>
          <w:szCs w:val="20"/>
        </w:rPr>
        <w:t>n and $0.3 million used for repayments of finance leases</w:t>
      </w:r>
      <w:r>
        <w:rPr>
          <w:sz w:val="20"/>
          <w:szCs w:val="20"/>
        </w:rPr>
        <w:t>.</w:t>
      </w:r>
    </w:p>
    <w:p w:rsidR="00000000" w:rsidRDefault="00A309A2">
      <w:pPr>
        <w:pStyle w:val="a3"/>
        <w:spacing w:before="200" w:beforeAutospacing="0" w:afterAutospacing="0"/>
        <w:ind w:firstLine="555"/>
        <w:rPr>
          <w:sz w:val="20"/>
          <w:szCs w:val="20"/>
        </w:rPr>
      </w:pPr>
      <w:r>
        <w:rPr>
          <w:b/>
          <w:bCs/>
          <w:i/>
          <w:iCs/>
          <w:sz w:val="20"/>
          <w:szCs w:val="20"/>
        </w:rPr>
        <w:t>Liquidity and Capital Resources Consideration</w:t>
      </w:r>
      <w:r>
        <w:rPr>
          <w:b/>
          <w:bCs/>
          <w:i/>
          <w:iCs/>
          <w:sz w:val="20"/>
          <w:szCs w:val="20"/>
        </w:rPr>
        <w:t>s</w:t>
      </w:r>
    </w:p>
    <w:p w:rsidR="00000000" w:rsidRDefault="00A309A2">
      <w:pPr>
        <w:pStyle w:val="a3"/>
        <w:spacing w:before="200" w:beforeAutospacing="0" w:afterAutospacing="0"/>
        <w:ind w:firstLine="555"/>
        <w:rPr>
          <w:sz w:val="20"/>
          <w:szCs w:val="20"/>
        </w:rPr>
      </w:pPr>
      <w:r>
        <w:rPr>
          <w:i/>
          <w:iCs/>
          <w:sz w:val="20"/>
          <w:szCs w:val="20"/>
        </w:rPr>
        <w:t>Contractual Obligations and Commitment</w:t>
      </w:r>
      <w:r>
        <w:rPr>
          <w:i/>
          <w:iCs/>
          <w:sz w:val="20"/>
          <w:szCs w:val="20"/>
        </w:rPr>
        <w:t>s</w:t>
      </w:r>
    </w:p>
    <w:p w:rsidR="00000000" w:rsidRDefault="00A309A2">
      <w:pPr>
        <w:pStyle w:val="a3"/>
        <w:spacing w:before="200" w:beforeAutospacing="0" w:afterAutospacing="0"/>
        <w:ind w:firstLine="555"/>
        <w:rPr>
          <w:sz w:val="20"/>
          <w:szCs w:val="20"/>
        </w:rPr>
      </w:pPr>
      <w:r>
        <w:rPr>
          <w:sz w:val="20"/>
          <w:szCs w:val="20"/>
        </w:rPr>
        <w:t>Contractual obligations are cash that we are obligated to pay as part of certain contracts that we have entered</w:t>
      </w:r>
      <w:r>
        <w:rPr>
          <w:sz w:val="20"/>
          <w:szCs w:val="20"/>
        </w:rPr>
        <w:t xml:space="preserve"> during our course of business. Our contractual obligations consists of operating lease liabilities that are included in our consolidated balance sheet and vendor commitments associated with agreements that are legally binding. As of December 31, 2021, the</w:t>
      </w:r>
      <w:r>
        <w:rPr>
          <w:sz w:val="20"/>
          <w:szCs w:val="20"/>
        </w:rPr>
        <w:t xml:space="preserve"> total obligation for operating leases is $386.0 million, of which $45.2 million is expected in the next twelve months. Our vendor commitment is $1.1 billion, of which $141.7 million is expected in the next twelve months. See Note 11 of the Notes to Consol</w:t>
      </w:r>
      <w:r>
        <w:rPr>
          <w:sz w:val="20"/>
          <w:szCs w:val="20"/>
        </w:rPr>
        <w:t>idated Financial Statements included elsewhere in this Annual Report</w:t>
      </w:r>
      <w:r>
        <w:rPr>
          <w:sz w:val="20"/>
          <w:szCs w:val="20"/>
        </w:rPr>
        <w:t>.</w:t>
      </w:r>
    </w:p>
    <w:p w:rsidR="00000000" w:rsidRDefault="00A309A2">
      <w:pPr>
        <w:pStyle w:val="a3"/>
        <w:spacing w:before="200" w:beforeAutospacing="0" w:afterAutospacing="0"/>
        <w:ind w:firstLine="555"/>
        <w:rPr>
          <w:sz w:val="20"/>
          <w:szCs w:val="20"/>
        </w:rPr>
      </w:pPr>
      <w:r>
        <w:rPr>
          <w:i/>
          <w:iCs/>
          <w:sz w:val="20"/>
          <w:szCs w:val="20"/>
        </w:rPr>
        <w:t>Convertible Senior Note</w:t>
      </w:r>
      <w:r>
        <w:rPr>
          <w:i/>
          <w:iCs/>
          <w:sz w:val="20"/>
          <w:szCs w:val="20"/>
        </w:rPr>
        <w:t>s</w:t>
      </w:r>
    </w:p>
    <w:p w:rsidR="00000000" w:rsidRDefault="00A309A2">
      <w:pPr>
        <w:pStyle w:val="a3"/>
        <w:spacing w:before="200" w:beforeAutospacing="0" w:afterAutospacing="0"/>
        <w:ind w:firstLine="555"/>
        <w:rPr>
          <w:sz w:val="20"/>
          <w:szCs w:val="20"/>
        </w:rPr>
      </w:pPr>
      <w:r>
        <w:rPr>
          <w:sz w:val="20"/>
          <w:szCs w:val="20"/>
        </w:rPr>
        <w:t>As of December 31, 2021, the carrying value was $18.9 million for our 2022 Notes and $383.9 million for our 2025 Notes. The interest rate is fixed at 0.25% for t</w:t>
      </w:r>
      <w:r>
        <w:rPr>
          <w:sz w:val="20"/>
          <w:szCs w:val="20"/>
        </w:rPr>
        <w:t>he 2022 Notes and 0.373% for the 2025 Notes. Interest is payable semi-annually in arrears on June 1 and December 1 of each year for both Notes. See Note 9 of the Notes to Consolidated Financial Statements included elsewhere in this Annual Report</w:t>
      </w:r>
      <w:r>
        <w:rPr>
          <w:sz w:val="20"/>
          <w:szCs w:val="20"/>
        </w:rPr>
        <w:t>.</w:t>
      </w:r>
    </w:p>
    <w:p w:rsidR="00000000" w:rsidRDefault="00A309A2">
      <w:pPr>
        <w:pStyle w:val="a3"/>
        <w:spacing w:before="200" w:beforeAutospacing="0" w:afterAutospacing="0"/>
        <w:ind w:left="476"/>
        <w:rPr>
          <w:sz w:val="20"/>
          <w:szCs w:val="20"/>
        </w:rPr>
      </w:pPr>
      <w:r>
        <w:rPr>
          <w:i/>
          <w:iCs/>
          <w:sz w:val="20"/>
          <w:szCs w:val="20"/>
        </w:rPr>
        <w:t>Letters of Credi</w:t>
      </w:r>
      <w:r>
        <w:rPr>
          <w:i/>
          <w:iCs/>
          <w:sz w:val="20"/>
          <w:szCs w:val="20"/>
        </w:rPr>
        <w:t>t</w:t>
      </w:r>
    </w:p>
    <w:p w:rsidR="00000000" w:rsidRDefault="00A309A2">
      <w:pPr>
        <w:pStyle w:val="a3"/>
        <w:spacing w:before="200" w:beforeAutospacing="0" w:afterAutospacing="0"/>
        <w:ind w:firstLine="555"/>
        <w:rPr>
          <w:sz w:val="20"/>
          <w:szCs w:val="20"/>
        </w:rPr>
      </w:pPr>
      <w:r>
        <w:rPr>
          <w:sz w:val="20"/>
          <w:szCs w:val="20"/>
        </w:rPr>
        <w:t>As of December 31, 2021, we had a total of $3.0 million in letters of credit outstanding substantially in favor of certain landlords for office space. These irrevocable letters of credit are expected to remain in effect, in some cases, un</w:t>
      </w:r>
      <w:r>
        <w:rPr>
          <w:sz w:val="20"/>
          <w:szCs w:val="20"/>
        </w:rPr>
        <w:t>til 2029</w:t>
      </w:r>
      <w:r>
        <w:rPr>
          <w:sz w:val="20"/>
          <w:szCs w:val="20"/>
        </w:rPr>
        <w:t>.</w:t>
      </w:r>
    </w:p>
    <w:p w:rsidR="00000000" w:rsidRDefault="00A309A2">
      <w:pPr>
        <w:pStyle w:val="a3"/>
        <w:spacing w:before="200" w:beforeAutospacing="0" w:afterAutospacing="0"/>
        <w:ind w:left="476"/>
        <w:rPr>
          <w:sz w:val="20"/>
          <w:szCs w:val="20"/>
        </w:rPr>
      </w:pPr>
      <w:r>
        <w:rPr>
          <w:i/>
          <w:iCs/>
          <w:sz w:val="20"/>
          <w:szCs w:val="20"/>
        </w:rPr>
        <w:t>Off Balance Sheet Arrangement</w:t>
      </w:r>
      <w:r>
        <w:rPr>
          <w:i/>
          <w:iCs/>
          <w:sz w:val="20"/>
          <w:szCs w:val="20"/>
        </w:rPr>
        <w:t>s</w:t>
      </w:r>
    </w:p>
    <w:p w:rsidR="00000000" w:rsidRDefault="00A309A2">
      <w:pPr>
        <w:pStyle w:val="a3"/>
        <w:spacing w:before="200" w:beforeAutospacing="0" w:afterAutospacing="0"/>
        <w:ind w:firstLine="555"/>
        <w:rPr>
          <w:sz w:val="20"/>
          <w:szCs w:val="20"/>
        </w:rPr>
      </w:pPr>
      <w:r>
        <w:rPr>
          <w:sz w:val="20"/>
          <w:szCs w:val="20"/>
        </w:rPr>
        <w:t>We have no material off-balance sheet arrangements at December 31, 2021 or 2020 exclusive of items described above and indemnifications of officers, directors and employees for certain events or occurrences while th</w:t>
      </w:r>
      <w:r>
        <w:rPr>
          <w:sz w:val="20"/>
          <w:szCs w:val="20"/>
        </w:rPr>
        <w:t>e officer, director or employee is, or was, serving at our request in such capacity</w:t>
      </w:r>
      <w:r>
        <w:rPr>
          <w:sz w:val="20"/>
          <w:szCs w:val="20"/>
        </w:rPr>
        <w:t>.</w:t>
      </w:r>
    </w:p>
    <w:p w:rsidR="00000000" w:rsidRDefault="00A309A2">
      <w:pPr>
        <w:pStyle w:val="a3"/>
        <w:spacing w:before="200" w:beforeAutospacing="0" w:afterAutospacing="0"/>
        <w:rPr>
          <w:sz w:val="20"/>
          <w:szCs w:val="20"/>
        </w:rPr>
      </w:pPr>
      <w:r>
        <w:rPr>
          <w:b/>
          <w:bCs/>
          <w:sz w:val="20"/>
          <w:szCs w:val="20"/>
        </w:rPr>
        <w:t>Critical Accounting Policies and Estimate</w:t>
      </w:r>
      <w:r>
        <w:rPr>
          <w:b/>
          <w:bCs/>
          <w:sz w:val="20"/>
          <w:szCs w:val="20"/>
        </w:rPr>
        <w:t>s</w:t>
      </w:r>
    </w:p>
    <w:p w:rsidR="00000000" w:rsidRDefault="00A309A2">
      <w:pPr>
        <w:pStyle w:val="a3"/>
        <w:spacing w:before="200" w:beforeAutospacing="0" w:afterAutospacing="0"/>
        <w:ind w:firstLine="555"/>
        <w:rPr>
          <w:sz w:val="20"/>
          <w:szCs w:val="20"/>
        </w:rPr>
      </w:pPr>
      <w:r>
        <w:rPr>
          <w:sz w:val="20"/>
          <w:szCs w:val="20"/>
        </w:rPr>
        <w:t>Our management’s discussion and analysis of financial condition and results of operations is based on our consolidated financial</w:t>
      </w:r>
      <w:r>
        <w:rPr>
          <w:sz w:val="20"/>
          <w:szCs w:val="20"/>
        </w:rPr>
        <w:t xml:space="preserve"> statements which have been prepared in accordance with accounting principles generally accepted in the United States of America. In preparing our financial statements, we make estimates, assumptions and judgments that can have a significant impact on our </w:t>
      </w:r>
      <w:r>
        <w:rPr>
          <w:sz w:val="20"/>
          <w:szCs w:val="20"/>
        </w:rPr>
        <w:t xml:space="preserve">reported revenues, results of operations and net income or loss, as well as on the value of certain assets and liabilities on our balance sheet during and as of the reporting periods. These estimates, assumptions and judgments are necessary because future </w:t>
      </w:r>
      <w:r>
        <w:rPr>
          <w:sz w:val="20"/>
          <w:szCs w:val="20"/>
        </w:rPr>
        <w:t>events and their effects on our results and the value of our assets cannot be determined with certainty and are made based on our historical experience and on other assumptions that we believe to be reasonable under the circumstances. These estimates may c</w:t>
      </w:r>
      <w:r>
        <w:rPr>
          <w:sz w:val="20"/>
          <w:szCs w:val="20"/>
        </w:rPr>
        <w:t>hange as new events occur or additional information is obtained, and we may periodically be faced with uncertainties, the outcomes of which are not within our control and may not be known for a prolonged period of time. Because the use of estimates is inhe</w:t>
      </w:r>
      <w:r>
        <w:rPr>
          <w:sz w:val="20"/>
          <w:szCs w:val="20"/>
        </w:rPr>
        <w:t>rent in the financial reporting process, actual results could differ from those estimates</w:t>
      </w:r>
      <w:r>
        <w:rPr>
          <w:sz w:val="20"/>
          <w:szCs w:val="20"/>
        </w:rPr>
        <w:t>.</w:t>
      </w:r>
    </w:p>
    <w:p w:rsidR="00000000" w:rsidRDefault="00A309A2">
      <w:pPr>
        <w:pStyle w:val="a3"/>
        <w:spacing w:before="200" w:beforeAutospacing="0" w:afterAutospacing="0"/>
        <w:ind w:firstLine="555"/>
        <w:rPr>
          <w:sz w:val="20"/>
          <w:szCs w:val="20"/>
        </w:rPr>
      </w:pPr>
      <w:r>
        <w:rPr>
          <w:sz w:val="20"/>
          <w:szCs w:val="20"/>
        </w:rPr>
        <w:t>We believe that of our significant accounting policies, which are described in Note 2 “Summary of Significant Accounting Policies” to our consolidated financial stat</w:t>
      </w:r>
      <w:r>
        <w:rPr>
          <w:sz w:val="20"/>
          <w:szCs w:val="20"/>
        </w:rPr>
        <w:t>ements, the following accounting policies and specific estimates involve a greater degree of judgment and complexity</w:t>
      </w:r>
      <w:r>
        <w:rPr>
          <w:sz w:val="20"/>
          <w:szCs w:val="20"/>
        </w:rPr>
        <w:t>.</w:t>
      </w:r>
    </w:p>
    <w:p w:rsidR="00000000" w:rsidRDefault="00A309A2">
      <w:pPr>
        <w:pStyle w:val="a3"/>
        <w:spacing w:before="200" w:beforeAutospacing="0" w:afterAutospacing="0"/>
        <w:ind w:firstLine="555"/>
        <w:rPr>
          <w:sz w:val="20"/>
          <w:szCs w:val="20"/>
        </w:rPr>
      </w:pPr>
      <w:r>
        <w:rPr>
          <w:b/>
          <w:bCs/>
          <w:i/>
          <w:iCs/>
          <w:sz w:val="20"/>
          <w:szCs w:val="20"/>
        </w:rPr>
        <w:t>Revenue Recognitio</w:t>
      </w:r>
      <w:r>
        <w:rPr>
          <w:b/>
          <w:bCs/>
          <w:i/>
          <w:iCs/>
          <w:sz w:val="20"/>
          <w:szCs w:val="20"/>
        </w:rPr>
        <w:t>n</w:t>
      </w:r>
    </w:p>
    <w:p w:rsidR="00000000" w:rsidRDefault="00A309A2">
      <w:pPr>
        <w:pStyle w:val="a3"/>
        <w:spacing w:before="200" w:beforeAutospacing="0" w:afterAutospacing="0"/>
        <w:ind w:firstLine="555"/>
        <w:rPr>
          <w:sz w:val="20"/>
          <w:szCs w:val="20"/>
        </w:rPr>
      </w:pPr>
      <w:r>
        <w:rPr>
          <w:sz w:val="20"/>
          <w:szCs w:val="20"/>
        </w:rPr>
        <w:t xml:space="preserve">We generate revenue from arrangements with multiple performance obligations, which typically include subscriptions to </w:t>
      </w:r>
      <w:r>
        <w:rPr>
          <w:sz w:val="20"/>
          <w:szCs w:val="20"/>
        </w:rPr>
        <w:t>our online software solutions and professional services which include on-boarding, training, and consulting services. Our customers do no</w:t>
      </w:r>
      <w:r>
        <w:rPr>
          <w:sz w:val="20"/>
          <w:szCs w:val="20"/>
        </w:rPr>
        <w:t>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5</w:t>
      </w:r>
      <w:r>
        <w:rPr>
          <w:sz w:val="20"/>
          <w:szCs w:val="20"/>
        </w:rPr>
        <w:t>5</w:t>
      </w:r>
    </w:p>
    <w:p w:rsidR="00000000" w:rsidRDefault="00A309A2">
      <w:pPr>
        <w:rPr>
          <w:rFonts w:eastAsia="Times New Roman"/>
        </w:rPr>
      </w:pPr>
      <w:r>
        <w:rPr>
          <w:rFonts w:eastAsia="Times New Roman"/>
        </w:rPr>
        <w:pict>
          <v:rect id="_x0000_i108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Autospacing="0"/>
        <w:rPr>
          <w:sz w:val="20"/>
          <w:szCs w:val="20"/>
        </w:rPr>
      </w:pPr>
      <w:r>
        <w:rPr>
          <w:sz w:val="20"/>
          <w:szCs w:val="20"/>
        </w:rPr>
        <w:t>have the right to take possession of the online software products. Revenue</w:t>
      </w:r>
      <w:r>
        <w:rPr>
          <w:sz w:val="20"/>
          <w:szCs w:val="20"/>
        </w:rPr>
        <w:t xml:space="preserve"> from online software products is recognized ratably over the subscription period beginning on the date the online software product is made available to customers. We recognize revenue from on-boarding, training and consulting services as the services are </w:t>
      </w:r>
      <w:r>
        <w:rPr>
          <w:sz w:val="20"/>
          <w:szCs w:val="20"/>
        </w:rPr>
        <w:t>provided. Amounts billed that have not yet met the applicable revenue recognition criteria are recorded as deferred revenue</w:t>
      </w:r>
      <w:r>
        <w:rPr>
          <w:sz w:val="20"/>
          <w:szCs w:val="20"/>
        </w:rPr>
        <w:t>.</w:t>
      </w:r>
    </w:p>
    <w:p w:rsidR="00000000" w:rsidRDefault="00A309A2">
      <w:pPr>
        <w:pStyle w:val="a3"/>
        <w:spacing w:before="200" w:beforeAutospacing="0" w:afterAutospacing="0"/>
        <w:ind w:firstLine="555"/>
        <w:rPr>
          <w:sz w:val="20"/>
          <w:szCs w:val="20"/>
        </w:rPr>
      </w:pPr>
      <w:r>
        <w:rPr>
          <w:sz w:val="20"/>
          <w:szCs w:val="20"/>
        </w:rPr>
        <w:t>We allocate the transaction price to each distinct performance obligation based on the standalone selling price (“SSP”) of each goo</w:t>
      </w:r>
      <w:r>
        <w:rPr>
          <w:sz w:val="20"/>
          <w:szCs w:val="20"/>
        </w:rPr>
        <w:t xml:space="preserve">d or service. We calculate SSP for each type of online software product and professional service offering by averaging the selling price of all purchases within the trailing four calendar quarters. We use four quarters of transaction data to determine SSP </w:t>
      </w:r>
      <w:r>
        <w:rPr>
          <w:sz w:val="20"/>
          <w:szCs w:val="20"/>
        </w:rPr>
        <w:t xml:space="preserve">as most of our customer arrangements are one year or less and pricing may be subject to change upon each customer’s renewal. In instances where there are not sufficient data points, or the average selling prices for a particular online software product or </w:t>
      </w:r>
      <w:r>
        <w:rPr>
          <w:sz w:val="20"/>
          <w:szCs w:val="20"/>
        </w:rPr>
        <w:t xml:space="preserve">professional service offering are disparate, we estimate the SSP using other observable inputs, such as similar products or services. If the actual selling price for the sale of an online software product or professional service offering within a multiple </w:t>
      </w:r>
      <w:r>
        <w:rPr>
          <w:sz w:val="20"/>
          <w:szCs w:val="20"/>
        </w:rPr>
        <w:t>performance obligation arrangement substantially differs from the SSP of that offering, we use the relative SSP to allocate the transaction price to the performance obligations in the contract</w:t>
      </w:r>
      <w:r>
        <w:rPr>
          <w:sz w:val="20"/>
          <w:szCs w:val="20"/>
        </w:rPr>
        <w:t>.</w:t>
      </w:r>
    </w:p>
    <w:p w:rsidR="00000000" w:rsidRDefault="00A309A2">
      <w:pPr>
        <w:pStyle w:val="a3"/>
        <w:spacing w:before="200" w:beforeAutospacing="0" w:afterAutospacing="0"/>
        <w:ind w:firstLine="555"/>
        <w:rPr>
          <w:sz w:val="20"/>
          <w:szCs w:val="20"/>
        </w:rPr>
      </w:pPr>
      <w:r>
        <w:rPr>
          <w:b/>
          <w:bCs/>
          <w:i/>
          <w:iCs/>
          <w:sz w:val="20"/>
          <w:szCs w:val="20"/>
        </w:rPr>
        <w:t>Costs to Obtain a Contract with a Custome</w:t>
      </w:r>
      <w:r>
        <w:rPr>
          <w:b/>
          <w:bCs/>
          <w:i/>
          <w:iCs/>
          <w:sz w:val="20"/>
          <w:szCs w:val="20"/>
        </w:rPr>
        <w:t>r</w:t>
      </w:r>
    </w:p>
    <w:p w:rsidR="00000000" w:rsidRDefault="00A309A2">
      <w:pPr>
        <w:pStyle w:val="a3"/>
        <w:spacing w:before="200" w:beforeAutospacing="0" w:afterAutospacing="0"/>
        <w:ind w:firstLine="555"/>
        <w:rPr>
          <w:sz w:val="20"/>
          <w:szCs w:val="20"/>
        </w:rPr>
      </w:pPr>
      <w:r>
        <w:rPr>
          <w:sz w:val="20"/>
          <w:szCs w:val="20"/>
        </w:rPr>
        <w:t>Sales commissions e</w:t>
      </w:r>
      <w:r>
        <w:rPr>
          <w:sz w:val="20"/>
          <w:szCs w:val="20"/>
        </w:rPr>
        <w:t>arned by our sales force are considered incremental, recoverable costs of obtaining a contract with a customer. Sales commissions for initial contracts are deferred and then amortized on a straight-line basis over a period of benefit that we have determine</w:t>
      </w:r>
      <w:r>
        <w:rPr>
          <w:sz w:val="20"/>
          <w:szCs w:val="20"/>
        </w:rPr>
        <w:t>d to be approximately one to three years. The one to three-year period has been determined by taking into consideration the type of product sold, the commitment term of the customer contract, the nature of the Company’s technology development life-cycle, a</w:t>
      </w:r>
      <w:r>
        <w:rPr>
          <w:sz w:val="20"/>
          <w:szCs w:val="20"/>
        </w:rPr>
        <w:t>nd an estimated customer relationship period. Sales commissions for upgrade contracts are deferred and amortized on a straight-line basis over the remaining estimated customer relationship period of the related customer. While we do not anticipate any sign</w:t>
      </w:r>
      <w:r>
        <w:rPr>
          <w:sz w:val="20"/>
          <w:szCs w:val="20"/>
        </w:rPr>
        <w:t>ificant changes to the one to three year amortization period, if a change did occur it could produce a material impact on our financial statements. For example, if the commitment term of our customer contracts significantly increased, our deferred commissi</w:t>
      </w:r>
      <w:r>
        <w:rPr>
          <w:sz w:val="20"/>
          <w:szCs w:val="20"/>
        </w:rPr>
        <w:t>on expense asset would increase, and our amortization expense would decrease in the period in which the change occurs</w:t>
      </w:r>
      <w:r>
        <w:rPr>
          <w:sz w:val="20"/>
          <w:szCs w:val="20"/>
        </w:rPr>
        <w:t>.</w:t>
      </w:r>
    </w:p>
    <w:p w:rsidR="00000000" w:rsidRDefault="00A309A2">
      <w:pPr>
        <w:pStyle w:val="a3"/>
        <w:spacing w:before="200" w:beforeAutospacing="0" w:afterAutospacing="0"/>
        <w:ind w:firstLine="555"/>
        <w:rPr>
          <w:sz w:val="20"/>
          <w:szCs w:val="20"/>
        </w:rPr>
      </w:pPr>
      <w:r>
        <w:rPr>
          <w:b/>
          <w:bCs/>
          <w:i/>
          <w:iCs/>
          <w:sz w:val="20"/>
          <w:szCs w:val="20"/>
        </w:rPr>
        <w:t>Capitalized Software Development Cost</w:t>
      </w:r>
      <w:r>
        <w:rPr>
          <w:b/>
          <w:bCs/>
          <w:i/>
          <w:iCs/>
          <w:sz w:val="20"/>
          <w:szCs w:val="20"/>
        </w:rPr>
        <w:t>s</w:t>
      </w:r>
      <w:r>
        <w:rPr>
          <w:b/>
          <w:bCs/>
          <w:i/>
          <w:iCs/>
          <w:sz w:val="20"/>
          <w:szCs w:val="20"/>
        </w:rPr>
        <w:t xml:space="preserve"> </w:t>
      </w:r>
    </w:p>
    <w:p w:rsidR="00000000" w:rsidRDefault="00A309A2">
      <w:pPr>
        <w:pStyle w:val="a3"/>
        <w:spacing w:before="200" w:beforeAutospacing="0" w:afterAutospacing="0"/>
        <w:ind w:firstLine="555"/>
        <w:rPr>
          <w:sz w:val="20"/>
          <w:szCs w:val="20"/>
        </w:rPr>
      </w:pPr>
      <w:r>
        <w:rPr>
          <w:sz w:val="20"/>
          <w:szCs w:val="20"/>
        </w:rPr>
        <w:t>Software development costs consist of certain payroll and stock compensation costs incurred to de</w:t>
      </w:r>
      <w:r>
        <w:rPr>
          <w:sz w:val="20"/>
          <w:szCs w:val="20"/>
        </w:rPr>
        <w:t>velop functionality for our CRM Platform and internally-built software platforms, as well as certain upgrades and enhancements that are expected to result in enhanced functionality. We capitalize certain software development costs for new offerings as well</w:t>
      </w:r>
      <w:r>
        <w:rPr>
          <w:sz w:val="20"/>
          <w:szCs w:val="20"/>
        </w:rPr>
        <w:t xml:space="preserve"> as upgrades to our existing software platforms, while costs associated with planning new developments and maintaining our CRM Platform software and internally built software platforms are expensed as incurred.. We amortize these development costs over the</w:t>
      </w:r>
      <w:r>
        <w:rPr>
          <w:sz w:val="20"/>
          <w:szCs w:val="20"/>
        </w:rPr>
        <w:t xml:space="preserve"> estimated useful life of two to five years on a straight-line basis. We determined that a two- to five- year life is appropriate for our internal-use software based on our best estimate of the useful life of the internally developed software after conside</w:t>
      </w:r>
      <w:r>
        <w:rPr>
          <w:sz w:val="20"/>
          <w:szCs w:val="20"/>
        </w:rPr>
        <w:t>ring factors such as continuous developments in the technology, obsolescence, and anticipated life of the service offering before significant upgrades. Management evaluates the useful lives of these assets on a quarterly basis and tests for impairment when</w:t>
      </w:r>
      <w:r>
        <w:rPr>
          <w:sz w:val="20"/>
          <w:szCs w:val="20"/>
        </w:rPr>
        <w:t>ever events or changes in circumstances occur that could impact the recoverability of these assets</w:t>
      </w:r>
      <w:r>
        <w:rPr>
          <w:sz w:val="20"/>
          <w:szCs w:val="20"/>
        </w:rPr>
        <w:t>.</w:t>
      </w:r>
    </w:p>
    <w:p w:rsidR="00000000" w:rsidRDefault="00A309A2">
      <w:pPr>
        <w:pStyle w:val="a3"/>
        <w:spacing w:before="200" w:beforeAutospacing="0" w:afterAutospacing="0"/>
        <w:ind w:firstLine="816"/>
        <w:rPr>
          <w:sz w:val="20"/>
          <w:szCs w:val="20"/>
        </w:rPr>
      </w:pPr>
      <w:r>
        <w:rPr>
          <w:sz w:val="20"/>
          <w:szCs w:val="20"/>
        </w:rPr>
        <w:t>We determine the amount of internal software costs to be capitalized based on the amount of time spent by our developers on projects in the application stag</w:t>
      </w:r>
      <w:r>
        <w:rPr>
          <w:sz w:val="20"/>
          <w:szCs w:val="20"/>
        </w:rPr>
        <w:t>e of development. There is judgment involved in estimating the time allocated to a particular project in the application stage. A significant change in the time spent on each project could have a material impact on the amount capitalized and related amorti</w:t>
      </w:r>
      <w:r>
        <w:rPr>
          <w:sz w:val="20"/>
          <w:szCs w:val="20"/>
        </w:rPr>
        <w:t>zation expense in subsequent periods</w:t>
      </w:r>
      <w:r>
        <w:rPr>
          <w:sz w:val="20"/>
          <w:szCs w:val="20"/>
        </w:rPr>
        <w:t>.</w:t>
      </w:r>
    </w:p>
    <w:p w:rsidR="00000000" w:rsidRDefault="00A309A2">
      <w:pPr>
        <w:pStyle w:val="a3"/>
        <w:spacing w:before="200" w:beforeAutospacing="0" w:afterAutospacing="0"/>
        <w:ind w:firstLine="543"/>
        <w:rPr>
          <w:sz w:val="20"/>
          <w:szCs w:val="20"/>
        </w:rPr>
      </w:pPr>
      <w:r>
        <w:rPr>
          <w:b/>
          <w:bCs/>
          <w:i/>
          <w:iCs/>
          <w:sz w:val="20"/>
          <w:szCs w:val="20"/>
        </w:rPr>
        <w:t>Lease</w:t>
      </w:r>
      <w:r>
        <w:rPr>
          <w:b/>
          <w:bCs/>
          <w:i/>
          <w:iCs/>
          <w:sz w:val="20"/>
          <w:szCs w:val="20"/>
        </w:rPr>
        <w:t>s</w:t>
      </w:r>
    </w:p>
    <w:p w:rsidR="00000000" w:rsidRDefault="00A309A2">
      <w:pPr>
        <w:pStyle w:val="a3"/>
        <w:spacing w:before="200" w:beforeAutospacing="0" w:afterAutospacing="0"/>
        <w:ind w:firstLine="543"/>
        <w:rPr>
          <w:sz w:val="20"/>
          <w:szCs w:val="20"/>
        </w:rPr>
      </w:pPr>
      <w:r>
        <w:rPr>
          <w:sz w:val="20"/>
          <w:szCs w:val="20"/>
        </w:rPr>
        <w:t>We lease office facilities under non-cancelable operating leases that expire at various dates through February 2035. Certain leases contain optional termination dates</w:t>
      </w:r>
      <w:r>
        <w:rPr>
          <w:sz w:val="20"/>
          <w:szCs w:val="20"/>
        </w:rPr>
        <w:t>.</w:t>
      </w:r>
      <w:r>
        <w:rPr>
          <w:sz w:val="20"/>
          <w:szCs w:val="20"/>
        </w:rPr>
        <w:t xml:space="preserve"> </w:t>
      </w:r>
    </w:p>
    <w:p w:rsidR="00000000" w:rsidRDefault="00A309A2">
      <w:pPr>
        <w:pStyle w:val="a3"/>
        <w:spacing w:before="200" w:beforeAutospacing="0" w:afterAutospacing="0"/>
        <w:ind w:firstLine="543"/>
        <w:rPr>
          <w:sz w:val="20"/>
          <w:szCs w:val="20"/>
        </w:rPr>
      </w:pPr>
      <w:r>
        <w:rPr>
          <w:sz w:val="20"/>
          <w:szCs w:val="20"/>
        </w:rPr>
        <w:t>We determine if an arrangement contains a lease at inception and do not separate lease and non-lease components of an arrangement determined to contain a lease.</w:t>
      </w:r>
      <w:r>
        <w:rPr>
          <w:sz w:val="20"/>
          <w:szCs w:val="20"/>
        </w:rPr>
        <w:t xml:space="preserve"> </w:t>
      </w:r>
      <w:r>
        <w:rPr>
          <w:sz w:val="20"/>
          <w:szCs w:val="20"/>
        </w:rPr>
        <w:t>Operating leases with a duration of 12 months or less are excluded from right-of-use-assets and</w:t>
      </w:r>
      <w:r>
        <w:rPr>
          <w:sz w:val="20"/>
          <w:szCs w:val="20"/>
        </w:rPr>
        <w:t xml:space="preserve"> lease liabilities and related expense is recorded as incurred</w:t>
      </w:r>
      <w:r>
        <w:rPr>
          <w:sz w:val="20"/>
          <w:szCs w:val="20"/>
        </w:rPr>
        <w:t>.</w:t>
      </w:r>
      <w:r>
        <w:rPr>
          <w:sz w:val="20"/>
          <w:szCs w:val="20"/>
        </w:rPr>
        <w:t xml:space="preserve"> </w:t>
      </w:r>
    </w:p>
    <w:p w:rsidR="00000000" w:rsidRDefault="00A309A2">
      <w:pPr>
        <w:pStyle w:val="a3"/>
        <w:spacing w:before="200" w:beforeAutospacing="0" w:afterAutospacing="0"/>
        <w:ind w:firstLine="543"/>
        <w:rPr>
          <w:sz w:val="20"/>
          <w:szCs w:val="20"/>
        </w:rPr>
      </w:pPr>
      <w:r>
        <w:rPr>
          <w:sz w:val="20"/>
          <w:szCs w:val="20"/>
        </w:rPr>
        <w:t>We use our estimated incremental borrowing rate, which is derived from information available at the lease commencement date, in determining the present value of operating lease payments. To d</w:t>
      </w:r>
      <w:r>
        <w:rPr>
          <w:sz w:val="20"/>
          <w:szCs w:val="20"/>
        </w:rPr>
        <w:t>etermine the estimated incremental borrowing rate, we use publicly available credit ratings for peer companies, and estimate the incremental borrowing rate using yields for maturities that are in line wit</w:t>
      </w:r>
      <w:r>
        <w:rPr>
          <w:sz w:val="20"/>
          <w:szCs w:val="20"/>
        </w:rPr>
        <w:t>h</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5</w:t>
      </w:r>
      <w:r>
        <w:rPr>
          <w:sz w:val="20"/>
          <w:szCs w:val="20"/>
        </w:rPr>
        <w:t>6</w:t>
      </w:r>
    </w:p>
    <w:p w:rsidR="00000000" w:rsidRDefault="00A309A2">
      <w:pPr>
        <w:rPr>
          <w:rFonts w:eastAsia="Times New Roman"/>
        </w:rPr>
      </w:pPr>
      <w:r>
        <w:rPr>
          <w:rFonts w:eastAsia="Times New Roman"/>
        </w:rPr>
        <w:pict>
          <v:rect id="_x0000_i108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00" w:beforeAutospacing="0" w:afterAutospacing="0"/>
        <w:rPr>
          <w:sz w:val="20"/>
          <w:szCs w:val="20"/>
        </w:rPr>
      </w:pPr>
      <w:r>
        <w:rPr>
          <w:sz w:val="20"/>
          <w:szCs w:val="20"/>
        </w:rPr>
        <w:t>the dura</w:t>
      </w:r>
      <w:r>
        <w:rPr>
          <w:sz w:val="20"/>
          <w:szCs w:val="20"/>
        </w:rPr>
        <w:t xml:space="preserve">tion of the lease payments. </w:t>
      </w:r>
      <w:r>
        <w:rPr>
          <w:sz w:val="20"/>
          <w:szCs w:val="20"/>
        </w:rPr>
        <w:br/>
      </w:r>
      <w:r>
        <w:rPr>
          <w:sz w:val="20"/>
          <w:szCs w:val="20"/>
        </w:rPr>
        <w:t> </w:t>
      </w:r>
    </w:p>
    <w:p w:rsidR="00000000" w:rsidRDefault="00A309A2">
      <w:pPr>
        <w:pStyle w:val="a3"/>
        <w:spacing w:before="200" w:beforeAutospacing="0" w:afterAutospacing="0"/>
        <w:rPr>
          <w:sz w:val="20"/>
          <w:szCs w:val="20"/>
        </w:rPr>
      </w:pPr>
      <w:r>
        <w:rPr>
          <w:b/>
          <w:bCs/>
          <w:sz w:val="20"/>
          <w:szCs w:val="20"/>
        </w:rPr>
        <w:t>Recent Accounting Pronouncement</w:t>
      </w:r>
      <w:r>
        <w:rPr>
          <w:b/>
          <w:bCs/>
          <w:sz w:val="20"/>
          <w:szCs w:val="20"/>
        </w:rPr>
        <w:t>s</w:t>
      </w:r>
    </w:p>
    <w:p w:rsidR="00000000" w:rsidRDefault="00A309A2">
      <w:pPr>
        <w:pStyle w:val="a3"/>
        <w:spacing w:before="200" w:beforeAutospacing="0" w:afterAutospacing="0"/>
        <w:ind w:firstLine="555"/>
        <w:rPr>
          <w:sz w:val="20"/>
          <w:szCs w:val="20"/>
        </w:rPr>
      </w:pPr>
      <w:r>
        <w:rPr>
          <w:sz w:val="20"/>
          <w:szCs w:val="20"/>
        </w:rPr>
        <w:t>For information on recent accounting pronouncements, see</w:t>
      </w:r>
      <w:r>
        <w:rPr>
          <w:sz w:val="20"/>
          <w:szCs w:val="20"/>
        </w:rPr>
        <w:t xml:space="preserve"> </w:t>
      </w:r>
      <w:r>
        <w:rPr>
          <w:i/>
          <w:iCs/>
          <w:sz w:val="20"/>
          <w:szCs w:val="20"/>
        </w:rPr>
        <w:t>Recent Accounting Pronouncement</w:t>
      </w:r>
      <w:r>
        <w:rPr>
          <w:i/>
          <w:iCs/>
          <w:sz w:val="20"/>
          <w:szCs w:val="20"/>
        </w:rPr>
        <w:t>s</w:t>
      </w:r>
      <w:r>
        <w:rPr>
          <w:sz w:val="20"/>
          <w:szCs w:val="20"/>
        </w:rPr>
        <w:t xml:space="preserve"> in the notes to the consolidated financial statements appearing elsewhere in this Annual Report on For</w:t>
      </w:r>
      <w:r>
        <w:rPr>
          <w:sz w:val="20"/>
          <w:szCs w:val="20"/>
        </w:rPr>
        <w:t>m 10-K</w:t>
      </w:r>
      <w:r>
        <w:rPr>
          <w:sz w:val="20"/>
          <w:szCs w:val="20"/>
        </w:rPr>
        <w:t>.</w:t>
      </w:r>
    </w:p>
    <w:p w:rsidR="00000000" w:rsidRDefault="00A309A2">
      <w:pPr>
        <w:pStyle w:val="a3"/>
        <w:spacing w:before="200" w:beforeAutospacing="0" w:after="0" w:afterAutospacing="0"/>
        <w:ind w:hanging="1220"/>
        <w:rPr>
          <w:sz w:val="20"/>
          <w:szCs w:val="20"/>
        </w:rPr>
      </w:pPr>
      <w:r>
        <w:rPr>
          <w:b/>
          <w:bCs/>
          <w:sz w:val="20"/>
          <w:szCs w:val="20"/>
        </w:rPr>
        <w:t>ITEM 7A. Qualitative and Quantita</w:t>
      </w:r>
      <w:r>
        <w:rPr>
          <w:b/>
          <w:bCs/>
          <w:sz w:val="20"/>
          <w:szCs w:val="20"/>
        </w:rPr>
        <w:t>t</w:t>
      </w:r>
      <w:r>
        <w:rPr>
          <w:b/>
          <w:bCs/>
          <w:sz w:val="20"/>
          <w:szCs w:val="20"/>
        </w:rPr>
        <w:t>ive Disclosures About Market Ris</w:t>
      </w:r>
      <w:r>
        <w:rPr>
          <w:b/>
          <w:bCs/>
          <w:sz w:val="20"/>
          <w:szCs w:val="20"/>
        </w:rPr>
        <w:t>k</w:t>
      </w:r>
    </w:p>
    <w:p w:rsidR="00000000" w:rsidRDefault="00A309A2">
      <w:pPr>
        <w:pStyle w:val="a3"/>
        <w:spacing w:before="200" w:beforeAutospacing="0" w:after="0" w:afterAutospacing="0"/>
        <w:ind w:left="476"/>
        <w:rPr>
          <w:sz w:val="20"/>
          <w:szCs w:val="20"/>
        </w:rPr>
      </w:pPr>
      <w:r>
        <w:rPr>
          <w:b/>
          <w:bCs/>
          <w:i/>
          <w:iCs/>
          <w:sz w:val="20"/>
          <w:szCs w:val="20"/>
        </w:rPr>
        <w:t>Foreign Currency Exchange Ris</w:t>
      </w:r>
      <w:r>
        <w:rPr>
          <w:b/>
          <w:bCs/>
          <w:i/>
          <w:iCs/>
          <w:sz w:val="20"/>
          <w:szCs w:val="20"/>
        </w:rPr>
        <w:t>k</w:t>
      </w:r>
    </w:p>
    <w:p w:rsidR="00000000" w:rsidRDefault="00A309A2">
      <w:pPr>
        <w:pStyle w:val="a3"/>
        <w:spacing w:before="200" w:beforeAutospacing="0" w:after="0" w:afterAutospacing="0"/>
        <w:ind w:firstLine="555"/>
        <w:rPr>
          <w:sz w:val="20"/>
          <w:szCs w:val="20"/>
        </w:rPr>
      </w:pPr>
      <w:r>
        <w:rPr>
          <w:sz w:val="20"/>
          <w:szCs w:val="20"/>
        </w:rPr>
        <w:t xml:space="preserve">We have foreign currency risks related to our revenue, cost of revenue, and operating expenses denominated in currencies other than the U.S. dollar, </w:t>
      </w:r>
      <w:r>
        <w:rPr>
          <w:sz w:val="20"/>
          <w:szCs w:val="20"/>
        </w:rPr>
        <w:t>primarily the Euro, British Pound Sterling, Australian dollar, Singaporean dollar, Japanese Yen, Colombian Peso and Canadian dollar. Since we translate foreign currencies into U.S. dollars for financial reporting purposes, currency fluctuations can have an</w:t>
      </w:r>
      <w:r>
        <w:rPr>
          <w:sz w:val="20"/>
          <w:szCs w:val="20"/>
        </w:rPr>
        <w:t xml:space="preserve"> impact on our financial results</w:t>
      </w:r>
      <w:r>
        <w:rPr>
          <w:sz w:val="20"/>
          <w:szCs w:val="20"/>
        </w:rPr>
        <w:t>.</w:t>
      </w:r>
    </w:p>
    <w:p w:rsidR="00000000" w:rsidRDefault="00A309A2">
      <w:pPr>
        <w:pStyle w:val="a3"/>
        <w:spacing w:before="200" w:beforeAutospacing="0" w:after="0" w:afterAutospacing="0"/>
        <w:ind w:firstLine="555"/>
        <w:rPr>
          <w:sz w:val="20"/>
          <w:szCs w:val="20"/>
        </w:rPr>
      </w:pPr>
      <w:r>
        <w:rPr>
          <w:sz w:val="20"/>
          <w:szCs w:val="20"/>
        </w:rPr>
        <w:t xml:space="preserve">We have experienced and will continue to experience fluctuations in our net loss as a result of transaction gains or losses related to revaluing certain current asset and current liability balances that are denominated in </w:t>
      </w:r>
      <w:r>
        <w:rPr>
          <w:sz w:val="20"/>
          <w:szCs w:val="20"/>
        </w:rPr>
        <w:t>currencies other than the functional currency of the entities in which they are recorded. We recognized immaterial amounts of foreign currency gains and losses in each of the periods presented. We have not engaged in the hedging of our foreign currency tra</w:t>
      </w:r>
      <w:r>
        <w:rPr>
          <w:sz w:val="20"/>
          <w:szCs w:val="20"/>
        </w:rPr>
        <w:t>nsactions to date, we are evaluating the costs and benefits of initiating such a program and may in the future hedge selected significant transactions denominated in currencies other than the U.S. dollar as we expand our international operation, and our ri</w:t>
      </w:r>
      <w:r>
        <w:rPr>
          <w:sz w:val="20"/>
          <w:szCs w:val="20"/>
        </w:rPr>
        <w:t>sk grows</w:t>
      </w:r>
      <w:r>
        <w:rPr>
          <w:sz w:val="20"/>
          <w:szCs w:val="20"/>
        </w:rPr>
        <w:t>.</w:t>
      </w:r>
    </w:p>
    <w:p w:rsidR="00000000" w:rsidRDefault="00A309A2">
      <w:pPr>
        <w:pStyle w:val="a3"/>
        <w:spacing w:before="200" w:beforeAutospacing="0" w:after="0" w:afterAutospacing="0"/>
        <w:ind w:left="476"/>
        <w:rPr>
          <w:sz w:val="20"/>
          <w:szCs w:val="20"/>
        </w:rPr>
      </w:pPr>
      <w:r>
        <w:rPr>
          <w:b/>
          <w:bCs/>
          <w:i/>
          <w:iCs/>
          <w:sz w:val="20"/>
          <w:szCs w:val="20"/>
        </w:rPr>
        <w:t>Interest Rate Sensitivit</w:t>
      </w:r>
      <w:r>
        <w:rPr>
          <w:b/>
          <w:bCs/>
          <w:i/>
          <w:iCs/>
          <w:sz w:val="20"/>
          <w:szCs w:val="20"/>
        </w:rPr>
        <w:t>y</w:t>
      </w:r>
    </w:p>
    <w:p w:rsidR="00000000" w:rsidRDefault="00A309A2">
      <w:pPr>
        <w:pStyle w:val="a3"/>
        <w:spacing w:before="200" w:beforeAutospacing="0" w:after="0" w:afterAutospacing="0"/>
        <w:ind w:firstLine="555"/>
        <w:rPr>
          <w:sz w:val="20"/>
          <w:szCs w:val="20"/>
        </w:rPr>
      </w:pPr>
      <w:r>
        <w:rPr>
          <w:sz w:val="20"/>
          <w:szCs w:val="20"/>
        </w:rPr>
        <w:t>Our portfolio of cash and cash equivalents and short- and long-term investments is maintained in a variety of securities, including government agency obligations, corporate bonds and money market funds. Investments are c</w:t>
      </w:r>
      <w:r>
        <w:rPr>
          <w:sz w:val="20"/>
          <w:szCs w:val="20"/>
        </w:rPr>
        <w:t>lassified as available-for-sale securities and carried at their fair market value with cumulative unrealized gains or losses recorded as a component of accumulated other comprehensive loss within stockholders' equity. A sharp rise in interest rates could h</w:t>
      </w:r>
      <w:r>
        <w:rPr>
          <w:sz w:val="20"/>
          <w:szCs w:val="20"/>
        </w:rPr>
        <w:t>ave an adverse impact on the fair market value of certain securities in our portfolio. We do not currently hedge our interest rate exposure and do not enter into financial instruments for trading or speculative purposes</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Inflation Ris</w:t>
      </w:r>
      <w:r>
        <w:rPr>
          <w:b/>
          <w:bCs/>
          <w:i/>
          <w:iCs/>
          <w:sz w:val="20"/>
          <w:szCs w:val="20"/>
        </w:rPr>
        <w:t>k</w:t>
      </w:r>
    </w:p>
    <w:p w:rsidR="00000000" w:rsidRDefault="00A309A2">
      <w:pPr>
        <w:pStyle w:val="a3"/>
        <w:spacing w:before="200" w:beforeAutospacing="0" w:after="0" w:afterAutospacing="0"/>
        <w:ind w:firstLine="555"/>
        <w:rPr>
          <w:sz w:val="20"/>
          <w:szCs w:val="20"/>
        </w:rPr>
      </w:pPr>
      <w:r>
        <w:rPr>
          <w:sz w:val="20"/>
          <w:szCs w:val="20"/>
        </w:rPr>
        <w:t>We do not believe th</w:t>
      </w:r>
      <w:r>
        <w:rPr>
          <w:sz w:val="20"/>
          <w:szCs w:val="20"/>
        </w:rPr>
        <w:t>at inflation has had a material effect on our business. However, if our costs, in particular personnel, sales and marketing and hosting costs, were to become subject to significant inflationary pressures, we may not be able to fully offset such higher cost</w:t>
      </w:r>
      <w:r>
        <w:rPr>
          <w:sz w:val="20"/>
          <w:szCs w:val="20"/>
        </w:rPr>
        <w:t>s through price increases. Our inability or failure to do so could harm our business, operating results and financial condition</w:t>
      </w:r>
      <w:r>
        <w:rPr>
          <w:sz w:val="20"/>
          <w:szCs w:val="20"/>
        </w:rPr>
        <w:t>.</w:t>
      </w:r>
    </w:p>
    <w:p w:rsidR="00000000" w:rsidRDefault="00A309A2">
      <w:pPr>
        <w:pStyle w:val="a3"/>
        <w:spacing w:before="200" w:beforeAutospacing="0" w:after="0" w:afterAutospacing="0"/>
        <w:ind w:firstLine="555"/>
        <w:rPr>
          <w:sz w:val="20"/>
          <w:szCs w:val="20"/>
        </w:rPr>
      </w:pPr>
      <w:r>
        <w:rPr>
          <w:b/>
          <w:bCs/>
          <w:i/>
          <w:iCs/>
          <w:sz w:val="20"/>
          <w:szCs w:val="20"/>
        </w:rPr>
        <w:t>Market Risk and Market Interest Ris</w:t>
      </w:r>
      <w:r>
        <w:rPr>
          <w:b/>
          <w:bCs/>
          <w:i/>
          <w:iCs/>
          <w:sz w:val="20"/>
          <w:szCs w:val="20"/>
        </w:rPr>
        <w:t>k</w:t>
      </w:r>
    </w:p>
    <w:p w:rsidR="00000000" w:rsidRDefault="00A309A2">
      <w:pPr>
        <w:pStyle w:val="a3"/>
        <w:spacing w:before="200" w:beforeAutospacing="0" w:after="0" w:afterAutospacing="0"/>
        <w:ind w:firstLine="555"/>
        <w:rPr>
          <w:sz w:val="20"/>
          <w:szCs w:val="20"/>
        </w:rPr>
      </w:pPr>
      <w:r>
        <w:rPr>
          <w:sz w:val="20"/>
          <w:szCs w:val="20"/>
        </w:rPr>
        <w:t>In May 2017, we issued $400.0 million aggregate principal amount of 0.25% convertible senior due June 1, 2022, of which $272.1 million was repurchased in June 2020 and $2.8 million was settled in cash in the fourth quarter of 2021. As of December 31, 2021,</w:t>
      </w:r>
      <w:r>
        <w:rPr>
          <w:sz w:val="20"/>
          <w:szCs w:val="20"/>
        </w:rPr>
        <w:t xml:space="preserve"> $19.4 million of principal remains outstanding on the 2022 Notes. Also in June 2020, we issued $460.0 million aggregate principal amount of convertible senior notes due June 1, 2025. The fair value of our convertible senior notes is subject to interest ra</w:t>
      </w:r>
      <w:r>
        <w:rPr>
          <w:sz w:val="20"/>
          <w:szCs w:val="20"/>
        </w:rPr>
        <w:t>te risk, market risk and other factors due to the convertible feature. The fair value of the convertible senior notes will generally increase as our common stock price increases and will generally decrease as our common stock price declines in value. The i</w:t>
      </w:r>
      <w:r>
        <w:rPr>
          <w:sz w:val="20"/>
          <w:szCs w:val="20"/>
        </w:rPr>
        <w:t>nterest and market value changes affect the fair value of our convertible senior notes but do not impact our financial position, cash flows or results of operations due to the fixed nature of the debt obligation. Generally, the fair values of 2022 Notes an</w:t>
      </w:r>
      <w:r>
        <w:rPr>
          <w:sz w:val="20"/>
          <w:szCs w:val="20"/>
        </w:rPr>
        <w:t>d the 2025 Notes (the “Notes”) will increase as interest rates fall and decrease as interest rates rise. Additionally, we carry the Notes at face value less unamortized discount on our balance sheet, and we present the fair value for required disclosure pu</w:t>
      </w:r>
      <w:r>
        <w:rPr>
          <w:sz w:val="20"/>
          <w:szCs w:val="20"/>
        </w:rPr>
        <w:t>rposes only</w:t>
      </w:r>
      <w:r>
        <w:rPr>
          <w:sz w:val="20"/>
          <w:szCs w:val="20"/>
        </w:rPr>
        <w:t>.</w:t>
      </w:r>
    </w:p>
    <w:p w:rsidR="00000000" w:rsidRDefault="00A309A2">
      <w:pPr>
        <w:pStyle w:val="a3"/>
        <w:spacing w:before="240" w:beforeAutospacing="0" w:after="0" w:afterAutospacing="0"/>
        <w:ind w:firstLine="555"/>
        <w:rPr>
          <w:sz w:val="20"/>
          <w:szCs w:val="20"/>
        </w:rPr>
      </w:pPr>
      <w:r>
        <w:rPr>
          <w:sz w:val="20"/>
          <w:szCs w:val="20"/>
        </w:rPr>
        <w:t>The table below provides a sensitivity analysis of hypothetical 10% changes of our stock price as of December 31, 2021 and the estimated impact on the fair value of the Notes. The selected scenarios are not predictions of future events, but ra</w:t>
      </w:r>
      <w:r>
        <w:rPr>
          <w:sz w:val="20"/>
          <w:szCs w:val="20"/>
        </w:rPr>
        <w:t>ther are intended to illustrate the effect such event may have on the fair value of the Notes</w:t>
      </w:r>
      <w:r>
        <w:rPr>
          <w:sz w:val="20"/>
          <w:szCs w:val="20"/>
        </w:rPr>
        <w:t>.</w:t>
      </w:r>
    </w:p>
    <w:p w:rsidR="00000000" w:rsidRDefault="00A309A2">
      <w:pPr>
        <w:pStyle w:val="a3"/>
        <w:spacing w:before="240" w:beforeAutospacing="0" w:after="0" w:afterAutospacing="0"/>
        <w:ind w:firstLine="816"/>
        <w:rPr>
          <w:sz w:val="20"/>
          <w:szCs w:val="20"/>
        </w:rPr>
      </w:pPr>
      <w:r>
        <w:rPr>
          <w:b/>
          <w:bCs/>
          <w:sz w:val="20"/>
          <w:szCs w:val="20"/>
        </w:rPr>
        <w:t>2022 Note</w:t>
      </w:r>
      <w:r>
        <w:rPr>
          <w:b/>
          <w:bCs/>
          <w:sz w:val="20"/>
          <w:szCs w:val="20"/>
        </w:rPr>
        <w:t>s</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5</w:t>
      </w:r>
      <w:r>
        <w:rPr>
          <w:sz w:val="20"/>
          <w:szCs w:val="20"/>
        </w:rPr>
        <w:t>7</w:t>
      </w:r>
    </w:p>
    <w:p w:rsidR="00000000" w:rsidRDefault="00A309A2">
      <w:pPr>
        <w:rPr>
          <w:rFonts w:eastAsia="Times New Roman"/>
        </w:rPr>
      </w:pPr>
      <w:r>
        <w:rPr>
          <w:rFonts w:eastAsia="Times New Roman"/>
        </w:rPr>
        <w:pict>
          <v:rect id="_x0000_i108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2996"/>
        <w:gridCol w:w="110"/>
        <w:gridCol w:w="160"/>
        <w:gridCol w:w="733"/>
        <w:gridCol w:w="110"/>
        <w:gridCol w:w="115"/>
        <w:gridCol w:w="160"/>
        <w:gridCol w:w="948"/>
        <w:gridCol w:w="127"/>
        <w:gridCol w:w="115"/>
        <w:gridCol w:w="111"/>
        <w:gridCol w:w="1066"/>
        <w:gridCol w:w="309"/>
      </w:tblGrid>
      <w:tr w:rsidR="00000000">
        <w:trPr>
          <w:tblCellSpacing w:w="15" w:type="dxa"/>
        </w:trPr>
        <w:tc>
          <w:tcPr>
            <w:tcW w:w="2257" w:type="pct"/>
            <w:vAlign w:val="center"/>
            <w:hideMark/>
          </w:tcPr>
          <w:p w:rsidR="00000000" w:rsidRDefault="00A309A2">
            <w:pPr>
              <w:rPr>
                <w:sz w:val="20"/>
                <w:szCs w:val="20"/>
              </w:rPr>
            </w:pPr>
          </w:p>
        </w:tc>
        <w:tc>
          <w:tcPr>
            <w:tcW w:w="59" w:type="pct"/>
            <w:vAlign w:val="center"/>
            <w:hideMark/>
          </w:tcPr>
          <w:p w:rsidR="00000000" w:rsidRDefault="00A309A2">
            <w:pPr>
              <w:rPr>
                <w:rFonts w:eastAsia="Times New Roman"/>
                <w:sz w:val="20"/>
                <w:szCs w:val="20"/>
              </w:rPr>
            </w:pPr>
          </w:p>
        </w:tc>
        <w:tc>
          <w:tcPr>
            <w:tcW w:w="77" w:type="pct"/>
            <w:vAlign w:val="center"/>
            <w:hideMark/>
          </w:tcPr>
          <w:p w:rsidR="00000000" w:rsidRDefault="00A309A2">
            <w:pPr>
              <w:rPr>
                <w:rFonts w:eastAsia="Times New Roman"/>
                <w:sz w:val="20"/>
                <w:szCs w:val="20"/>
              </w:rPr>
            </w:pPr>
          </w:p>
        </w:tc>
        <w:tc>
          <w:tcPr>
            <w:tcW w:w="565"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59" w:type="pct"/>
            <w:vAlign w:val="center"/>
            <w:hideMark/>
          </w:tcPr>
          <w:p w:rsidR="00000000" w:rsidRDefault="00A309A2">
            <w:pPr>
              <w:rPr>
                <w:rFonts w:eastAsia="Times New Roman"/>
                <w:sz w:val="20"/>
                <w:szCs w:val="20"/>
              </w:rPr>
            </w:pPr>
          </w:p>
        </w:tc>
        <w:tc>
          <w:tcPr>
            <w:tcW w:w="77" w:type="pct"/>
            <w:vAlign w:val="center"/>
            <w:hideMark/>
          </w:tcPr>
          <w:p w:rsidR="00000000" w:rsidRDefault="00A309A2">
            <w:pPr>
              <w:rPr>
                <w:rFonts w:eastAsia="Times New Roman"/>
                <w:sz w:val="20"/>
                <w:szCs w:val="20"/>
              </w:rPr>
            </w:pPr>
          </w:p>
        </w:tc>
        <w:tc>
          <w:tcPr>
            <w:tcW w:w="727"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9"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815" w:type="pct"/>
            <w:vAlign w:val="center"/>
            <w:hideMark/>
          </w:tcPr>
          <w:p w:rsidR="00000000" w:rsidRDefault="00A309A2">
            <w:pPr>
              <w:rPr>
                <w:rFonts w:eastAsia="Times New Roman"/>
                <w:sz w:val="20"/>
                <w:szCs w:val="20"/>
              </w:rPr>
            </w:pPr>
          </w:p>
        </w:tc>
        <w:tc>
          <w:tcPr>
            <w:tcW w:w="179"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b/>
                <w:bCs/>
                <w:sz w:val="16"/>
                <w:szCs w:val="16"/>
              </w:rPr>
              <w:t>Hypothetical change in HubSpot stock pric</w:t>
            </w:r>
            <w:r>
              <w:rPr>
                <w:b/>
                <w:bCs/>
                <w:sz w:val="16"/>
                <w:szCs w:val="16"/>
              </w:rPr>
              <w:t>e</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Estimated change in</w:t>
            </w:r>
            <w:r>
              <w:rPr>
                <w:b/>
                <w:bCs/>
                <w:sz w:val="16"/>
                <w:szCs w:val="16"/>
              </w:rPr>
              <w:b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Hypothetical</w:t>
            </w:r>
            <w:r>
              <w:rPr>
                <w:b/>
                <w:bCs/>
                <w:sz w:val="16"/>
                <w:szCs w:val="16"/>
              </w:rPr>
              <w:br/>
              <w:t>percentage</w:t>
            </w:r>
            <w:r>
              <w:rPr>
                <w:b/>
                <w:bCs/>
                <w:sz w:val="16"/>
                <w:szCs w:val="16"/>
              </w:rPr>
              <w:br/>
              <w:t>increase</w:t>
            </w:r>
            <w:r>
              <w:rPr>
                <w:b/>
                <w:bCs/>
                <w:sz w:val="16"/>
                <w:szCs w:val="16"/>
              </w:rPr>
              <w:br/>
              <w:t>(decrease) in</w:t>
            </w:r>
            <w:r>
              <w:rPr>
                <w:b/>
                <w:bCs/>
                <w:sz w:val="16"/>
                <w:szCs w:val="16"/>
              </w:rPr>
              <w:b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10% increas</w:t>
            </w:r>
            <w:r>
              <w:rPr>
                <w:sz w:val="20"/>
                <w:szCs w:val="20"/>
              </w:rPr>
              <w:t>e</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148,28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13,25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No chang</w:t>
            </w:r>
            <w:r>
              <w:rPr>
                <w:sz w:val="20"/>
                <w:szCs w:val="20"/>
              </w:rPr>
              <w:t>e</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135,02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10% decreas</w:t>
            </w:r>
            <w:r>
              <w:rPr>
                <w:sz w:val="20"/>
                <w:szCs w:val="20"/>
              </w:rPr>
              <w:t>e</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121,32</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(13,70</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r>
    </w:tbl>
    <w:p w:rsidR="00000000" w:rsidRDefault="00A309A2">
      <w:pPr>
        <w:pStyle w:val="a3"/>
        <w:spacing w:before="0" w:beforeAutospacing="0" w:after="0" w:afterAutospacing="0"/>
        <w:rPr>
          <w:sz w:val="20"/>
          <w:szCs w:val="20"/>
        </w:rPr>
      </w:pPr>
      <w:r>
        <w:t> </w:t>
      </w:r>
    </w:p>
    <w:p w:rsidR="00000000" w:rsidRDefault="00A309A2">
      <w:pPr>
        <w:pStyle w:val="a3"/>
        <w:spacing w:before="0" w:beforeAutospacing="0" w:after="0" w:afterAutospacing="0"/>
        <w:ind w:firstLine="816"/>
        <w:rPr>
          <w:sz w:val="20"/>
          <w:szCs w:val="20"/>
        </w:rPr>
      </w:pPr>
      <w:r>
        <w:rPr>
          <w:b/>
          <w:bCs/>
          <w:sz w:val="20"/>
          <w:szCs w:val="20"/>
        </w:rPr>
        <w:t>2025 Note</w:t>
      </w:r>
      <w:r>
        <w:rPr>
          <w:b/>
          <w:bCs/>
          <w:sz w:val="20"/>
          <w:szCs w:val="20"/>
        </w:rPr>
        <w:t>s</w:t>
      </w:r>
    </w:p>
    <w:p w:rsidR="00000000" w:rsidRDefault="00A309A2">
      <w:pPr>
        <w:pStyle w:val="a3"/>
        <w:spacing w:before="0" w:beforeAutospacing="0" w:after="0" w:afterAutospacing="0"/>
        <w:rPr>
          <w:sz w:val="20"/>
          <w:szCs w:val="20"/>
        </w:rPr>
      </w:pPr>
      <w:r>
        <w:rPr>
          <w:sz w:val="20"/>
          <w:szCs w:val="20"/>
        </w:rPr>
        <w:t> </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2931"/>
        <w:gridCol w:w="110"/>
        <w:gridCol w:w="160"/>
        <w:gridCol w:w="860"/>
        <w:gridCol w:w="110"/>
        <w:gridCol w:w="115"/>
        <w:gridCol w:w="160"/>
        <w:gridCol w:w="888"/>
        <w:gridCol w:w="127"/>
        <w:gridCol w:w="115"/>
        <w:gridCol w:w="111"/>
        <w:gridCol w:w="1064"/>
        <w:gridCol w:w="309"/>
      </w:tblGrid>
      <w:tr w:rsidR="00000000">
        <w:trPr>
          <w:tblCellSpacing w:w="15" w:type="dxa"/>
        </w:trPr>
        <w:tc>
          <w:tcPr>
            <w:tcW w:w="2228" w:type="pct"/>
            <w:vAlign w:val="center"/>
            <w:hideMark/>
          </w:tcPr>
          <w:p w:rsidR="00000000" w:rsidRDefault="00A309A2">
            <w:pPr>
              <w:rPr>
                <w:sz w:val="20"/>
                <w:szCs w:val="20"/>
              </w:rPr>
            </w:pPr>
          </w:p>
        </w:tc>
        <w:tc>
          <w:tcPr>
            <w:tcW w:w="36" w:type="pct"/>
            <w:vAlign w:val="center"/>
            <w:hideMark/>
          </w:tcPr>
          <w:p w:rsidR="00000000" w:rsidRDefault="00A309A2">
            <w:pPr>
              <w:rPr>
                <w:rFonts w:eastAsia="Times New Roman"/>
                <w:sz w:val="20"/>
                <w:szCs w:val="20"/>
              </w:rPr>
            </w:pPr>
          </w:p>
        </w:tc>
        <w:tc>
          <w:tcPr>
            <w:tcW w:w="76" w:type="pct"/>
            <w:vAlign w:val="center"/>
            <w:hideMark/>
          </w:tcPr>
          <w:p w:rsidR="00000000" w:rsidRDefault="00A309A2">
            <w:pPr>
              <w:rPr>
                <w:rFonts w:eastAsia="Times New Roman"/>
                <w:sz w:val="20"/>
                <w:szCs w:val="20"/>
              </w:rPr>
            </w:pPr>
          </w:p>
        </w:tc>
        <w:tc>
          <w:tcPr>
            <w:tcW w:w="610"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66" w:type="pct"/>
            <w:vAlign w:val="center"/>
            <w:hideMark/>
          </w:tcPr>
          <w:p w:rsidR="00000000" w:rsidRDefault="00A309A2">
            <w:pPr>
              <w:rPr>
                <w:rFonts w:eastAsia="Times New Roman"/>
                <w:sz w:val="20"/>
                <w:szCs w:val="20"/>
              </w:rPr>
            </w:pPr>
          </w:p>
        </w:tc>
        <w:tc>
          <w:tcPr>
            <w:tcW w:w="76" w:type="pct"/>
            <w:vAlign w:val="center"/>
            <w:hideMark/>
          </w:tcPr>
          <w:p w:rsidR="00000000" w:rsidRDefault="00A309A2">
            <w:pPr>
              <w:rPr>
                <w:rFonts w:eastAsia="Times New Roman"/>
                <w:sz w:val="20"/>
                <w:szCs w:val="20"/>
              </w:rPr>
            </w:pPr>
          </w:p>
        </w:tc>
        <w:tc>
          <w:tcPr>
            <w:tcW w:w="759"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12" w:type="pct"/>
            <w:vAlign w:val="center"/>
            <w:hideMark/>
          </w:tcPr>
          <w:p w:rsidR="00000000" w:rsidRDefault="00A309A2">
            <w:pPr>
              <w:rPr>
                <w:rFonts w:eastAsia="Times New Roman"/>
                <w:sz w:val="20"/>
                <w:szCs w:val="20"/>
              </w:rPr>
            </w:pPr>
          </w:p>
        </w:tc>
        <w:tc>
          <w:tcPr>
            <w:tcW w:w="36" w:type="pct"/>
            <w:vAlign w:val="center"/>
            <w:hideMark/>
          </w:tcPr>
          <w:p w:rsidR="00000000" w:rsidRDefault="00A309A2">
            <w:pPr>
              <w:rPr>
                <w:rFonts w:eastAsia="Times New Roman"/>
                <w:sz w:val="20"/>
                <w:szCs w:val="20"/>
              </w:rPr>
            </w:pPr>
          </w:p>
        </w:tc>
        <w:tc>
          <w:tcPr>
            <w:tcW w:w="835" w:type="pct"/>
            <w:vAlign w:val="center"/>
            <w:hideMark/>
          </w:tcPr>
          <w:p w:rsidR="00000000" w:rsidRDefault="00A309A2">
            <w:pPr>
              <w:rPr>
                <w:rFonts w:eastAsia="Times New Roman"/>
                <w:sz w:val="20"/>
                <w:szCs w:val="20"/>
              </w:rPr>
            </w:pPr>
          </w:p>
        </w:tc>
        <w:tc>
          <w:tcPr>
            <w:tcW w:w="177"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b/>
                <w:bCs/>
                <w:sz w:val="16"/>
                <w:szCs w:val="16"/>
              </w:rPr>
              <w:t>Hypothetical change in HubSpot stock pric</w:t>
            </w:r>
            <w:r>
              <w:rPr>
                <w:b/>
                <w:bCs/>
                <w:sz w:val="16"/>
                <w:szCs w:val="16"/>
              </w:rPr>
              <w:t>e</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Estimated change in</w:t>
            </w:r>
            <w:r>
              <w:rPr>
                <w:b/>
                <w:bCs/>
                <w:sz w:val="16"/>
                <w:szCs w:val="16"/>
              </w:rPr>
              <w:b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Hypothetical</w:t>
            </w:r>
            <w:r>
              <w:rPr>
                <w:b/>
                <w:bCs/>
                <w:sz w:val="16"/>
                <w:szCs w:val="16"/>
              </w:rPr>
              <w:br/>
            </w:r>
            <w:r>
              <w:rPr>
                <w:b/>
                <w:bCs/>
                <w:sz w:val="16"/>
                <w:szCs w:val="16"/>
              </w:rPr>
              <w:t>percentage</w:t>
            </w:r>
            <w:r>
              <w:rPr>
                <w:b/>
                <w:bCs/>
                <w:sz w:val="16"/>
                <w:szCs w:val="16"/>
              </w:rPr>
              <w:br/>
              <w:t>increase</w:t>
            </w:r>
            <w:r>
              <w:rPr>
                <w:b/>
                <w:bCs/>
                <w:sz w:val="16"/>
                <w:szCs w:val="16"/>
              </w:rPr>
              <w:br/>
              <w:t>(decrease) in</w:t>
            </w:r>
            <w:r>
              <w:rPr>
                <w:b/>
                <w:bCs/>
                <w:sz w:val="16"/>
                <w:szCs w:val="16"/>
              </w:rPr>
              <w:b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10% increas</w:t>
            </w:r>
            <w:r>
              <w:rPr>
                <w:sz w:val="20"/>
                <w:szCs w:val="20"/>
              </w:rPr>
              <w:t>e</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1,194,38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73,24</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No chang</w:t>
            </w:r>
            <w:r>
              <w:rPr>
                <w:sz w:val="20"/>
                <w:szCs w:val="20"/>
              </w:rPr>
              <w:t>e</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1,121,14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10% decreas</w:t>
            </w:r>
            <w:r>
              <w:rPr>
                <w:sz w:val="20"/>
                <w:szCs w:val="20"/>
              </w:rPr>
              <w:t>e</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986,23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(134,90</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r>
              <w:rPr>
                <w:sz w:val="20"/>
                <w:szCs w:val="20"/>
              </w:rPr>
              <w:t>%</w:t>
            </w:r>
          </w:p>
        </w:tc>
      </w:tr>
    </w:tbl>
    <w:p w:rsidR="00000000" w:rsidRDefault="00A309A2">
      <w:pPr>
        <w:pStyle w:val="a3"/>
        <w:spacing w:before="0" w:beforeAutospacing="0" w:after="0" w:afterAutospacing="0"/>
        <w:ind w:firstLine="816"/>
        <w:rPr>
          <w:sz w:val="20"/>
          <w:szCs w:val="20"/>
        </w:rPr>
      </w:pPr>
      <w:r>
        <w:rPr>
          <w:sz w:val="20"/>
          <w:szCs w:val="20"/>
        </w:rPr>
        <w:t> </w:t>
      </w:r>
    </w:p>
    <w:p w:rsidR="00000000" w:rsidRDefault="00A309A2">
      <w:pPr>
        <w:pStyle w:val="a3"/>
        <w:spacing w:before="0" w:beforeAutospacing="0" w:after="0" w:afterAutospacing="0"/>
        <w:ind w:firstLine="816"/>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5</w:t>
      </w:r>
      <w:r>
        <w:rPr>
          <w:sz w:val="20"/>
          <w:szCs w:val="20"/>
        </w:rPr>
        <w:t>8</w:t>
      </w:r>
    </w:p>
    <w:p w:rsidR="00000000" w:rsidRDefault="00A309A2">
      <w:pPr>
        <w:rPr>
          <w:rFonts w:eastAsia="Times New Roman"/>
        </w:rPr>
      </w:pPr>
      <w:r>
        <w:rPr>
          <w:rFonts w:eastAsia="Times New Roman"/>
        </w:rPr>
        <w:pict>
          <v:rect id="_x0000_i108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hanging="1220"/>
        <w:rPr>
          <w:sz w:val="20"/>
          <w:szCs w:val="20"/>
        </w:rPr>
      </w:pPr>
      <w:r>
        <w:rPr>
          <w:b/>
          <w:bCs/>
          <w:sz w:val="20"/>
          <w:szCs w:val="20"/>
        </w:rPr>
        <w:t>ITEM 8. FINAN</w:t>
      </w:r>
      <w:r>
        <w:rPr>
          <w:b/>
          <w:bCs/>
          <w:sz w:val="20"/>
          <w:szCs w:val="20"/>
        </w:rPr>
        <w:t>C</w:t>
      </w:r>
      <w:r>
        <w:rPr>
          <w:b/>
          <w:bCs/>
          <w:sz w:val="20"/>
          <w:szCs w:val="20"/>
        </w:rPr>
        <w:t>IAL STATEMENT</w:t>
      </w:r>
      <w:r>
        <w:rPr>
          <w:b/>
          <w:bCs/>
          <w:sz w:val="20"/>
          <w:szCs w:val="20"/>
        </w:rPr>
        <w:t>S</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16"/>
          <w:szCs w:val="16"/>
        </w:rPr>
        <w:t> </w:t>
      </w:r>
    </w:p>
    <w:p w:rsidR="00000000" w:rsidRDefault="00A309A2">
      <w:pPr>
        <w:pStyle w:val="a3"/>
        <w:spacing w:before="0" w:beforeAutospacing="0" w:after="0" w:afterAutospacing="0"/>
        <w:jc w:val="center"/>
        <w:rPr>
          <w:sz w:val="20"/>
          <w:szCs w:val="20"/>
        </w:rPr>
      </w:pPr>
      <w:r>
        <w:rPr>
          <w:b/>
          <w:bCs/>
          <w:sz w:val="20"/>
          <w:szCs w:val="20"/>
        </w:rPr>
        <w:t>INDEX TO CONSOLIDATED FINANCIAL STATEMENT</w:t>
      </w:r>
      <w:r>
        <w:rPr>
          <w:b/>
          <w:bCs/>
          <w:sz w:val="20"/>
          <w:szCs w:val="20"/>
        </w:rPr>
        <w:t>S</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40"/>
        <w:gridCol w:w="112"/>
        <w:gridCol w:w="454"/>
      </w:tblGrid>
      <w:tr w:rsidR="00000000">
        <w:trPr>
          <w:tblCellSpacing w:w="15" w:type="dxa"/>
        </w:trPr>
        <w:tc>
          <w:tcPr>
            <w:tcW w:w="4700"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250"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hideMark/>
          </w:tcPr>
          <w:p w:rsidR="00000000" w:rsidRDefault="00A309A2">
            <w:pPr>
              <w:pStyle w:val="a3"/>
              <w:spacing w:before="0" w:beforeAutospacing="0" w:after="0" w:afterAutospacing="0"/>
              <w:rPr>
                <w:sz w:val="16"/>
                <w:szCs w:val="16"/>
              </w:rPr>
            </w:pPr>
            <w:r>
              <w:rPr>
                <w:sz w:val="16"/>
                <w:szCs w:val="16"/>
              </w:rPr>
              <w:t> </w:t>
            </w:r>
          </w:p>
        </w:tc>
        <w:tc>
          <w:tcPr>
            <w:tcW w:w="0" w:type="auto"/>
            <w:tcBorders>
              <w:bottom w:val="single" w:sz="4" w:space="0" w:color="auto"/>
            </w:tcBorders>
            <w:vAlign w:val="bottom"/>
            <w:hideMark/>
          </w:tcPr>
          <w:p w:rsidR="00000000" w:rsidRDefault="00A309A2">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Reports of Independent Registered Public Accounting Firm</w:t>
            </w:r>
            <w:r>
              <w:rPr>
                <w:sz w:val="20"/>
                <w:szCs w:val="20"/>
              </w:rPr>
              <w:t xml:space="preserve"> </w:t>
            </w:r>
            <w:r>
              <w:rPr>
                <w:sz w:val="20"/>
                <w:szCs w:val="20"/>
              </w:rPr>
              <w:t>(PCAOB ID No.</w:t>
            </w:r>
            <w:r>
              <w:rPr>
                <w:sz w:val="20"/>
                <w:szCs w:val="20"/>
              </w:rPr>
              <w:t xml:space="preserve"> </w:t>
            </w:r>
            <w:r>
              <w:rPr>
                <w:sz w:val="20"/>
                <w:szCs w:val="20"/>
              </w:rPr>
              <w:t>23</w:t>
            </w:r>
            <w:r>
              <w:rPr>
                <w:sz w:val="20"/>
                <w:szCs w:val="20"/>
              </w:rPr>
              <w:t>8</w:t>
            </w:r>
            <w:r>
              <w:rPr>
                <w:sz w:val="20"/>
                <w:szCs w:val="20"/>
              </w:rPr>
              <w:t>)</w:t>
            </w:r>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hyperlink w:anchor="consolidated_balance_sheets" w:history="1">
              <w:r>
                <w:rPr>
                  <w:rStyle w:val="a4"/>
                  <w:sz w:val="20"/>
                  <w:szCs w:val="20"/>
                </w:rPr>
                <w:t>Consolidated Balance Sheet</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2</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hyperlink w:anchor="consolidated_statements_operations" w:history="1">
              <w:r>
                <w:rPr>
                  <w:rStyle w:val="a4"/>
                  <w:sz w:val="20"/>
                  <w:szCs w:val="20"/>
                </w:rPr>
                <w:t>Consolidated Statements of Operation</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3</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hyperlink w:anchor="consolidated_statements_comprehensive_l" w:history="1">
              <w:r>
                <w:rPr>
                  <w:rStyle w:val="a4"/>
                  <w:sz w:val="20"/>
                  <w:szCs w:val="20"/>
                </w:rPr>
                <w:t>Consolida</w:t>
              </w:r>
              <w:r>
                <w:rPr>
                  <w:rStyle w:val="a4"/>
                  <w:sz w:val="20"/>
                  <w:szCs w:val="20"/>
                </w:rPr>
                <w:t>ted Statements of Comprehensive Los</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hyperlink w:anchor="consolidated_statements_stockholders_eq" w:history="1">
              <w:r>
                <w:rPr>
                  <w:rStyle w:val="a4"/>
                  <w:sz w:val="20"/>
                  <w:szCs w:val="20"/>
                </w:rPr>
                <w:t>Consolidated Statement of Stockholders’ Equit</w:t>
              </w:r>
              <w:r>
                <w:rPr>
                  <w:rStyle w:val="a4"/>
                  <w:sz w:val="20"/>
                  <w:szCs w:val="20"/>
                </w:rPr>
                <w:t>y</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5</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hyperlink w:anchor="consolidated_statements_cash_flows" w:history="1">
              <w:r>
                <w:rPr>
                  <w:rStyle w:val="a4"/>
                  <w:sz w:val="20"/>
                  <w:szCs w:val="20"/>
                </w:rPr>
                <w:t>Consolidated Statements of Cash Flow</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6</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8</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5</w:t>
      </w:r>
      <w:r>
        <w:rPr>
          <w:sz w:val="20"/>
          <w:szCs w:val="20"/>
        </w:rPr>
        <w:t>9</w:t>
      </w:r>
    </w:p>
    <w:p w:rsidR="00000000" w:rsidRDefault="00A309A2">
      <w:pPr>
        <w:rPr>
          <w:rFonts w:eastAsia="Times New Roman"/>
        </w:rPr>
      </w:pPr>
      <w:r>
        <w:rPr>
          <w:rFonts w:eastAsia="Times New Roman"/>
        </w:rPr>
        <w:pict>
          <v:rect id="_x0000_i108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b/>
          <w:bCs/>
          <w:sz w:val="20"/>
          <w:szCs w:val="20"/>
        </w:rPr>
        <w:t>Report of Independent Registered Public Accounting Fir</w:t>
      </w:r>
      <w:r>
        <w:rPr>
          <w:b/>
          <w:bCs/>
          <w:sz w:val="20"/>
          <w:szCs w:val="20"/>
        </w:rPr>
        <w:t>m</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200" w:afterAutospacing="0"/>
        <w:rPr>
          <w:sz w:val="20"/>
          <w:szCs w:val="20"/>
        </w:rPr>
      </w:pPr>
      <w:r>
        <w:rPr>
          <w:sz w:val="20"/>
          <w:szCs w:val="20"/>
        </w:rPr>
        <w:t>To the Board of Directors and Stockholders of HubSpot, Inc</w:t>
      </w:r>
      <w:r>
        <w:rPr>
          <w:sz w:val="20"/>
          <w:szCs w:val="20"/>
        </w:rPr>
        <w:t>.</w:t>
      </w:r>
    </w:p>
    <w:p w:rsidR="00000000" w:rsidRDefault="00A309A2">
      <w:pPr>
        <w:pStyle w:val="a3"/>
        <w:spacing w:before="0" w:beforeAutospacing="0" w:after="0" w:afterAutospacing="0"/>
        <w:rPr>
          <w:sz w:val="20"/>
          <w:szCs w:val="20"/>
        </w:rPr>
      </w:pPr>
      <w:r>
        <w:rPr>
          <w:b/>
          <w:bCs/>
          <w:i/>
          <w:iCs/>
          <w:sz w:val="20"/>
          <w:szCs w:val="20"/>
        </w:rPr>
        <w:t>Opinions on the Financial Statements and Internal Control over Financial Reportin</w:t>
      </w:r>
      <w:r>
        <w:rPr>
          <w:b/>
          <w:bCs/>
          <w:i/>
          <w:iCs/>
          <w:sz w:val="20"/>
          <w:szCs w:val="20"/>
        </w:rPr>
        <w:t>g</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We have audited the accompanying consolidated balance sheets of HubSpot, Inc. and its subsidiaries (the “Company”) as of December 31, 2021 and 2020, and the related consol</w:t>
      </w:r>
      <w:r>
        <w:rPr>
          <w:sz w:val="20"/>
          <w:szCs w:val="20"/>
        </w:rPr>
        <w:t>idated statements of operations, of comprehensive loss, of stockholders’ equity and of cash flows for each of the three years in the period ended December 31, 2021, including the related notes (collectively referred to as the “consolidated financial statem</w:t>
      </w:r>
      <w:r>
        <w:rPr>
          <w:sz w:val="20"/>
          <w:szCs w:val="20"/>
        </w:rPr>
        <w:t>ents”). We also have audited the Company's internal control over financial reporting as of December 31, 2021, based on criteria established in</w:t>
      </w:r>
      <w:r>
        <w:rPr>
          <w:sz w:val="20"/>
          <w:szCs w:val="20"/>
        </w:rPr>
        <w:t xml:space="preserve"> </w:t>
      </w:r>
      <w:r>
        <w:rPr>
          <w:i/>
          <w:iCs/>
          <w:sz w:val="20"/>
          <w:szCs w:val="20"/>
        </w:rPr>
        <w:t>Internal Control - Integrated Framewor</w:t>
      </w:r>
      <w:r>
        <w:rPr>
          <w:i/>
          <w:iCs/>
          <w:sz w:val="20"/>
          <w:szCs w:val="20"/>
        </w:rPr>
        <w:t>k</w:t>
      </w:r>
      <w:r>
        <w:rPr>
          <w:sz w:val="20"/>
          <w:szCs w:val="20"/>
        </w:rPr>
        <w:t xml:space="preserve"> (2013) issued by the Committee of Sponsoring Organizations of the Treadwa</w:t>
      </w:r>
      <w:r>
        <w:rPr>
          <w:sz w:val="20"/>
          <w:szCs w:val="20"/>
        </w:rPr>
        <w:t>y Commission (COSO)</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 xml:space="preserve">In our opinion, the consolidated financial statements referred to above present fairly, in all material respects, the financial position of the Company as of December 31, 2021 and 2020, and the results of its operations and its cash </w:t>
      </w:r>
      <w:r>
        <w:rPr>
          <w:sz w:val="20"/>
          <w:szCs w:val="20"/>
        </w:rPr>
        <w:t>flows for each of the three years in the period ended December 31, 2021 in conformity with accounting principles generally accepted in the United States of America. Also in our opinion, the Company maintained, in all material respects, effective internal c</w:t>
      </w:r>
      <w:r>
        <w:rPr>
          <w:sz w:val="20"/>
          <w:szCs w:val="20"/>
        </w:rPr>
        <w:t>ontrol over financial reporting as of December 31, 2021, based on criteria established in</w:t>
      </w:r>
      <w:r>
        <w:rPr>
          <w:sz w:val="20"/>
          <w:szCs w:val="20"/>
        </w:rPr>
        <w:t xml:space="preserve"> </w:t>
      </w:r>
      <w:r>
        <w:rPr>
          <w:i/>
          <w:iCs/>
          <w:sz w:val="20"/>
          <w:szCs w:val="20"/>
        </w:rPr>
        <w:t>Internal Control - Integrated Framewor</w:t>
      </w:r>
      <w:r>
        <w:rPr>
          <w:i/>
          <w:iCs/>
          <w:sz w:val="20"/>
          <w:szCs w:val="20"/>
        </w:rPr>
        <w:t>k</w:t>
      </w:r>
      <w:r>
        <w:rPr>
          <w:sz w:val="20"/>
          <w:szCs w:val="20"/>
        </w:rPr>
        <w:t xml:space="preserve"> (2013) issued by the COSO</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b/>
          <w:bCs/>
          <w:i/>
          <w:iCs/>
          <w:sz w:val="20"/>
          <w:szCs w:val="20"/>
        </w:rPr>
        <w:t>Basis for Opinion</w:t>
      </w:r>
      <w:r>
        <w:rPr>
          <w:b/>
          <w:bCs/>
          <w:i/>
          <w:iCs/>
          <w:sz w:val="20"/>
          <w:szCs w:val="20"/>
        </w:rPr>
        <w:t>s</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The Company's management is responsible for these consolidated financial sta</w:t>
      </w:r>
      <w:r>
        <w:rPr>
          <w:sz w:val="20"/>
          <w:szCs w:val="20"/>
        </w:rPr>
        <w:t>tements, for maintaining effective internal control over financial reporting, and for its assessment of the effectiveness of internal control over financial reporting, included in Management’s Report on Internal Control over Financial Reporting appearing u</w:t>
      </w:r>
      <w:r>
        <w:rPr>
          <w:sz w:val="20"/>
          <w:szCs w:val="20"/>
        </w:rPr>
        <w:t>nder Item 9A. Our responsibility is to express opinions on the Company’s consolidated financial statements and on the Company's internal control over financial reporting based on our audits. We are a public accounting firm registered with the Public Compan</w:t>
      </w:r>
      <w:r>
        <w:rPr>
          <w:sz w:val="20"/>
          <w:szCs w:val="20"/>
        </w:rPr>
        <w:t>y Accounting Oversight Board (United States) (PCAOB) and are required to be independent with respect to the Company in accordance with the U.S. federal securities laws and the applicable rules and regulations of the Securities and Exchange Commission and t</w:t>
      </w:r>
      <w:r>
        <w:rPr>
          <w:sz w:val="20"/>
          <w:szCs w:val="20"/>
        </w:rPr>
        <w:t>he PCAOB</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We conducted our audits in accordance with the standards of the PCAOB. Those standards require that we plan and perform the audits to obtain reasonable assurance about whether the consolidated financial statements are free of material misstatem</w:t>
      </w:r>
      <w:r>
        <w:rPr>
          <w:sz w:val="20"/>
          <w:szCs w:val="20"/>
        </w:rPr>
        <w:t>ent, whether due to error or fraud, and whether effective internal control over financial reporting was maintained in all material respects</w:t>
      </w:r>
      <w:r>
        <w:rPr>
          <w:sz w:val="20"/>
          <w:szCs w:val="20"/>
        </w:rPr>
        <w:t>.</w:t>
      </w:r>
    </w:p>
    <w:p w:rsidR="00000000" w:rsidRDefault="00A309A2">
      <w:pPr>
        <w:pStyle w:val="a3"/>
        <w:spacing w:before="200" w:beforeAutospacing="0" w:after="0" w:afterAutospacing="0"/>
        <w:rPr>
          <w:sz w:val="20"/>
          <w:szCs w:val="20"/>
        </w:rPr>
      </w:pPr>
      <w:r>
        <w:rPr>
          <w:sz w:val="20"/>
          <w:szCs w:val="20"/>
        </w:rPr>
        <w:t xml:space="preserve">Our audits of the consolidated financial statements included performing procedures to assess the risks of material </w:t>
      </w:r>
      <w:r>
        <w:rPr>
          <w:sz w:val="20"/>
          <w:szCs w:val="20"/>
        </w:rPr>
        <w:t>misstatement of the consolidated financial statements, whether due to error or fraud, and performing procedures that respond to those risks. Such procedures included examining, on a test basis, evidence regarding the amounts and disclosures in the consolid</w:t>
      </w:r>
      <w:r>
        <w:rPr>
          <w:sz w:val="20"/>
          <w:szCs w:val="20"/>
        </w:rPr>
        <w:t>ated financial statements. Our audits also included evaluating the accounting principles used and significant estimates made by management, as well as evaluating the overall presentation of the consolidated financial statements. Our audit of internal contr</w:t>
      </w:r>
      <w:r>
        <w:rPr>
          <w:sz w:val="20"/>
          <w:szCs w:val="20"/>
        </w:rPr>
        <w:t>ol over financial reporting included obtaining an understanding of internal control over financial reporting, assessing the risk that a material weakness exists, and testing and evaluating the design and operating effectiveness of internal control based on</w:t>
      </w:r>
      <w:r>
        <w:rPr>
          <w:sz w:val="20"/>
          <w:szCs w:val="20"/>
        </w:rPr>
        <w:t xml:space="preserve"> the assessed risk. Our audits also included performing such other procedures as we considered necessary in the circumstances. We believe that our audits provide a reasonable basis for our opinions.</w:t>
      </w:r>
      <w:r>
        <w:rPr>
          <w:sz w:val="20"/>
          <w:szCs w:val="20"/>
        </w:rPr>
        <w:br/>
      </w:r>
      <w:r>
        <w:rPr>
          <w:sz w:val="20"/>
          <w:szCs w:val="20"/>
        </w:rPr>
        <w:t> </w:t>
      </w:r>
    </w:p>
    <w:p w:rsidR="00000000" w:rsidRDefault="00A309A2">
      <w:pPr>
        <w:pStyle w:val="a3"/>
        <w:spacing w:before="0" w:beforeAutospacing="0" w:after="0" w:afterAutospacing="0"/>
        <w:rPr>
          <w:sz w:val="20"/>
          <w:szCs w:val="20"/>
        </w:rPr>
      </w:pPr>
      <w:r>
        <w:rPr>
          <w:b/>
          <w:bCs/>
          <w:i/>
          <w:iCs/>
          <w:sz w:val="20"/>
          <w:szCs w:val="20"/>
        </w:rPr>
        <w:t>Definition and Limitations of Internal Control over Fin</w:t>
      </w:r>
      <w:r>
        <w:rPr>
          <w:b/>
          <w:bCs/>
          <w:i/>
          <w:iCs/>
          <w:sz w:val="20"/>
          <w:szCs w:val="20"/>
        </w:rPr>
        <w:t>ancial Reporting</w:t>
      </w:r>
      <w:r>
        <w:rPr>
          <w:b/>
          <w:bCs/>
          <w:i/>
          <w:iCs/>
          <w:sz w:val="20"/>
          <w:szCs w:val="20"/>
        </w:rPr>
        <w:br/>
      </w:r>
      <w:r>
        <w:rPr>
          <w:b/>
          <w:bCs/>
          <w:i/>
          <w:iCs/>
          <w:sz w:val="20"/>
          <w:szCs w:val="20"/>
        </w:rPr>
        <w:t> </w:t>
      </w:r>
    </w:p>
    <w:p w:rsidR="00000000" w:rsidRDefault="00A309A2">
      <w:pPr>
        <w:pStyle w:val="a3"/>
        <w:spacing w:before="0" w:beforeAutospacing="0" w:after="0" w:afterAutospacing="0"/>
        <w:rPr>
          <w:sz w:val="20"/>
          <w:szCs w:val="20"/>
        </w:rPr>
      </w:pPr>
      <w:r>
        <w:rPr>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t>
      </w:r>
      <w:r>
        <w:rPr>
          <w:sz w:val="20"/>
          <w:szCs w:val="20"/>
        </w:rPr>
        <w:t>with generally accepted accounting principles. A company’s internal control over financial reporting includes those policies and procedures that (i) pertain to the maintenance of records that, in reasonable detail, accurately and fairly reflect the transac</w:t>
      </w:r>
      <w:r>
        <w:rPr>
          <w:sz w:val="20"/>
          <w:szCs w:val="20"/>
        </w:rPr>
        <w:t xml:space="preserve">tions and dispositions of the assets of the company; (ii) provide reasonable assurance that transactions are recorded as necessary to permit preparation of financial statements in accordance with generally accepted accounting principles, and that receipts </w:t>
      </w:r>
      <w:r>
        <w:rPr>
          <w:sz w:val="20"/>
          <w:szCs w:val="20"/>
        </w:rPr>
        <w:t>and expenditures of the company are being made only in accordance with authorizations of management and directors of the company; and (iii) provide reasonable assurance regarding prevention or timely detection of unauthorized acquisition, use, or dispositi</w:t>
      </w:r>
      <w:r>
        <w:rPr>
          <w:sz w:val="20"/>
          <w:szCs w:val="20"/>
        </w:rPr>
        <w:t>on of the company’s assets that could have a material effect on the financial statements.</w:t>
      </w:r>
      <w:r>
        <w:rPr>
          <w:sz w:val="20"/>
          <w:szCs w:val="20"/>
        </w:rPr>
        <w:br/>
      </w:r>
      <w:r>
        <w:rPr>
          <w:sz w:val="20"/>
          <w:szCs w:val="20"/>
        </w:rPr>
        <w:t> </w:t>
      </w:r>
    </w:p>
    <w:p w:rsidR="00000000" w:rsidRDefault="00A309A2">
      <w:pPr>
        <w:pStyle w:val="a3"/>
        <w:spacing w:before="0" w:beforeAutospacing="0" w:after="0" w:afterAutospacing="0"/>
        <w:rPr>
          <w:sz w:val="20"/>
          <w:szCs w:val="20"/>
        </w:rPr>
      </w:pPr>
      <w:r>
        <w:rPr>
          <w:sz w:val="20"/>
          <w:szCs w:val="20"/>
        </w:rPr>
        <w:t>Because of its inherent limitations, internal control over financial reporting may not prevent or detect misstatements. Also, projections of any evaluation of effec</w:t>
      </w:r>
      <w:r>
        <w:rPr>
          <w:sz w:val="20"/>
          <w:szCs w:val="20"/>
        </w:rPr>
        <w:t>tiveness to future periods are subject to the risk that controls may become inadequate because of changes in conditions, or that the degree of compliance with the policies or procedures may deteriorate.</w:t>
      </w:r>
      <w:r>
        <w:rPr>
          <w:sz w:val="20"/>
          <w:szCs w:val="20"/>
        </w:rPr>
        <w:br/>
      </w:r>
      <w:r>
        <w:rPr>
          <w:sz w:val="20"/>
          <w:szCs w:val="20"/>
        </w:rPr>
        <w:t> </w:t>
      </w:r>
    </w:p>
    <w:p w:rsidR="00000000" w:rsidRDefault="00A309A2">
      <w:pPr>
        <w:pStyle w:val="a3"/>
        <w:spacing w:before="240" w:beforeAutospacing="0" w:after="0" w:afterAutospacing="0"/>
        <w:jc w:val="center"/>
        <w:rPr>
          <w:sz w:val="20"/>
          <w:szCs w:val="20"/>
        </w:rPr>
      </w:pPr>
      <w:r>
        <w:rPr>
          <w:sz w:val="20"/>
          <w:szCs w:val="20"/>
        </w:rPr>
        <w:t>6</w:t>
      </w:r>
      <w:r>
        <w:rPr>
          <w:sz w:val="20"/>
          <w:szCs w:val="20"/>
        </w:rPr>
        <w:t>0</w:t>
      </w:r>
    </w:p>
    <w:p w:rsidR="00000000" w:rsidRDefault="00A309A2">
      <w:pPr>
        <w:rPr>
          <w:rFonts w:eastAsia="Times New Roman"/>
        </w:rPr>
      </w:pPr>
      <w:r>
        <w:rPr>
          <w:rFonts w:eastAsia="Times New Roman"/>
        </w:rPr>
        <w:pict>
          <v:rect id="_x0000_i108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b/>
          <w:bCs/>
          <w:i/>
          <w:iCs/>
          <w:sz w:val="20"/>
          <w:szCs w:val="20"/>
        </w:rPr>
        <w:t>Critical A</w:t>
      </w:r>
      <w:r>
        <w:rPr>
          <w:b/>
          <w:bCs/>
          <w:i/>
          <w:iCs/>
          <w:sz w:val="20"/>
          <w:szCs w:val="20"/>
        </w:rPr>
        <w:t>udit Matters</w:t>
      </w:r>
      <w:r>
        <w:rPr>
          <w:b/>
          <w:bCs/>
          <w:i/>
          <w:iCs/>
          <w:sz w:val="20"/>
          <w:szCs w:val="20"/>
        </w:rPr>
        <w:br/>
      </w:r>
      <w:r>
        <w:rPr>
          <w:b/>
          <w:bCs/>
          <w:i/>
          <w:iCs/>
          <w:sz w:val="20"/>
          <w:szCs w:val="20"/>
        </w:rPr>
        <w:t> </w:t>
      </w:r>
    </w:p>
    <w:p w:rsidR="00000000" w:rsidRDefault="00A309A2">
      <w:pPr>
        <w:pStyle w:val="a3"/>
        <w:spacing w:before="0" w:beforeAutospacing="0" w:after="0" w:afterAutospacing="0"/>
        <w:rPr>
          <w:sz w:val="20"/>
          <w:szCs w:val="20"/>
        </w:rPr>
      </w:pPr>
      <w:r>
        <w:rPr>
          <w:sz w:val="20"/>
          <w:szCs w:val="20"/>
        </w:rPr>
        <w:t>The critical audit matter communicated below is a matter arising from the current period audit of the consolidated financial statements that was communicated or required to be communicated to the audit committee and that (i) relates to accou</w:t>
      </w:r>
      <w:r>
        <w:rPr>
          <w:sz w:val="20"/>
          <w:szCs w:val="20"/>
        </w:rPr>
        <w:t>nts or disclosures that are material to the consolidated financial statements and (ii) involved our especially challenging, subjective, or complex judgments. The communication of critical audit matters does not alter in any way our opinion on the consolida</w:t>
      </w:r>
      <w:r>
        <w:rPr>
          <w:sz w:val="20"/>
          <w:szCs w:val="20"/>
        </w:rPr>
        <w:t>ted financial statements, taken as a whole, and we are not, by communicating the critical audit matter below, providing a separate opinion on the critical audit matter or on the accounts or disclosures to which it relates.</w:t>
      </w:r>
      <w:r>
        <w:rPr>
          <w:sz w:val="20"/>
          <w:szCs w:val="20"/>
        </w:rPr>
        <w:br/>
      </w:r>
      <w:r>
        <w:rPr>
          <w:sz w:val="20"/>
          <w:szCs w:val="20"/>
        </w:rPr>
        <w:t> </w:t>
      </w:r>
    </w:p>
    <w:p w:rsidR="00000000" w:rsidRDefault="00A309A2">
      <w:pPr>
        <w:pStyle w:val="a3"/>
        <w:spacing w:before="0" w:beforeAutospacing="0" w:after="0" w:afterAutospacing="0"/>
        <w:rPr>
          <w:sz w:val="20"/>
          <w:szCs w:val="20"/>
        </w:rPr>
      </w:pPr>
      <w:r>
        <w:rPr>
          <w:i/>
          <w:iCs/>
          <w:sz w:val="20"/>
          <w:szCs w:val="20"/>
        </w:rPr>
        <w:t>Capitalized software developmen</w:t>
      </w:r>
      <w:r>
        <w:rPr>
          <w:i/>
          <w:iCs/>
          <w:sz w:val="20"/>
          <w:szCs w:val="20"/>
        </w:rPr>
        <w:t>t costs – estimate of time and related costs eligible for capitalization</w:t>
      </w:r>
      <w:r>
        <w:rPr>
          <w:i/>
          <w:iCs/>
          <w:sz w:val="20"/>
          <w:szCs w:val="20"/>
        </w:rPr>
        <w:br/>
      </w:r>
      <w:r>
        <w:rPr>
          <w:i/>
          <w:iCs/>
          <w:sz w:val="20"/>
          <w:szCs w:val="20"/>
        </w:rPr>
        <w:t> </w:t>
      </w:r>
    </w:p>
    <w:p w:rsidR="00000000" w:rsidRDefault="00A309A2">
      <w:pPr>
        <w:pStyle w:val="a3"/>
        <w:spacing w:before="0" w:beforeAutospacing="0" w:after="0" w:afterAutospacing="0"/>
        <w:rPr>
          <w:sz w:val="20"/>
          <w:szCs w:val="20"/>
        </w:rPr>
      </w:pPr>
      <w:r>
        <w:rPr>
          <w:sz w:val="20"/>
          <w:szCs w:val="20"/>
        </w:rPr>
        <w:t xml:space="preserve">As described in Note 2 to the consolidated financial statements, the Company’s consolidated capitalized software development costs, net balance was $39.9 million as of December 31, </w:t>
      </w:r>
      <w:r>
        <w:rPr>
          <w:sz w:val="20"/>
          <w:szCs w:val="20"/>
        </w:rPr>
        <w:t>2021. The Company capitalizes certain software development costs for new offerings as well as upgrades to existing software platforms. Management determines the amount of internal software costs to be capitalized based on the amount of time spent by develo</w:t>
      </w:r>
      <w:r>
        <w:rPr>
          <w:sz w:val="20"/>
          <w:szCs w:val="20"/>
        </w:rPr>
        <w:t>pers on projects in the application stage of development. There is judgment involved in estimating time allocated to a particular project in the application stage</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The principal considerations for our determination that performing procedures relating to</w:t>
      </w:r>
      <w:r>
        <w:rPr>
          <w:sz w:val="20"/>
          <w:szCs w:val="20"/>
        </w:rPr>
        <w:t xml:space="preserve"> the estimate of time and related costs eligible for capitalization as capitalized software development costs is a critical audit matter are the significant judgment by management when determining the amount of time to capitalize for projects; this in turn</w:t>
      </w:r>
      <w:r>
        <w:rPr>
          <w:sz w:val="20"/>
          <w:szCs w:val="20"/>
        </w:rPr>
        <w:t xml:space="preserve"> led to a high degree of auditor judgment, subjectivity, and effort in performing procedures and evaluating audit evidence related to management’s determination of capitalized costs and management’s judgment related to the amount of time incurred by develo</w:t>
      </w:r>
      <w:r>
        <w:rPr>
          <w:sz w:val="20"/>
          <w:szCs w:val="20"/>
        </w:rPr>
        <w:t>pers on projects in the application stage</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Addressing the matter involved performing procedures and evaluating audit evidence in connection with forming our overall opinion on the consolidated financial statements. These procedures included testing the effectiveness of controls relating to capitali</w:t>
      </w:r>
      <w:r>
        <w:rPr>
          <w:sz w:val="20"/>
          <w:szCs w:val="20"/>
        </w:rPr>
        <w:t>zed software development costs, including controls over management’s estimate of time and related costs eligible for capitalization. These procedures also included, among others (i) testing management’s process for determining the time and related costs el</w:t>
      </w:r>
      <w:r>
        <w:rPr>
          <w:sz w:val="20"/>
          <w:szCs w:val="20"/>
        </w:rPr>
        <w:t>igible for capitalization in the current year, (ii) evaluating whether the time and related costs were eligible for capitalization, (iii) testing the completeness and accuracy of underlying data used in management’s estimate of eligible time and related co</w:t>
      </w:r>
      <w:r>
        <w:rPr>
          <w:sz w:val="20"/>
          <w:szCs w:val="20"/>
        </w:rPr>
        <w:t>sts, and (iv) evaluating the reasonableness of significant assumptions used by management in estimating eligible time and related costs. Evaluating management’s assumptions related to eligible software development time for capitalization involved evaluatin</w:t>
      </w:r>
      <w:r>
        <w:rPr>
          <w:sz w:val="20"/>
          <w:szCs w:val="20"/>
        </w:rPr>
        <w:t>g whether the assumptions used by management were reasonable considering (i) inquiries with management and IT product development managers in evaluating the software development costs capitalized for a sample of capitalized projects, and (ii) evaluating ma</w:t>
      </w:r>
      <w:r>
        <w:rPr>
          <w:sz w:val="20"/>
          <w:szCs w:val="20"/>
        </w:rPr>
        <w:t>nagement’s estimate of hours through inquiry with a sample of individual software developers regarding the nature, timing and extent of time worked on development activities</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/s/</w:t>
      </w:r>
      <w:r>
        <w:rPr>
          <w:sz w:val="20"/>
          <w:szCs w:val="20"/>
        </w:rPr>
        <w:t xml:space="preserve"> </w:t>
      </w:r>
      <w:r>
        <w:rPr>
          <w:sz w:val="20"/>
          <w:szCs w:val="20"/>
        </w:rPr>
        <w:t>PricewaterhouseCoopers LL</w:t>
      </w:r>
      <w:r>
        <w:rPr>
          <w:sz w:val="20"/>
          <w:szCs w:val="20"/>
        </w:rPr>
        <w:t>P</w:t>
      </w:r>
      <w:r>
        <w:rPr>
          <w:sz w:val="20"/>
          <w:szCs w:val="20"/>
        </w:rPr>
        <w:t xml:space="preserve"> </w:t>
      </w:r>
    </w:p>
    <w:p w:rsidR="00000000" w:rsidRDefault="00A309A2">
      <w:pPr>
        <w:pStyle w:val="a3"/>
        <w:spacing w:before="0" w:beforeAutospacing="0" w:after="0" w:afterAutospacing="0"/>
        <w:rPr>
          <w:sz w:val="20"/>
          <w:szCs w:val="20"/>
        </w:rPr>
      </w:pPr>
      <w:r>
        <w:rPr>
          <w:sz w:val="20"/>
          <w:szCs w:val="20"/>
        </w:rPr>
        <w:t>Boston, Massachusett</w:t>
      </w:r>
      <w:r>
        <w:rPr>
          <w:sz w:val="20"/>
          <w:szCs w:val="20"/>
        </w:rPr>
        <w:t>s</w:t>
      </w:r>
    </w:p>
    <w:p w:rsidR="00000000" w:rsidRDefault="00A309A2">
      <w:pPr>
        <w:pStyle w:val="a3"/>
        <w:spacing w:before="0" w:beforeAutospacing="0" w:after="0" w:afterAutospacing="0"/>
        <w:rPr>
          <w:sz w:val="20"/>
          <w:szCs w:val="20"/>
        </w:rPr>
      </w:pPr>
      <w:r>
        <w:rPr>
          <w:sz w:val="20"/>
          <w:szCs w:val="20"/>
        </w:rPr>
        <w:t>February 14, 20</w:t>
      </w:r>
      <w:r>
        <w:rPr>
          <w:sz w:val="20"/>
          <w:szCs w:val="20"/>
        </w:rPr>
        <w:t>2</w:t>
      </w:r>
      <w:r>
        <w:rPr>
          <w:sz w:val="20"/>
          <w:szCs w:val="20"/>
        </w:rPr>
        <w:t>2</w:t>
      </w:r>
    </w:p>
    <w:p w:rsidR="00000000" w:rsidRDefault="00A309A2">
      <w:pPr>
        <w:pStyle w:val="a3"/>
        <w:spacing w:before="200" w:beforeAutospacing="0" w:after="0" w:afterAutospacing="0"/>
        <w:rPr>
          <w:sz w:val="20"/>
          <w:szCs w:val="20"/>
        </w:rPr>
      </w:pPr>
      <w:r>
        <w:rPr>
          <w:sz w:val="20"/>
          <w:szCs w:val="20"/>
        </w:rPr>
        <w:t>We h</w:t>
      </w:r>
      <w:r>
        <w:rPr>
          <w:sz w:val="20"/>
          <w:szCs w:val="20"/>
        </w:rPr>
        <w:t>ave served as the Company’s auditor since 2016</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6</w:t>
      </w:r>
      <w:r>
        <w:rPr>
          <w:sz w:val="20"/>
          <w:szCs w:val="20"/>
        </w:rPr>
        <w:t>1</w:t>
      </w:r>
    </w:p>
    <w:p w:rsidR="00000000" w:rsidRDefault="00A309A2">
      <w:pPr>
        <w:rPr>
          <w:rFonts w:eastAsia="Times New Roman"/>
        </w:rPr>
      </w:pPr>
      <w:r>
        <w:rPr>
          <w:rFonts w:eastAsia="Times New Roman"/>
        </w:rPr>
        <w:pict>
          <v:rect id="_x0000_i108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A309A2">
      <w:pPr>
        <w:pStyle w:val="a3"/>
        <w:spacing w:before="0" w:beforeAutospacing="0" w:after="0" w:afterAutospacing="0"/>
        <w:jc w:val="center"/>
        <w:rPr>
          <w:sz w:val="20"/>
          <w:szCs w:val="20"/>
        </w:rPr>
      </w:pPr>
      <w:r>
        <w:rPr>
          <w:b/>
          <w:bCs/>
          <w:sz w:val="20"/>
          <w:szCs w:val="20"/>
        </w:rPr>
        <w:t xml:space="preserve">CONSOLIDATED </w:t>
      </w:r>
      <w:r>
        <w:rPr>
          <w:b/>
          <w:bCs/>
          <w:sz w:val="20"/>
          <w:szCs w:val="20"/>
        </w:rPr>
        <w:t>B</w:t>
      </w:r>
      <w:r>
        <w:rPr>
          <w:b/>
          <w:bCs/>
          <w:sz w:val="20"/>
          <w:szCs w:val="20"/>
        </w:rPr>
        <w:t>ALANCE SHEET</w:t>
      </w:r>
      <w:r>
        <w:rPr>
          <w:b/>
          <w:bCs/>
          <w:sz w:val="20"/>
          <w:szCs w:val="20"/>
        </w:rPr>
        <w:t>S</w:t>
      </w:r>
    </w:p>
    <w:p w:rsidR="00000000" w:rsidRDefault="00A309A2">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2"/>
        <w:gridCol w:w="114"/>
        <w:gridCol w:w="160"/>
        <w:gridCol w:w="1043"/>
        <w:gridCol w:w="127"/>
        <w:gridCol w:w="114"/>
        <w:gridCol w:w="160"/>
        <w:gridCol w:w="1044"/>
        <w:gridCol w:w="142"/>
      </w:tblGrid>
      <w:tr w:rsidR="00000000">
        <w:trPr>
          <w:tblCellSpacing w:w="15" w:type="dxa"/>
        </w:trPr>
        <w:tc>
          <w:tcPr>
            <w:tcW w:w="3360" w:type="pct"/>
            <w:vAlign w:val="center"/>
            <w:hideMark/>
          </w:tcPr>
          <w:p w:rsidR="00000000" w:rsidRDefault="00A309A2">
            <w:pPr>
              <w:rPr>
                <w:sz w:val="20"/>
                <w:szCs w:val="20"/>
              </w:rPr>
            </w:pPr>
          </w:p>
        </w:tc>
        <w:tc>
          <w:tcPr>
            <w:tcW w:w="70"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649"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649"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377,01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378,12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Short-term investment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820,96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873,07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 xml:space="preserve">Accounts receivable—net of allowance for doubtful accounts of </w:t>
            </w:r>
            <w:r>
              <w:rPr>
                <w:sz w:val="20"/>
                <w:szCs w:val="20"/>
              </w:rPr>
              <w:t>$</w:t>
            </w:r>
            <w:r>
              <w:rPr>
                <w:sz w:val="20"/>
                <w:szCs w:val="20"/>
              </w:rPr>
              <w:t>1,76</w:t>
            </w:r>
            <w:r>
              <w:rPr>
                <w:sz w:val="20"/>
                <w:szCs w:val="20"/>
              </w:rPr>
              <w:t>8</w:t>
            </w:r>
            <w:r>
              <w:rPr>
                <w:sz w:val="20"/>
                <w:szCs w:val="20"/>
              </w:rPr>
              <w:t xml:space="preserve"> and </w:t>
            </w:r>
            <w:r>
              <w:rPr>
                <w:sz w:val="20"/>
                <w:szCs w:val="20"/>
              </w:rPr>
              <w:t>$</w:t>
            </w:r>
            <w:r>
              <w:rPr>
                <w:sz w:val="20"/>
                <w:szCs w:val="20"/>
              </w:rPr>
              <w:t>1,99</w:t>
            </w:r>
            <w:r>
              <w:rPr>
                <w:sz w:val="20"/>
                <w:szCs w:val="20"/>
              </w:rPr>
              <w:t>3</w:t>
            </w:r>
            <w:r>
              <w:rPr>
                <w:sz w:val="20"/>
                <w:szCs w:val="20"/>
              </w:rPr>
              <w:t> </w:t>
            </w:r>
            <w:r>
              <w:rPr>
                <w:sz w:val="20"/>
                <w:szCs w:val="20"/>
              </w:rPr>
              <w:t>at December 31, 2021 and 2020, respectivel</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157,36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126,43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Deferred commission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59,84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44,57</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38,38</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34,71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1,453,57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1,456,92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Long-term investment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174,89</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30,69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96,13</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101,12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39,85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24,94</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Right-of-use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280,82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275,89</w:t>
            </w:r>
            <w:r>
              <w:rPr>
                <w:sz w:val="18"/>
                <w:szCs w:val="18"/>
              </w:rPr>
              <w:t>3</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commission expense, net of current portio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42,68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28,29</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29,24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13,89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10,56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47,07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31,31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b/>
                <w:bCs/>
                <w:sz w:val="20"/>
                <w:szCs w:val="20"/>
              </w:rPr>
              <w:t>Total asset</w:t>
            </w:r>
            <w:r>
              <w:rPr>
                <w:b/>
                <w:bCs/>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2,174,85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1,973,36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13,54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Accrued compensation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63,83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44,05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74,45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37,18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Convertible senior note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19,63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7,83</w:t>
            </w:r>
            <w:r>
              <w:rPr>
                <w:sz w:val="18"/>
                <w:szCs w:val="18"/>
              </w:rPr>
              <w:t>7</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26,36</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30,02</w:t>
            </w:r>
            <w:r>
              <w:rPr>
                <w:sz w:val="18"/>
                <w:szCs w:val="18"/>
              </w:rPr>
              <w:t>0</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Deferred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430,41</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312,86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617,47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445,50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Operating lease liabilities, net of current portio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283,87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279,66</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12,13</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10,81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Convertible senior notes, net of current portio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383,10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471,09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1,301,05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1,210,71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Commitments and contingenci</w:t>
            </w:r>
            <w:r>
              <w:rPr>
                <w:sz w:val="20"/>
                <w:szCs w:val="20"/>
              </w:rPr>
              <w:t>e</w:t>
            </w:r>
            <w:r>
              <w:rPr>
                <w:sz w:val="20"/>
                <w:szCs w:val="20"/>
              </w:rPr>
              <w:t>s (Note 11</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w:t>
            </w:r>
            <w:r>
              <w:rPr>
                <w:sz w:val="20"/>
                <w:szCs w:val="20"/>
              </w:rPr>
              <w:t>1</w:t>
            </w:r>
            <w:r>
              <w:rPr>
                <w:sz w:val="20"/>
                <w:szCs w:val="20"/>
              </w:rPr>
              <w:t> par value</w:t>
            </w:r>
            <w:r>
              <w:rPr>
                <w:sz w:val="20"/>
                <w:szCs w:val="20"/>
              </w:rPr>
              <w:t>—</w:t>
            </w:r>
            <w:r>
              <w:rPr>
                <w:sz w:val="20"/>
                <w:szCs w:val="20"/>
              </w:rPr>
              <w:t>500,00</w:t>
            </w:r>
            <w:r>
              <w:rPr>
                <w:sz w:val="20"/>
                <w:szCs w:val="20"/>
              </w:rPr>
              <w:t>0</w:t>
            </w:r>
            <w:r>
              <w:rPr>
                <w:sz w:val="20"/>
                <w:szCs w:val="20"/>
              </w:rPr>
              <w:t> shares authorized;</w:t>
            </w:r>
            <w:r>
              <w:rPr>
                <w:sz w:val="20"/>
                <w:szCs w:val="20"/>
              </w:rPr>
              <w:t xml:space="preserve"> </w:t>
            </w:r>
            <w:r>
              <w:rPr>
                <w:sz w:val="20"/>
                <w:szCs w:val="20"/>
              </w:rPr>
              <w:t>48,30</w:t>
            </w:r>
            <w:r>
              <w:rPr>
                <w:sz w:val="20"/>
                <w:szCs w:val="20"/>
              </w:rPr>
              <w:t>0</w:t>
            </w:r>
            <w:r>
              <w:rPr>
                <w:sz w:val="20"/>
                <w:szCs w:val="20"/>
              </w:rPr>
              <w:t> and</w:t>
            </w:r>
            <w:r>
              <w:rPr>
                <w:sz w:val="20"/>
                <w:szCs w:val="20"/>
              </w:rPr>
              <w:t xml:space="preserve"> </w:t>
            </w:r>
            <w:r>
              <w:rPr>
                <w:sz w:val="20"/>
                <w:szCs w:val="20"/>
              </w:rPr>
              <w:t>46,11</w:t>
            </w:r>
            <w:r>
              <w:rPr>
                <w:sz w:val="20"/>
                <w:szCs w:val="20"/>
              </w:rPr>
              <w:t>5</w:t>
            </w:r>
            <w:r>
              <w:rPr>
                <w:sz w:val="20"/>
                <w:szCs w:val="20"/>
              </w:rPr>
              <w:t> shares issued;</w:t>
            </w:r>
            <w:r>
              <w:rPr>
                <w:sz w:val="20"/>
                <w:szCs w:val="20"/>
              </w:rPr>
              <w:t xml:space="preserve"> </w:t>
            </w:r>
            <w:r>
              <w:rPr>
                <w:sz w:val="20"/>
                <w:szCs w:val="20"/>
              </w:rPr>
              <w:t>47,39</w:t>
            </w:r>
            <w:r>
              <w:rPr>
                <w:sz w:val="20"/>
                <w:szCs w:val="20"/>
              </w:rPr>
              <w:t>0</w:t>
            </w:r>
            <w:r>
              <w:rPr>
                <w:sz w:val="20"/>
                <w:szCs w:val="20"/>
              </w:rPr>
              <w:t> and</w:t>
            </w:r>
            <w:r>
              <w:rPr>
                <w:sz w:val="20"/>
                <w:szCs w:val="20"/>
              </w:rPr>
              <w:t xml:space="preserve"> </w:t>
            </w:r>
            <w:r>
              <w:rPr>
                <w:sz w:val="20"/>
                <w:szCs w:val="20"/>
              </w:rPr>
              <w:t>46,11</w:t>
            </w:r>
            <w:r>
              <w:rPr>
                <w:sz w:val="20"/>
                <w:szCs w:val="20"/>
              </w:rPr>
              <w:t>5</w:t>
            </w:r>
            <w:r>
              <w:rPr>
                <w:sz w:val="20"/>
                <w:szCs w:val="20"/>
              </w:rPr>
              <w:t> shares outstanding at December 31, 2021 and 2020, respectivel</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1,436,08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1,241,16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Accumulated other comprehensive (loss) incom</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4,60</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560,99</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483,16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873,79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762,65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b/>
                <w:bCs/>
                <w:sz w:val="20"/>
                <w:szCs w:val="20"/>
              </w:rPr>
              <w:t>Total liabilities and stockholders’ equit</w:t>
            </w:r>
            <w:r>
              <w:rPr>
                <w:b/>
                <w:bCs/>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2,174,85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1,973,36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A309A2">
      <w:pPr>
        <w:pStyle w:val="a3"/>
        <w:spacing w:before="240" w:beforeAutospacing="0" w:after="0" w:afterAutospacing="0"/>
        <w:jc w:val="center"/>
        <w:rPr>
          <w:sz w:val="20"/>
          <w:szCs w:val="20"/>
        </w:rPr>
      </w:pPr>
      <w:r>
        <w:rPr>
          <w:sz w:val="20"/>
          <w:szCs w:val="20"/>
        </w:rPr>
        <w:t>6</w:t>
      </w:r>
      <w:r>
        <w:rPr>
          <w:sz w:val="20"/>
          <w:szCs w:val="20"/>
        </w:rPr>
        <w:t>2</w:t>
      </w:r>
    </w:p>
    <w:p w:rsidR="00000000" w:rsidRDefault="00A309A2">
      <w:pPr>
        <w:rPr>
          <w:rFonts w:eastAsia="Times New Roman"/>
        </w:rPr>
      </w:pPr>
      <w:r>
        <w:rPr>
          <w:rFonts w:eastAsia="Times New Roman"/>
        </w:rPr>
        <w:pict>
          <v:rect id="_x0000_i1089"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A309A2">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OPERATION</w:t>
      </w:r>
      <w:r>
        <w:rPr>
          <w:b/>
          <w:bCs/>
          <w:sz w:val="20"/>
          <w:szCs w:val="20"/>
        </w:rPr>
        <w:t>S</w:t>
      </w:r>
    </w:p>
    <w:p w:rsidR="00000000" w:rsidRDefault="00A309A2">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0"/>
        <w:gridCol w:w="110"/>
        <w:gridCol w:w="160"/>
        <w:gridCol w:w="860"/>
        <w:gridCol w:w="127"/>
        <w:gridCol w:w="110"/>
        <w:gridCol w:w="160"/>
        <w:gridCol w:w="832"/>
        <w:gridCol w:w="127"/>
        <w:gridCol w:w="110"/>
        <w:gridCol w:w="160"/>
        <w:gridCol w:w="848"/>
        <w:gridCol w:w="142"/>
      </w:tblGrid>
      <w:tr w:rsidR="00000000">
        <w:trPr>
          <w:tblCellSpacing w:w="15" w:type="dxa"/>
        </w:trPr>
        <w:tc>
          <w:tcPr>
            <w:tcW w:w="2875" w:type="pct"/>
            <w:vAlign w:val="center"/>
            <w:hideMark/>
          </w:tcPr>
          <w:p w:rsidR="00000000" w:rsidRDefault="00A309A2">
            <w:pPr>
              <w:rPr>
                <w:sz w:val="20"/>
                <w:szCs w:val="20"/>
              </w:rPr>
            </w:pPr>
          </w:p>
        </w:tc>
        <w:tc>
          <w:tcPr>
            <w:tcW w:w="62"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536"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62"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535"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62"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536"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1,258,31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853,02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646,26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42,33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30,00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28,59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1,300,65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883,02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674,86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211,13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130,68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98,51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47,72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36,27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31,44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258,85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166,95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129,95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1,041,80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716,06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544,90</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301,97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205,58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158,23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649,68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452,08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340,68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144,94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109,22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92,97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1,096,60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766,89</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591,89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54,79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50,82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46,99</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19,42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30,28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37,04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22,81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10,09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other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19,01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29,98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3,78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73,81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80,81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50,77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Income tax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4,21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77,83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85,03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53,74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loss per common share, basic and dilute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Weighted average common shares used in computing basic and diluted net</w:t>
            </w:r>
            <w:r>
              <w:rPr>
                <w:sz w:val="20"/>
                <w:szCs w:val="20"/>
              </w:rPr>
              <w:br/>
              <w:t>   loss per common share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46,89</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44,75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A309A2">
      <w:pPr>
        <w:pStyle w:val="a3"/>
        <w:spacing w:before="240" w:beforeAutospacing="0" w:after="0" w:afterAutospacing="0"/>
        <w:jc w:val="center"/>
        <w:rPr>
          <w:sz w:val="20"/>
          <w:szCs w:val="20"/>
        </w:rPr>
      </w:pPr>
      <w:r>
        <w:rPr>
          <w:sz w:val="20"/>
          <w:szCs w:val="20"/>
        </w:rPr>
        <w:t>6</w:t>
      </w:r>
      <w:r>
        <w:rPr>
          <w:sz w:val="20"/>
          <w:szCs w:val="20"/>
        </w:rPr>
        <w:t>3</w:t>
      </w:r>
    </w:p>
    <w:p w:rsidR="00000000" w:rsidRDefault="00A309A2">
      <w:pPr>
        <w:rPr>
          <w:rFonts w:eastAsia="Times New Roman"/>
        </w:rPr>
      </w:pPr>
      <w:r>
        <w:rPr>
          <w:rFonts w:eastAsia="Times New Roman"/>
        </w:rPr>
        <w:pict>
          <v:rect id="_x0000_i109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A309A2">
      <w:pPr>
        <w:pStyle w:val="a3"/>
        <w:spacing w:before="0" w:beforeAutospacing="0" w:after="0" w:afterAutospacing="0"/>
        <w:jc w:val="center"/>
        <w:rPr>
          <w:sz w:val="20"/>
          <w:szCs w:val="20"/>
        </w:rPr>
      </w:pPr>
      <w:r>
        <w:rPr>
          <w:b/>
          <w:bCs/>
          <w:sz w:val="20"/>
          <w:szCs w:val="20"/>
        </w:rPr>
        <w:t>CONSOLIDATED STATEMENT</w:t>
      </w:r>
      <w:r>
        <w:rPr>
          <w:b/>
          <w:bCs/>
          <w:sz w:val="20"/>
          <w:szCs w:val="20"/>
        </w:rPr>
        <w:t>S</w:t>
      </w:r>
      <w:r>
        <w:rPr>
          <w:b/>
          <w:bCs/>
          <w:sz w:val="20"/>
          <w:szCs w:val="20"/>
        </w:rPr>
        <w:t xml:space="preserve"> OF COMPREHENSIVE LOS</w:t>
      </w:r>
      <w:r>
        <w:rPr>
          <w:b/>
          <w:bCs/>
          <w:sz w:val="20"/>
          <w:szCs w:val="20"/>
        </w:rPr>
        <w:t>S</w:t>
      </w:r>
    </w:p>
    <w:p w:rsidR="00000000" w:rsidRDefault="00A309A2">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3"/>
        <w:gridCol w:w="110"/>
        <w:gridCol w:w="160"/>
        <w:gridCol w:w="887"/>
        <w:gridCol w:w="127"/>
        <w:gridCol w:w="147"/>
        <w:gridCol w:w="160"/>
        <w:gridCol w:w="887"/>
        <w:gridCol w:w="127"/>
        <w:gridCol w:w="110"/>
        <w:gridCol w:w="160"/>
        <w:gridCol w:w="986"/>
        <w:gridCol w:w="142"/>
      </w:tblGrid>
      <w:tr w:rsidR="00000000">
        <w:trPr>
          <w:tblCellSpacing w:w="15" w:type="dxa"/>
        </w:trPr>
        <w:tc>
          <w:tcPr>
            <w:tcW w:w="2712" w:type="pct"/>
            <w:vAlign w:val="center"/>
            <w:hideMark/>
          </w:tcPr>
          <w:p w:rsidR="00000000" w:rsidRDefault="00A309A2">
            <w:pPr>
              <w:rPr>
                <w:sz w:val="20"/>
                <w:szCs w:val="20"/>
              </w:rPr>
            </w:pPr>
          </w:p>
        </w:tc>
        <w:tc>
          <w:tcPr>
            <w:tcW w:w="65"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557"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89"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557"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65"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620"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77,83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85,03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53,74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comprehensive loss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Foreign currency translation adjustment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4,71</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309A2">
            <w:pPr>
              <w:pStyle w:val="a3"/>
              <w:spacing w:before="0" w:beforeAutospacing="0" w:after="0" w:afterAutospacing="0"/>
              <w:ind w:left="200"/>
              <w:rPr>
                <w:sz w:val="20"/>
                <w:szCs w:val="20"/>
              </w:rPr>
            </w:pPr>
            <w:r>
              <w:rPr>
                <w:sz w:val="20"/>
                <w:szCs w:val="20"/>
              </w:rPr>
              <w:t>Changes in unrealized (loss) gain on investments, net of income taxes of (</w:t>
            </w:r>
            <w:r>
              <w:rPr>
                <w:sz w:val="20"/>
                <w:szCs w:val="20"/>
              </w:rPr>
              <w:t>$</w:t>
            </w:r>
            <w:r>
              <w:rPr>
                <w:sz w:val="20"/>
                <w:szCs w:val="20"/>
              </w:rPr>
              <w:t>4</w:t>
            </w:r>
            <w:r>
              <w:rPr>
                <w:sz w:val="20"/>
                <w:szCs w:val="20"/>
              </w:rPr>
              <w:t>4</w:t>
            </w:r>
            <w:r>
              <w:rPr>
                <w:sz w:val="20"/>
                <w:szCs w:val="20"/>
              </w:rPr>
              <w:t>) in 2021, (</w:t>
            </w:r>
            <w:r>
              <w:rPr>
                <w:sz w:val="20"/>
                <w:szCs w:val="20"/>
              </w:rPr>
              <w:t>$</w:t>
            </w:r>
            <w:r>
              <w:rPr>
                <w:sz w:val="20"/>
                <w:szCs w:val="20"/>
              </w:rPr>
              <w:t>11</w:t>
            </w:r>
            <w:r>
              <w:rPr>
                <w:sz w:val="20"/>
                <w:szCs w:val="20"/>
              </w:rPr>
              <w:t>6</w:t>
            </w:r>
            <w:r>
              <w:rPr>
                <w:sz w:val="20"/>
                <w:szCs w:val="20"/>
              </w:rPr>
              <w:t xml:space="preserve">) in 2020, and </w:t>
            </w:r>
            <w:r>
              <w:rPr>
                <w:sz w:val="20"/>
                <w:szCs w:val="20"/>
              </w:rPr>
              <w:t>$</w:t>
            </w:r>
            <w:r>
              <w:rPr>
                <w:sz w:val="20"/>
                <w:szCs w:val="20"/>
              </w:rPr>
              <w:t>15</w:t>
            </w:r>
            <w:r>
              <w:rPr>
                <w:sz w:val="20"/>
                <w:szCs w:val="20"/>
              </w:rPr>
              <w:t>6</w:t>
            </w:r>
            <w:r>
              <w:rPr>
                <w:sz w:val="20"/>
                <w:szCs w:val="20"/>
              </w:rPr>
              <w:t> in 2019</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1,23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83,77</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80,09</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53,35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6</w:t>
      </w:r>
      <w:r>
        <w:rPr>
          <w:sz w:val="20"/>
          <w:szCs w:val="20"/>
        </w:rPr>
        <w:t>4</w:t>
      </w:r>
    </w:p>
    <w:p w:rsidR="00000000" w:rsidRDefault="00A309A2">
      <w:pPr>
        <w:rPr>
          <w:rFonts w:eastAsia="Times New Roman"/>
        </w:rPr>
      </w:pPr>
      <w:r>
        <w:rPr>
          <w:rFonts w:eastAsia="Times New Roman"/>
        </w:rPr>
        <w:pict>
          <v:rect id="_x0000_i109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A309A2">
      <w:pPr>
        <w:pStyle w:val="a3"/>
        <w:spacing w:before="0" w:beforeAutospacing="0" w:after="0" w:afterAutospacing="0"/>
        <w:jc w:val="center"/>
        <w:rPr>
          <w:sz w:val="20"/>
          <w:szCs w:val="20"/>
        </w:rPr>
      </w:pPr>
      <w:r>
        <w:rPr>
          <w:b/>
          <w:bCs/>
          <w:sz w:val="20"/>
          <w:szCs w:val="20"/>
        </w:rPr>
        <w:t>CONSOLIDATED STATEMENTS</w:t>
      </w:r>
      <w:r>
        <w:rPr>
          <w:b/>
          <w:bCs/>
          <w:sz w:val="20"/>
          <w:szCs w:val="20"/>
        </w:rPr>
        <w:t xml:space="preserve"> </w:t>
      </w:r>
      <w:r>
        <w:rPr>
          <w:b/>
          <w:bCs/>
          <w:sz w:val="20"/>
          <w:szCs w:val="20"/>
        </w:rPr>
        <w:t>OF STOCKHOLDERS’ EQUIT</w:t>
      </w:r>
      <w:r>
        <w:rPr>
          <w:b/>
          <w:bCs/>
          <w:sz w:val="20"/>
          <w:szCs w:val="20"/>
        </w:rPr>
        <w:t>Y</w:t>
      </w:r>
    </w:p>
    <w:p w:rsidR="00000000" w:rsidRDefault="00A309A2">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24"/>
        <w:gridCol w:w="108"/>
        <w:gridCol w:w="155"/>
        <w:gridCol w:w="250"/>
        <w:gridCol w:w="124"/>
        <w:gridCol w:w="108"/>
        <w:gridCol w:w="109"/>
        <w:gridCol w:w="423"/>
        <w:gridCol w:w="108"/>
        <w:gridCol w:w="108"/>
        <w:gridCol w:w="155"/>
        <w:gridCol w:w="250"/>
        <w:gridCol w:w="108"/>
        <w:gridCol w:w="108"/>
        <w:gridCol w:w="155"/>
        <w:gridCol w:w="820"/>
        <w:gridCol w:w="124"/>
        <w:gridCol w:w="108"/>
        <w:gridCol w:w="156"/>
        <w:gridCol w:w="923"/>
        <w:gridCol w:w="124"/>
        <w:gridCol w:w="108"/>
        <w:gridCol w:w="156"/>
        <w:gridCol w:w="777"/>
        <w:gridCol w:w="124"/>
        <w:gridCol w:w="108"/>
        <w:gridCol w:w="155"/>
        <w:gridCol w:w="678"/>
        <w:gridCol w:w="139"/>
      </w:tblGrid>
      <w:tr w:rsidR="00000000">
        <w:trPr>
          <w:tblCellSpacing w:w="15" w:type="dxa"/>
        </w:trPr>
        <w:tc>
          <w:tcPr>
            <w:tcW w:w="1443" w:type="pct"/>
            <w:vAlign w:val="center"/>
            <w:hideMark/>
          </w:tcPr>
          <w:p w:rsidR="00000000" w:rsidRDefault="00A309A2">
            <w:pPr>
              <w:rPr>
                <w:sz w:val="20"/>
                <w:szCs w:val="20"/>
              </w:rPr>
            </w:pPr>
          </w:p>
        </w:tc>
        <w:tc>
          <w:tcPr>
            <w:tcW w:w="27" w:type="pct"/>
            <w:vAlign w:val="center"/>
            <w:hideMark/>
          </w:tcPr>
          <w:p w:rsidR="00000000" w:rsidRDefault="00A309A2">
            <w:pPr>
              <w:rPr>
                <w:rFonts w:eastAsia="Times New Roman"/>
                <w:sz w:val="20"/>
                <w:szCs w:val="20"/>
              </w:rPr>
            </w:pPr>
          </w:p>
        </w:tc>
        <w:tc>
          <w:tcPr>
            <w:tcW w:w="365"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157"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28" w:type="pct"/>
            <w:vAlign w:val="center"/>
            <w:hideMark/>
          </w:tcPr>
          <w:p w:rsidR="00000000" w:rsidRDefault="00A309A2">
            <w:pPr>
              <w:rPr>
                <w:rFonts w:eastAsia="Times New Roman"/>
                <w:sz w:val="20"/>
                <w:szCs w:val="20"/>
              </w:rPr>
            </w:pPr>
          </w:p>
        </w:tc>
        <w:tc>
          <w:tcPr>
            <w:tcW w:w="263" w:type="pct"/>
            <w:vAlign w:val="center"/>
            <w:hideMark/>
          </w:tcPr>
          <w:p w:rsidR="00000000" w:rsidRDefault="00A309A2">
            <w:pPr>
              <w:rPr>
                <w:rFonts w:eastAsia="Times New Roman"/>
                <w:sz w:val="20"/>
                <w:szCs w:val="20"/>
              </w:rPr>
            </w:pPr>
          </w:p>
        </w:tc>
        <w:tc>
          <w:tcPr>
            <w:tcW w:w="27" w:type="pct"/>
            <w:vAlign w:val="center"/>
            <w:hideMark/>
          </w:tcPr>
          <w:p w:rsidR="00000000" w:rsidRDefault="00A309A2">
            <w:pPr>
              <w:rPr>
                <w:rFonts w:eastAsia="Times New Roman"/>
                <w:sz w:val="20"/>
                <w:szCs w:val="20"/>
              </w:rPr>
            </w:pPr>
          </w:p>
        </w:tc>
        <w:tc>
          <w:tcPr>
            <w:tcW w:w="22"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164"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18"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411"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29"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469"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410"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407"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r>
      <w:tr w:rsidR="00000000">
        <w:trPr>
          <w:trHeight w:val="140"/>
          <w:tblCellSpacing w:w="15" w:type="dxa"/>
        </w:trPr>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5"/>
                <w:szCs w:val="15"/>
              </w:rPr>
            </w:pPr>
            <w:r>
              <w:rPr>
                <w:b/>
                <w:bCs/>
                <w:sz w:val="15"/>
                <w:szCs w:val="15"/>
              </w:rPr>
              <w:t>Common</w:t>
            </w:r>
            <w:r>
              <w:rPr>
                <w:b/>
                <w:bCs/>
                <w:sz w:val="15"/>
                <w:szCs w:val="15"/>
              </w:rPr>
              <w:br/>
              <w:t>Stock, $0.001</w:t>
            </w:r>
            <w:r>
              <w:rPr>
                <w:b/>
                <w:bCs/>
                <w:sz w:val="15"/>
                <w:szCs w:val="15"/>
              </w:rPr>
              <w:br/>
              <w:t>Par Valu</w:t>
            </w:r>
            <w:r>
              <w:rPr>
                <w:b/>
                <w:bCs/>
                <w:sz w:val="15"/>
                <w:szCs w:val="15"/>
              </w:rPr>
              <w:t>e</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A309A2">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A309A2">
            <w:pPr>
              <w:pStyle w:val="a3"/>
              <w:spacing w:before="0" w:beforeAutospacing="0" w:after="0" w:afterAutospacing="0"/>
              <w:jc w:val="center"/>
              <w:rPr>
                <w:sz w:val="15"/>
                <w:szCs w:val="15"/>
              </w:rPr>
            </w:pPr>
            <w:r>
              <w:rPr>
                <w:b/>
                <w:bCs/>
                <w:sz w:val="15"/>
                <w:szCs w:val="15"/>
              </w:rPr>
              <w:t>Treasury Stock, $0.001</w:t>
            </w:r>
            <w:r>
              <w:rPr>
                <w:b/>
                <w:bCs/>
                <w:sz w:val="15"/>
                <w:szCs w:val="15"/>
              </w:rPr>
              <w:br/>
              <w:t>Par Valu</w:t>
            </w:r>
            <w:r>
              <w:rPr>
                <w:b/>
                <w:bCs/>
                <w:sz w:val="15"/>
                <w:szCs w:val="15"/>
              </w:rPr>
              <w:t>e</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A309A2">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A309A2">
            <w:pPr>
              <w:pStyle w:val="a3"/>
              <w:spacing w:before="0" w:beforeAutospacing="0" w:after="0" w:afterAutospacing="0"/>
              <w:jc w:val="center"/>
              <w:rPr>
                <w:sz w:val="15"/>
                <w:szCs w:val="15"/>
              </w:rPr>
            </w:pPr>
            <w:r>
              <w:rPr>
                <w:b/>
                <w:bCs/>
                <w:sz w:val="15"/>
                <w:szCs w:val="15"/>
              </w:rPr>
              <w:t>Additional</w:t>
            </w:r>
            <w:r>
              <w:rPr>
                <w:b/>
                <w:bCs/>
                <w:sz w:val="15"/>
                <w:szCs w:val="15"/>
              </w:rPr>
              <w:br/>
              <w:t>Paid-I</w:t>
            </w:r>
            <w:r>
              <w:rPr>
                <w:b/>
                <w:bCs/>
                <w:sz w:val="15"/>
                <w:szCs w:val="15"/>
              </w:rPr>
              <w:t>n</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A309A2">
            <w:pPr>
              <w:pStyle w:val="a3"/>
              <w:spacing w:before="0" w:beforeAutospacing="0" w:after="0" w:afterAutospacing="0"/>
              <w:jc w:val="center"/>
              <w:rPr>
                <w:sz w:val="15"/>
                <w:szCs w:val="15"/>
              </w:rPr>
            </w:pPr>
            <w:r>
              <w:rPr>
                <w:b/>
                <w:bCs/>
                <w:sz w:val="15"/>
                <w:szCs w:val="15"/>
              </w:rPr>
              <w:t>Accumulated</w:t>
            </w:r>
            <w:r>
              <w:rPr>
                <w:b/>
                <w:bCs/>
                <w:sz w:val="15"/>
                <w:szCs w:val="15"/>
              </w:rPr>
              <w:br/>
              <w:t>Other</w:t>
            </w:r>
            <w:r>
              <w:rPr>
                <w:b/>
                <w:bCs/>
                <w:sz w:val="15"/>
                <w:szCs w:val="15"/>
              </w:rPr>
              <w:br/>
              <w:t>Comprehensiv</w:t>
            </w:r>
            <w:r>
              <w:rPr>
                <w:b/>
                <w:bCs/>
                <w:sz w:val="15"/>
                <w:szCs w:val="15"/>
              </w:rPr>
              <w:t>e</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A309A2">
            <w:pPr>
              <w:pStyle w:val="a3"/>
              <w:spacing w:before="0" w:beforeAutospacing="0" w:after="0" w:afterAutospacing="0"/>
              <w:jc w:val="center"/>
              <w:rPr>
                <w:sz w:val="15"/>
                <w:szCs w:val="15"/>
              </w:rPr>
            </w:pPr>
            <w:r>
              <w:rPr>
                <w:b/>
                <w:bCs/>
                <w:sz w:val="15"/>
                <w:szCs w:val="15"/>
              </w:rPr>
              <w:t>Accumulate</w:t>
            </w:r>
            <w:r>
              <w:rPr>
                <w:b/>
                <w:bCs/>
                <w:sz w:val="15"/>
                <w:szCs w:val="15"/>
              </w:rPr>
              <w:t>d</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A309A2">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A309A2">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A309A2">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A309A2">
            <w:pPr>
              <w:pStyle w:val="a3"/>
              <w:spacing w:before="0" w:beforeAutospacing="0" w:after="0" w:afterAutospacing="0"/>
              <w:jc w:val="center"/>
              <w:rPr>
                <w:sz w:val="15"/>
                <w:szCs w:val="15"/>
              </w:rPr>
            </w:pPr>
            <w:r>
              <w:rPr>
                <w:b/>
                <w:bCs/>
                <w:sz w:val="15"/>
                <w:szCs w:val="15"/>
              </w:rPr>
              <w:t>Share</w:t>
            </w:r>
            <w:r>
              <w:rPr>
                <w:b/>
                <w:bCs/>
                <w:sz w:val="15"/>
                <w:szCs w:val="15"/>
              </w:rPr>
              <w:t>s</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A309A2">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A309A2">
            <w:pPr>
              <w:pStyle w:val="a3"/>
              <w:spacing w:before="0" w:beforeAutospacing="0" w:after="0" w:afterAutospacing="0"/>
              <w:jc w:val="center"/>
              <w:rPr>
                <w:sz w:val="15"/>
                <w:szCs w:val="15"/>
              </w:rPr>
            </w:pPr>
            <w:r>
              <w:rPr>
                <w:b/>
                <w:bCs/>
                <w:sz w:val="15"/>
                <w:szCs w:val="15"/>
              </w:rPr>
              <w:t>$</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A309A2">
            <w:pPr>
              <w:pStyle w:val="a3"/>
              <w:spacing w:before="0" w:beforeAutospacing="0" w:after="0" w:afterAutospacing="0"/>
              <w:rPr>
                <w:sz w:val="15"/>
                <w:szCs w:val="15"/>
              </w:rPr>
            </w:pPr>
            <w:r>
              <w:rPr>
                <w:sz w:val="15"/>
                <w:szCs w:val="15"/>
              </w:rPr>
              <w:t> </w:t>
            </w:r>
          </w:p>
        </w:tc>
        <w:tc>
          <w:tcPr>
            <w:tcW w:w="0" w:type="auto"/>
            <w:gridSpan w:val="2"/>
            <w:vAlign w:val="center"/>
            <w:hideMark/>
          </w:tcPr>
          <w:p w:rsidR="00000000" w:rsidRDefault="00A309A2">
            <w:pPr>
              <w:pStyle w:val="a3"/>
              <w:spacing w:before="0" w:beforeAutospacing="0" w:after="0" w:afterAutospacing="0"/>
              <w:jc w:val="center"/>
              <w:rPr>
                <w:sz w:val="15"/>
                <w:szCs w:val="15"/>
              </w:rPr>
            </w:pPr>
            <w:r>
              <w:rPr>
                <w:b/>
                <w:bCs/>
                <w:sz w:val="15"/>
                <w:szCs w:val="15"/>
              </w:rPr>
              <w:t>Capita</w:t>
            </w:r>
            <w:r>
              <w:rPr>
                <w:b/>
                <w:bCs/>
                <w:sz w:val="15"/>
                <w:szCs w:val="15"/>
              </w:rPr>
              <w:t>l</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A309A2">
            <w:pPr>
              <w:pStyle w:val="a3"/>
              <w:spacing w:before="0" w:beforeAutospacing="0" w:after="0" w:afterAutospacing="0"/>
              <w:jc w:val="center"/>
              <w:rPr>
                <w:sz w:val="15"/>
                <w:szCs w:val="15"/>
              </w:rPr>
            </w:pPr>
            <w:r>
              <w:rPr>
                <w:b/>
                <w:bCs/>
                <w:sz w:val="15"/>
                <w:szCs w:val="15"/>
              </w:rPr>
              <w:t>Income (Loss</w:t>
            </w:r>
            <w:r>
              <w:rPr>
                <w:b/>
                <w:bCs/>
                <w:sz w:val="15"/>
                <w:szCs w:val="15"/>
              </w:rPr>
              <w:t>)</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gridSpan w:val="2"/>
            <w:vAlign w:val="center"/>
            <w:hideMark/>
          </w:tcPr>
          <w:p w:rsidR="00000000" w:rsidRDefault="00A309A2">
            <w:pPr>
              <w:pStyle w:val="a3"/>
              <w:spacing w:before="0" w:beforeAutospacing="0" w:after="0" w:afterAutospacing="0"/>
              <w:jc w:val="center"/>
              <w:rPr>
                <w:sz w:val="15"/>
                <w:szCs w:val="15"/>
              </w:rPr>
            </w:pPr>
            <w:r>
              <w:rPr>
                <w:b/>
                <w:bCs/>
                <w:sz w:val="15"/>
                <w:szCs w:val="15"/>
              </w:rPr>
              <w:t>Defici</w:t>
            </w:r>
            <w:r>
              <w:rPr>
                <w:b/>
                <w:bCs/>
                <w:sz w:val="15"/>
                <w:szCs w:val="15"/>
              </w:rPr>
              <w:t>t</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vAlign w:val="center"/>
            <w:hideMark/>
          </w:tcPr>
          <w:p w:rsidR="00000000" w:rsidRDefault="00A309A2">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A309A2">
            <w:pPr>
              <w:pStyle w:val="a3"/>
              <w:spacing w:before="0" w:beforeAutospacing="0" w:after="0" w:afterAutospacing="0"/>
              <w:jc w:val="center"/>
              <w:rPr>
                <w:sz w:val="15"/>
                <w:szCs w:val="15"/>
              </w:rPr>
            </w:pPr>
            <w:r>
              <w:rPr>
                <w:b/>
                <w:bCs/>
                <w:sz w:val="15"/>
                <w:szCs w:val="15"/>
              </w:rPr>
              <w:t>Tota</w:t>
            </w:r>
            <w:r>
              <w:rPr>
                <w:b/>
                <w:bCs/>
                <w:sz w:val="15"/>
                <w:szCs w:val="15"/>
              </w:rPr>
              <w:t>l</w:t>
            </w:r>
          </w:p>
        </w:tc>
        <w:tc>
          <w:tcPr>
            <w:tcW w:w="0" w:type="auto"/>
            <w:vAlign w:val="bottom"/>
            <w:hideMark/>
          </w:tcPr>
          <w:p w:rsidR="00000000" w:rsidRDefault="00A309A2">
            <w:pPr>
              <w:pStyle w:val="a3"/>
              <w:spacing w:before="0" w:beforeAutospacing="0" w:after="0" w:afterAutospacing="0"/>
              <w:jc w:val="center"/>
              <w:rPr>
                <w:sz w:val="15"/>
                <w:szCs w:val="15"/>
              </w:rPr>
            </w:pPr>
            <w:r>
              <w:rPr>
                <w:sz w:val="15"/>
                <w:szCs w:val="15"/>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Balances at January 1, 201</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39,30</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589,70</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72</w:t>
            </w:r>
            <w:r>
              <w:rPr>
                <w:sz w:val="19"/>
                <w:szCs w:val="19"/>
              </w:rPr>
              <w:t>3</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344,38</w:t>
            </w:r>
            <w:r>
              <w:rPr>
                <w:sz w:val="19"/>
                <w:szCs w:val="19"/>
              </w:rPr>
              <w:t>4</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244,64</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 xml:space="preserve">Issuance of common stock under stock </w:t>
            </w:r>
            <w:r>
              <w:rPr>
                <w:sz w:val="19"/>
                <w:szCs w:val="19"/>
              </w:rPr>
              <w:br/>
              <w:t>  plans, net of shares withheld for</w:t>
            </w:r>
            <w:r>
              <w:rPr>
                <w:sz w:val="19"/>
                <w:szCs w:val="19"/>
              </w:rPr>
              <w:br/>
              <w:t>  employee taxe</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1,50</w:t>
            </w:r>
            <w:r>
              <w:rPr>
                <w:sz w:val="19"/>
                <w:szCs w:val="19"/>
              </w:rPr>
              <w:t>4</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16,85</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16,86</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Stock-based compensatio</w:t>
            </w:r>
            <w:r>
              <w:rPr>
                <w:sz w:val="19"/>
                <w:szCs w:val="19"/>
              </w:rPr>
              <w:t>n</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99,18</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99,18</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19"/>
                <w:szCs w:val="19"/>
              </w:rPr>
              <w:t>Issuance of common stock in</w:t>
            </w:r>
            <w:r>
              <w:rPr>
                <w:sz w:val="19"/>
                <w:szCs w:val="19"/>
              </w:rPr>
              <w:br/>
              <w:t>  relation to common stock offering,</w:t>
            </w:r>
            <w:r>
              <w:rPr>
                <w:sz w:val="19"/>
                <w:szCs w:val="19"/>
              </w:rPr>
              <w:br/>
              <w:t xml:space="preserve">  net of offering costs incurred </w:t>
            </w:r>
            <w:r>
              <w:rPr>
                <w:sz w:val="19"/>
                <w:szCs w:val="19"/>
              </w:rPr>
              <w:t>$</w:t>
            </w:r>
            <w:r>
              <w:rPr>
                <w:sz w:val="19"/>
                <w:szCs w:val="19"/>
              </w:rPr>
              <w:t>36</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2,15</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342,62</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342,63</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21</w:t>
            </w:r>
            <w:r>
              <w:rPr>
                <w:sz w:val="19"/>
                <w:szCs w:val="19"/>
              </w:rPr>
              <w:t>3</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21</w:t>
            </w:r>
            <w:r>
              <w:rPr>
                <w:sz w:val="19"/>
                <w:szCs w:val="19"/>
              </w:rPr>
              <w:t>3</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19"/>
                <w:szCs w:val="19"/>
              </w:rPr>
              <w:t>Unrealized gain on investments, net of</w:t>
            </w:r>
            <w:r>
              <w:rPr>
                <w:sz w:val="19"/>
                <w:szCs w:val="19"/>
              </w:rPr>
              <w:br/>
              <w:t xml:space="preserve">  income taxes of </w:t>
            </w:r>
            <w:r>
              <w:rPr>
                <w:sz w:val="19"/>
                <w:szCs w:val="19"/>
              </w:rPr>
              <w:t>$</w:t>
            </w:r>
            <w:r>
              <w:rPr>
                <w:sz w:val="19"/>
                <w:szCs w:val="19"/>
              </w:rPr>
              <w:t>15</w:t>
            </w:r>
            <w:r>
              <w:rPr>
                <w:sz w:val="19"/>
                <w:szCs w:val="19"/>
              </w:rPr>
              <w:t>6</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60</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60</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Net los</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53,74</w:t>
            </w:r>
            <w:r>
              <w:rPr>
                <w:sz w:val="19"/>
                <w:szCs w:val="19"/>
              </w:rPr>
              <w:t>6</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53,74</w:t>
            </w:r>
            <w:r>
              <w:rPr>
                <w:sz w:val="19"/>
                <w:szCs w:val="19"/>
              </w:rPr>
              <w:t>6</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Balances at December 31, 201</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42,95</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w:t>
            </w:r>
            <w:r>
              <w:rPr>
                <w:sz w:val="19"/>
                <w:szCs w:val="19"/>
              </w:rPr>
              <w:t>4</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1,048,38</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33</w:t>
            </w:r>
            <w:r>
              <w:rPr>
                <w:sz w:val="19"/>
                <w:szCs w:val="19"/>
              </w:rPr>
              <w:t>6</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398,13</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649,95</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 xml:space="preserve">Issuance of common stock under stock </w:t>
            </w:r>
            <w:r>
              <w:rPr>
                <w:sz w:val="19"/>
                <w:szCs w:val="19"/>
              </w:rPr>
              <w:br/>
              <w:t>  </w:t>
            </w:r>
            <w:r>
              <w:rPr>
                <w:sz w:val="19"/>
                <w:szCs w:val="19"/>
              </w:rPr>
              <w:t>plans, net of shares withheld for</w:t>
            </w:r>
            <w:r>
              <w:rPr>
                <w:sz w:val="19"/>
                <w:szCs w:val="19"/>
              </w:rPr>
              <w:br/>
              <w:t>  employee taxe</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1,56</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22,17</w:t>
            </w:r>
            <w:r>
              <w:rPr>
                <w:sz w:val="19"/>
                <w:szCs w:val="19"/>
              </w:rPr>
              <w:t>4</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22,17</w:t>
            </w:r>
            <w:r>
              <w:rPr>
                <w:sz w:val="19"/>
                <w:szCs w:val="19"/>
              </w:rPr>
              <w:t>4</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Equity component of the 2025</w:t>
            </w:r>
            <w:r>
              <w:rPr>
                <w:sz w:val="19"/>
                <w:szCs w:val="19"/>
              </w:rPr>
              <w:br/>
              <w:t>  Notes, net of issuance cost</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96,61</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96,61</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Purchase of Capped Call Option</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50,60</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50,60</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Equity component of the</w:t>
            </w:r>
            <w:r>
              <w:rPr>
                <w:sz w:val="19"/>
                <w:szCs w:val="19"/>
              </w:rPr>
              <w:br/>
              <w:t>  repayment of 2022 Note</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1,59</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61</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61</w:t>
            </w:r>
            <w:r>
              <w:rPr>
                <w:sz w:val="19"/>
                <w:szCs w:val="19"/>
              </w:rPr>
              <w:t>3</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Stock-based compensatio</w:t>
            </w:r>
            <w:r>
              <w:rPr>
                <w:sz w:val="19"/>
                <w:szCs w:val="19"/>
              </w:rPr>
              <w:t>n</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123,10</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123,10</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17</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17</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1,06</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1,06</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4,79</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4,79</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19"/>
                <w:szCs w:val="19"/>
              </w:rPr>
              <w:t>Unrealized gain on investments, net of</w:t>
            </w:r>
            <w:r>
              <w:rPr>
                <w:sz w:val="19"/>
                <w:szCs w:val="19"/>
              </w:rPr>
              <w:br/>
              <w:t>  income taxes of (</w:t>
            </w:r>
            <w:r>
              <w:rPr>
                <w:sz w:val="19"/>
                <w:szCs w:val="19"/>
              </w:rPr>
              <w:t>$</w:t>
            </w:r>
            <w:r>
              <w:rPr>
                <w:sz w:val="19"/>
                <w:szCs w:val="19"/>
              </w:rPr>
              <w:t>11</w:t>
            </w:r>
            <w:r>
              <w:rPr>
                <w:sz w:val="19"/>
                <w:szCs w:val="19"/>
              </w:rPr>
              <w:t>6</w:t>
            </w: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14</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14</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Net los</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85,03</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85,03</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Balances at December 31, 202</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46,11</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w:t>
            </w:r>
            <w:r>
              <w:rPr>
                <w:sz w:val="19"/>
                <w:szCs w:val="19"/>
              </w:rPr>
              <w:t>6</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1,241,16</w:t>
            </w:r>
            <w:r>
              <w:rPr>
                <w:sz w:val="19"/>
                <w:szCs w:val="19"/>
              </w:rPr>
              <w:t>7</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4,60</w:t>
            </w:r>
            <w:r>
              <w:rPr>
                <w:sz w:val="19"/>
                <w:szCs w:val="19"/>
              </w:rPr>
              <w:t>3</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483,16</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762,65</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 xml:space="preserve">Issuance of common stock under stock </w:t>
            </w:r>
            <w:r>
              <w:rPr>
                <w:sz w:val="19"/>
                <w:szCs w:val="19"/>
              </w:rPr>
              <w:br/>
              <w:t>  plans, net of shares withheld for</w:t>
            </w:r>
            <w:r>
              <w:rPr>
                <w:sz w:val="19"/>
                <w:szCs w:val="19"/>
              </w:rPr>
              <w:br/>
              <w:t>  employee taxe</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1,27</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27,48</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27,48</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89</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11,27</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11,27</w:t>
            </w:r>
            <w:r>
              <w:rPr>
                <w:sz w:val="19"/>
                <w:szCs w:val="19"/>
              </w:rPr>
              <w:t>7</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89</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89</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8,98</w:t>
            </w:r>
            <w:r>
              <w:rPr>
                <w:sz w:val="19"/>
                <w:szCs w:val="19"/>
              </w:rPr>
              <w:t>5</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8,98</w:t>
            </w:r>
            <w:r>
              <w:rPr>
                <w:sz w:val="19"/>
                <w:szCs w:val="19"/>
              </w:rPr>
              <w:t>4</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Stock-based compensatio</w:t>
            </w:r>
            <w:r>
              <w:rPr>
                <w:sz w:val="19"/>
                <w:szCs w:val="19"/>
              </w:rPr>
              <w:t>n</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169,72</w:t>
            </w:r>
            <w:r>
              <w:rPr>
                <w:sz w:val="19"/>
                <w:szCs w:val="19"/>
              </w:rPr>
              <w:t>7</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169,72</w:t>
            </w:r>
            <w:r>
              <w:rPr>
                <w:sz w:val="19"/>
                <w:szCs w:val="19"/>
              </w:rPr>
              <w:t>7</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4,71</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4,71</w:t>
            </w:r>
            <w:r>
              <w:rPr>
                <w:sz w:val="19"/>
                <w:szCs w:val="19"/>
              </w:rPr>
              <w:t>2</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19"/>
                <w:szCs w:val="19"/>
              </w:rPr>
              <w:t>Unrealized loss on investments, net of</w:t>
            </w:r>
            <w:r>
              <w:rPr>
                <w:sz w:val="19"/>
                <w:szCs w:val="19"/>
              </w:rPr>
              <w:br/>
              <w:t>  income taxes of (</w:t>
            </w:r>
            <w:r>
              <w:rPr>
                <w:sz w:val="19"/>
                <w:szCs w:val="19"/>
              </w:rPr>
              <w:t>$</w:t>
            </w:r>
            <w:r>
              <w:rPr>
                <w:sz w:val="19"/>
                <w:szCs w:val="19"/>
              </w:rPr>
              <w:t>4</w:t>
            </w:r>
            <w:r>
              <w:rPr>
                <w:sz w:val="19"/>
                <w:szCs w:val="19"/>
              </w:rPr>
              <w:t>4</w:t>
            </w: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1,23</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1,23</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Net los</w:t>
            </w:r>
            <w:r>
              <w:rPr>
                <w:sz w:val="19"/>
                <w:szCs w:val="19"/>
              </w:rPr>
              <w:t>s</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77,83</w:t>
            </w:r>
            <w:r>
              <w:rPr>
                <w:sz w:val="19"/>
                <w:szCs w:val="19"/>
              </w:rPr>
              <w:t>7</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77,83</w:t>
            </w:r>
            <w:r>
              <w:rPr>
                <w:sz w:val="19"/>
                <w:szCs w:val="19"/>
              </w:rPr>
              <w:t>7</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A309A2">
            <w:pPr>
              <w:pStyle w:val="a3"/>
              <w:spacing w:before="0" w:beforeAutospacing="0" w:after="0" w:afterAutospacing="0"/>
              <w:rPr>
                <w:sz w:val="19"/>
                <w:szCs w:val="19"/>
              </w:rPr>
            </w:pPr>
            <w:r>
              <w:rPr>
                <w:sz w:val="19"/>
                <w:szCs w:val="19"/>
              </w:rPr>
              <w:t>Balances at December 31, 202</w:t>
            </w:r>
            <w:r>
              <w:rPr>
                <w:sz w:val="19"/>
                <w:szCs w:val="19"/>
              </w:rPr>
              <w:t>1</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47,39</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4</w:t>
            </w:r>
            <w:r>
              <w:rPr>
                <w:sz w:val="19"/>
                <w:szCs w:val="19"/>
              </w:rPr>
              <w:t>7</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91</w:t>
            </w:r>
            <w:r>
              <w:rPr>
                <w:sz w:val="19"/>
                <w:szCs w:val="19"/>
              </w:rPr>
              <w:t>0</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1,436,08</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1,33</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w:t>
            </w:r>
            <w:r>
              <w:rPr>
                <w:sz w:val="19"/>
                <w:szCs w:val="19"/>
              </w:rPr>
              <w:t>560,99</w:t>
            </w:r>
            <w:r>
              <w:rPr>
                <w:sz w:val="19"/>
                <w:szCs w:val="19"/>
              </w:rPr>
              <w:t>8</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9"/>
                <w:szCs w:val="19"/>
              </w:rPr>
              <w:t>873,79</w:t>
            </w:r>
            <w:r>
              <w:rPr>
                <w:sz w:val="19"/>
                <w:szCs w:val="19"/>
              </w:rPr>
              <w:t>9</w:t>
            </w:r>
          </w:p>
        </w:tc>
        <w:tc>
          <w:tcPr>
            <w:tcW w:w="0" w:type="auto"/>
            <w:vAlign w:val="bottom"/>
            <w:hideMark/>
          </w:tcPr>
          <w:p w:rsidR="00000000" w:rsidRDefault="00A309A2">
            <w:pPr>
              <w:pStyle w:val="a3"/>
              <w:spacing w:before="0" w:beforeAutospacing="0" w:after="0" w:afterAutospacing="0"/>
              <w:rPr>
                <w:sz w:val="19"/>
                <w:szCs w:val="19"/>
              </w:rPr>
            </w:pPr>
            <w:r>
              <w:rPr>
                <w:sz w:val="19"/>
                <w:szCs w:val="19"/>
              </w:rPr>
              <w:t> </w:t>
            </w:r>
          </w:p>
        </w:tc>
      </w:tr>
    </w:tbl>
    <w:p w:rsidR="00000000" w:rsidRDefault="00A309A2">
      <w:pPr>
        <w:pStyle w:val="a3"/>
        <w:spacing w:before="240" w:beforeAutospacing="0" w:after="0" w:afterAutospacing="0"/>
        <w:jc w:val="center"/>
        <w:rPr>
          <w:sz w:val="20"/>
          <w:szCs w:val="20"/>
        </w:rPr>
      </w:pPr>
      <w:r>
        <w:rPr>
          <w:sz w:val="20"/>
          <w:szCs w:val="20"/>
        </w:rPr>
        <w:t>The accompanying notes are an integral part of the consolidated financial statements</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6</w:t>
      </w:r>
      <w:r>
        <w:rPr>
          <w:sz w:val="20"/>
          <w:szCs w:val="20"/>
        </w:rPr>
        <w:t>5</w:t>
      </w:r>
    </w:p>
    <w:p w:rsidR="00000000" w:rsidRDefault="00A309A2">
      <w:pPr>
        <w:rPr>
          <w:rFonts w:eastAsia="Times New Roman"/>
        </w:rPr>
      </w:pPr>
      <w:r>
        <w:rPr>
          <w:rFonts w:eastAsia="Times New Roman"/>
        </w:rPr>
        <w:pict>
          <v:rect id="_x0000_i109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A309A2">
      <w:pPr>
        <w:pStyle w:val="a3"/>
        <w:spacing w:before="0" w:beforeAutospacing="0" w:after="0" w:afterAutospacing="0"/>
        <w:jc w:val="center"/>
        <w:rPr>
          <w:sz w:val="20"/>
          <w:szCs w:val="20"/>
        </w:rPr>
      </w:pPr>
      <w:r>
        <w:rPr>
          <w:b/>
          <w:bCs/>
          <w:sz w:val="20"/>
          <w:szCs w:val="20"/>
        </w:rPr>
        <w:t>CONSOLIDATED STATE</w:t>
      </w:r>
      <w:r>
        <w:rPr>
          <w:b/>
          <w:bCs/>
          <w:sz w:val="20"/>
          <w:szCs w:val="20"/>
        </w:rPr>
        <w:t>M</w:t>
      </w:r>
      <w:r>
        <w:rPr>
          <w:b/>
          <w:bCs/>
          <w:sz w:val="20"/>
          <w:szCs w:val="20"/>
        </w:rPr>
        <w:t>ENTS OF CASH FLOW</w:t>
      </w:r>
      <w:r>
        <w:rPr>
          <w:b/>
          <w:bCs/>
          <w:sz w:val="20"/>
          <w:szCs w:val="20"/>
        </w:rPr>
        <w:t>S</w:t>
      </w:r>
    </w:p>
    <w:p w:rsidR="00000000" w:rsidRDefault="00A309A2">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309A2">
      <w:pPr>
        <w:pStyle w:val="a3"/>
        <w:spacing w:before="0" w:beforeAutospacing="0" w:after="0" w:afterAutospacing="0" w:line="260" w:lineRule="atLeast"/>
        <w:jc w:val="center"/>
        <w:rPr>
          <w:sz w:val="20"/>
          <w:szCs w:val="20"/>
        </w:rPr>
      </w:pPr>
      <w:r>
        <w:rPr>
          <w:sz w:val="18"/>
          <w:szCs w:val="18"/>
        </w:rPr>
        <w:t>The accompanying notes are an integral part of the consolidated financial statement</w:t>
      </w:r>
      <w:r>
        <w:rPr>
          <w:sz w:val="18"/>
          <w:szCs w:val="18"/>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8"/>
        <w:gridCol w:w="103"/>
        <w:gridCol w:w="145"/>
        <w:gridCol w:w="882"/>
        <w:gridCol w:w="117"/>
        <w:gridCol w:w="103"/>
        <w:gridCol w:w="145"/>
        <w:gridCol w:w="882"/>
        <w:gridCol w:w="117"/>
        <w:gridCol w:w="103"/>
        <w:gridCol w:w="145"/>
        <w:gridCol w:w="884"/>
        <w:gridCol w:w="132"/>
      </w:tblGrid>
      <w:tr w:rsidR="00000000">
        <w:trPr>
          <w:tblCellSpacing w:w="15" w:type="dxa"/>
        </w:trPr>
        <w:tc>
          <w:tcPr>
            <w:tcW w:w="2871" w:type="pct"/>
            <w:vAlign w:val="center"/>
            <w:hideMark/>
          </w:tcPr>
          <w:p w:rsidR="00000000" w:rsidRDefault="00A309A2">
            <w:pPr>
              <w:rPr>
                <w:sz w:val="20"/>
                <w:szCs w:val="20"/>
              </w:rPr>
            </w:pPr>
          </w:p>
        </w:tc>
        <w:tc>
          <w:tcPr>
            <w:tcW w:w="63"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b/>
                <w:bCs/>
                <w:sz w:val="17"/>
                <w:szCs w:val="17"/>
              </w:rPr>
              <w:t>Operating Activities</w:t>
            </w:r>
            <w:r>
              <w:rPr>
                <w:b/>
                <w:bCs/>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Net los</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77,83</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85,03</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53,74</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Adjustments to reconcile net loss to net cash and cash equivalents provided by</w:t>
            </w:r>
            <w:r>
              <w:rPr>
                <w:sz w:val="17"/>
                <w:szCs w:val="17"/>
              </w:rPr>
              <w:br/>
              <w:t>   operating activities, net of acquisition</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Depreciation and amortizatio</w:t>
            </w:r>
            <w:r>
              <w:rPr>
                <w:sz w:val="17"/>
                <w:szCs w:val="17"/>
              </w:rPr>
              <w:t>n</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45,15</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37,06</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28,79</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Stock-based compensatio</w:t>
            </w:r>
            <w:r>
              <w:rPr>
                <w:sz w:val="17"/>
                <w:szCs w:val="17"/>
              </w:rPr>
              <w:t>n</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166,76</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121,48</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97,75</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Loss on early extinguishment of 2022 Convertible Note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4,89</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10,50</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Repayment of 2022 Convertible Notes attributable to the debt discoun</w:t>
            </w:r>
            <w:r>
              <w:rPr>
                <w:sz w:val="17"/>
                <w:szCs w:val="17"/>
              </w:rPr>
              <w:t>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26,42</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49,04</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Gain on termination of operating lease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4,27</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Loss on disposal of fixed asset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6,46</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Gain on strategic investment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11,74</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Benefit from deferred income taxe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2,86</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2,18</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79</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Amortization of debt discount and issuance cost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23,50</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24,89</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21,79</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Amortization (accretion) of bond discoun</w:t>
            </w:r>
            <w:r>
              <w:rPr>
                <w:sz w:val="17"/>
                <w:szCs w:val="17"/>
              </w:rPr>
              <w:t>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4,27</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3,65</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14,16</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Unrealized currency translatio</w:t>
            </w:r>
            <w:r>
              <w:rPr>
                <w:sz w:val="17"/>
                <w:szCs w:val="17"/>
              </w:rPr>
              <w:t>n</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1,30</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95</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15</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400"/>
              <w:rPr>
                <w:sz w:val="17"/>
                <w:szCs w:val="17"/>
              </w:rPr>
            </w:pPr>
            <w:r>
              <w:rPr>
                <w:sz w:val="17"/>
                <w:szCs w:val="17"/>
              </w:rPr>
              <w:t>Changes in assets and liabilities, net of acquisitio</w:t>
            </w:r>
            <w:r>
              <w:rPr>
                <w:sz w:val="17"/>
                <w:szCs w:val="17"/>
              </w:rPr>
              <w:t>n</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Accounts receivabl</w:t>
            </w:r>
            <w:r>
              <w:rPr>
                <w:sz w:val="17"/>
                <w:szCs w:val="17"/>
              </w:rPr>
              <w:t>e</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34,10</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29,97</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15,42</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Prepaid expenses and other asset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1,07</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17,02</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3,29</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Deferred commission expens</w:t>
            </w:r>
            <w:r>
              <w:rPr>
                <w:sz w:val="17"/>
                <w:szCs w:val="17"/>
              </w:rPr>
              <w:t>e</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32,56</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19,28</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9,66</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Right-of-use asset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31,41</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31,40</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22,65</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Accounts payabl</w:t>
            </w:r>
            <w:r>
              <w:rPr>
                <w:sz w:val="17"/>
                <w:szCs w:val="17"/>
              </w:rPr>
              <w:t>e</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10,60</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3,69</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3,92</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Accrued expenses and other current liabilitie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58,20</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26,02</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7,81</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Operating lease liabilitie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29,47</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31,62</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15,78</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600"/>
              <w:rPr>
                <w:sz w:val="17"/>
                <w:szCs w:val="17"/>
              </w:rPr>
            </w:pPr>
            <w:r>
              <w:rPr>
                <w:sz w:val="17"/>
                <w:szCs w:val="17"/>
              </w:rPr>
              <w:t>Deferred revenu</w:t>
            </w:r>
            <w:r>
              <w:rPr>
                <w:sz w:val="17"/>
                <w:szCs w:val="17"/>
              </w:rPr>
              <w:t>e</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127,71</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72,62</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49,26</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800"/>
              <w:rPr>
                <w:sz w:val="17"/>
                <w:szCs w:val="17"/>
              </w:rPr>
            </w:pPr>
            <w:r>
              <w:rPr>
                <w:sz w:val="17"/>
                <w:szCs w:val="17"/>
              </w:rPr>
              <w:t>Net cash and cash equivalents provided by operating activitie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238,72</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88,91</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118,97</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b/>
                <w:bCs/>
                <w:sz w:val="17"/>
                <w:szCs w:val="17"/>
              </w:rPr>
              <w:t>Investing Activities</w:t>
            </w:r>
            <w:r>
              <w:rPr>
                <w:b/>
                <w:bCs/>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Purchases of investment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1,484,76</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1,517,35</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1,304,84</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Maturities of investment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1,387,49</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1,352,23</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1,066,36</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Sale of investment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10,93</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Purchases of property and equipmen</w:t>
            </w:r>
            <w:r>
              <w:rPr>
                <w:sz w:val="17"/>
                <w:szCs w:val="17"/>
              </w:rPr>
              <w:t>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28,72</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37,27</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40,37</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Capitalization of software development cost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33,13</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21,59</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13,47</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Acquisition of a business, net of cash acquire</w:t>
            </w:r>
            <w:r>
              <w:rPr>
                <w:sz w:val="17"/>
                <w:szCs w:val="17"/>
              </w:rPr>
              <w:t>d</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16,81</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23,31</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Proceeds from sale of strategic investment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12,62</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Equity method investment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3,10</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Purchase of strategic investment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13,08</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2,50</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55</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800"/>
              <w:rPr>
                <w:sz w:val="17"/>
                <w:szCs w:val="17"/>
              </w:rPr>
            </w:pPr>
            <w:r>
              <w:rPr>
                <w:sz w:val="17"/>
                <w:szCs w:val="17"/>
              </w:rPr>
              <w:t>Net cash and cash equivalents used in investing activitie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179,50</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215,56</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316,19</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b/>
                <w:bCs/>
                <w:sz w:val="17"/>
                <w:szCs w:val="17"/>
              </w:rPr>
              <w:t>Financing Activities</w:t>
            </w:r>
            <w:r>
              <w:rPr>
                <w:b/>
                <w:bCs/>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17"/>
                <w:szCs w:val="17"/>
              </w:rPr>
              <w:t>Proceeds from issuance of 2025 Convertible Notes, net of issuance costs paid</w:t>
            </w:r>
            <w:r>
              <w:rPr>
                <w:sz w:val="17"/>
                <w:szCs w:val="17"/>
              </w:rPr>
              <w:br/>
              <w:t xml:space="preserve">  of </w:t>
            </w:r>
            <w:r>
              <w:rPr>
                <w:sz w:val="17"/>
                <w:szCs w:val="17"/>
              </w:rPr>
              <w:t>$</w:t>
            </w:r>
            <w:r>
              <w:rPr>
                <w:sz w:val="17"/>
                <w:szCs w:val="17"/>
              </w:rPr>
              <w:t>9.</w:t>
            </w:r>
            <w:r>
              <w:rPr>
                <w:sz w:val="17"/>
                <w:szCs w:val="17"/>
              </w:rPr>
              <w:t>9</w:t>
            </w:r>
            <w:r>
              <w:rPr>
                <w:sz w:val="17"/>
                <w:szCs w:val="17"/>
              </w:rPr>
              <w:t> millio</w:t>
            </w:r>
            <w:r>
              <w:rPr>
                <w:sz w:val="17"/>
                <w:szCs w:val="17"/>
              </w:rPr>
              <w:t>n</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450,12</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Proceeds from settlement of Convertible Note Hedges related to the 2022 Convertible Note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8,98</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363,55</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Payments for settlement of Warrants related to the 2022 Convertible Note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327,54</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Repayment of 2022 Convertible Notes attributable to the principa</w:t>
            </w:r>
            <w:r>
              <w:rPr>
                <w:sz w:val="17"/>
                <w:szCs w:val="17"/>
              </w:rPr>
              <w:t>l</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89,52</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235,99</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Payments for Capped Call Options related to the 2025 Convertible Note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50,60</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17"/>
                <w:szCs w:val="17"/>
              </w:rPr>
              <w:t xml:space="preserve">Proceeds from common stock offering, net of offering costs paid of </w:t>
            </w:r>
            <w:r>
              <w:rPr>
                <w:sz w:val="17"/>
                <w:szCs w:val="17"/>
              </w:rPr>
              <w:t>$</w:t>
            </w:r>
            <w:r>
              <w:rPr>
                <w:sz w:val="17"/>
                <w:szCs w:val="17"/>
              </w:rPr>
              <w:t>36</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342,62</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Repayment of deb</w:t>
            </w:r>
            <w:r>
              <w:rPr>
                <w:sz w:val="17"/>
                <w:szCs w:val="17"/>
              </w:rPr>
              <w:t>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33</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Employee taxes paid related to the net share settlement of stock-based award</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17,43</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7,42</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6,24</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Proceeds related to the issuance of common stock under stock plan</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46,51</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30,37</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23,57</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Repayment of finance lease obligation</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28</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800"/>
              <w:rPr>
                <w:sz w:val="17"/>
                <w:szCs w:val="17"/>
              </w:rPr>
            </w:pPr>
            <w:r>
              <w:rPr>
                <w:sz w:val="17"/>
                <w:szCs w:val="17"/>
              </w:rPr>
              <w:t>Net cash and cash equivalents (used in) provided by financing activitie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51,46</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222,46</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359,34</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sz w:val="17"/>
                <w:szCs w:val="17"/>
              </w:rPr>
              <w:t>Effect on exchange rate changes on cash and cash equivalent</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8,86</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6,83</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72</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sz w:val="17"/>
                <w:szCs w:val="17"/>
              </w:rPr>
              <w:t>Net increase in cash, cash equivalents and restricted cas</w:t>
            </w:r>
            <w:r>
              <w:rPr>
                <w:sz w:val="17"/>
                <w:szCs w:val="17"/>
              </w:rPr>
              <w:t>h</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1,11</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102,63</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161,40</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sz w:val="17"/>
                <w:szCs w:val="17"/>
              </w:rPr>
              <w:t>Cash, cash equivalents and restricted cash, beginning of yea</w:t>
            </w:r>
            <w:r>
              <w:rPr>
                <w:sz w:val="17"/>
                <w:szCs w:val="17"/>
              </w:rPr>
              <w:t>r</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381,15</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278,51</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117,11</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sz w:val="17"/>
                <w:szCs w:val="17"/>
              </w:rPr>
              <w:t>Cash, cash equivalents and restricted cash, end of yea</w:t>
            </w:r>
            <w:r>
              <w:rPr>
                <w:sz w:val="17"/>
                <w:szCs w:val="17"/>
              </w:rPr>
              <w:t>r</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380,04</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381,15</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278,51</w:t>
            </w:r>
            <w:r>
              <w:rPr>
                <w:sz w:val="17"/>
                <w:szCs w:val="17"/>
              </w:rPr>
              <w:t>5</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b/>
                <w:bCs/>
                <w:sz w:val="17"/>
                <w:szCs w:val="17"/>
              </w:rPr>
              <w:t>Supplemental cash flow disclosure</w:t>
            </w:r>
            <w:r>
              <w:rPr>
                <w:b/>
                <w:bCs/>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Cash paid for interes</w:t>
            </w:r>
            <w:r>
              <w:rPr>
                <w:sz w:val="17"/>
                <w:szCs w:val="17"/>
              </w:rPr>
              <w:t>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1,84</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1,51</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1,01</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Cash paid for income taxe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6,97</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2,30</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3,09</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Right-of-use assets obtained in exchange for operating lease facilitie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92,13</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65,34</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105,49</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Right-of-use asset reductions related to operating lease termination</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w:t>
            </w:r>
            <w:r>
              <w:rPr>
                <w:sz w:val="17"/>
                <w:szCs w:val="17"/>
              </w:rPr>
              <w:t>46,58</w:t>
            </w:r>
            <w:r>
              <w:rPr>
                <w:sz w:val="17"/>
                <w:szCs w:val="17"/>
              </w:rPr>
              <w:t>7</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rPr>
                <w:sz w:val="17"/>
                <w:szCs w:val="17"/>
              </w:rPr>
            </w:pPr>
            <w:r>
              <w:rPr>
                <w:b/>
                <w:bCs/>
                <w:sz w:val="17"/>
                <w:szCs w:val="17"/>
              </w:rPr>
              <w:t>Non-cash investing and financing activities</w:t>
            </w:r>
            <w:r>
              <w:rPr>
                <w:b/>
                <w:bCs/>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Capital expenditures incurred but not yet pai</w:t>
            </w:r>
            <w:r>
              <w:rPr>
                <w:sz w:val="17"/>
                <w:szCs w:val="17"/>
              </w:rPr>
              <w:t>d</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47</w:t>
            </w:r>
            <w:r>
              <w:rPr>
                <w:sz w:val="17"/>
                <w:szCs w:val="17"/>
              </w:rPr>
              <w:t>0</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1,03</w:t>
            </w:r>
            <w:r>
              <w:rPr>
                <w:sz w:val="17"/>
                <w:szCs w:val="17"/>
              </w:rPr>
              <w:t>8</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4,60</w:t>
            </w:r>
            <w:r>
              <w:rPr>
                <w:sz w:val="17"/>
                <w:szCs w:val="17"/>
              </w:rPr>
              <w:t>6</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Asset retirement obligation</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7</w:t>
            </w:r>
            <w:r>
              <w:rPr>
                <w:sz w:val="17"/>
                <w:szCs w:val="17"/>
              </w:rPr>
              <w:t>1</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77</w:t>
            </w:r>
            <w:r>
              <w:rPr>
                <w:sz w:val="17"/>
                <w:szCs w:val="17"/>
              </w:rPr>
              <w:t>3</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2,01</w:t>
            </w:r>
            <w:r>
              <w:rPr>
                <w:sz w:val="17"/>
                <w:szCs w:val="17"/>
              </w:rPr>
              <w:t>4</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6</w:t>
      </w:r>
      <w:r>
        <w:rPr>
          <w:sz w:val="20"/>
          <w:szCs w:val="20"/>
        </w:rPr>
        <w:t>6</w:t>
      </w:r>
    </w:p>
    <w:p w:rsidR="00000000" w:rsidRDefault="00A309A2">
      <w:pPr>
        <w:rPr>
          <w:rFonts w:eastAsia="Times New Roman"/>
        </w:rPr>
      </w:pPr>
      <w:r>
        <w:rPr>
          <w:rFonts w:eastAsia="Times New Roman"/>
        </w:rPr>
        <w:pict>
          <v:rect id="_x0000_i109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4"/>
        <w:gridCol w:w="105"/>
        <w:gridCol w:w="145"/>
        <w:gridCol w:w="892"/>
        <w:gridCol w:w="103"/>
        <w:gridCol w:w="105"/>
        <w:gridCol w:w="145"/>
        <w:gridCol w:w="892"/>
        <w:gridCol w:w="103"/>
        <w:gridCol w:w="106"/>
        <w:gridCol w:w="145"/>
        <w:gridCol w:w="893"/>
        <w:gridCol w:w="118"/>
      </w:tblGrid>
      <w:tr w:rsidR="00000000">
        <w:trPr>
          <w:tblCellSpacing w:w="15" w:type="dxa"/>
        </w:trPr>
        <w:tc>
          <w:tcPr>
            <w:tcW w:w="2871" w:type="pct"/>
            <w:vAlign w:val="center"/>
            <w:hideMark/>
          </w:tcPr>
          <w:p w:rsidR="00000000" w:rsidRDefault="00A309A2">
            <w:pPr>
              <w:rPr>
                <w:sz w:val="20"/>
                <w:szCs w:val="20"/>
              </w:rPr>
            </w:pPr>
          </w:p>
        </w:tc>
        <w:tc>
          <w:tcPr>
            <w:tcW w:w="63"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ind w:left="200"/>
              <w:rPr>
                <w:sz w:val="17"/>
                <w:szCs w:val="17"/>
              </w:rPr>
            </w:pPr>
            <w:r>
              <w:rPr>
                <w:sz w:val="17"/>
                <w:szCs w:val="17"/>
              </w:rPr>
              <w:t>Issuance of common stock for repayment of 2022 Convertible Note</w:t>
            </w:r>
            <w:r>
              <w:rPr>
                <w:sz w:val="17"/>
                <w:szCs w:val="17"/>
              </w:rPr>
              <w:t>s</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493,17</w:t>
            </w:r>
            <w:r>
              <w:rPr>
                <w:sz w:val="17"/>
                <w:szCs w:val="17"/>
              </w:rPr>
              <w:t>2</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7"/>
                <w:szCs w:val="17"/>
              </w:rPr>
              <w:t>336,28</w:t>
            </w:r>
            <w:r>
              <w:rPr>
                <w:sz w:val="17"/>
                <w:szCs w:val="17"/>
              </w:rPr>
              <w:t>9</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6</w:t>
      </w:r>
      <w:r>
        <w:rPr>
          <w:sz w:val="20"/>
          <w:szCs w:val="20"/>
        </w:rPr>
        <w:t>7</w:t>
      </w:r>
    </w:p>
    <w:p w:rsidR="00000000" w:rsidRDefault="00A309A2">
      <w:pPr>
        <w:rPr>
          <w:rFonts w:eastAsia="Times New Roman"/>
        </w:rPr>
      </w:pPr>
      <w:r>
        <w:rPr>
          <w:rFonts w:eastAsia="Times New Roman"/>
        </w:rPr>
        <w:pict>
          <v:rect id="_x0000_i109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A309A2">
      <w:pPr>
        <w:pStyle w:val="a3"/>
        <w:spacing w:before="0" w:beforeAutospacing="0" w:after="0" w:afterAutospacing="0"/>
        <w:jc w:val="center"/>
        <w:rPr>
          <w:sz w:val="20"/>
          <w:szCs w:val="20"/>
        </w:rPr>
      </w:pPr>
      <w:r>
        <w:rPr>
          <w:b/>
          <w:bCs/>
          <w:sz w:val="20"/>
          <w:szCs w:val="20"/>
        </w:rPr>
        <w:t>NOTES TO CONSOLIDATE</w:t>
      </w:r>
      <w:r>
        <w:rPr>
          <w:b/>
          <w:bCs/>
          <w:sz w:val="20"/>
          <w:szCs w:val="20"/>
        </w:rPr>
        <w:t>D</w:t>
      </w:r>
      <w:r>
        <w:rPr>
          <w:b/>
          <w:bCs/>
          <w:sz w:val="20"/>
          <w:szCs w:val="20"/>
        </w:rPr>
        <w:t xml:space="preserve"> FINANCIAL STATEMENT</w:t>
      </w:r>
      <w:r>
        <w:rPr>
          <w:b/>
          <w:bCs/>
          <w:sz w:val="20"/>
          <w:szCs w:val="20"/>
        </w:rPr>
        <w:t>S</w:t>
      </w:r>
    </w:p>
    <w:p w:rsidR="00000000" w:rsidRDefault="00A309A2">
      <w:pPr>
        <w:pStyle w:val="a3"/>
        <w:spacing w:before="0" w:beforeAutospacing="0" w:after="0" w:afterAutospacing="0"/>
        <w:rPr>
          <w:sz w:val="20"/>
          <w:szCs w:val="20"/>
        </w:rPr>
      </w:pPr>
      <w:r>
        <w:rPr>
          <w:sz w:val="12"/>
          <w:szCs w:val="12"/>
        </w:rPr>
        <w:t> </w:t>
      </w:r>
    </w:p>
    <w:p w:rsidR="00000000" w:rsidRDefault="00A309A2">
      <w:pPr>
        <w:pStyle w:val="a3"/>
        <w:spacing w:before="0" w:beforeAutospacing="0" w:after="0" w:afterAutospacing="0"/>
        <w:rPr>
          <w:sz w:val="20"/>
          <w:szCs w:val="20"/>
        </w:rPr>
      </w:pPr>
      <w:r>
        <w:rPr>
          <w:sz w:val="12"/>
          <w:szCs w:val="12"/>
        </w:rPr>
        <w:t> </w:t>
      </w:r>
    </w:p>
    <w:p w:rsidR="00000000" w:rsidRDefault="00A309A2">
      <w:pPr>
        <w:pStyle w:val="a3"/>
        <w:spacing w:before="0" w:beforeAutospacing="0" w:after="0" w:afterAutospacing="0"/>
        <w:divId w:val="1542742609"/>
        <w:rPr>
          <w:sz w:val="20"/>
          <w:szCs w:val="20"/>
        </w:rPr>
      </w:pPr>
      <w:r>
        <w:rPr>
          <w:b/>
          <w:bCs/>
          <w:sz w:val="20"/>
          <w:szCs w:val="20"/>
        </w:rPr>
        <w:t>1. Organization and Operation</w:t>
      </w:r>
      <w:r>
        <w:rPr>
          <w:b/>
          <w:bCs/>
          <w:sz w:val="20"/>
          <w:szCs w:val="20"/>
        </w:rPr>
        <w:t>s</w:t>
      </w:r>
    </w:p>
    <w:p w:rsidR="00000000" w:rsidRDefault="00A309A2">
      <w:pPr>
        <w:pStyle w:val="a3"/>
        <w:spacing w:before="120" w:beforeAutospacing="0" w:after="0" w:afterAutospacing="0"/>
        <w:ind w:firstLine="555"/>
        <w:divId w:val="1542742609"/>
        <w:rPr>
          <w:sz w:val="20"/>
          <w:szCs w:val="20"/>
        </w:rPr>
      </w:pPr>
      <w:r>
        <w:rPr>
          <w:sz w:val="20"/>
          <w:szCs w:val="20"/>
        </w:rPr>
        <w:t>HubSpot, Inc. (the “Company”</w:t>
      </w:r>
      <w:r>
        <w:rPr>
          <w:sz w:val="20"/>
          <w:szCs w:val="20"/>
        </w:rPr>
        <w:t>)</w:t>
      </w:r>
      <w:r>
        <w:rPr>
          <w:sz w:val="20"/>
          <w:szCs w:val="20"/>
        </w:rPr>
        <w:t xml:space="preserve"> provides a cloud-based CRM Platform, that enables companies to attract, engage, and delight cust</w:t>
      </w:r>
      <w:r>
        <w:rPr>
          <w:sz w:val="20"/>
          <w:szCs w:val="20"/>
        </w:rPr>
        <w:t>omers throughout the customer experience.</w:t>
      </w:r>
      <w:r>
        <w:rPr>
          <w:sz w:val="20"/>
          <w:szCs w:val="20"/>
        </w:rPr>
        <w:t xml:space="preserve"> </w:t>
      </w:r>
      <w:r>
        <w:rPr>
          <w:sz w:val="20"/>
          <w:szCs w:val="20"/>
        </w:rPr>
        <w:t>The Company’s CRM Platform, comprised of Marketing Hub, Sales Hub, Service Hub, CMS Hub, and Operations Hub features integrated applications, tools, and a native payment solution, that enable businesses to create a</w:t>
      </w:r>
      <w:r>
        <w:rPr>
          <w:sz w:val="20"/>
          <w:szCs w:val="20"/>
        </w:rPr>
        <w:t xml:space="preserve"> cohesive and adaptable customer experience</w:t>
      </w:r>
      <w:r>
        <w:rPr>
          <w:sz w:val="20"/>
          <w:szCs w:val="20"/>
        </w:rPr>
        <w:t>.</w:t>
      </w:r>
      <w:r>
        <w:rPr>
          <w:sz w:val="20"/>
          <w:szCs w:val="20"/>
        </w:rPr>
        <w:t xml:space="preserve"> </w:t>
      </w:r>
    </w:p>
    <w:p w:rsidR="00000000" w:rsidRDefault="00A309A2">
      <w:pPr>
        <w:pStyle w:val="a3"/>
        <w:spacing w:before="180" w:beforeAutospacing="0" w:after="0" w:afterAutospacing="0"/>
        <w:divId w:val="1225071469"/>
        <w:rPr>
          <w:sz w:val="20"/>
          <w:szCs w:val="20"/>
        </w:rPr>
      </w:pPr>
      <w:r>
        <w:rPr>
          <w:b/>
          <w:bCs/>
          <w:sz w:val="20"/>
          <w:szCs w:val="20"/>
        </w:rPr>
        <w:t>2. Summary of Significant Accounting Policie</w:t>
      </w:r>
      <w:r>
        <w:rPr>
          <w:b/>
          <w:bCs/>
          <w:sz w:val="20"/>
          <w:szCs w:val="20"/>
        </w:rPr>
        <w:t>s</w:t>
      </w:r>
    </w:p>
    <w:p w:rsidR="00000000" w:rsidRDefault="00A309A2">
      <w:pPr>
        <w:pStyle w:val="a3"/>
        <w:spacing w:before="120" w:beforeAutospacing="0" w:after="0" w:afterAutospacing="0"/>
        <w:ind w:firstLine="555"/>
        <w:divId w:val="1621064182"/>
        <w:rPr>
          <w:sz w:val="20"/>
          <w:szCs w:val="20"/>
        </w:rPr>
      </w:pPr>
      <w:r>
        <w:rPr>
          <w:b/>
          <w:bCs/>
          <w:sz w:val="20"/>
          <w:szCs w:val="20"/>
        </w:rPr>
        <w:t>Basis of Presentatio</w:t>
      </w:r>
      <w:r>
        <w:rPr>
          <w:b/>
          <w:bCs/>
          <w:sz w:val="20"/>
          <w:szCs w:val="20"/>
        </w:rPr>
        <w:t>n</w:t>
      </w:r>
      <w:r>
        <w:rPr>
          <w:sz w:val="20"/>
          <w:szCs w:val="20"/>
        </w:rPr>
        <w:t xml:space="preserve"> —The consolidated financial statements have been prepared in U.S. dollars, in accordance with accounting principles generally accepted in the </w:t>
      </w:r>
      <w:r>
        <w:rPr>
          <w:sz w:val="20"/>
          <w:szCs w:val="20"/>
        </w:rPr>
        <w:t>United States of America (“GAAP”). The accompanying consolidated financial statements include the accounts of the Company and its wholly owned subsidiaries. All intercompany transactions have been eliminated in consolidation</w:t>
      </w:r>
      <w:r>
        <w:rPr>
          <w:sz w:val="20"/>
          <w:szCs w:val="20"/>
        </w:rPr>
        <w:t>.</w:t>
      </w:r>
    </w:p>
    <w:p w:rsidR="00000000" w:rsidRDefault="00A309A2">
      <w:pPr>
        <w:pStyle w:val="a3"/>
        <w:spacing w:before="240" w:beforeAutospacing="0" w:after="0" w:afterAutospacing="0"/>
        <w:ind w:firstLine="555"/>
        <w:divId w:val="2138987634"/>
        <w:rPr>
          <w:sz w:val="20"/>
          <w:szCs w:val="20"/>
        </w:rPr>
      </w:pPr>
      <w:r>
        <w:rPr>
          <w:b/>
          <w:bCs/>
          <w:sz w:val="20"/>
          <w:szCs w:val="20"/>
        </w:rPr>
        <w:t>Use of Estimate</w:t>
      </w:r>
      <w:r>
        <w:rPr>
          <w:b/>
          <w:bCs/>
          <w:sz w:val="20"/>
          <w:szCs w:val="20"/>
        </w:rPr>
        <w:t>s</w:t>
      </w:r>
      <w:r>
        <w:rPr>
          <w:sz w:val="20"/>
          <w:szCs w:val="20"/>
        </w:rPr>
        <w:t xml:space="preserve"> —The preparat</w:t>
      </w:r>
      <w:r>
        <w:rPr>
          <w:sz w:val="20"/>
          <w:szCs w:val="20"/>
        </w:rPr>
        <w:t xml:space="preserve">ion of consolidated financial statements in conformity with GAAP requires management to make estimates and assumptions that affect the reported amounts of assets and liabilities, disclosure of contingent assets and liabilities at the date of the financial </w:t>
      </w:r>
      <w:r>
        <w:rPr>
          <w:sz w:val="20"/>
          <w:szCs w:val="20"/>
        </w:rPr>
        <w:t>statements, and the reported amounts of revenue and expenses during the reporting period. Actual results could differ from those estimates</w:t>
      </w:r>
      <w:r>
        <w:rPr>
          <w:sz w:val="20"/>
          <w:szCs w:val="20"/>
        </w:rPr>
        <w:t>.</w:t>
      </w:r>
    </w:p>
    <w:p w:rsidR="00000000" w:rsidRDefault="00A309A2">
      <w:pPr>
        <w:pStyle w:val="a3"/>
        <w:spacing w:before="240" w:beforeAutospacing="0" w:after="0" w:afterAutospacing="0"/>
        <w:ind w:firstLine="555"/>
        <w:divId w:val="448861373"/>
        <w:rPr>
          <w:sz w:val="20"/>
          <w:szCs w:val="20"/>
        </w:rPr>
      </w:pPr>
      <w:r>
        <w:rPr>
          <w:b/>
          <w:bCs/>
          <w:sz w:val="20"/>
          <w:szCs w:val="20"/>
        </w:rPr>
        <w:t>Operating Segment</w:t>
      </w:r>
      <w:r>
        <w:rPr>
          <w:b/>
          <w:bCs/>
          <w:sz w:val="20"/>
          <w:szCs w:val="20"/>
        </w:rPr>
        <w:t>s</w:t>
      </w:r>
      <w:r>
        <w:rPr>
          <w:sz w:val="20"/>
          <w:szCs w:val="20"/>
        </w:rPr>
        <w:t xml:space="preserve"> —The Company operates as one operating segment. Operating segments are defined as components of a</w:t>
      </w:r>
      <w:r>
        <w:rPr>
          <w:sz w:val="20"/>
          <w:szCs w:val="20"/>
        </w:rPr>
        <w:t>n enterprise for which separate financial information is regularly evaluated by the chief operating decision maker (“CODM”), which is the Company’s chief executive officer, in deciding how to allocate resources and assess performance. The Company’s CODM ev</w:t>
      </w:r>
      <w:r>
        <w:rPr>
          <w:sz w:val="20"/>
          <w:szCs w:val="20"/>
        </w:rPr>
        <w:t>aluates the Company’s financial information and resources and assesses the performance of these resources on a consolidated basis. Since the Company operates in</w:t>
      </w:r>
      <w:r>
        <w:rPr>
          <w:sz w:val="20"/>
          <w:szCs w:val="20"/>
        </w:rPr>
        <w:t xml:space="preserve"> </w:t>
      </w:r>
      <w:r>
        <w:rPr>
          <w:sz w:val="20"/>
          <w:szCs w:val="20"/>
        </w:rPr>
        <w:t>on</w:t>
      </w:r>
      <w:r>
        <w:rPr>
          <w:sz w:val="20"/>
          <w:szCs w:val="20"/>
        </w:rPr>
        <w:t>e</w:t>
      </w:r>
      <w:r>
        <w:rPr>
          <w:sz w:val="20"/>
          <w:szCs w:val="20"/>
        </w:rPr>
        <w:t xml:space="preserve"> operating segment, all required financial segment information can be found in the consolida</w:t>
      </w:r>
      <w:r>
        <w:rPr>
          <w:sz w:val="20"/>
          <w:szCs w:val="20"/>
        </w:rPr>
        <w:t>ted financial statements</w:t>
      </w:r>
      <w:r>
        <w:rPr>
          <w:sz w:val="20"/>
          <w:szCs w:val="20"/>
        </w:rPr>
        <w:t>.</w:t>
      </w:r>
    </w:p>
    <w:p w:rsidR="00000000" w:rsidRDefault="00A309A2">
      <w:pPr>
        <w:pStyle w:val="a3"/>
        <w:spacing w:before="200" w:beforeAutospacing="0" w:after="0" w:afterAutospacing="0"/>
        <w:ind w:firstLine="555"/>
        <w:divId w:val="519784235"/>
        <w:rPr>
          <w:sz w:val="20"/>
          <w:szCs w:val="20"/>
        </w:rPr>
      </w:pPr>
      <w:r>
        <w:rPr>
          <w:b/>
          <w:bCs/>
          <w:sz w:val="20"/>
          <w:szCs w:val="20"/>
        </w:rPr>
        <w:t>Loss Per Shar</w:t>
      </w:r>
      <w:r>
        <w:rPr>
          <w:b/>
          <w:bCs/>
          <w:sz w:val="20"/>
          <w:szCs w:val="20"/>
        </w:rPr>
        <w:t>e</w:t>
      </w:r>
      <w:r>
        <w:rPr>
          <w:sz w:val="20"/>
          <w:szCs w:val="20"/>
        </w:rPr>
        <w:t xml:space="preserve"> — Basic net loss per share is computed by dividing net loss by the weighted average number of common shares outstanding for the period. Diluted net loss per share is computed by giving effect to all potential diluti</w:t>
      </w:r>
      <w:r>
        <w:rPr>
          <w:sz w:val="20"/>
          <w:szCs w:val="20"/>
        </w:rPr>
        <w:t xml:space="preserve">ve common stock equivalents outstanding for the period. For purposes of this calculation, options to purchase common stock, restricted stock units (“RSUs”), shares issued pursuant to the Employee Stock Purchase Plan (“ESPP”), the Warrants (defined below), </w:t>
      </w:r>
      <w:r>
        <w:rPr>
          <w:sz w:val="20"/>
          <w:szCs w:val="20"/>
        </w:rPr>
        <w:t>the Conversion Option of the 2022 Notes, and the Conversion Option of the 2025 Notes (the “Conversion Options”) (Note 9) are considered to be potential common stock equivalents</w:t>
      </w:r>
      <w:r>
        <w:rPr>
          <w:sz w:val="20"/>
          <w:szCs w:val="20"/>
        </w:rPr>
        <w:t>.</w:t>
      </w:r>
      <w:r>
        <w:rPr>
          <w:sz w:val="20"/>
          <w:szCs w:val="20"/>
        </w:rPr>
        <w:t xml:space="preserve"> </w:t>
      </w:r>
    </w:p>
    <w:p w:rsidR="00000000" w:rsidRDefault="00A309A2">
      <w:pPr>
        <w:pStyle w:val="a3"/>
        <w:spacing w:before="200" w:beforeAutospacing="0" w:after="0" w:afterAutospacing="0"/>
        <w:ind w:firstLine="555"/>
        <w:divId w:val="1387337206"/>
        <w:rPr>
          <w:sz w:val="20"/>
          <w:szCs w:val="20"/>
        </w:rPr>
      </w:pPr>
      <w:r>
        <w:rPr>
          <w:sz w:val="20"/>
          <w:szCs w:val="20"/>
        </w:rPr>
        <w:t>A reconciliation of the denominator used in the calculation of basic and diluted loss per share is as follows:</w:t>
      </w:r>
      <w:r>
        <w:rPr>
          <w:sz w:val="20"/>
          <w:szCs w:val="20"/>
        </w:rPr>
        <w:br/>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01"/>
        <w:gridCol w:w="110"/>
        <w:gridCol w:w="160"/>
        <w:gridCol w:w="684"/>
        <w:gridCol w:w="127"/>
        <w:gridCol w:w="110"/>
        <w:gridCol w:w="160"/>
        <w:gridCol w:w="677"/>
        <w:gridCol w:w="127"/>
        <w:gridCol w:w="110"/>
        <w:gridCol w:w="160"/>
        <w:gridCol w:w="677"/>
        <w:gridCol w:w="142"/>
      </w:tblGrid>
      <w:tr w:rsidR="00000000">
        <w:trPr>
          <w:divId w:val="1387337206"/>
          <w:tblCellSpacing w:w="15" w:type="dxa"/>
        </w:trPr>
        <w:tc>
          <w:tcPr>
            <w:tcW w:w="2736" w:type="pct"/>
            <w:vAlign w:val="center"/>
            <w:hideMark/>
          </w:tcPr>
          <w:p w:rsidR="00000000" w:rsidRDefault="00A309A2">
            <w:pPr>
              <w:rPr>
                <w:sz w:val="20"/>
                <w:szCs w:val="20"/>
              </w:rPr>
            </w:pPr>
          </w:p>
        </w:tc>
        <w:tc>
          <w:tcPr>
            <w:tcW w:w="55" w:type="pct"/>
            <w:vAlign w:val="center"/>
            <w:hideMark/>
          </w:tcPr>
          <w:p w:rsidR="00000000" w:rsidRDefault="00A309A2">
            <w:pPr>
              <w:rPr>
                <w:rFonts w:eastAsia="Times New Roman"/>
                <w:sz w:val="20"/>
                <w:szCs w:val="20"/>
              </w:rPr>
            </w:pPr>
          </w:p>
        </w:tc>
        <w:tc>
          <w:tcPr>
            <w:tcW w:w="81" w:type="pct"/>
            <w:vAlign w:val="center"/>
            <w:hideMark/>
          </w:tcPr>
          <w:p w:rsidR="00000000" w:rsidRDefault="00A309A2">
            <w:pPr>
              <w:rPr>
                <w:rFonts w:eastAsia="Times New Roman"/>
                <w:sz w:val="20"/>
                <w:szCs w:val="20"/>
              </w:rPr>
            </w:pPr>
          </w:p>
        </w:tc>
        <w:tc>
          <w:tcPr>
            <w:tcW w:w="568"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81" w:type="pct"/>
            <w:vAlign w:val="center"/>
            <w:hideMark/>
          </w:tcPr>
          <w:p w:rsidR="00000000" w:rsidRDefault="00A309A2">
            <w:pPr>
              <w:rPr>
                <w:rFonts w:eastAsia="Times New Roman"/>
                <w:sz w:val="20"/>
                <w:szCs w:val="20"/>
              </w:rPr>
            </w:pPr>
          </w:p>
        </w:tc>
        <w:tc>
          <w:tcPr>
            <w:tcW w:w="560"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81" w:type="pct"/>
            <w:vAlign w:val="center"/>
            <w:hideMark/>
          </w:tcPr>
          <w:p w:rsidR="00000000" w:rsidRDefault="00A309A2">
            <w:pPr>
              <w:rPr>
                <w:rFonts w:eastAsia="Times New Roman"/>
                <w:sz w:val="20"/>
                <w:szCs w:val="20"/>
              </w:rPr>
            </w:pPr>
          </w:p>
        </w:tc>
        <w:tc>
          <w:tcPr>
            <w:tcW w:w="560"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r>
      <w:tr w:rsidR="00000000">
        <w:trPr>
          <w:divId w:val="138733720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38733720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38733720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 except per share amounts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38733720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77,83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85,03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53,74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138733720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Weighted-average common shares outstanding—basi</w:t>
            </w:r>
            <w:r>
              <w:rPr>
                <w:sz w:val="20"/>
                <w:szCs w:val="20"/>
              </w:rPr>
              <w:t>c</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46,89</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44,75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38733720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Dilutive effect of share equivalents resulting from stock</w:t>
            </w:r>
            <w:r>
              <w:rPr>
                <w:sz w:val="20"/>
                <w:szCs w:val="20"/>
              </w:rPr>
              <w:br/>
              <w:t>   options, RSUs, ESPP, Warrants and the Conversion Option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38733720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Weighted-average common shares outstanding-dilute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46,89</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44,75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38733720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loss per common share, basic and dilute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divId w:val="1387337206"/>
        <w:rPr>
          <w:sz w:val="20"/>
          <w:szCs w:val="20"/>
        </w:rPr>
      </w:pPr>
      <w:r>
        <w:rPr>
          <w:sz w:val="20"/>
          <w:szCs w:val="20"/>
        </w:rPr>
        <w:t> </w:t>
      </w:r>
    </w:p>
    <w:p w:rsidR="00000000" w:rsidRDefault="00A309A2">
      <w:pPr>
        <w:pStyle w:val="a3"/>
        <w:spacing w:before="240" w:beforeAutospacing="0" w:after="0" w:afterAutospacing="0"/>
        <w:jc w:val="center"/>
        <w:divId w:val="1387337206"/>
        <w:rPr>
          <w:sz w:val="20"/>
          <w:szCs w:val="20"/>
        </w:rPr>
      </w:pPr>
      <w:r>
        <w:rPr>
          <w:sz w:val="20"/>
          <w:szCs w:val="20"/>
        </w:rPr>
        <w:t>6</w:t>
      </w:r>
      <w:r>
        <w:rPr>
          <w:sz w:val="20"/>
          <w:szCs w:val="20"/>
        </w:rPr>
        <w:t>8</w:t>
      </w:r>
    </w:p>
    <w:p w:rsidR="00000000" w:rsidRDefault="00A309A2">
      <w:pPr>
        <w:divId w:val="1387337206"/>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A309A2">
      <w:pPr>
        <w:pStyle w:val="a3"/>
        <w:spacing w:before="0" w:beforeAutospacing="0" w:after="0" w:afterAutospacing="0"/>
        <w:divId w:val="1387337206"/>
        <w:rPr>
          <w:sz w:val="20"/>
          <w:szCs w:val="20"/>
        </w:rPr>
      </w:pPr>
      <w:r>
        <w:rPr>
          <w:sz w:val="20"/>
          <w:szCs w:val="20"/>
        </w:rPr>
        <w:t> </w:t>
      </w:r>
    </w:p>
    <w:p w:rsidR="00000000" w:rsidRDefault="00A309A2">
      <w:pPr>
        <w:pStyle w:val="a3"/>
        <w:spacing w:before="200" w:beforeAutospacing="0" w:after="0" w:afterAutospacing="0"/>
        <w:ind w:firstLine="555"/>
        <w:divId w:val="519784235"/>
        <w:rPr>
          <w:sz w:val="20"/>
          <w:szCs w:val="20"/>
        </w:rPr>
      </w:pPr>
      <w:r>
        <w:rPr>
          <w:sz w:val="20"/>
          <w:szCs w:val="20"/>
        </w:rPr>
        <w:t>Since the Company incurred net losses for each of the periods presented, diluted net loss per share is the same as basic net loss per share. All of the Company’s outstanding stock options, RSUs, and shares issuable und</w:t>
      </w:r>
      <w:r>
        <w:rPr>
          <w:sz w:val="20"/>
          <w:szCs w:val="20"/>
        </w:rPr>
        <w:t>er the ESPP, as well as the Warrants and Conversion Options were excluded in the calculation of diluted net loss per share as the effect would be anti-dilutive</w:t>
      </w:r>
      <w:r>
        <w:rPr>
          <w:sz w:val="20"/>
          <w:szCs w:val="20"/>
        </w:rPr>
        <w:t>.</w:t>
      </w:r>
    </w:p>
    <w:p w:rsidR="00000000" w:rsidRDefault="00A309A2">
      <w:pPr>
        <w:pStyle w:val="a3"/>
        <w:spacing w:before="200" w:beforeAutospacing="0" w:after="0" w:afterAutospacing="0"/>
        <w:ind w:firstLine="555"/>
        <w:divId w:val="519784235"/>
        <w:rPr>
          <w:sz w:val="20"/>
          <w:szCs w:val="20"/>
        </w:rPr>
      </w:pPr>
      <w:r>
        <w:rPr>
          <w:sz w:val="20"/>
          <w:szCs w:val="20"/>
        </w:rPr>
        <w:t>The Company expects to settle the principal amount of the Notes (Note 9) in cash, and therefore</w:t>
      </w:r>
      <w:r>
        <w:rPr>
          <w:sz w:val="20"/>
          <w:szCs w:val="20"/>
        </w:rPr>
        <w:t>, the Company uses</w:t>
      </w:r>
      <w:r>
        <w:rPr>
          <w:sz w:val="20"/>
          <w:szCs w:val="20"/>
        </w:rPr>
        <w:t xml:space="preserve"> </w:t>
      </w:r>
      <w:r>
        <w:rPr>
          <w:sz w:val="20"/>
          <w:szCs w:val="20"/>
        </w:rPr>
        <w:t>the treasury stock method for calculating any potential dilutive effect of the Warrants and Conversion Options on diluted net income per share, if applicable. As a result, only the amount by which the conversion cost of the Notes, if set</w:t>
      </w:r>
      <w:r>
        <w:rPr>
          <w:sz w:val="20"/>
          <w:szCs w:val="20"/>
        </w:rPr>
        <w:t>tled in shares, exceeds the aggregated principal amount of the Notes (the “Conversion Spread”) is considered in the diluted earnings per share computation. The Conversion Spread has a dilutive impact on net income per share when the average market price of</w:t>
      </w:r>
      <w:r>
        <w:rPr>
          <w:sz w:val="20"/>
          <w:szCs w:val="20"/>
        </w:rPr>
        <w:t xml:space="preserve"> the Company’s common stock for a given period of time exceeds the initial conversion price of </w:t>
      </w:r>
      <w:r>
        <w:rPr>
          <w:sz w:val="20"/>
          <w:szCs w:val="20"/>
        </w:rPr>
        <w:t>$</w:t>
      </w:r>
      <w:r>
        <w:rPr>
          <w:sz w:val="20"/>
          <w:szCs w:val="20"/>
        </w:rPr>
        <w:t>94.7</w:t>
      </w:r>
      <w:r>
        <w:rPr>
          <w:sz w:val="20"/>
          <w:szCs w:val="20"/>
        </w:rPr>
        <w:t>7</w:t>
      </w:r>
      <w:r>
        <w:rPr>
          <w:sz w:val="20"/>
          <w:szCs w:val="20"/>
        </w:rPr>
        <w:t xml:space="preserve"> per share for the 2022 Notes and </w:t>
      </w:r>
      <w:r>
        <w:rPr>
          <w:sz w:val="20"/>
          <w:szCs w:val="20"/>
        </w:rPr>
        <w:t>$</w:t>
      </w:r>
      <w:r>
        <w:rPr>
          <w:sz w:val="20"/>
          <w:szCs w:val="20"/>
        </w:rPr>
        <w:t>282.5</w:t>
      </w:r>
      <w:r>
        <w:rPr>
          <w:sz w:val="20"/>
          <w:szCs w:val="20"/>
        </w:rPr>
        <w:t>2</w:t>
      </w:r>
      <w:r>
        <w:rPr>
          <w:sz w:val="20"/>
          <w:szCs w:val="20"/>
        </w:rPr>
        <w:t xml:space="preserve"> for the 2025 Notes. The average stock price for the year ended</w:t>
      </w:r>
      <w:r>
        <w:rPr>
          <w:sz w:val="20"/>
          <w:szCs w:val="20"/>
        </w:rPr>
        <w:t xml:space="preserve"> </w:t>
      </w:r>
      <w:r>
        <w:rPr>
          <w:sz w:val="20"/>
          <w:szCs w:val="20"/>
        </w:rPr>
        <w:t>December 31, 202</w:t>
      </w:r>
      <w:r>
        <w:rPr>
          <w:sz w:val="20"/>
          <w:szCs w:val="20"/>
        </w:rPr>
        <w:t>1</w:t>
      </w:r>
      <w:r>
        <w:rPr>
          <w:sz w:val="20"/>
          <w:szCs w:val="20"/>
        </w:rPr>
        <w:t xml:space="preserve"> was </w:t>
      </w:r>
      <w:r>
        <w:rPr>
          <w:sz w:val="20"/>
          <w:szCs w:val="20"/>
        </w:rPr>
        <w:t>$</w:t>
      </w:r>
      <w:r>
        <w:rPr>
          <w:sz w:val="20"/>
          <w:szCs w:val="20"/>
        </w:rPr>
        <w:t>592.4</w:t>
      </w:r>
      <w:r>
        <w:rPr>
          <w:sz w:val="20"/>
          <w:szCs w:val="20"/>
        </w:rPr>
        <w:t>8</w:t>
      </w:r>
      <w:r>
        <w:rPr>
          <w:sz w:val="20"/>
          <w:szCs w:val="20"/>
        </w:rPr>
        <w:t>.</w:t>
      </w:r>
    </w:p>
    <w:p w:rsidR="00000000" w:rsidRDefault="00A309A2">
      <w:pPr>
        <w:pStyle w:val="a3"/>
        <w:spacing w:before="200" w:beforeAutospacing="0" w:after="0" w:afterAutospacing="0"/>
        <w:ind w:firstLine="555"/>
        <w:divId w:val="519784235"/>
        <w:rPr>
          <w:sz w:val="20"/>
          <w:szCs w:val="20"/>
        </w:rPr>
      </w:pPr>
      <w:r>
        <w:rPr>
          <w:sz w:val="20"/>
          <w:szCs w:val="20"/>
        </w:rPr>
        <w:t>Because the last re</w:t>
      </w:r>
      <w:r>
        <w:rPr>
          <w:sz w:val="20"/>
          <w:szCs w:val="20"/>
        </w:rPr>
        <w:t>ported sale price of the Company’s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w:t>
      </w:r>
      <w:r>
        <w:rPr>
          <w:sz w:val="20"/>
          <w:szCs w:val="20"/>
        </w:rPr>
        <w:t xml:space="preserve"> </w:t>
      </w:r>
      <w:r>
        <w:rPr>
          <w:sz w:val="20"/>
          <w:szCs w:val="20"/>
        </w:rPr>
        <w:t>days ending on the last trading day of the calendar quarter ended</w:t>
      </w:r>
      <w:r>
        <w:rPr>
          <w:sz w:val="20"/>
          <w:szCs w:val="20"/>
        </w:rPr>
        <w:t xml:space="preserve"> </w:t>
      </w:r>
      <w:r>
        <w:rPr>
          <w:sz w:val="20"/>
          <w:szCs w:val="20"/>
        </w:rPr>
        <w:t>December 31, 202</w:t>
      </w:r>
      <w:r>
        <w:rPr>
          <w:sz w:val="20"/>
          <w:szCs w:val="20"/>
        </w:rPr>
        <w:t>1</w:t>
      </w:r>
      <w:r>
        <w:rPr>
          <w:sz w:val="20"/>
          <w:szCs w:val="20"/>
        </w:rPr>
        <w:t xml:space="preserve"> was equal to or greater than</w:t>
      </w:r>
      <w:r>
        <w:rPr>
          <w:sz w:val="20"/>
          <w:szCs w:val="20"/>
        </w:rPr>
        <w:t xml:space="preserve"> </w:t>
      </w:r>
      <w:r>
        <w:rPr>
          <w:sz w:val="20"/>
          <w:szCs w:val="20"/>
        </w:rPr>
        <w:t>13</w:t>
      </w:r>
      <w:r>
        <w:rPr>
          <w:sz w:val="20"/>
          <w:szCs w:val="20"/>
        </w:rPr>
        <w:t>0</w:t>
      </w:r>
      <w:r>
        <w:rPr>
          <w:sz w:val="20"/>
          <w:szCs w:val="20"/>
        </w:rPr>
        <w:t>% of the conversion</w:t>
      </w:r>
      <w:r>
        <w:rPr>
          <w:sz w:val="20"/>
          <w:szCs w:val="20"/>
        </w:rPr>
        <w:t xml:space="preserve"> price of </w:t>
      </w:r>
      <w:r>
        <w:rPr>
          <w:sz w:val="20"/>
          <w:szCs w:val="20"/>
        </w:rPr>
        <w:t>$</w:t>
      </w:r>
      <w:r>
        <w:rPr>
          <w:sz w:val="20"/>
          <w:szCs w:val="20"/>
        </w:rPr>
        <w:t>94.7</w:t>
      </w:r>
      <w:r>
        <w:rPr>
          <w:sz w:val="20"/>
          <w:szCs w:val="20"/>
        </w:rPr>
        <w:t>7</w:t>
      </w:r>
      <w:r>
        <w:rPr>
          <w:sz w:val="20"/>
          <w:szCs w:val="20"/>
        </w:rPr>
        <w:t xml:space="preserve"> on each applicable trading day, the 2022 Notes are convertible at the option of the holders thereof on the business day immediately preceding February 1, 2022. In 2021, the Company settled approximately </w:t>
      </w:r>
      <w:r>
        <w:rPr>
          <w:sz w:val="20"/>
          <w:szCs w:val="20"/>
        </w:rPr>
        <w:t>$</w:t>
      </w:r>
      <w:r>
        <w:rPr>
          <w:sz w:val="20"/>
          <w:szCs w:val="20"/>
        </w:rPr>
        <w:t>106.</w:t>
      </w:r>
      <w:r>
        <w:rPr>
          <w:sz w:val="20"/>
          <w:szCs w:val="20"/>
        </w:rPr>
        <w:t>5</w:t>
      </w:r>
      <w:r>
        <w:rPr>
          <w:sz w:val="20"/>
          <w:szCs w:val="20"/>
        </w:rPr>
        <w:t xml:space="preserve"> million of the principal bala</w:t>
      </w:r>
      <w:r>
        <w:rPr>
          <w:sz w:val="20"/>
          <w:szCs w:val="20"/>
        </w:rPr>
        <w:t>nce of the 2022 Notes i</w:t>
      </w:r>
      <w:r>
        <w:rPr>
          <w:sz w:val="20"/>
          <w:szCs w:val="20"/>
        </w:rPr>
        <w:t>n</w:t>
      </w:r>
      <w:r>
        <w:rPr>
          <w:sz w:val="20"/>
          <w:szCs w:val="20"/>
        </w:rPr>
        <w:t xml:space="preserve"> cash. On or after February 1, 2022 until the close of business on the second scheduled trading day immediately preceding the maturity date, holders may convert their notes at any time. As of February 11, 2022, the</w:t>
      </w:r>
      <w:r>
        <w:rPr>
          <w:sz w:val="20"/>
          <w:szCs w:val="20"/>
        </w:rPr>
        <w:t xml:space="preserve"> </w:t>
      </w:r>
      <w:r>
        <w:rPr>
          <w:sz w:val="20"/>
          <w:szCs w:val="20"/>
        </w:rPr>
        <w:t>Company has</w:t>
      </w:r>
      <w:r>
        <w:rPr>
          <w:sz w:val="20"/>
          <w:szCs w:val="20"/>
        </w:rPr>
        <w:t xml:space="preserve"> </w:t>
      </w:r>
      <w:r>
        <w:rPr>
          <w:sz w:val="20"/>
          <w:szCs w:val="20"/>
        </w:rPr>
        <w:t>n</w:t>
      </w:r>
      <w:r>
        <w:rPr>
          <w:sz w:val="20"/>
          <w:szCs w:val="20"/>
        </w:rPr>
        <w:t>o</w:t>
      </w:r>
      <w:r>
        <w:rPr>
          <w:sz w:val="20"/>
          <w:szCs w:val="20"/>
        </w:rPr>
        <w:t>t r</w:t>
      </w:r>
      <w:r>
        <w:rPr>
          <w:sz w:val="20"/>
          <w:szCs w:val="20"/>
        </w:rPr>
        <w:t>eceived additional conversion notices</w:t>
      </w:r>
      <w:r>
        <w:rPr>
          <w:sz w:val="20"/>
          <w:szCs w:val="20"/>
        </w:rPr>
        <w:t>.</w:t>
      </w:r>
      <w:r>
        <w:rPr>
          <w:sz w:val="20"/>
          <w:szCs w:val="20"/>
        </w:rPr>
        <w:t xml:space="preserve"> For disclosure purposes, the potentially dilutive effect of the Conversion Spread is calculated and included in the table below</w:t>
      </w:r>
      <w:r>
        <w:rPr>
          <w:sz w:val="20"/>
          <w:szCs w:val="20"/>
        </w:rPr>
        <w:t>.</w:t>
      </w:r>
    </w:p>
    <w:p w:rsidR="00000000" w:rsidRDefault="00A309A2">
      <w:pPr>
        <w:pStyle w:val="a3"/>
        <w:spacing w:before="200" w:beforeAutospacing="0" w:after="0" w:afterAutospacing="0"/>
        <w:ind w:firstLine="555"/>
        <w:divId w:val="519784235"/>
        <w:rPr>
          <w:sz w:val="20"/>
          <w:szCs w:val="20"/>
        </w:rPr>
      </w:pPr>
      <w:r>
        <w:rPr>
          <w:sz w:val="20"/>
          <w:szCs w:val="20"/>
        </w:rPr>
        <w:t>As the last reported sale price of the Company’s common stock for at least</w:t>
      </w:r>
      <w:r>
        <w:rPr>
          <w:sz w:val="20"/>
          <w:szCs w:val="20"/>
        </w:rPr>
        <w:t xml:space="preserve"> </w:t>
      </w:r>
      <w:r>
        <w:rPr>
          <w:sz w:val="20"/>
          <w:szCs w:val="20"/>
        </w:rPr>
        <w:t>2</w:t>
      </w:r>
      <w:r>
        <w:rPr>
          <w:sz w:val="20"/>
          <w:szCs w:val="20"/>
        </w:rPr>
        <w:t>0</w:t>
      </w:r>
      <w:r>
        <w:rPr>
          <w:sz w:val="20"/>
          <w:szCs w:val="20"/>
        </w:rPr>
        <w:t xml:space="preserve"> trading da</w:t>
      </w:r>
      <w:r>
        <w:rPr>
          <w:sz w:val="20"/>
          <w:szCs w:val="20"/>
        </w:rPr>
        <w:t>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w:t>
      </w:r>
      <w:r>
        <w:rPr>
          <w:sz w:val="20"/>
          <w:szCs w:val="20"/>
        </w:rPr>
        <w:t xml:space="preserve"> </w:t>
      </w:r>
      <w:r>
        <w:rPr>
          <w:sz w:val="20"/>
          <w:szCs w:val="20"/>
        </w:rPr>
        <w:t>December 31, 202</w:t>
      </w:r>
      <w:r>
        <w:rPr>
          <w:sz w:val="20"/>
          <w:szCs w:val="20"/>
        </w:rPr>
        <w:t>1</w:t>
      </w:r>
      <w:r>
        <w:rPr>
          <w:sz w:val="20"/>
          <w:szCs w:val="20"/>
        </w:rPr>
        <w:t xml:space="preserve"> was equal to or greater than</w:t>
      </w:r>
      <w:r>
        <w:rPr>
          <w:sz w:val="20"/>
          <w:szCs w:val="20"/>
        </w:rPr>
        <w:t xml:space="preserve"> </w:t>
      </w:r>
      <w:r>
        <w:rPr>
          <w:sz w:val="20"/>
          <w:szCs w:val="20"/>
        </w:rPr>
        <w:t>13</w:t>
      </w:r>
      <w:r>
        <w:rPr>
          <w:sz w:val="20"/>
          <w:szCs w:val="20"/>
        </w:rPr>
        <w:t>0</w:t>
      </w:r>
      <w:r>
        <w:rPr>
          <w:sz w:val="20"/>
          <w:szCs w:val="20"/>
        </w:rPr>
        <w:t xml:space="preserve">% of the conversion price of </w:t>
      </w:r>
      <w:r>
        <w:rPr>
          <w:sz w:val="20"/>
          <w:szCs w:val="20"/>
        </w:rPr>
        <w:t>$</w:t>
      </w:r>
      <w:r>
        <w:rPr>
          <w:sz w:val="20"/>
          <w:szCs w:val="20"/>
        </w:rPr>
        <w:t>282.5</w:t>
      </w:r>
      <w:r>
        <w:rPr>
          <w:sz w:val="20"/>
          <w:szCs w:val="20"/>
        </w:rPr>
        <w:t>2</w:t>
      </w:r>
      <w:r>
        <w:rPr>
          <w:sz w:val="20"/>
          <w:szCs w:val="20"/>
        </w:rPr>
        <w:t xml:space="preserve"> on each applicable trading day, the 2025 Notes are conve</w:t>
      </w:r>
      <w:r>
        <w:rPr>
          <w:sz w:val="20"/>
          <w:szCs w:val="20"/>
        </w:rPr>
        <w:t>rtible at the option of the holders thereof during the calendar quarter ended March 31, 2022.</w:t>
      </w:r>
      <w:r>
        <w:rPr>
          <w:sz w:val="20"/>
          <w:szCs w:val="20"/>
        </w:rPr>
        <w:t xml:space="preserve"> </w:t>
      </w:r>
      <w:r>
        <w:rPr>
          <w:sz w:val="20"/>
          <w:szCs w:val="20"/>
        </w:rPr>
        <w:t xml:space="preserve">Between the end of the most recently completed fiscal quarter and February 11, 2022, the Company settled </w:t>
      </w:r>
      <w:r>
        <w:rPr>
          <w:sz w:val="20"/>
          <w:szCs w:val="20"/>
        </w:rPr>
        <w:t>$</w:t>
      </w:r>
      <w:r>
        <w:rPr>
          <w:sz w:val="20"/>
          <w:szCs w:val="20"/>
        </w:rPr>
        <w:t>0.</w:t>
      </w:r>
      <w:r>
        <w:rPr>
          <w:sz w:val="20"/>
          <w:szCs w:val="20"/>
        </w:rPr>
        <w:t>9</w:t>
      </w:r>
      <w:r>
        <w:rPr>
          <w:sz w:val="20"/>
          <w:szCs w:val="20"/>
        </w:rPr>
        <w:t xml:space="preserve"> million of principal balance of the 2025 Notes in ca</w:t>
      </w:r>
      <w:r>
        <w:rPr>
          <w:sz w:val="20"/>
          <w:szCs w:val="20"/>
        </w:rPr>
        <w:t>sh in response to conversion notices received prior to December 31, 2021. As of February 11, 2022, the Company has</w:t>
      </w:r>
      <w:r>
        <w:rPr>
          <w:sz w:val="20"/>
          <w:szCs w:val="20"/>
        </w:rPr>
        <w:t xml:space="preserve"> </w:t>
      </w:r>
      <w:r>
        <w:rPr>
          <w:sz w:val="20"/>
          <w:szCs w:val="20"/>
        </w:rPr>
        <w:t>n</w:t>
      </w:r>
      <w:r>
        <w:rPr>
          <w:sz w:val="20"/>
          <w:szCs w:val="20"/>
        </w:rPr>
        <w:t>o</w:t>
      </w:r>
      <w:r>
        <w:rPr>
          <w:sz w:val="20"/>
          <w:szCs w:val="20"/>
        </w:rPr>
        <w:t>t received additional conversion notices.</w:t>
      </w:r>
      <w:r>
        <w:rPr>
          <w:sz w:val="20"/>
          <w:szCs w:val="20"/>
        </w:rPr>
        <w:t xml:space="preserve"> </w:t>
      </w:r>
      <w:r>
        <w:rPr>
          <w:sz w:val="20"/>
          <w:szCs w:val="20"/>
        </w:rPr>
        <w:t>For disclosure purposes, the potentially dilutive effect of the Conversion Spread is calculated a</w:t>
      </w:r>
      <w:r>
        <w:rPr>
          <w:sz w:val="20"/>
          <w:szCs w:val="20"/>
        </w:rPr>
        <w:t>nd included in the table below</w:t>
      </w:r>
      <w:r>
        <w:rPr>
          <w:sz w:val="20"/>
          <w:szCs w:val="20"/>
        </w:rPr>
        <w:t>.</w:t>
      </w:r>
    </w:p>
    <w:p w:rsidR="00000000" w:rsidRDefault="00A309A2">
      <w:pPr>
        <w:pStyle w:val="a3"/>
        <w:spacing w:before="200" w:beforeAutospacing="0" w:after="0" w:afterAutospacing="0"/>
        <w:ind w:firstLine="555"/>
        <w:divId w:val="1957759821"/>
        <w:rPr>
          <w:sz w:val="20"/>
          <w:szCs w:val="20"/>
        </w:rPr>
      </w:pPr>
      <w:r>
        <w:rPr>
          <w:sz w:val="20"/>
          <w:szCs w:val="20"/>
        </w:rPr>
        <w:t>The following table contains all potentially dilutive common stock equivalents</w:t>
      </w:r>
      <w:r>
        <w:rPr>
          <w:sz w:val="20"/>
          <w:szCs w:val="20"/>
        </w:rPr>
        <w:t>.</w:t>
      </w:r>
    </w:p>
    <w:p w:rsidR="00000000" w:rsidRDefault="00A309A2">
      <w:pPr>
        <w:pStyle w:val="a3"/>
        <w:spacing w:before="0" w:beforeAutospacing="0" w:after="0" w:afterAutospacing="0"/>
        <w:divId w:val="1957759821"/>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31"/>
        <w:gridCol w:w="110"/>
        <w:gridCol w:w="110"/>
        <w:gridCol w:w="702"/>
        <w:gridCol w:w="110"/>
        <w:gridCol w:w="110"/>
        <w:gridCol w:w="110"/>
        <w:gridCol w:w="703"/>
        <w:gridCol w:w="110"/>
        <w:gridCol w:w="110"/>
        <w:gridCol w:w="110"/>
        <w:gridCol w:w="704"/>
        <w:gridCol w:w="125"/>
      </w:tblGrid>
      <w:tr w:rsidR="00000000">
        <w:trPr>
          <w:divId w:val="1957759821"/>
          <w:tblCellSpacing w:w="15" w:type="dxa"/>
        </w:trPr>
        <w:tc>
          <w:tcPr>
            <w:tcW w:w="2822" w:type="pct"/>
            <w:vAlign w:val="center"/>
            <w:hideMark/>
          </w:tcPr>
          <w:p w:rsidR="00000000" w:rsidRDefault="00A309A2">
            <w:pPr>
              <w:rPr>
                <w:sz w:val="20"/>
                <w:szCs w:val="20"/>
              </w:rPr>
            </w:pPr>
          </w:p>
        </w:tc>
        <w:tc>
          <w:tcPr>
            <w:tcW w:w="61"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566"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61"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566"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61"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567"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r>
      <w:tr w:rsidR="00000000">
        <w:trPr>
          <w:divId w:val="195775982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5775982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rFonts w:ascii="Calibri" w:hAnsi="Calibri" w:cs="Calibri"/>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5775982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5775982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Options to purchase common share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5775982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1,20</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5775982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Conversion Option of the 2022 Notes and Warrant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3,10</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5775982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Conversion Option of the 2025 Note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5775982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ind w:firstLine="555"/>
        <w:divId w:val="1225071469"/>
        <w:rPr>
          <w:sz w:val="20"/>
          <w:szCs w:val="20"/>
        </w:rPr>
      </w:pPr>
      <w:r>
        <w:rPr>
          <w:sz w:val="20"/>
          <w:szCs w:val="20"/>
        </w:rPr>
        <w:t> </w:t>
      </w:r>
    </w:p>
    <w:p w:rsidR="00000000" w:rsidRDefault="00A309A2">
      <w:pPr>
        <w:pStyle w:val="a3"/>
        <w:spacing w:before="40" w:beforeAutospacing="0" w:after="0" w:afterAutospacing="0"/>
        <w:ind w:firstLine="555"/>
        <w:divId w:val="1812670431"/>
        <w:rPr>
          <w:sz w:val="20"/>
          <w:szCs w:val="20"/>
        </w:rPr>
      </w:pPr>
      <w:r>
        <w:rPr>
          <w:b/>
          <w:bCs/>
          <w:sz w:val="20"/>
          <w:szCs w:val="20"/>
        </w:rPr>
        <w:t>Cash and Cash Equivalent</w:t>
      </w:r>
      <w:r>
        <w:rPr>
          <w:b/>
          <w:bCs/>
          <w:sz w:val="20"/>
          <w:szCs w:val="20"/>
        </w:rPr>
        <w:t>s</w:t>
      </w:r>
      <w:r>
        <w:rPr>
          <w:sz w:val="20"/>
          <w:szCs w:val="20"/>
        </w:rPr>
        <w:t xml:space="preserve"> — </w:t>
      </w:r>
      <w:r>
        <w:rPr>
          <w:sz w:val="20"/>
          <w:szCs w:val="20"/>
        </w:rPr>
        <w:t>The Company considers all highly liquid investments purchased with original maturity of three months or less to be cash equivalents. Cash and cash equivalents consist of cash held in bank deposit accounts and short-term, highly-liquid investments with rema</w:t>
      </w:r>
      <w:r>
        <w:rPr>
          <w:sz w:val="20"/>
          <w:szCs w:val="20"/>
        </w:rPr>
        <w:t>ining maturities of</w:t>
      </w:r>
      <w:r>
        <w:rPr>
          <w:sz w:val="20"/>
          <w:szCs w:val="20"/>
        </w:rPr>
        <w:t xml:space="preserve"> </w:t>
      </w:r>
      <w:r>
        <w:rPr>
          <w:sz w:val="20"/>
          <w:szCs w:val="20"/>
        </w:rPr>
        <w:t>three months or less at the date of purchase, consisting primarily of money-market funds</w:t>
      </w:r>
      <w:r>
        <w:rPr>
          <w:sz w:val="20"/>
          <w:szCs w:val="20"/>
        </w:rPr>
        <w:t>.</w:t>
      </w:r>
    </w:p>
    <w:p w:rsidR="00000000" w:rsidRDefault="00A309A2">
      <w:pPr>
        <w:pStyle w:val="a3"/>
        <w:spacing w:before="240" w:beforeAutospacing="0" w:after="0" w:afterAutospacing="0"/>
        <w:ind w:firstLine="555"/>
        <w:divId w:val="739864087"/>
        <w:rPr>
          <w:sz w:val="20"/>
          <w:szCs w:val="20"/>
        </w:rPr>
      </w:pPr>
      <w:r>
        <w:rPr>
          <w:b/>
          <w:bCs/>
          <w:sz w:val="20"/>
          <w:szCs w:val="20"/>
        </w:rPr>
        <w:t>Investments</w:t>
      </w:r>
      <w:r>
        <w:rPr>
          <w:b/>
          <w:bCs/>
          <w:sz w:val="20"/>
          <w:szCs w:val="20"/>
        </w:rPr>
        <w:t xml:space="preserve"> </w:t>
      </w:r>
      <w:r>
        <w:rPr>
          <w:sz w:val="20"/>
          <w:szCs w:val="20"/>
        </w:rPr>
        <w:t>— Investments consist of commercial paper, corporate debt securities, U.S. Treasury securities, and U.S. Government agency securities.</w:t>
      </w:r>
      <w:r>
        <w:rPr>
          <w:sz w:val="20"/>
          <w:szCs w:val="20"/>
        </w:rPr>
        <w:t xml:space="preserve"> Securities having remaining maturities of more than three months at the date of purchase and less than one year from the date of the balance sheets are classified as short-term, and those with maturities of more than one year from the date of the balance </w:t>
      </w:r>
      <w:r>
        <w:rPr>
          <w:sz w:val="20"/>
          <w:szCs w:val="20"/>
        </w:rPr>
        <w:t>sheet are classified as long-term in the consolidated balance sheets. The Company classifies its debt investments with readily determinable market values as available-for-sale. These investments are classified as investments on the consolidated balance she</w:t>
      </w:r>
      <w:r>
        <w:rPr>
          <w:sz w:val="20"/>
          <w:szCs w:val="20"/>
        </w:rPr>
        <w:t>ets and are carried at fair market value, with unrealized gains and losses considered to be temporary in nature reported as accumulated other comprehensive loss, a separate component of stockholders’ equity. The Company reviews all investments for reductio</w:t>
      </w:r>
      <w:r>
        <w:rPr>
          <w:sz w:val="20"/>
          <w:szCs w:val="20"/>
        </w:rPr>
        <w:t>ns in fair value that are other-than-temporary. When such reductions occur, the cost of the investment is adjusted to fair value through recording a loss on investments in the consolidated statements of operations. Gains and losses on investments are calcu</w:t>
      </w:r>
      <w:r>
        <w:rPr>
          <w:sz w:val="20"/>
          <w:szCs w:val="20"/>
        </w:rPr>
        <w:t>lated on the basis of specific identification</w:t>
      </w:r>
      <w:r>
        <w:rPr>
          <w:sz w:val="20"/>
          <w:szCs w:val="20"/>
        </w:rPr>
        <w:t>.</w:t>
      </w:r>
    </w:p>
    <w:p w:rsidR="00000000" w:rsidRDefault="00A309A2">
      <w:pPr>
        <w:pStyle w:val="a3"/>
        <w:spacing w:before="240" w:beforeAutospacing="0" w:after="0" w:afterAutospacing="0"/>
        <w:ind w:firstLine="555"/>
        <w:divId w:val="739864087"/>
        <w:rPr>
          <w:sz w:val="20"/>
          <w:szCs w:val="20"/>
        </w:rPr>
      </w:pPr>
      <w:r>
        <w:rPr>
          <w:sz w:val="20"/>
          <w:szCs w:val="20"/>
        </w:rPr>
        <w:t>Investments</w:t>
      </w:r>
      <w:r>
        <w:rPr>
          <w:sz w:val="20"/>
          <w:szCs w:val="20"/>
        </w:rPr>
        <w:t xml:space="preserve"> </w:t>
      </w:r>
      <w:r>
        <w:rPr>
          <w:sz w:val="20"/>
          <w:szCs w:val="20"/>
        </w:rPr>
        <w:t>are considered to be impaired when a decline in fair value below cost basis is determined to be other-than-temporary. The Company periodically evaluates whether a decline in fair value below cost b</w:t>
      </w:r>
      <w:r>
        <w:rPr>
          <w:sz w:val="20"/>
          <w:szCs w:val="20"/>
        </w:rPr>
        <w:t>asis is other-than-temporary by considering available evidence regarding these investments including, among other factors: the duration of the period that, and extent to which, the fair value is less than cost basis; the financial health of, and business o</w:t>
      </w:r>
      <w:r>
        <w:rPr>
          <w:sz w:val="20"/>
          <w:szCs w:val="20"/>
        </w:rPr>
        <w:t>utlook for the issuer, including industry and sector performance and operational and financing cash flow factors; overall market conditions and trends and the Company’s intent an</w:t>
      </w:r>
      <w:r>
        <w:rPr>
          <w:sz w:val="20"/>
          <w:szCs w:val="20"/>
        </w:rPr>
        <w:t>d</w:t>
      </w:r>
      <w:r>
        <w:rPr>
          <w:sz w:val="20"/>
          <w:szCs w:val="20"/>
        </w:rPr>
        <w:t xml:space="preserve"> </w:t>
      </w:r>
    </w:p>
    <w:p w:rsidR="00000000" w:rsidRDefault="00A309A2">
      <w:pPr>
        <w:pStyle w:val="a3"/>
        <w:spacing w:before="240" w:beforeAutospacing="0" w:after="0" w:afterAutospacing="0"/>
        <w:jc w:val="center"/>
        <w:divId w:val="739864087"/>
        <w:rPr>
          <w:sz w:val="20"/>
          <w:szCs w:val="20"/>
        </w:rPr>
      </w:pPr>
      <w:r>
        <w:rPr>
          <w:sz w:val="20"/>
          <w:szCs w:val="20"/>
        </w:rPr>
        <w:t>6</w:t>
      </w:r>
      <w:r>
        <w:rPr>
          <w:sz w:val="20"/>
          <w:szCs w:val="20"/>
        </w:rPr>
        <w:t>9</w:t>
      </w:r>
    </w:p>
    <w:p w:rsidR="00000000" w:rsidRDefault="00A309A2">
      <w:pPr>
        <w:divId w:val="739864087"/>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A309A2">
      <w:pPr>
        <w:pStyle w:val="a3"/>
        <w:spacing w:before="0" w:beforeAutospacing="0" w:after="0" w:afterAutospacing="0"/>
        <w:divId w:val="739864087"/>
        <w:rPr>
          <w:sz w:val="20"/>
          <w:szCs w:val="20"/>
        </w:rPr>
      </w:pPr>
      <w:r>
        <w:rPr>
          <w:sz w:val="20"/>
          <w:szCs w:val="20"/>
        </w:rPr>
        <w:t> </w:t>
      </w:r>
    </w:p>
    <w:p w:rsidR="00000000" w:rsidRDefault="00A309A2">
      <w:pPr>
        <w:pStyle w:val="a3"/>
        <w:spacing w:before="240" w:beforeAutospacing="0" w:after="0" w:afterAutospacing="0"/>
        <w:divId w:val="739864087"/>
        <w:rPr>
          <w:sz w:val="20"/>
          <w:szCs w:val="20"/>
        </w:rPr>
      </w:pPr>
      <w:r>
        <w:rPr>
          <w:sz w:val="20"/>
          <w:szCs w:val="20"/>
        </w:rPr>
        <w:t>ability</w:t>
      </w:r>
      <w:r>
        <w:rPr>
          <w:sz w:val="20"/>
          <w:szCs w:val="20"/>
        </w:rPr>
        <w:t xml:space="preserve"> </w:t>
      </w:r>
      <w:r>
        <w:rPr>
          <w:sz w:val="20"/>
          <w:szCs w:val="20"/>
        </w:rPr>
        <w:t>to retain its investment in the security for a period of time sufficient to allow for an anticipated recovery in market value. Once a decline in fair value is determined to be other-than-temporary, a write-down is recorded and a new cost basis in the secur</w:t>
      </w:r>
      <w:r>
        <w:rPr>
          <w:sz w:val="20"/>
          <w:szCs w:val="20"/>
        </w:rPr>
        <w:t>ity is established</w:t>
      </w:r>
      <w:r>
        <w:rPr>
          <w:sz w:val="20"/>
          <w:szCs w:val="20"/>
        </w:rPr>
        <w:t>.</w:t>
      </w:r>
      <w:r>
        <w:rPr>
          <w:sz w:val="20"/>
          <w:szCs w:val="20"/>
        </w:rPr>
        <w:t xml:space="preserve"> </w:t>
      </w:r>
    </w:p>
    <w:p w:rsidR="00000000" w:rsidRDefault="00A309A2">
      <w:pPr>
        <w:pStyle w:val="a3"/>
        <w:spacing w:before="240" w:beforeAutospacing="0" w:after="0" w:afterAutospacing="0"/>
        <w:ind w:firstLine="555"/>
        <w:divId w:val="1225071469"/>
        <w:rPr>
          <w:sz w:val="20"/>
          <w:szCs w:val="20"/>
        </w:rPr>
      </w:pPr>
      <w:r>
        <w:rPr>
          <w:b/>
          <w:bCs/>
          <w:sz w:val="20"/>
          <w:szCs w:val="20"/>
        </w:rPr>
        <w:t>Strategic investments</w:t>
      </w:r>
      <w:r>
        <w:rPr>
          <w:b/>
          <w:bCs/>
          <w:sz w:val="20"/>
          <w:szCs w:val="20"/>
        </w:rPr>
        <w:t xml:space="preserve"> </w:t>
      </w:r>
      <w:r>
        <w:rPr>
          <w:sz w:val="20"/>
          <w:szCs w:val="20"/>
        </w:rPr>
        <w:t>— Strategic investments consist of non-controlling equity investments in privately held companies. These investments without readily determinable fair values for which the Company does not have the ability to exer</w:t>
      </w:r>
      <w:r>
        <w:rPr>
          <w:sz w:val="20"/>
          <w:szCs w:val="20"/>
        </w:rPr>
        <w:t xml:space="preserve">cise significant influence are accounted for using the measurement alternative. Under the measurement alternative, the non-marketable securities are carried at cost less any impairments, plus or minus adjustments resulting from observable price changes in </w:t>
      </w:r>
      <w:r>
        <w:rPr>
          <w:sz w:val="20"/>
          <w:szCs w:val="20"/>
        </w:rPr>
        <w:t>orderly transactions for identical or similar investments of the same issuer</w:t>
      </w:r>
      <w:r>
        <w:rPr>
          <w:sz w:val="20"/>
          <w:szCs w:val="20"/>
        </w:rPr>
        <w:t>.</w:t>
      </w:r>
      <w:r>
        <w:rPr>
          <w:sz w:val="20"/>
          <w:szCs w:val="20"/>
        </w:rPr>
        <w:t xml:space="preserve"> </w:t>
      </w:r>
    </w:p>
    <w:p w:rsidR="00000000" w:rsidRDefault="00A309A2">
      <w:pPr>
        <w:pStyle w:val="a3"/>
        <w:spacing w:before="240" w:beforeAutospacing="0" w:after="0" w:afterAutospacing="0"/>
        <w:ind w:firstLine="555"/>
        <w:divId w:val="1225071469"/>
        <w:rPr>
          <w:sz w:val="20"/>
          <w:szCs w:val="20"/>
        </w:rPr>
      </w:pPr>
      <w:r>
        <w:rPr>
          <w:b/>
          <w:bCs/>
          <w:sz w:val="20"/>
          <w:szCs w:val="20"/>
        </w:rPr>
        <w:t>Equity method investments</w:t>
      </w:r>
      <w:r>
        <w:rPr>
          <w:b/>
          <w:bCs/>
          <w:sz w:val="20"/>
          <w:szCs w:val="20"/>
        </w:rPr>
        <w:t xml:space="preserve"> </w:t>
      </w:r>
      <w:r>
        <w:rPr>
          <w:sz w:val="20"/>
          <w:szCs w:val="20"/>
        </w:rPr>
        <w:t>— Equity method investments generally consist of investments for which the Company has the ability to exercise significant influence, but does not have</w:t>
      </w:r>
      <w:r>
        <w:rPr>
          <w:sz w:val="20"/>
          <w:szCs w:val="20"/>
        </w:rPr>
        <w:t xml:space="preserve"> control and is not the primary beneficiary. Under the equity method of accounting, the Company's proportionate share of the net earnings or impairment charges on investments are reported in the consolidated statements of operations as other income (expens</w:t>
      </w:r>
      <w:r>
        <w:rPr>
          <w:sz w:val="20"/>
          <w:szCs w:val="20"/>
        </w:rPr>
        <w:t>e), net of tax, and increase or decrease the investment balance recorded on the balance sheet. Equity method investments are reviewed for indicators of other-than-temporary impairment on a quarterly basis. An equity method investment is written down to fai</w:t>
      </w:r>
      <w:r>
        <w:rPr>
          <w:sz w:val="20"/>
          <w:szCs w:val="20"/>
        </w:rPr>
        <w:t>r value if there is evidence of a loss in value which is other-than-temporary. The Company may estimate the fair value of its equity method investments by considering recent investee equity transactions and recent operating results</w:t>
      </w:r>
      <w:r>
        <w:rPr>
          <w:sz w:val="20"/>
          <w:szCs w:val="20"/>
        </w:rPr>
        <w:t>.</w:t>
      </w:r>
      <w:r>
        <w:rPr>
          <w:sz w:val="20"/>
          <w:szCs w:val="20"/>
        </w:rPr>
        <w:t xml:space="preserve"> </w:t>
      </w:r>
    </w:p>
    <w:p w:rsidR="00000000" w:rsidRDefault="00A309A2">
      <w:pPr>
        <w:pStyle w:val="a3"/>
        <w:spacing w:before="240" w:beforeAutospacing="0" w:after="0" w:afterAutospacing="0"/>
        <w:ind w:firstLine="555"/>
        <w:divId w:val="85729301"/>
        <w:rPr>
          <w:sz w:val="20"/>
          <w:szCs w:val="20"/>
        </w:rPr>
      </w:pPr>
      <w:r>
        <w:rPr>
          <w:b/>
          <w:bCs/>
          <w:sz w:val="20"/>
          <w:szCs w:val="20"/>
        </w:rPr>
        <w:t>Accounts Receivable an</w:t>
      </w:r>
      <w:r>
        <w:rPr>
          <w:b/>
          <w:bCs/>
          <w:sz w:val="20"/>
          <w:szCs w:val="20"/>
        </w:rPr>
        <w:t>d Allowance for Doubtful Account</w:t>
      </w:r>
      <w:r>
        <w:rPr>
          <w:b/>
          <w:bCs/>
          <w:sz w:val="20"/>
          <w:szCs w:val="20"/>
        </w:rPr>
        <w:t>s</w:t>
      </w:r>
      <w:r>
        <w:rPr>
          <w:sz w:val="20"/>
          <w:szCs w:val="20"/>
        </w:rPr>
        <w:t xml:space="preserve"> — Accounts receivable are carried at the original invoiced amount less an allowance for doubtful accounts based on the probability of future collection. The probability of future collection is based on specific considerati</w:t>
      </w:r>
      <w:r>
        <w:rPr>
          <w:sz w:val="20"/>
          <w:szCs w:val="20"/>
        </w:rPr>
        <w:t xml:space="preserve">ons of historical loss patterns and an assessment of the continuation of such patterns based on past collection trends and known or anticipated future economic events that may impact collectability. The probability of future collection is also assessed by </w:t>
      </w:r>
      <w:r>
        <w:rPr>
          <w:sz w:val="20"/>
          <w:szCs w:val="20"/>
        </w:rPr>
        <w:t>geography. To date, losses resulting from uncollected receivables have not exceeded estimates</w:t>
      </w:r>
      <w:r>
        <w:rPr>
          <w:sz w:val="20"/>
          <w:szCs w:val="20"/>
        </w:rPr>
        <w:t>.</w:t>
      </w:r>
      <w:r>
        <w:rPr>
          <w:sz w:val="20"/>
          <w:szCs w:val="20"/>
        </w:rPr>
        <w:t xml:space="preserve"> </w:t>
      </w:r>
    </w:p>
    <w:p w:rsidR="00000000" w:rsidRDefault="00A309A2">
      <w:pPr>
        <w:pStyle w:val="a3"/>
        <w:spacing w:before="240" w:beforeAutospacing="0" w:after="0" w:afterAutospacing="0"/>
        <w:ind w:firstLine="555"/>
        <w:divId w:val="662707512"/>
        <w:rPr>
          <w:sz w:val="20"/>
          <w:szCs w:val="20"/>
        </w:rPr>
      </w:pPr>
      <w:r>
        <w:rPr>
          <w:sz w:val="20"/>
          <w:szCs w:val="20"/>
        </w:rPr>
        <w:t>The following is a roll-forward of the Company’s allowance for doubtful accounts (in thousands)</w:t>
      </w:r>
      <w:r>
        <w:rPr>
          <w:sz w:val="20"/>
          <w:szCs w:val="20"/>
        </w:rPr>
        <w:t>:</w:t>
      </w:r>
    </w:p>
    <w:p w:rsidR="00000000" w:rsidRDefault="00A309A2">
      <w:pPr>
        <w:pStyle w:val="a3"/>
        <w:spacing w:before="0" w:beforeAutospacing="0" w:after="0" w:afterAutospacing="0"/>
        <w:divId w:val="66270751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26"/>
        <w:gridCol w:w="110"/>
        <w:gridCol w:w="161"/>
        <w:gridCol w:w="633"/>
        <w:gridCol w:w="110"/>
        <w:gridCol w:w="110"/>
        <w:gridCol w:w="161"/>
        <w:gridCol w:w="696"/>
        <w:gridCol w:w="110"/>
        <w:gridCol w:w="110"/>
        <w:gridCol w:w="161"/>
        <w:gridCol w:w="855"/>
        <w:gridCol w:w="127"/>
        <w:gridCol w:w="110"/>
        <w:gridCol w:w="160"/>
        <w:gridCol w:w="510"/>
        <w:gridCol w:w="125"/>
      </w:tblGrid>
      <w:tr w:rsidR="00000000">
        <w:trPr>
          <w:divId w:val="662707512"/>
          <w:tblCellSpacing w:w="15" w:type="dxa"/>
        </w:trPr>
        <w:tc>
          <w:tcPr>
            <w:tcW w:w="2435" w:type="pct"/>
            <w:vAlign w:val="center"/>
            <w:hideMark/>
          </w:tcPr>
          <w:p w:rsidR="00000000" w:rsidRDefault="00A309A2">
            <w:pPr>
              <w:rPr>
                <w:sz w:val="20"/>
                <w:szCs w:val="20"/>
              </w:rPr>
            </w:pPr>
          </w:p>
        </w:tc>
        <w:tc>
          <w:tcPr>
            <w:tcW w:w="54"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74" w:type="pct"/>
            <w:vAlign w:val="center"/>
            <w:hideMark/>
          </w:tcPr>
          <w:p w:rsidR="00000000" w:rsidRDefault="00A309A2">
            <w:pPr>
              <w:rPr>
                <w:rFonts w:eastAsia="Times New Roman"/>
                <w:sz w:val="20"/>
                <w:szCs w:val="20"/>
              </w:rPr>
            </w:pPr>
          </w:p>
        </w:tc>
        <w:tc>
          <w:tcPr>
            <w:tcW w:w="38"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80" w:type="pct"/>
            <w:vAlign w:val="center"/>
            <w:hideMark/>
          </w:tcPr>
          <w:p w:rsidR="00000000" w:rsidRDefault="00A309A2">
            <w:pPr>
              <w:rPr>
                <w:rFonts w:eastAsia="Times New Roman"/>
                <w:sz w:val="20"/>
                <w:szCs w:val="20"/>
              </w:rPr>
            </w:pPr>
          </w:p>
        </w:tc>
        <w:tc>
          <w:tcPr>
            <w:tcW w:w="38"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80" w:type="pct"/>
            <w:vAlign w:val="center"/>
            <w:hideMark/>
          </w:tcPr>
          <w:p w:rsidR="00000000" w:rsidRDefault="00A309A2">
            <w:pPr>
              <w:rPr>
                <w:rFonts w:eastAsia="Times New Roman"/>
                <w:sz w:val="20"/>
                <w:szCs w:val="20"/>
              </w:rPr>
            </w:pPr>
          </w:p>
        </w:tc>
        <w:tc>
          <w:tcPr>
            <w:tcW w:w="47" w:type="pct"/>
            <w:vAlign w:val="center"/>
            <w:hideMark/>
          </w:tcPr>
          <w:p w:rsidR="00000000" w:rsidRDefault="00A309A2">
            <w:pPr>
              <w:rPr>
                <w:rFonts w:eastAsia="Times New Roman"/>
                <w:sz w:val="20"/>
                <w:szCs w:val="20"/>
              </w:rPr>
            </w:pPr>
          </w:p>
        </w:tc>
        <w:tc>
          <w:tcPr>
            <w:tcW w:w="54"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63" w:type="pct"/>
            <w:vAlign w:val="center"/>
            <w:hideMark/>
          </w:tcPr>
          <w:p w:rsidR="00000000" w:rsidRDefault="00A309A2">
            <w:pPr>
              <w:rPr>
                <w:rFonts w:eastAsia="Times New Roman"/>
                <w:sz w:val="20"/>
                <w:szCs w:val="20"/>
              </w:rPr>
            </w:pPr>
          </w:p>
        </w:tc>
        <w:tc>
          <w:tcPr>
            <w:tcW w:w="38" w:type="pct"/>
            <w:vAlign w:val="center"/>
            <w:hideMark/>
          </w:tcPr>
          <w:p w:rsidR="00000000" w:rsidRDefault="00A309A2">
            <w:pPr>
              <w:rPr>
                <w:rFonts w:eastAsia="Times New Roman"/>
                <w:sz w:val="20"/>
                <w:szCs w:val="20"/>
              </w:rPr>
            </w:pPr>
          </w:p>
        </w:tc>
      </w:tr>
      <w:tr w:rsidR="00000000">
        <w:trPr>
          <w:divId w:val="662707512"/>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Balance</w:t>
            </w:r>
            <w:r>
              <w:rPr>
                <w:b/>
                <w:bCs/>
                <w:sz w:val="16"/>
                <w:szCs w:val="16"/>
              </w:rPr>
              <w:br/>
              <w:t>Beginning</w:t>
            </w:r>
            <w:r>
              <w:rPr>
                <w:b/>
                <w:bCs/>
                <w:sz w:val="16"/>
                <w:szCs w:val="16"/>
              </w:rPr>
              <w:br/>
              <w:t>of Perio</w:t>
            </w:r>
            <w:r>
              <w:rPr>
                <w:b/>
                <w:bCs/>
                <w:sz w:val="16"/>
                <w:szCs w:val="16"/>
              </w:rPr>
              <w:t>d</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Charged to</w:t>
            </w:r>
            <w:r>
              <w:rPr>
                <w:b/>
                <w:bCs/>
                <w:sz w:val="16"/>
                <w:szCs w:val="16"/>
              </w:rPr>
              <w:br/>
              <w:t>Statement of</w:t>
            </w:r>
            <w:r>
              <w:rPr>
                <w:b/>
                <w:bCs/>
                <w:sz w:val="16"/>
                <w:szCs w:val="16"/>
              </w:rPr>
              <w:br/>
              <w:t>Operation</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Deduction</w:t>
            </w:r>
            <w:r>
              <w:rPr>
                <w:b/>
                <w:bCs/>
                <w:sz w:val="16"/>
                <w:szCs w:val="16"/>
              </w:rPr>
              <w:t>s</w:t>
            </w:r>
            <w:r>
              <w:rPr>
                <w:b/>
                <w:bCs/>
                <w:sz w:val="11"/>
                <w:szCs w:val="11"/>
              </w:rPr>
              <w:t>  (1</w:t>
            </w:r>
            <w:r>
              <w:rPr>
                <w:b/>
                <w:bCs/>
                <w:sz w:val="11"/>
                <w:szCs w:val="11"/>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Balance at</w:t>
            </w:r>
            <w:r>
              <w:rPr>
                <w:b/>
                <w:bCs/>
                <w:sz w:val="16"/>
                <w:szCs w:val="16"/>
              </w:rPr>
              <w:br/>
              <w:t>End of</w:t>
            </w:r>
            <w:r>
              <w:rPr>
                <w:b/>
                <w:bCs/>
                <w:sz w:val="16"/>
                <w:szCs w:val="16"/>
              </w:rPr>
              <w:br/>
              <w:t>Perio</w:t>
            </w:r>
            <w:r>
              <w:rPr>
                <w:b/>
                <w:bCs/>
                <w:sz w:val="16"/>
                <w:szCs w:val="16"/>
              </w:rPr>
              <w:t>d</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66270751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b/>
                <w:bCs/>
                <w:sz w:val="20"/>
                <w:szCs w:val="20"/>
              </w:rPr>
              <w:t>Allowance for doubtful account</w:t>
            </w:r>
            <w:r>
              <w:rPr>
                <w:b/>
                <w:bCs/>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66270751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Year ended December 31,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6,14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6,36</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1,76</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6270751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Year ended December 31, 202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8,50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8,09</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6270751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Year ended December 31, 201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1,31</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7,89</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7,62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pBdr>
          <w:bottom w:val="single" w:sz="4" w:space="1" w:color="auto"/>
        </w:pBdr>
        <w:spacing w:before="0" w:beforeAutospacing="0" w:after="0" w:afterAutospacing="0"/>
        <w:ind w:right="10239"/>
        <w:divId w:val="662707512"/>
        <w:rPr>
          <w:sz w:val="20"/>
          <w:szCs w:val="20"/>
        </w:rPr>
      </w:pPr>
      <w:r>
        <w:rPr>
          <w:sz w:val="20"/>
          <w:szCs w:val="20"/>
        </w:rPr>
        <w:t> </w:t>
      </w:r>
    </w:p>
    <w:p w:rsidR="00000000" w:rsidRDefault="00A309A2">
      <w:pPr>
        <w:pStyle w:val="a3"/>
        <w:spacing w:before="40" w:beforeAutospacing="0" w:after="0" w:afterAutospacing="0"/>
        <w:ind w:hanging="581"/>
        <w:divId w:val="662707512"/>
        <w:rPr>
          <w:sz w:val="20"/>
          <w:szCs w:val="20"/>
        </w:rPr>
      </w:pPr>
      <w:r>
        <w:rPr>
          <w:sz w:val="20"/>
          <w:szCs w:val="20"/>
        </w:rPr>
        <w:t xml:space="preserve">(1) </w:t>
      </w:r>
      <w:r>
        <w:rPr>
          <w:sz w:val="20"/>
          <w:szCs w:val="20"/>
        </w:rPr>
        <w:t>Deductions include actual accounts written-off, net of recoveries</w:t>
      </w:r>
      <w:r>
        <w:rPr>
          <w:sz w:val="20"/>
          <w:szCs w:val="20"/>
        </w:rPr>
        <w:t>.</w:t>
      </w:r>
      <w:r>
        <w:rPr>
          <w:sz w:val="20"/>
          <w:szCs w:val="20"/>
        </w:rPr>
        <w:t> </w:t>
      </w:r>
    </w:p>
    <w:p w:rsidR="00000000" w:rsidRDefault="00A309A2">
      <w:pPr>
        <w:pStyle w:val="a3"/>
        <w:spacing w:before="240" w:beforeAutospacing="0" w:after="0" w:afterAutospacing="0"/>
        <w:ind w:firstLine="555"/>
        <w:divId w:val="3751904"/>
        <w:rPr>
          <w:sz w:val="20"/>
          <w:szCs w:val="20"/>
        </w:rPr>
      </w:pPr>
      <w:r>
        <w:rPr>
          <w:b/>
          <w:bCs/>
          <w:sz w:val="20"/>
          <w:szCs w:val="20"/>
        </w:rPr>
        <w:t>Restricted Cas</w:t>
      </w:r>
      <w:r>
        <w:rPr>
          <w:b/>
          <w:bCs/>
          <w:sz w:val="20"/>
          <w:szCs w:val="20"/>
        </w:rPr>
        <w:t>h</w:t>
      </w:r>
      <w:r>
        <w:rPr>
          <w:sz w:val="20"/>
          <w:szCs w:val="20"/>
        </w:rPr>
        <w:t xml:space="preserve"> —The Company had restricted cash of</w:t>
      </w:r>
      <w:r>
        <w:rPr>
          <w:sz w:val="20"/>
          <w:szCs w:val="20"/>
        </w:rPr>
        <w:t xml:space="preserve"> </w:t>
      </w:r>
      <w:r>
        <w:rPr>
          <w:sz w:val="20"/>
          <w:szCs w:val="20"/>
        </w:rPr>
        <w:t>$</w:t>
      </w:r>
      <w:r>
        <w:rPr>
          <w:sz w:val="20"/>
          <w:szCs w:val="20"/>
        </w:rPr>
        <w:t>3.</w:t>
      </w:r>
      <w:r>
        <w:rPr>
          <w:sz w:val="20"/>
          <w:szCs w:val="20"/>
        </w:rPr>
        <w:t>0</w:t>
      </w:r>
      <w:r>
        <w:rPr>
          <w:sz w:val="20"/>
          <w:szCs w:val="20"/>
        </w:rPr>
        <w:t xml:space="preserve"> million at December 31, 2021 and 202</w:t>
      </w:r>
      <w:r>
        <w:rPr>
          <w:sz w:val="20"/>
          <w:szCs w:val="20"/>
        </w:rPr>
        <w:t>0</w:t>
      </w:r>
      <w:r>
        <w:rPr>
          <w:sz w:val="20"/>
          <w:szCs w:val="20"/>
        </w:rPr>
        <w:t xml:space="preserve"> related to letters of credit for its leased facilities.</w:t>
      </w:r>
      <w:r>
        <w:rPr>
          <w:sz w:val="20"/>
          <w:szCs w:val="20"/>
        </w:rPr>
        <w:t xml:space="preserve"> </w:t>
      </w:r>
      <w:r>
        <w:rPr>
          <w:sz w:val="20"/>
          <w:szCs w:val="20"/>
        </w:rPr>
        <w:t>The following table provides a reconc</w:t>
      </w:r>
      <w:r>
        <w:rPr>
          <w:sz w:val="20"/>
          <w:szCs w:val="20"/>
        </w:rPr>
        <w:t>iliation of the cash, cash equivalents and restricted cash within the consolidated balance sheets that sum to the total of the same such amounts shown in the statement of cash flows for the year ended December 31,</w:t>
      </w:r>
      <w:r>
        <w:rPr>
          <w:sz w:val="20"/>
          <w:szCs w:val="20"/>
        </w:rPr>
        <w:t xml:space="preserve"> </w:t>
      </w:r>
      <w:r>
        <w:rPr>
          <w:sz w:val="20"/>
          <w:szCs w:val="20"/>
        </w:rPr>
        <w:t>2021 and 2020.</w:t>
      </w:r>
      <w:r>
        <w:rPr>
          <w:sz w:val="20"/>
          <w:szCs w:val="20"/>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194"/>
        <w:gridCol w:w="110"/>
        <w:gridCol w:w="160"/>
        <w:gridCol w:w="1181"/>
        <w:gridCol w:w="110"/>
        <w:gridCol w:w="110"/>
        <w:gridCol w:w="160"/>
        <w:gridCol w:w="1215"/>
        <w:gridCol w:w="110"/>
        <w:gridCol w:w="125"/>
      </w:tblGrid>
      <w:tr w:rsidR="00000000">
        <w:trPr>
          <w:divId w:val="332145002"/>
          <w:tblCellSpacing w:w="15" w:type="dxa"/>
        </w:trPr>
        <w:tc>
          <w:tcPr>
            <w:tcW w:w="2923" w:type="pct"/>
            <w:vAlign w:val="center"/>
            <w:hideMark/>
          </w:tcPr>
          <w:p w:rsidR="00000000" w:rsidRDefault="00A309A2">
            <w:pPr>
              <w:rPr>
                <w:sz w:val="20"/>
                <w:szCs w:val="20"/>
              </w:rPr>
            </w:pPr>
          </w:p>
        </w:tc>
        <w:tc>
          <w:tcPr>
            <w:tcW w:w="62"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842"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850" w:type="pct"/>
            <w:vAlign w:val="center"/>
            <w:hideMark/>
          </w:tcPr>
          <w:p w:rsidR="00000000" w:rsidRDefault="00A309A2">
            <w:pPr>
              <w:rPr>
                <w:rFonts w:eastAsia="Times New Roman"/>
                <w:sz w:val="20"/>
                <w:szCs w:val="20"/>
              </w:rPr>
            </w:pPr>
          </w:p>
        </w:tc>
        <w:tc>
          <w:tcPr>
            <w:tcW w:w="33"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r>
      <w:tr w:rsidR="00000000">
        <w:trPr>
          <w:divId w:val="33214500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r>
      <w:tr w:rsidR="00000000">
        <w:trPr>
          <w:divId w:val="33214500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8"/>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r>
      <w:tr w:rsidR="00000000">
        <w:trPr>
          <w:divId w:val="3321450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377,01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378,12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321450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Restricted cash, included in other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32145002"/>
          <w:trHeight w:val="144"/>
          <w:tblCellSpacing w:w="15" w:type="dxa"/>
        </w:trPr>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Total cash, cash equivalents, and restricted cas</w:t>
            </w:r>
            <w:r>
              <w:rPr>
                <w:sz w:val="20"/>
                <w:szCs w:val="20"/>
              </w:rPr>
              <w:t>h</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380,04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381,15</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225071469"/>
        <w:rPr>
          <w:sz w:val="20"/>
          <w:szCs w:val="20"/>
        </w:rPr>
      </w:pPr>
      <w:r>
        <w:rPr>
          <w:sz w:val="20"/>
          <w:szCs w:val="20"/>
        </w:rPr>
        <w:t> </w:t>
      </w:r>
    </w:p>
    <w:p w:rsidR="00000000" w:rsidRDefault="00A309A2">
      <w:pPr>
        <w:pStyle w:val="a3"/>
        <w:spacing w:before="40" w:beforeAutospacing="0" w:after="0" w:afterAutospacing="0"/>
        <w:ind w:firstLine="555"/>
        <w:divId w:val="1993948263"/>
        <w:rPr>
          <w:sz w:val="20"/>
          <w:szCs w:val="20"/>
        </w:rPr>
      </w:pPr>
      <w:r>
        <w:rPr>
          <w:b/>
          <w:bCs/>
          <w:sz w:val="20"/>
          <w:szCs w:val="20"/>
        </w:rPr>
        <w:t>Property and Equipmen</w:t>
      </w:r>
      <w:r>
        <w:rPr>
          <w:b/>
          <w:bCs/>
          <w:sz w:val="20"/>
          <w:szCs w:val="20"/>
        </w:rPr>
        <w:t>t</w:t>
      </w:r>
      <w:r>
        <w:rPr>
          <w:sz w:val="20"/>
          <w:szCs w:val="20"/>
        </w:rPr>
        <w:t xml:space="preserve"> —</w:t>
      </w:r>
      <w:r>
        <w:rPr>
          <w:sz w:val="20"/>
          <w:szCs w:val="20"/>
        </w:rPr>
        <w:t>Property and equipment are stated at cost and depreciated using the straight-line method over the estimated useful lives of the related assets. Expenditures for maintenance and repairs are charged to expense as incurred, whereas major betterments are capit</w:t>
      </w:r>
      <w:r>
        <w:rPr>
          <w:sz w:val="20"/>
          <w:szCs w:val="20"/>
        </w:rPr>
        <w:t>alized as additions to leasehold improvements.</w:t>
      </w:r>
      <w:r>
        <w:rPr>
          <w:sz w:val="20"/>
          <w:szCs w:val="20"/>
        </w:rPr>
        <w:t xml:space="preserve"> </w:t>
      </w:r>
      <w:r>
        <w:rPr>
          <w:sz w:val="20"/>
          <w:szCs w:val="20"/>
        </w:rPr>
        <w:t>Depreciation is recorded over the following estimated useful lives</w:t>
      </w:r>
      <w:r>
        <w:rPr>
          <w:sz w:val="20"/>
          <w:szCs w:val="20"/>
        </w:rPr>
        <w:t>:</w:t>
      </w:r>
    </w:p>
    <w:p w:rsidR="00000000" w:rsidRDefault="00A309A2">
      <w:pPr>
        <w:pStyle w:val="a3"/>
        <w:spacing w:before="0" w:beforeAutospacing="0" w:after="0" w:afterAutospacing="0"/>
        <w:divId w:val="154760483"/>
        <w:rPr>
          <w:sz w:val="20"/>
          <w:szCs w:val="20"/>
        </w:rPr>
      </w:pPr>
      <w:r>
        <w:rPr>
          <w:sz w:val="20"/>
          <w:szCs w:val="20"/>
        </w:rPr>
        <w:t> </w:t>
      </w:r>
    </w:p>
    <w:tbl>
      <w:tblPr>
        <w:tblW w:w="3700" w:type="pct"/>
        <w:tblCellSpacing w:w="15" w:type="dxa"/>
        <w:tblCellMar>
          <w:top w:w="15" w:type="dxa"/>
          <w:left w:w="15" w:type="dxa"/>
          <w:bottom w:w="15" w:type="dxa"/>
          <w:right w:w="15" w:type="dxa"/>
        </w:tblCellMar>
        <w:tblLook w:val="04A0" w:firstRow="1" w:lastRow="0" w:firstColumn="1" w:lastColumn="0" w:noHBand="0" w:noVBand="1"/>
      </w:tblPr>
      <w:tblGrid>
        <w:gridCol w:w="3555"/>
        <w:gridCol w:w="111"/>
        <w:gridCol w:w="2480"/>
      </w:tblGrid>
      <w:tr w:rsidR="00000000">
        <w:trPr>
          <w:divId w:val="154760483"/>
          <w:tblCellSpacing w:w="15" w:type="dxa"/>
        </w:trPr>
        <w:tc>
          <w:tcPr>
            <w:tcW w:w="2912" w:type="pct"/>
            <w:vAlign w:val="center"/>
            <w:hideMark/>
          </w:tcPr>
          <w:p w:rsidR="00000000" w:rsidRDefault="00A309A2">
            <w:pPr>
              <w:rPr>
                <w:sz w:val="20"/>
                <w:szCs w:val="20"/>
              </w:rPr>
            </w:pPr>
          </w:p>
        </w:tc>
        <w:tc>
          <w:tcPr>
            <w:tcW w:w="67" w:type="pct"/>
            <w:vAlign w:val="center"/>
            <w:hideMark/>
          </w:tcPr>
          <w:p w:rsidR="00000000" w:rsidRDefault="00A309A2">
            <w:pPr>
              <w:rPr>
                <w:rFonts w:eastAsia="Times New Roman"/>
                <w:sz w:val="20"/>
                <w:szCs w:val="20"/>
              </w:rPr>
            </w:pPr>
          </w:p>
        </w:tc>
        <w:tc>
          <w:tcPr>
            <w:tcW w:w="2019" w:type="pct"/>
            <w:vAlign w:val="center"/>
            <w:hideMark/>
          </w:tcPr>
          <w:p w:rsidR="00000000" w:rsidRDefault="00A309A2">
            <w:pPr>
              <w:rPr>
                <w:rFonts w:eastAsia="Times New Roman"/>
                <w:sz w:val="20"/>
                <w:szCs w:val="20"/>
              </w:rPr>
            </w:pPr>
          </w:p>
        </w:tc>
      </w:tr>
      <w:tr w:rsidR="00000000">
        <w:trPr>
          <w:divId w:val="154760483"/>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b/>
                <w:bCs/>
                <w:sz w:val="16"/>
                <w:szCs w:val="16"/>
              </w:rPr>
              <w:t>Estimated Useful Lif</w:t>
            </w:r>
            <w:r>
              <w:rPr>
                <w:b/>
                <w:bCs/>
                <w:sz w:val="16"/>
                <w:szCs w:val="16"/>
              </w:rPr>
              <w:t>e</w:t>
            </w:r>
          </w:p>
        </w:tc>
      </w:tr>
      <w:tr w:rsidR="00000000">
        <w:trPr>
          <w:divId w:val="15476048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 related computer equipmen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2</w:t>
            </w:r>
            <w:r>
              <w:rPr>
                <w:sz w:val="20"/>
                <w:szCs w:val="20"/>
              </w:rPr>
              <w:t> -</w:t>
            </w:r>
            <w:r>
              <w:rPr>
                <w:sz w:val="20"/>
                <w:szCs w:val="20"/>
              </w:rPr>
              <w:t xml:space="preserve"> </w:t>
            </w:r>
            <w:r>
              <w:rPr>
                <w:sz w:val="20"/>
                <w:szCs w:val="20"/>
              </w:rPr>
              <w:t>3</w:t>
            </w:r>
            <w:r>
              <w:rPr>
                <w:sz w:val="20"/>
                <w:szCs w:val="20"/>
              </w:rPr>
              <w:t> year</w:t>
            </w:r>
            <w:r>
              <w:rPr>
                <w:sz w:val="20"/>
                <w:szCs w:val="20"/>
              </w:rPr>
              <w:t>s</w:t>
            </w:r>
          </w:p>
        </w:tc>
      </w:tr>
      <w:tr w:rsidR="00000000">
        <w:trPr>
          <w:divId w:val="15476048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3</w:t>
            </w:r>
            <w:r>
              <w:rPr>
                <w:sz w:val="20"/>
                <w:szCs w:val="20"/>
              </w:rPr>
              <w:t> year</w:t>
            </w:r>
            <w:r>
              <w:rPr>
                <w:sz w:val="20"/>
                <w:szCs w:val="20"/>
              </w:rPr>
              <w:t>s</w:t>
            </w:r>
          </w:p>
        </w:tc>
      </w:tr>
      <w:tr w:rsidR="00000000">
        <w:trPr>
          <w:divId w:val="15476048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r>
      <w:tr w:rsidR="00000000">
        <w:trPr>
          <w:divId w:val="15476048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Internal use softwar</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r>
      <w:tr w:rsidR="00000000">
        <w:trPr>
          <w:divId w:val="15476048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Lesser of leas</w:t>
            </w:r>
            <w:r>
              <w:rPr>
                <w:sz w:val="20"/>
                <w:szCs w:val="20"/>
              </w:rPr>
              <w:t>e</w:t>
            </w:r>
            <w:r>
              <w:rPr>
                <w:rFonts w:ascii="Calibri" w:hAnsi="Calibri" w:cs="Calibri"/>
                <w:sz w:val="20"/>
                <w:szCs w:val="20"/>
              </w:rPr>
              <w:t xml:space="preserve"> </w:t>
            </w:r>
            <w:r>
              <w:rPr>
                <w:sz w:val="20"/>
                <w:szCs w:val="20"/>
              </w:rPr>
              <w:t>term or useful lif</w:t>
            </w:r>
            <w:r>
              <w:rPr>
                <w:sz w:val="20"/>
                <w:szCs w:val="20"/>
              </w:rPr>
              <w:t>e</w:t>
            </w:r>
          </w:p>
        </w:tc>
      </w:tr>
    </w:tbl>
    <w:p w:rsidR="00000000" w:rsidRDefault="00A309A2">
      <w:pPr>
        <w:pStyle w:val="a3"/>
        <w:spacing w:before="0" w:beforeAutospacing="0" w:after="0" w:afterAutospacing="0"/>
        <w:divId w:val="1993948263"/>
        <w:rPr>
          <w:sz w:val="20"/>
          <w:szCs w:val="20"/>
        </w:rPr>
      </w:pPr>
      <w:r>
        <w:rPr>
          <w:sz w:val="20"/>
          <w:szCs w:val="20"/>
        </w:rPr>
        <w:t> </w:t>
      </w:r>
    </w:p>
    <w:p w:rsidR="00000000" w:rsidRDefault="00A309A2">
      <w:pPr>
        <w:pStyle w:val="a3"/>
        <w:spacing w:before="240" w:beforeAutospacing="0" w:after="0" w:afterAutospacing="0"/>
        <w:jc w:val="center"/>
        <w:divId w:val="1993948263"/>
        <w:rPr>
          <w:sz w:val="20"/>
          <w:szCs w:val="20"/>
        </w:rPr>
      </w:pPr>
      <w:r>
        <w:rPr>
          <w:sz w:val="20"/>
          <w:szCs w:val="20"/>
        </w:rPr>
        <w:t>7</w:t>
      </w:r>
      <w:r>
        <w:rPr>
          <w:sz w:val="20"/>
          <w:szCs w:val="20"/>
        </w:rPr>
        <w:t>0</w:t>
      </w:r>
    </w:p>
    <w:p w:rsidR="00000000" w:rsidRDefault="00A309A2">
      <w:pPr>
        <w:divId w:val="1993948263"/>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A309A2">
      <w:pPr>
        <w:pStyle w:val="a3"/>
        <w:spacing w:before="0" w:beforeAutospacing="0" w:after="0" w:afterAutospacing="0"/>
        <w:divId w:val="1993948263"/>
        <w:rPr>
          <w:sz w:val="20"/>
          <w:szCs w:val="20"/>
        </w:rPr>
      </w:pPr>
      <w:r>
        <w:rPr>
          <w:sz w:val="20"/>
          <w:szCs w:val="20"/>
        </w:rPr>
        <w:t> </w:t>
      </w:r>
    </w:p>
    <w:p w:rsidR="00000000" w:rsidRDefault="00A309A2">
      <w:pPr>
        <w:pStyle w:val="a3"/>
        <w:spacing w:before="40" w:beforeAutospacing="0" w:after="0" w:afterAutospacing="0"/>
        <w:ind w:firstLine="555"/>
        <w:divId w:val="1993948263"/>
        <w:rPr>
          <w:sz w:val="20"/>
          <w:szCs w:val="20"/>
        </w:rPr>
      </w:pPr>
      <w:r>
        <w:rPr>
          <w:sz w:val="20"/>
          <w:szCs w:val="20"/>
        </w:rPr>
        <w:t xml:space="preserve">The Company capitalizes certain payroll and stock compensation costs incurred to develop functionality for certain of the Company’s internally built software platforms. The costs incurred during the preliminary stages </w:t>
      </w:r>
      <w:r>
        <w:rPr>
          <w:sz w:val="20"/>
          <w:szCs w:val="20"/>
        </w:rPr>
        <w:t>of development are expensed as incurred. Once a piece of incremental functionality has reached the development stage certain internal costs are capitalized until the functionality is ready for its intended use. Internal-use software is included within prop</w:t>
      </w:r>
      <w:r>
        <w:rPr>
          <w:sz w:val="20"/>
          <w:szCs w:val="20"/>
        </w:rPr>
        <w:t>erty and equipment on the balance sheet. The costs are generally amortized on a straight-line basis over an estimated useful life of approximately</w:t>
      </w:r>
      <w:r>
        <w:rPr>
          <w:sz w:val="20"/>
          <w:szCs w:val="20"/>
        </w:rPr>
        <w:t xml:space="preserve"> </w:t>
      </w:r>
      <w:r>
        <w:rPr>
          <w:sz w:val="20"/>
          <w:szCs w:val="20"/>
        </w:rPr>
        <w:t>five year</w:t>
      </w:r>
      <w:r>
        <w:rPr>
          <w:sz w:val="20"/>
          <w:szCs w:val="20"/>
        </w:rPr>
        <w:t>s</w:t>
      </w:r>
      <w:r>
        <w:rPr>
          <w:sz w:val="20"/>
          <w:szCs w:val="20"/>
        </w:rPr>
        <w:t>.</w:t>
      </w:r>
    </w:p>
    <w:p w:rsidR="00000000" w:rsidRDefault="00A309A2">
      <w:pPr>
        <w:pStyle w:val="a3"/>
        <w:spacing w:before="200" w:beforeAutospacing="0" w:after="200" w:afterAutospacing="0"/>
        <w:ind w:firstLine="555"/>
        <w:divId w:val="1125540281"/>
        <w:rPr>
          <w:sz w:val="20"/>
          <w:szCs w:val="20"/>
        </w:rPr>
      </w:pPr>
      <w:r>
        <w:rPr>
          <w:b/>
          <w:bCs/>
          <w:sz w:val="20"/>
          <w:szCs w:val="20"/>
        </w:rPr>
        <w:t>Impairment of Long-Lived Asset</w:t>
      </w:r>
      <w:r>
        <w:rPr>
          <w:b/>
          <w:bCs/>
          <w:sz w:val="20"/>
          <w:szCs w:val="20"/>
        </w:rPr>
        <w:t>s</w:t>
      </w:r>
      <w:r>
        <w:rPr>
          <w:sz w:val="20"/>
          <w:szCs w:val="20"/>
        </w:rPr>
        <w:t xml:space="preserve"> </w:t>
      </w:r>
      <w:r>
        <w:rPr>
          <w:sz w:val="20"/>
          <w:szCs w:val="20"/>
        </w:rPr>
        <w:t>—</w:t>
      </w:r>
      <w:r>
        <w:rPr>
          <w:sz w:val="20"/>
          <w:szCs w:val="20"/>
        </w:rPr>
        <w:t>Long-lived assets are reviewed for impairment whenever events or</w:t>
      </w:r>
      <w:r>
        <w:rPr>
          <w:sz w:val="20"/>
          <w:szCs w:val="20"/>
        </w:rPr>
        <w:t xml:space="preserve"> changes in circumstances indicate that the carrying amount of the asset may not be recoverable or that the useful lives of those assets are no longer appropriate. Management considers the following potential indicators of impairment of its long-lived asse</w:t>
      </w:r>
      <w:r>
        <w:rPr>
          <w:sz w:val="20"/>
          <w:szCs w:val="20"/>
        </w:rPr>
        <w:t>ts (asset group): a substantial decrease in the Company’s stock price, a significant adverse change in the extent or manner in which a long-lived asset (asset group) is being used, a significant adverse change in legal factors or in the business climate th</w:t>
      </w:r>
      <w:r>
        <w:rPr>
          <w:sz w:val="20"/>
          <w:szCs w:val="20"/>
        </w:rPr>
        <w:t>at could affect the value of the long-lived asset (asset group), an accumulation of costs significantly in excess of the amount originally expected for the acquisition or construction of a long-lived asset (asset group), and a current expectation that, mor</w:t>
      </w:r>
      <w:r>
        <w:rPr>
          <w:sz w:val="20"/>
          <w:szCs w:val="20"/>
        </w:rPr>
        <w:t>e likely than not, a long lived asset (asset group) will be sold or otherwise disposed of significantly before the end of its previously estimated useful life. When such events occur, the Company compares the carrying amounts of the assets to their undisco</w:t>
      </w:r>
      <w:r>
        <w:rPr>
          <w:sz w:val="20"/>
          <w:szCs w:val="20"/>
        </w:rPr>
        <w:t>unted expected future cash flows. If this comparison indicates that there may be an impairment, the amount of the impairment is calculated as the difference between the carrying value and fair value. For the years presented, the Company did</w:t>
      </w:r>
      <w:r>
        <w:rPr>
          <w:sz w:val="20"/>
          <w:szCs w:val="20"/>
        </w:rPr>
        <w:t xml:space="preserve"> </w:t>
      </w:r>
      <w:r>
        <w:rPr>
          <w:sz w:val="20"/>
          <w:szCs w:val="20"/>
        </w:rPr>
        <w:t>n</w:t>
      </w:r>
      <w:r>
        <w:rPr>
          <w:sz w:val="20"/>
          <w:szCs w:val="20"/>
        </w:rPr>
        <w:t>o</w:t>
      </w:r>
      <w:r>
        <w:rPr>
          <w:sz w:val="20"/>
          <w:szCs w:val="20"/>
        </w:rPr>
        <w:t>t recognize a</w:t>
      </w:r>
      <w:r>
        <w:rPr>
          <w:sz w:val="20"/>
          <w:szCs w:val="20"/>
        </w:rPr>
        <w:t>n impairment charge</w:t>
      </w:r>
      <w:r>
        <w:rPr>
          <w:sz w:val="20"/>
          <w:szCs w:val="20"/>
        </w:rPr>
        <w:t>.</w:t>
      </w:r>
    </w:p>
    <w:p w:rsidR="00000000" w:rsidRDefault="00A309A2">
      <w:pPr>
        <w:pStyle w:val="a3"/>
        <w:spacing w:before="200" w:beforeAutospacing="0" w:after="200" w:afterAutospacing="0"/>
        <w:ind w:firstLine="555"/>
        <w:divId w:val="222836767"/>
        <w:rPr>
          <w:sz w:val="20"/>
          <w:szCs w:val="20"/>
        </w:rPr>
      </w:pPr>
      <w:r>
        <w:rPr>
          <w:b/>
          <w:bCs/>
          <w:sz w:val="20"/>
          <w:szCs w:val="20"/>
        </w:rPr>
        <w:t>Intangible Assets</w:t>
      </w:r>
      <w:r>
        <w:rPr>
          <w:b/>
          <w:bCs/>
          <w:sz w:val="20"/>
          <w:szCs w:val="20"/>
        </w:rPr>
        <w:t xml:space="preserve"> </w:t>
      </w:r>
      <w:r>
        <w:rPr>
          <w:sz w:val="20"/>
          <w:szCs w:val="20"/>
        </w:rPr>
        <w:t xml:space="preserve">— Intangible assets consist of acquired technology, trade name and customer relationships. The Company records acquired intangible assets at fair value on the date of acquisition and amortize such assets in a pattern </w:t>
      </w:r>
      <w:r>
        <w:rPr>
          <w:sz w:val="20"/>
          <w:szCs w:val="20"/>
        </w:rPr>
        <w:t>reflective of the expected economic benefits consumption over the expected useful life of the asset. If this pattern cannot be reliably determined, a straight-line amortization method is used. The Company evaluates the useful lives of these assets on an an</w:t>
      </w:r>
      <w:r>
        <w:rPr>
          <w:sz w:val="20"/>
          <w:szCs w:val="20"/>
        </w:rPr>
        <w:t>nual basis and tests for impairment whenever events or changes in circumstances occur that could impact the recoverability of these assets. If the estimate of an intangible asset’s remaining useful life is changed, the remaining carrying value of the intan</w:t>
      </w:r>
      <w:r>
        <w:rPr>
          <w:sz w:val="20"/>
          <w:szCs w:val="20"/>
        </w:rPr>
        <w:t>gible asset is amortized prospectively over the revised remaining useful life</w:t>
      </w:r>
      <w:r>
        <w:rPr>
          <w:sz w:val="20"/>
          <w:szCs w:val="20"/>
        </w:rPr>
        <w:t>.</w:t>
      </w:r>
    </w:p>
    <w:p w:rsidR="00000000" w:rsidRDefault="00A309A2">
      <w:pPr>
        <w:pStyle w:val="a3"/>
        <w:spacing w:before="200" w:beforeAutospacing="0" w:after="200" w:afterAutospacing="0"/>
        <w:ind w:firstLine="555"/>
        <w:divId w:val="253591417"/>
        <w:rPr>
          <w:sz w:val="20"/>
          <w:szCs w:val="20"/>
        </w:rPr>
      </w:pPr>
      <w:r>
        <w:rPr>
          <w:b/>
          <w:bCs/>
          <w:sz w:val="20"/>
          <w:szCs w:val="20"/>
        </w:rPr>
        <w:t>Goodwil</w:t>
      </w:r>
      <w:r>
        <w:rPr>
          <w:b/>
          <w:bCs/>
          <w:sz w:val="20"/>
          <w:szCs w:val="20"/>
        </w:rPr>
        <w:t>l</w:t>
      </w:r>
      <w:r>
        <w:rPr>
          <w:sz w:val="20"/>
          <w:szCs w:val="20"/>
        </w:rPr>
        <w:t xml:space="preserve"> —Goodwill represents the excess of cost over the fair value of the net tangible and identifiable intangible assets acquired in a business combination. Goodwill is not s</w:t>
      </w:r>
      <w:r>
        <w:rPr>
          <w:sz w:val="20"/>
          <w:szCs w:val="20"/>
        </w:rPr>
        <w:t>ubject to amortization but is monitored annually for impairment or more frequently if there are indicators of impairment. Management considers the following potential indicators of impairment: significant underperformance relative to historical or projecte</w:t>
      </w:r>
      <w:r>
        <w:rPr>
          <w:sz w:val="20"/>
          <w:szCs w:val="20"/>
        </w:rPr>
        <w:t>d future operating results, significant changes in the Company’s use of acquired assets or the strategy of the Company’s overall business, significant negative industry or economic trends and a significant decline in the Company’s stock price for a sustain</w:t>
      </w:r>
      <w:r>
        <w:rPr>
          <w:sz w:val="20"/>
          <w:szCs w:val="20"/>
        </w:rPr>
        <w:t>ed period. The Company performs its annual impairment test on November 30. Currently, the Company’s goodwill is evaluated at the consolidated level as it has been determined there is one operating segment comprised of</w:t>
      </w:r>
      <w:r>
        <w:rPr>
          <w:sz w:val="20"/>
          <w:szCs w:val="20"/>
        </w:rPr>
        <w:t xml:space="preserve"> </w:t>
      </w:r>
      <w:r>
        <w:rPr>
          <w:sz w:val="20"/>
          <w:szCs w:val="20"/>
        </w:rPr>
        <w:t>on</w:t>
      </w:r>
      <w:r>
        <w:rPr>
          <w:sz w:val="20"/>
          <w:szCs w:val="20"/>
        </w:rPr>
        <w:t>e</w:t>
      </w:r>
      <w:r>
        <w:rPr>
          <w:sz w:val="20"/>
          <w:szCs w:val="20"/>
        </w:rPr>
        <w:t xml:space="preserve"> reporting unit. When assessing goo</w:t>
      </w:r>
      <w:r>
        <w:rPr>
          <w:sz w:val="20"/>
          <w:szCs w:val="20"/>
        </w:rPr>
        <w:t>dwill for impairment the Company first performs a qualitative assessment to determine whether it is necessary to perform a quantitative analysis. If the Company determines it is unlikely that the reporting unit fair value is less than its carrying value th</w:t>
      </w:r>
      <w:r>
        <w:rPr>
          <w:sz w:val="20"/>
          <w:szCs w:val="20"/>
        </w:rPr>
        <w:t>en no quantitative assessment is performed. If the Company cannot determine that it is likely that the reporting unit fair value is more than its carrying value, then the Company performs a quantitative assessment. Based on the qualitative assessment perfo</w:t>
      </w:r>
      <w:r>
        <w:rPr>
          <w:sz w:val="20"/>
          <w:szCs w:val="20"/>
        </w:rPr>
        <w:t>rmed on November 30,</w:t>
      </w:r>
      <w:r>
        <w:rPr>
          <w:sz w:val="20"/>
          <w:szCs w:val="20"/>
        </w:rPr>
        <w:t xml:space="preserve"> </w:t>
      </w:r>
      <w:r>
        <w:rPr>
          <w:sz w:val="20"/>
          <w:szCs w:val="20"/>
        </w:rPr>
        <w:t>202</w:t>
      </w:r>
      <w:r>
        <w:rPr>
          <w:sz w:val="20"/>
          <w:szCs w:val="20"/>
        </w:rPr>
        <w:t>1</w:t>
      </w:r>
      <w:r>
        <w:rPr>
          <w:sz w:val="20"/>
          <w:szCs w:val="20"/>
        </w:rPr>
        <w:t>, the Company determined it was unlikely that its reporting unit fair value was less than its carrying value and no quantitative assessment was required. There were no indicators that the Company’s goodwill had become impaired sinc</w:t>
      </w:r>
      <w:r>
        <w:rPr>
          <w:sz w:val="20"/>
          <w:szCs w:val="20"/>
        </w:rPr>
        <w:t>e that date, and as such, there was</w:t>
      </w:r>
      <w:r>
        <w:rPr>
          <w:sz w:val="20"/>
          <w:szCs w:val="20"/>
        </w:rPr>
        <w:t xml:space="preserve"> </w:t>
      </w:r>
      <w:r>
        <w:rPr>
          <w:sz w:val="20"/>
          <w:szCs w:val="20"/>
        </w:rPr>
        <w:t>n</w:t>
      </w:r>
      <w:r>
        <w:rPr>
          <w:sz w:val="20"/>
          <w:szCs w:val="20"/>
        </w:rPr>
        <w:t>o</w:t>
      </w:r>
      <w:r>
        <w:rPr>
          <w:sz w:val="20"/>
          <w:szCs w:val="20"/>
        </w:rPr>
        <w:t xml:space="preserve"> impairment of goodwill as of November 30,</w:t>
      </w:r>
      <w:r>
        <w:rPr>
          <w:sz w:val="20"/>
          <w:szCs w:val="20"/>
        </w:rPr>
        <w:t xml:space="preserve"> </w:t>
      </w:r>
      <w:r>
        <w:rPr>
          <w:sz w:val="20"/>
          <w:szCs w:val="20"/>
        </w:rPr>
        <w:t>202</w:t>
      </w:r>
      <w:r>
        <w:rPr>
          <w:sz w:val="20"/>
          <w:szCs w:val="20"/>
        </w:rPr>
        <w:t>1</w:t>
      </w:r>
      <w:r>
        <w:rPr>
          <w:sz w:val="20"/>
          <w:szCs w:val="20"/>
        </w:rPr>
        <w:t xml:space="preserve"> or December 31,</w:t>
      </w:r>
      <w:r>
        <w:rPr>
          <w:sz w:val="20"/>
          <w:szCs w:val="20"/>
        </w:rPr>
        <w:t xml:space="preserve"> </w:t>
      </w:r>
      <w:r>
        <w:rPr>
          <w:sz w:val="20"/>
          <w:szCs w:val="20"/>
        </w:rPr>
        <w:t>202</w:t>
      </w:r>
      <w:r>
        <w:rPr>
          <w:sz w:val="20"/>
          <w:szCs w:val="20"/>
        </w:rPr>
        <w:t>1</w:t>
      </w:r>
      <w:r>
        <w:rPr>
          <w:sz w:val="20"/>
          <w:szCs w:val="20"/>
        </w:rPr>
        <w:t>.</w:t>
      </w:r>
    </w:p>
    <w:p w:rsidR="00000000" w:rsidRDefault="00A309A2">
      <w:pPr>
        <w:pStyle w:val="a3"/>
        <w:spacing w:before="200" w:beforeAutospacing="0" w:after="200" w:afterAutospacing="0"/>
        <w:ind w:firstLine="555"/>
        <w:divId w:val="253591417"/>
        <w:rPr>
          <w:sz w:val="20"/>
          <w:szCs w:val="20"/>
        </w:rPr>
      </w:pPr>
      <w:r>
        <w:rPr>
          <w:sz w:val="20"/>
          <w:szCs w:val="20"/>
        </w:rPr>
        <w:t>For the years ended December 31, 2021, 2020 and 201</w:t>
      </w:r>
      <w:r>
        <w:rPr>
          <w:sz w:val="20"/>
          <w:szCs w:val="20"/>
        </w:rPr>
        <w:t>9</w:t>
      </w:r>
      <w:r>
        <w:rPr>
          <w:sz w:val="20"/>
          <w:szCs w:val="20"/>
        </w:rPr>
        <w:t>, the Company did</w:t>
      </w:r>
      <w:r>
        <w:rPr>
          <w:sz w:val="20"/>
          <w:szCs w:val="20"/>
        </w:rPr>
        <w:t xml:space="preserve"> </w:t>
      </w:r>
      <w:r>
        <w:rPr>
          <w:sz w:val="20"/>
          <w:szCs w:val="20"/>
        </w:rPr>
        <w:t>n</w:t>
      </w:r>
      <w:r>
        <w:rPr>
          <w:sz w:val="20"/>
          <w:szCs w:val="20"/>
        </w:rPr>
        <w:t>o</w:t>
      </w:r>
      <w:r>
        <w:rPr>
          <w:sz w:val="20"/>
          <w:szCs w:val="20"/>
        </w:rPr>
        <w:t>t recognize an impairment charge</w:t>
      </w:r>
      <w:r>
        <w:rPr>
          <w:sz w:val="20"/>
          <w:szCs w:val="20"/>
        </w:rPr>
        <w:t>.</w:t>
      </w:r>
    </w:p>
    <w:p w:rsidR="00000000" w:rsidRDefault="00A309A2">
      <w:pPr>
        <w:pStyle w:val="a3"/>
        <w:spacing w:before="200" w:beforeAutospacing="0" w:after="200" w:afterAutospacing="0"/>
        <w:ind w:firstLine="555"/>
        <w:divId w:val="1747190735"/>
        <w:rPr>
          <w:sz w:val="20"/>
          <w:szCs w:val="20"/>
        </w:rPr>
      </w:pPr>
      <w:r>
        <w:rPr>
          <w:b/>
          <w:bCs/>
          <w:sz w:val="20"/>
          <w:szCs w:val="20"/>
        </w:rPr>
        <w:t>Business Combinations</w:t>
      </w:r>
      <w:r>
        <w:rPr>
          <w:b/>
          <w:bCs/>
          <w:sz w:val="20"/>
          <w:szCs w:val="20"/>
        </w:rPr>
        <w:t xml:space="preserve"> </w:t>
      </w:r>
      <w:r>
        <w:rPr>
          <w:sz w:val="20"/>
          <w:szCs w:val="20"/>
        </w:rPr>
        <w:t>— The Company uses i</w:t>
      </w:r>
      <w:r>
        <w:rPr>
          <w:sz w:val="20"/>
          <w:szCs w:val="20"/>
        </w:rPr>
        <w:t>ts best estimates and assumptions to assign fair value to the tangible and intangible assets acquired and liabilities assumed at the acquisition date. The purchase price allocation process requires management to make significant judgment with respect to in</w:t>
      </w:r>
      <w:r>
        <w:rPr>
          <w:sz w:val="20"/>
          <w:szCs w:val="20"/>
        </w:rPr>
        <w:t>tangible assets. Fair value and useful life determinations are based on, among other factors, estimates of future expected cash flows attributable to the acquired intangible asset and appropriate discount rates used in computing present values. Goodwill re</w:t>
      </w:r>
      <w:r>
        <w:rPr>
          <w:sz w:val="20"/>
          <w:szCs w:val="20"/>
        </w:rPr>
        <w:t>presents the excess of the purchase price over the estimated fair values of the assets acquired and liabilities assumed</w:t>
      </w:r>
      <w:r>
        <w:rPr>
          <w:sz w:val="20"/>
          <w:szCs w:val="20"/>
        </w:rPr>
        <w:t>.</w:t>
      </w:r>
    </w:p>
    <w:p w:rsidR="00000000" w:rsidRDefault="00A309A2">
      <w:pPr>
        <w:pStyle w:val="a3"/>
        <w:spacing w:before="200" w:beforeAutospacing="0" w:after="200" w:afterAutospacing="0"/>
        <w:ind w:firstLine="555"/>
        <w:divId w:val="1747190735"/>
        <w:rPr>
          <w:sz w:val="20"/>
          <w:szCs w:val="20"/>
        </w:rPr>
      </w:pPr>
      <w:r>
        <w:rPr>
          <w:sz w:val="20"/>
          <w:szCs w:val="20"/>
        </w:rPr>
        <w:t>The Company’s estimates are inherently uncertain and subject to refinement. During the measurement period, which may be up to</w:t>
      </w:r>
      <w:r>
        <w:rPr>
          <w:sz w:val="20"/>
          <w:szCs w:val="20"/>
        </w:rPr>
        <w:t xml:space="preserve"> </w:t>
      </w:r>
      <w:r>
        <w:rPr>
          <w:sz w:val="20"/>
          <w:szCs w:val="20"/>
        </w:rPr>
        <w:t>one yea</w:t>
      </w:r>
      <w:r>
        <w:rPr>
          <w:sz w:val="20"/>
          <w:szCs w:val="20"/>
        </w:rPr>
        <w:t>r</w:t>
      </w:r>
      <w:r>
        <w:rPr>
          <w:sz w:val="20"/>
          <w:szCs w:val="20"/>
        </w:rPr>
        <w:t xml:space="preserve"> </w:t>
      </w:r>
      <w:r>
        <w:rPr>
          <w:sz w:val="20"/>
          <w:szCs w:val="20"/>
        </w:rPr>
        <w:t>from the acquisition date, the Company may record adjustments to the fair value of these tangible and intangible assets acquired and liabilities assumed, with the corresponding offset to goodwill. The Company continues to collect information and reevaluate</w:t>
      </w:r>
      <w:r>
        <w:rPr>
          <w:sz w:val="20"/>
          <w:szCs w:val="20"/>
        </w:rPr>
        <w:t>s these estimates and assumptions quarterly and records any adjustments to the Company’s preliminary estimates to goodwill provided that the Company is within the measurement period. Upon the conclusion of the measurement period or final determination of t</w:t>
      </w:r>
      <w:r>
        <w:rPr>
          <w:sz w:val="20"/>
          <w:szCs w:val="20"/>
        </w:rPr>
        <w:t>he fair value of assets acquired or liabilities assumed, whichever comes first, any subsequent adjustments are recorded to the Company’s consolidated statement of operations</w:t>
      </w:r>
      <w:r>
        <w:rPr>
          <w:sz w:val="20"/>
          <w:szCs w:val="20"/>
        </w:rPr>
        <w:t>.</w:t>
      </w:r>
    </w:p>
    <w:p w:rsidR="00000000" w:rsidRDefault="00A309A2">
      <w:pPr>
        <w:pStyle w:val="a3"/>
        <w:spacing w:before="240" w:beforeAutospacing="0" w:after="0" w:afterAutospacing="0"/>
        <w:jc w:val="center"/>
        <w:divId w:val="1225071469"/>
        <w:rPr>
          <w:sz w:val="20"/>
          <w:szCs w:val="20"/>
        </w:rPr>
      </w:pPr>
      <w:r>
        <w:rPr>
          <w:sz w:val="20"/>
          <w:szCs w:val="20"/>
        </w:rPr>
        <w:t>7</w:t>
      </w:r>
      <w:r>
        <w:rPr>
          <w:sz w:val="20"/>
          <w:szCs w:val="20"/>
        </w:rPr>
        <w:t>1</w:t>
      </w:r>
    </w:p>
    <w:p w:rsidR="00000000" w:rsidRDefault="00A309A2">
      <w:pPr>
        <w:divId w:val="1225071469"/>
        <w:rPr>
          <w:rFonts w:eastAsia="Times New Roman"/>
        </w:rPr>
      </w:pPr>
      <w:r>
        <w:rPr>
          <w:rFonts w:eastAsia="Times New Roman"/>
        </w:rPr>
        <w:pict>
          <v:rect id="_x0000_i1098" style="width:0;height:1.5pt" o:hralign="center" o:hrstd="t" o:hr="t" fillcolor="#a0a0a0" stroked="f"/>
        </w:pict>
      </w:r>
    </w:p>
    <w:p w:rsidR="00000000" w:rsidRDefault="00A309A2">
      <w:pPr>
        <w:pStyle w:val="a3"/>
        <w:spacing w:before="0" w:beforeAutospacing="0" w:after="0" w:afterAutospacing="0"/>
        <w:divId w:val="1225071469"/>
        <w:rPr>
          <w:sz w:val="20"/>
          <w:szCs w:val="20"/>
        </w:rPr>
      </w:pPr>
      <w:r>
        <w:rPr>
          <w:sz w:val="20"/>
          <w:szCs w:val="20"/>
        </w:rPr>
        <w:t> </w:t>
      </w:r>
    </w:p>
    <w:p w:rsidR="00000000" w:rsidRDefault="00A309A2">
      <w:pPr>
        <w:pStyle w:val="a3"/>
        <w:spacing w:before="200" w:beforeAutospacing="0" w:after="200" w:afterAutospacing="0"/>
        <w:ind w:firstLine="555"/>
        <w:divId w:val="383719851"/>
        <w:rPr>
          <w:sz w:val="20"/>
          <w:szCs w:val="20"/>
        </w:rPr>
      </w:pPr>
      <w:r>
        <w:rPr>
          <w:b/>
          <w:bCs/>
          <w:sz w:val="20"/>
          <w:szCs w:val="20"/>
        </w:rPr>
        <w:t>Advertising Expens</w:t>
      </w:r>
      <w:r>
        <w:rPr>
          <w:b/>
          <w:bCs/>
          <w:sz w:val="20"/>
          <w:szCs w:val="20"/>
        </w:rPr>
        <w:t>e</w:t>
      </w:r>
      <w:r>
        <w:rPr>
          <w:sz w:val="20"/>
          <w:szCs w:val="20"/>
        </w:rPr>
        <w:t xml:space="preserve"> —</w:t>
      </w:r>
      <w:r>
        <w:rPr>
          <w:sz w:val="20"/>
          <w:szCs w:val="20"/>
        </w:rPr>
        <w:t>The Company expenses advertising as incurred, which is included in sales and marketing expense in the accompanying consolidated statements of operations. The Company</w:t>
      </w:r>
      <w:r>
        <w:rPr>
          <w:sz w:val="20"/>
          <w:szCs w:val="20"/>
        </w:rPr>
        <w:t xml:space="preserve"> </w:t>
      </w:r>
      <w:r>
        <w:rPr>
          <w:sz w:val="20"/>
          <w:szCs w:val="20"/>
        </w:rPr>
        <w:t xml:space="preserve">incurred </w:t>
      </w:r>
      <w:r>
        <w:rPr>
          <w:sz w:val="20"/>
          <w:szCs w:val="20"/>
        </w:rPr>
        <w:t>$</w:t>
      </w:r>
      <w:r>
        <w:rPr>
          <w:sz w:val="20"/>
          <w:szCs w:val="20"/>
        </w:rPr>
        <w:t>37.</w:t>
      </w:r>
      <w:r>
        <w:rPr>
          <w:sz w:val="20"/>
          <w:szCs w:val="20"/>
        </w:rPr>
        <w:t>3</w:t>
      </w:r>
      <w:r>
        <w:rPr>
          <w:sz w:val="20"/>
          <w:szCs w:val="20"/>
        </w:rPr>
        <w:t xml:space="preserve"> millio</w:t>
      </w:r>
      <w:r>
        <w:rPr>
          <w:sz w:val="20"/>
          <w:szCs w:val="20"/>
        </w:rPr>
        <w:t>n</w:t>
      </w:r>
      <w:r>
        <w:rPr>
          <w:sz w:val="20"/>
          <w:szCs w:val="20"/>
        </w:rPr>
        <w:t xml:space="preserve"> of advertising expense in 2021, </w:t>
      </w:r>
      <w:r>
        <w:rPr>
          <w:sz w:val="20"/>
          <w:szCs w:val="20"/>
        </w:rPr>
        <w:t>$</w:t>
      </w:r>
      <w:r>
        <w:rPr>
          <w:sz w:val="20"/>
          <w:szCs w:val="20"/>
        </w:rPr>
        <w:t>21.</w:t>
      </w:r>
      <w:r>
        <w:rPr>
          <w:sz w:val="20"/>
          <w:szCs w:val="20"/>
        </w:rPr>
        <w:t>9</w:t>
      </w:r>
      <w:r>
        <w:rPr>
          <w:sz w:val="20"/>
          <w:szCs w:val="20"/>
        </w:rPr>
        <w:t xml:space="preserve"> million in 2020, and </w:t>
      </w:r>
      <w:r>
        <w:rPr>
          <w:sz w:val="20"/>
          <w:szCs w:val="20"/>
        </w:rPr>
        <w:t>$</w:t>
      </w:r>
      <w:r>
        <w:rPr>
          <w:sz w:val="20"/>
          <w:szCs w:val="20"/>
        </w:rPr>
        <w:t>14.</w:t>
      </w:r>
      <w:r>
        <w:rPr>
          <w:sz w:val="20"/>
          <w:szCs w:val="20"/>
        </w:rPr>
        <w:t>9</w:t>
      </w:r>
      <w:r>
        <w:rPr>
          <w:sz w:val="20"/>
          <w:szCs w:val="20"/>
        </w:rPr>
        <w:t xml:space="preserve"> mi</w:t>
      </w:r>
      <w:r>
        <w:rPr>
          <w:sz w:val="20"/>
          <w:szCs w:val="20"/>
        </w:rPr>
        <w:t>llion in 201</w:t>
      </w:r>
      <w:r>
        <w:rPr>
          <w:sz w:val="20"/>
          <w:szCs w:val="20"/>
        </w:rPr>
        <w:t>9</w:t>
      </w:r>
      <w:r>
        <w:rPr>
          <w:sz w:val="20"/>
          <w:szCs w:val="20"/>
        </w:rPr>
        <w:t>.</w:t>
      </w:r>
    </w:p>
    <w:p w:rsidR="00000000" w:rsidRDefault="00A309A2">
      <w:pPr>
        <w:pStyle w:val="a3"/>
        <w:spacing w:before="200" w:beforeAutospacing="0" w:after="200" w:afterAutospacing="0"/>
        <w:ind w:firstLine="555"/>
        <w:divId w:val="888734602"/>
        <w:rPr>
          <w:sz w:val="20"/>
          <w:szCs w:val="20"/>
        </w:rPr>
      </w:pPr>
      <w:r>
        <w:rPr>
          <w:b/>
          <w:bCs/>
          <w:sz w:val="20"/>
          <w:szCs w:val="20"/>
        </w:rPr>
        <w:t>Lease</w:t>
      </w:r>
      <w:r>
        <w:rPr>
          <w:b/>
          <w:bCs/>
          <w:sz w:val="20"/>
          <w:szCs w:val="20"/>
        </w:rPr>
        <w:t>s</w:t>
      </w:r>
      <w:r>
        <w:rPr>
          <w:sz w:val="20"/>
          <w:szCs w:val="20"/>
        </w:rPr>
        <w:t xml:space="preserve"> — The Company determines if an arrangement contains a lease at inception and does not separate lease and non-lease components of an arrangement determined to contain a lease. Operating leases are included in right-of-use ("ROU") asset</w:t>
      </w:r>
      <w:r>
        <w:rPr>
          <w:sz w:val="20"/>
          <w:szCs w:val="20"/>
        </w:rPr>
        <w:t xml:space="preserve">s, current operating lease liabilities and operating lease liabilities, net of current portion, on the Company’s consolidated balance sheet. Operating leases with a duration of 12 months or less are excluded from ROU assets and operating lease liabilities </w:t>
      </w:r>
      <w:r>
        <w:rPr>
          <w:sz w:val="20"/>
          <w:szCs w:val="20"/>
        </w:rPr>
        <w:t>and related expense is recorded as incurred</w:t>
      </w:r>
      <w:r>
        <w:rPr>
          <w:sz w:val="20"/>
          <w:szCs w:val="20"/>
        </w:rPr>
        <w:t>.</w:t>
      </w:r>
      <w:r>
        <w:rPr>
          <w:sz w:val="20"/>
          <w:szCs w:val="20"/>
        </w:rPr>
        <w:t xml:space="preserve"> </w:t>
      </w:r>
    </w:p>
    <w:p w:rsidR="00000000" w:rsidRDefault="00A309A2">
      <w:pPr>
        <w:pStyle w:val="a3"/>
        <w:spacing w:before="200" w:beforeAutospacing="0" w:after="200" w:afterAutospacing="0"/>
        <w:ind w:firstLine="555"/>
        <w:divId w:val="888734602"/>
        <w:rPr>
          <w:sz w:val="20"/>
          <w:szCs w:val="20"/>
        </w:rPr>
      </w:pPr>
      <w:r>
        <w:rPr>
          <w:sz w:val="20"/>
          <w:szCs w:val="20"/>
        </w:rPr>
        <w:t>ROU assets represent the Company's right to use an underlying asset for the lease term and the corresponding lease liabilities represent its obligation to make lease payments arising from the lease. Lease ROU a</w:t>
      </w:r>
      <w:r>
        <w:rPr>
          <w:sz w:val="20"/>
          <w:szCs w:val="20"/>
        </w:rPr>
        <w:t>ssets and lease liabilities are recognized based on the present value of the future minimum lease payments over the lease term at the lease commencement date. The lease ROU asset includes any initial direct costs incurred and is reduced for tenant incentiv</w:t>
      </w:r>
      <w:r>
        <w:rPr>
          <w:sz w:val="20"/>
          <w:szCs w:val="20"/>
        </w:rPr>
        <w:t>es. As the Company’s operating leases do not provide an implicit rate, the net present value of future minimum lease payments is determined using the Company’s incremental borrowing rate. To determine the estimated incremental borrowing rate, the Company u</w:t>
      </w:r>
      <w:r>
        <w:rPr>
          <w:sz w:val="20"/>
          <w:szCs w:val="20"/>
        </w:rPr>
        <w:t>ses publicly available credit ratings for peer companies. The Company estimates the incremental borrowing rate using yields for maturities that are in line with the duration of the lease payments</w:t>
      </w:r>
      <w:r>
        <w:rPr>
          <w:sz w:val="20"/>
          <w:szCs w:val="20"/>
        </w:rPr>
        <w:t>.</w:t>
      </w:r>
      <w:r>
        <w:rPr>
          <w:sz w:val="20"/>
          <w:szCs w:val="20"/>
        </w:rPr>
        <w:t xml:space="preserve"> </w:t>
      </w:r>
    </w:p>
    <w:p w:rsidR="00000000" w:rsidRDefault="00A309A2">
      <w:pPr>
        <w:pStyle w:val="a3"/>
        <w:spacing w:before="200" w:beforeAutospacing="0" w:after="200" w:afterAutospacing="0"/>
        <w:ind w:firstLine="555"/>
        <w:divId w:val="888734602"/>
        <w:rPr>
          <w:sz w:val="20"/>
          <w:szCs w:val="20"/>
        </w:rPr>
      </w:pPr>
      <w:r>
        <w:rPr>
          <w:sz w:val="20"/>
          <w:szCs w:val="20"/>
        </w:rPr>
        <w:t>Lease expense for minimum lease payments for operating lea</w:t>
      </w:r>
      <w:r>
        <w:rPr>
          <w:sz w:val="20"/>
          <w:szCs w:val="20"/>
        </w:rPr>
        <w:t>ses is recognized on a straight-line basis over the lease term. Improvement reimbursements from landlords are amortized through ROU assets on a straight-line basis as a reduction to rent expense over the terms of the corresponding leases</w:t>
      </w:r>
      <w:r>
        <w:rPr>
          <w:sz w:val="20"/>
          <w:szCs w:val="20"/>
        </w:rPr>
        <w:t>.</w:t>
      </w:r>
    </w:p>
    <w:p w:rsidR="00000000" w:rsidRDefault="00A309A2">
      <w:pPr>
        <w:pStyle w:val="a3"/>
        <w:spacing w:before="200" w:beforeAutospacing="0" w:after="200" w:afterAutospacing="0"/>
        <w:ind w:firstLine="555"/>
        <w:divId w:val="888734602"/>
        <w:rPr>
          <w:sz w:val="20"/>
          <w:szCs w:val="20"/>
        </w:rPr>
      </w:pPr>
      <w:r>
        <w:rPr>
          <w:b/>
          <w:bCs/>
          <w:i/>
          <w:iCs/>
          <w:sz w:val="20"/>
          <w:szCs w:val="20"/>
        </w:rPr>
        <w:t xml:space="preserve">Asset retirement </w:t>
      </w:r>
      <w:r>
        <w:rPr>
          <w:b/>
          <w:bCs/>
          <w:i/>
          <w:iCs/>
          <w:sz w:val="20"/>
          <w:szCs w:val="20"/>
        </w:rPr>
        <w:t>obligations (“ARO”</w:t>
      </w:r>
      <w:r>
        <w:rPr>
          <w:b/>
          <w:bCs/>
          <w:i/>
          <w:iCs/>
          <w:sz w:val="20"/>
          <w:szCs w:val="20"/>
        </w:rPr>
        <w:t>)</w:t>
      </w:r>
    </w:p>
    <w:p w:rsidR="00000000" w:rsidRDefault="00A309A2">
      <w:pPr>
        <w:pStyle w:val="a3"/>
        <w:spacing w:before="200" w:beforeAutospacing="0" w:after="200" w:afterAutospacing="0"/>
        <w:ind w:firstLine="555"/>
        <w:divId w:val="888734602"/>
        <w:rPr>
          <w:sz w:val="20"/>
          <w:szCs w:val="20"/>
        </w:rPr>
      </w:pPr>
      <w:r>
        <w:rPr>
          <w:sz w:val="20"/>
          <w:szCs w:val="20"/>
        </w:rPr>
        <w:t>On the lease commencement date the Company establishes an ARO based on the present value of contractually required estimated future costs to retire long-lived assets at the termination or expiration of a lease. The asset associated with</w:t>
      </w:r>
      <w:r>
        <w:rPr>
          <w:sz w:val="20"/>
          <w:szCs w:val="20"/>
        </w:rPr>
        <w:t xml:space="preserve"> the ARO is amortized over the corresponding lease term to operating expense and the ARO is accreted to the end of lease obligation value over the same term</w:t>
      </w:r>
      <w:r>
        <w:rPr>
          <w:sz w:val="20"/>
          <w:szCs w:val="20"/>
        </w:rPr>
        <w:t>.</w:t>
      </w:r>
    </w:p>
    <w:p w:rsidR="00000000" w:rsidRDefault="00A309A2">
      <w:pPr>
        <w:pStyle w:val="a3"/>
        <w:spacing w:before="200" w:beforeAutospacing="0" w:after="200" w:afterAutospacing="0"/>
        <w:ind w:firstLine="555"/>
        <w:divId w:val="1551961484"/>
        <w:rPr>
          <w:sz w:val="20"/>
          <w:szCs w:val="20"/>
        </w:rPr>
      </w:pPr>
      <w:r>
        <w:rPr>
          <w:b/>
          <w:bCs/>
          <w:sz w:val="20"/>
          <w:szCs w:val="20"/>
        </w:rPr>
        <w:t>Revenue Recognitio</w:t>
      </w:r>
      <w:r>
        <w:rPr>
          <w:b/>
          <w:bCs/>
          <w:sz w:val="20"/>
          <w:szCs w:val="20"/>
        </w:rPr>
        <w:t>n</w:t>
      </w:r>
      <w:r>
        <w:rPr>
          <w:sz w:val="20"/>
          <w:szCs w:val="20"/>
        </w:rPr>
        <w:t xml:space="preserve"> — The Company generates revenue from arrangements with multiple performance ob</w:t>
      </w:r>
      <w:r>
        <w:rPr>
          <w:sz w:val="20"/>
          <w:szCs w:val="20"/>
        </w:rPr>
        <w:t xml:space="preserve">ligations, which typically include subscriptions to its online software products and professional services which include on-boarding, training and consulting services. The Company’s customers do not have the right to take possession of the online software </w:t>
      </w:r>
      <w:r>
        <w:rPr>
          <w:sz w:val="20"/>
          <w:szCs w:val="20"/>
        </w:rPr>
        <w:t>products. The Company recognizes revenue from contracts with customers using a five-step model, which is described below</w:t>
      </w:r>
      <w:r>
        <w:rPr>
          <w:sz w:val="20"/>
          <w:szCs w:val="20"/>
        </w:rPr>
        <w:t>:</w:t>
      </w:r>
    </w:p>
    <w:p w:rsidR="00000000" w:rsidRDefault="00A309A2">
      <w:pPr>
        <w:divId w:val="457332879"/>
        <w:rPr>
          <w:rFonts w:eastAsia="Times New Roman"/>
          <w:sz w:val="20"/>
          <w:szCs w:val="20"/>
        </w:rPr>
      </w:pPr>
      <w:r>
        <w:rPr>
          <w:rFonts w:eastAsia="Times New Roman"/>
          <w:sz w:val="20"/>
          <w:szCs w:val="20"/>
        </w:rPr>
        <w:t>•</w:t>
      </w:r>
    </w:p>
    <w:p w:rsidR="00000000" w:rsidRDefault="00A309A2">
      <w:pPr>
        <w:divId w:val="1615166557"/>
        <w:rPr>
          <w:rFonts w:eastAsia="Times New Roman"/>
          <w:sz w:val="20"/>
          <w:szCs w:val="20"/>
        </w:rPr>
      </w:pPr>
      <w:r>
        <w:rPr>
          <w:rFonts w:eastAsia="Times New Roman"/>
          <w:sz w:val="20"/>
          <w:szCs w:val="20"/>
        </w:rPr>
        <w:t>Identify the customer contract</w:t>
      </w:r>
      <w:r>
        <w:rPr>
          <w:rFonts w:eastAsia="Times New Roman"/>
          <w:sz w:val="20"/>
          <w:szCs w:val="20"/>
        </w:rPr>
        <w:t>;</w:t>
      </w:r>
    </w:p>
    <w:p w:rsidR="00000000" w:rsidRDefault="00A309A2">
      <w:pPr>
        <w:divId w:val="1318922720"/>
        <w:rPr>
          <w:rFonts w:eastAsia="Times New Roman"/>
          <w:sz w:val="20"/>
          <w:szCs w:val="20"/>
        </w:rPr>
      </w:pPr>
      <w:r>
        <w:rPr>
          <w:rFonts w:eastAsia="Times New Roman"/>
          <w:sz w:val="20"/>
          <w:szCs w:val="20"/>
        </w:rPr>
        <w:t>•</w:t>
      </w:r>
    </w:p>
    <w:p w:rsidR="00000000" w:rsidRDefault="00A309A2">
      <w:pPr>
        <w:divId w:val="298610731"/>
        <w:rPr>
          <w:rFonts w:eastAsia="Times New Roman"/>
          <w:sz w:val="20"/>
          <w:szCs w:val="20"/>
        </w:rPr>
      </w:pPr>
      <w:r>
        <w:rPr>
          <w:rFonts w:eastAsia="Times New Roman"/>
          <w:sz w:val="20"/>
          <w:szCs w:val="20"/>
        </w:rPr>
        <w:t>Identify performance obligations that are distinct</w:t>
      </w:r>
      <w:r>
        <w:rPr>
          <w:rFonts w:eastAsia="Times New Roman"/>
          <w:sz w:val="20"/>
          <w:szCs w:val="20"/>
        </w:rPr>
        <w:t>;</w:t>
      </w:r>
    </w:p>
    <w:p w:rsidR="00000000" w:rsidRDefault="00A309A2">
      <w:pPr>
        <w:divId w:val="1604452771"/>
        <w:rPr>
          <w:rFonts w:eastAsia="Times New Roman"/>
          <w:sz w:val="20"/>
          <w:szCs w:val="20"/>
        </w:rPr>
      </w:pPr>
      <w:r>
        <w:rPr>
          <w:rFonts w:eastAsia="Times New Roman"/>
          <w:sz w:val="20"/>
          <w:szCs w:val="20"/>
        </w:rPr>
        <w:t>•</w:t>
      </w:r>
    </w:p>
    <w:p w:rsidR="00000000" w:rsidRDefault="00A309A2">
      <w:pPr>
        <w:divId w:val="454065076"/>
        <w:rPr>
          <w:rFonts w:eastAsia="Times New Roman"/>
          <w:sz w:val="20"/>
          <w:szCs w:val="20"/>
        </w:rPr>
      </w:pPr>
      <w:r>
        <w:rPr>
          <w:rFonts w:eastAsia="Times New Roman"/>
          <w:sz w:val="20"/>
          <w:szCs w:val="20"/>
        </w:rPr>
        <w:t>Determine the transaction price</w:t>
      </w:r>
      <w:r>
        <w:rPr>
          <w:rFonts w:eastAsia="Times New Roman"/>
          <w:sz w:val="20"/>
          <w:szCs w:val="20"/>
        </w:rPr>
        <w:t>;</w:t>
      </w:r>
    </w:p>
    <w:p w:rsidR="00000000" w:rsidRDefault="00A309A2">
      <w:pPr>
        <w:divId w:val="901594859"/>
        <w:rPr>
          <w:rFonts w:eastAsia="Times New Roman"/>
          <w:sz w:val="20"/>
          <w:szCs w:val="20"/>
        </w:rPr>
      </w:pPr>
      <w:r>
        <w:rPr>
          <w:rFonts w:eastAsia="Times New Roman"/>
          <w:sz w:val="20"/>
          <w:szCs w:val="20"/>
        </w:rPr>
        <w:t>•</w:t>
      </w:r>
    </w:p>
    <w:p w:rsidR="00000000" w:rsidRDefault="00A309A2">
      <w:pPr>
        <w:divId w:val="1497450939"/>
        <w:rPr>
          <w:rFonts w:eastAsia="Times New Roman"/>
          <w:sz w:val="20"/>
          <w:szCs w:val="20"/>
        </w:rPr>
      </w:pPr>
      <w:r>
        <w:rPr>
          <w:rFonts w:eastAsia="Times New Roman"/>
          <w:sz w:val="20"/>
          <w:szCs w:val="20"/>
        </w:rPr>
        <w:t xml:space="preserve">Allocate </w:t>
      </w:r>
      <w:r>
        <w:rPr>
          <w:rFonts w:eastAsia="Times New Roman"/>
          <w:sz w:val="20"/>
          <w:szCs w:val="20"/>
        </w:rPr>
        <w:t>the transaction price to the distinct performance obligations; an</w:t>
      </w:r>
      <w:r>
        <w:rPr>
          <w:rFonts w:eastAsia="Times New Roman"/>
          <w:sz w:val="20"/>
          <w:szCs w:val="20"/>
        </w:rPr>
        <w:t>d</w:t>
      </w:r>
    </w:p>
    <w:p w:rsidR="00000000" w:rsidRDefault="00A309A2">
      <w:pPr>
        <w:divId w:val="119694269"/>
        <w:rPr>
          <w:rFonts w:eastAsia="Times New Roman"/>
          <w:sz w:val="20"/>
          <w:szCs w:val="20"/>
        </w:rPr>
      </w:pPr>
      <w:r>
        <w:rPr>
          <w:rFonts w:eastAsia="Times New Roman"/>
          <w:sz w:val="20"/>
          <w:szCs w:val="20"/>
        </w:rPr>
        <w:t>•</w:t>
      </w:r>
    </w:p>
    <w:p w:rsidR="00000000" w:rsidRDefault="00A309A2">
      <w:pPr>
        <w:divId w:val="1608655467"/>
        <w:rPr>
          <w:rFonts w:eastAsia="Times New Roman"/>
          <w:sz w:val="20"/>
          <w:szCs w:val="20"/>
        </w:rPr>
      </w:pPr>
      <w:r>
        <w:rPr>
          <w:rFonts w:eastAsia="Times New Roman"/>
          <w:sz w:val="20"/>
          <w:szCs w:val="20"/>
        </w:rPr>
        <w:t>Recognize revenue as the performance obligations are satisfied</w:t>
      </w:r>
      <w:r>
        <w:rPr>
          <w:rFonts w:eastAsia="Times New Roman"/>
          <w:sz w:val="20"/>
          <w:szCs w:val="20"/>
        </w:rPr>
        <w:t>.</w:t>
      </w:r>
    </w:p>
    <w:p w:rsidR="00000000" w:rsidRDefault="00A309A2">
      <w:pPr>
        <w:pStyle w:val="a3"/>
        <w:spacing w:before="200" w:beforeAutospacing="0" w:after="200" w:afterAutospacing="0"/>
        <w:ind w:firstLine="555"/>
        <w:divId w:val="1551961484"/>
        <w:rPr>
          <w:sz w:val="20"/>
          <w:szCs w:val="20"/>
        </w:rPr>
      </w:pPr>
      <w:r>
        <w:rPr>
          <w:i/>
          <w:iCs/>
          <w:sz w:val="20"/>
          <w:szCs w:val="20"/>
        </w:rPr>
        <w:t>Identify the customer contrac</w:t>
      </w:r>
      <w:r>
        <w:rPr>
          <w:i/>
          <w:iCs/>
          <w:sz w:val="20"/>
          <w:szCs w:val="20"/>
        </w:rPr>
        <w:t>t</w:t>
      </w:r>
    </w:p>
    <w:p w:rsidR="00000000" w:rsidRDefault="00A309A2">
      <w:pPr>
        <w:pStyle w:val="a3"/>
        <w:spacing w:before="200" w:beforeAutospacing="0" w:after="200" w:afterAutospacing="0"/>
        <w:ind w:firstLine="555"/>
        <w:divId w:val="1551961484"/>
        <w:rPr>
          <w:sz w:val="20"/>
          <w:szCs w:val="20"/>
        </w:rPr>
      </w:pPr>
      <w:r>
        <w:rPr>
          <w:sz w:val="20"/>
          <w:szCs w:val="20"/>
        </w:rPr>
        <w:t>A customer contract is generally identified when the Company and a customer have executed an</w:t>
      </w:r>
      <w:r>
        <w:rPr>
          <w:sz w:val="20"/>
          <w:szCs w:val="20"/>
        </w:rPr>
        <w:t xml:space="preserve"> arrangement that calls for the Company to grant access to its online software products and provide professional services in exchange for consideration from the customer</w:t>
      </w:r>
      <w:r>
        <w:rPr>
          <w:sz w:val="20"/>
          <w:szCs w:val="20"/>
        </w:rPr>
        <w:t>.</w:t>
      </w:r>
    </w:p>
    <w:p w:rsidR="00000000" w:rsidRDefault="00A309A2">
      <w:pPr>
        <w:pStyle w:val="a3"/>
        <w:spacing w:before="200" w:beforeAutospacing="0" w:after="200" w:afterAutospacing="0"/>
        <w:ind w:firstLine="555"/>
        <w:divId w:val="1551961484"/>
        <w:rPr>
          <w:sz w:val="20"/>
          <w:szCs w:val="20"/>
        </w:rPr>
      </w:pPr>
      <w:r>
        <w:rPr>
          <w:i/>
          <w:iCs/>
          <w:sz w:val="20"/>
          <w:szCs w:val="20"/>
        </w:rPr>
        <w:t>Identify performance obligations that are distinc</w:t>
      </w:r>
      <w:r>
        <w:rPr>
          <w:i/>
          <w:iCs/>
          <w:sz w:val="20"/>
          <w:szCs w:val="20"/>
        </w:rPr>
        <w:t>t</w:t>
      </w:r>
    </w:p>
    <w:p w:rsidR="00000000" w:rsidRDefault="00A309A2">
      <w:pPr>
        <w:pStyle w:val="a3"/>
        <w:spacing w:before="200" w:beforeAutospacing="0" w:after="200" w:afterAutospacing="0"/>
        <w:ind w:firstLine="555"/>
        <w:divId w:val="1551961484"/>
        <w:rPr>
          <w:sz w:val="20"/>
          <w:szCs w:val="20"/>
        </w:rPr>
      </w:pPr>
      <w:r>
        <w:rPr>
          <w:sz w:val="20"/>
          <w:szCs w:val="20"/>
        </w:rPr>
        <w:t>A performance obligation is a prom</w:t>
      </w:r>
      <w:r>
        <w:rPr>
          <w:sz w:val="20"/>
          <w:szCs w:val="20"/>
        </w:rPr>
        <w:t>ise to provide a distinct good or service or a series of distinct goods or services. A good or service that is promised to a customer is distinct if the customer can benefit from the good or service either on its own or together with other resources that a</w:t>
      </w:r>
      <w:r>
        <w:rPr>
          <w:sz w:val="20"/>
          <w:szCs w:val="20"/>
        </w:rPr>
        <w:t>re readily available to the customer, and a company’s promise to transfer the good or service to the customer is separately identifiable from other promises in the contract. The Company has determined that subscriptions for its online software products are</w:t>
      </w:r>
      <w:r>
        <w:rPr>
          <w:sz w:val="20"/>
          <w:szCs w:val="20"/>
        </w:rPr>
        <w:t xml:space="preserve"> distinct because, once a customer has access to the online software product that it purchased, the online software product is fully functional and does not require any additional development, modification, or customization. Professional services sold are </w:t>
      </w:r>
      <w:r>
        <w:rPr>
          <w:sz w:val="20"/>
          <w:szCs w:val="20"/>
        </w:rPr>
        <w:t>distinct because the customer benefits from the on-boarding, training and consulting to make better use of the online software products it purchased</w:t>
      </w:r>
      <w:r>
        <w:rPr>
          <w:sz w:val="20"/>
          <w:szCs w:val="20"/>
        </w:rPr>
        <w:t>.</w:t>
      </w:r>
    </w:p>
    <w:p w:rsidR="00000000" w:rsidRDefault="00A309A2">
      <w:pPr>
        <w:pStyle w:val="a3"/>
        <w:spacing w:before="240" w:beforeAutospacing="0" w:after="0" w:afterAutospacing="0"/>
        <w:jc w:val="center"/>
        <w:divId w:val="1551961484"/>
        <w:rPr>
          <w:sz w:val="20"/>
          <w:szCs w:val="20"/>
        </w:rPr>
      </w:pPr>
      <w:r>
        <w:rPr>
          <w:sz w:val="20"/>
          <w:szCs w:val="20"/>
        </w:rPr>
        <w:t>7</w:t>
      </w:r>
      <w:r>
        <w:rPr>
          <w:sz w:val="20"/>
          <w:szCs w:val="20"/>
        </w:rPr>
        <w:t>2</w:t>
      </w:r>
    </w:p>
    <w:p w:rsidR="00000000" w:rsidRDefault="00A309A2">
      <w:pPr>
        <w:divId w:val="1551961484"/>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A309A2">
      <w:pPr>
        <w:pStyle w:val="a3"/>
        <w:spacing w:before="0" w:beforeAutospacing="0" w:after="0" w:afterAutospacing="0"/>
        <w:divId w:val="1551961484"/>
        <w:rPr>
          <w:sz w:val="20"/>
          <w:szCs w:val="20"/>
        </w:rPr>
      </w:pPr>
      <w:r>
        <w:rPr>
          <w:sz w:val="20"/>
          <w:szCs w:val="20"/>
        </w:rPr>
        <w:t> </w:t>
      </w:r>
    </w:p>
    <w:p w:rsidR="00000000" w:rsidRDefault="00A309A2">
      <w:pPr>
        <w:pStyle w:val="a3"/>
        <w:spacing w:before="200" w:beforeAutospacing="0" w:after="200" w:afterAutospacing="0"/>
        <w:ind w:firstLine="555"/>
        <w:divId w:val="1551961484"/>
        <w:rPr>
          <w:sz w:val="20"/>
          <w:szCs w:val="20"/>
        </w:rPr>
      </w:pPr>
      <w:r>
        <w:rPr>
          <w:i/>
          <w:iCs/>
          <w:sz w:val="20"/>
          <w:szCs w:val="20"/>
        </w:rPr>
        <w:t>Determine the transaction pric</w:t>
      </w:r>
      <w:r>
        <w:rPr>
          <w:i/>
          <w:iCs/>
          <w:sz w:val="20"/>
          <w:szCs w:val="20"/>
        </w:rPr>
        <w:t>e</w:t>
      </w:r>
    </w:p>
    <w:p w:rsidR="00000000" w:rsidRDefault="00A309A2">
      <w:pPr>
        <w:pStyle w:val="a3"/>
        <w:spacing w:before="200" w:beforeAutospacing="0" w:after="200" w:afterAutospacing="0"/>
        <w:ind w:firstLine="555"/>
        <w:divId w:val="1551961484"/>
        <w:rPr>
          <w:sz w:val="20"/>
          <w:szCs w:val="20"/>
        </w:rPr>
      </w:pPr>
      <w:r>
        <w:rPr>
          <w:sz w:val="20"/>
          <w:szCs w:val="20"/>
        </w:rPr>
        <w:t xml:space="preserve">The transaction price is the amount of consideration to which the Company expects to be entitled in exchange for transferring goods or services to a customer, excluding sales taxes that are collected on behalf of government agencies. The Company estimates </w:t>
      </w:r>
      <w:r>
        <w:rPr>
          <w:sz w:val="20"/>
          <w:szCs w:val="20"/>
        </w:rPr>
        <w:t>any variable consideration to which it will be entitled at contract inception, and reassesses at each reporting date, when determining the transaction price. The Company does not include variable consideration to the extent that it is probable that a signi</w:t>
      </w:r>
      <w:r>
        <w:rPr>
          <w:sz w:val="20"/>
          <w:szCs w:val="20"/>
        </w:rPr>
        <w:t>ficant reversal in the amount of cumulative revenue recognized will occur when any uncertainty associated with the variable consideration is resolved</w:t>
      </w:r>
      <w:r>
        <w:rPr>
          <w:sz w:val="20"/>
          <w:szCs w:val="20"/>
        </w:rPr>
        <w:t>.</w:t>
      </w:r>
    </w:p>
    <w:p w:rsidR="00000000" w:rsidRDefault="00A309A2">
      <w:pPr>
        <w:pStyle w:val="a3"/>
        <w:spacing w:before="200" w:beforeAutospacing="0" w:after="200" w:afterAutospacing="0"/>
        <w:ind w:firstLine="555"/>
        <w:divId w:val="1551961484"/>
        <w:rPr>
          <w:sz w:val="20"/>
          <w:szCs w:val="20"/>
        </w:rPr>
      </w:pPr>
      <w:r>
        <w:rPr>
          <w:i/>
          <w:iCs/>
          <w:sz w:val="20"/>
          <w:szCs w:val="20"/>
        </w:rPr>
        <w:t>Allocate the transaction price to the distinct performance obligation</w:t>
      </w:r>
      <w:r>
        <w:rPr>
          <w:i/>
          <w:iCs/>
          <w:sz w:val="20"/>
          <w:szCs w:val="20"/>
        </w:rPr>
        <w:t>s</w:t>
      </w:r>
    </w:p>
    <w:p w:rsidR="00000000" w:rsidRDefault="00A309A2">
      <w:pPr>
        <w:pStyle w:val="a3"/>
        <w:spacing w:before="200" w:beforeAutospacing="0" w:after="200" w:afterAutospacing="0"/>
        <w:ind w:firstLine="555"/>
        <w:divId w:val="1551961484"/>
        <w:rPr>
          <w:sz w:val="20"/>
          <w:szCs w:val="20"/>
        </w:rPr>
      </w:pPr>
      <w:r>
        <w:rPr>
          <w:sz w:val="20"/>
          <w:szCs w:val="20"/>
        </w:rPr>
        <w:t>The transaction price is allocated</w:t>
      </w:r>
      <w:r>
        <w:rPr>
          <w:sz w:val="20"/>
          <w:szCs w:val="20"/>
        </w:rPr>
        <w:t xml:space="preserve"> to each performance obligation based on the relative standalone selling prices (“SSP”) of the goods or services being provided to the customer. The Company determines the SSP of its goods and services based upon the average sales prices for each type of o</w:t>
      </w:r>
      <w:r>
        <w:rPr>
          <w:sz w:val="20"/>
          <w:szCs w:val="20"/>
        </w:rPr>
        <w:t xml:space="preserve">nline software product and professional services sold. In instances where there are not sufficient data points, or the selling prices for a particular online software product or professional service are disparate, the Company estimates the SSP using other </w:t>
      </w:r>
      <w:r>
        <w:rPr>
          <w:sz w:val="20"/>
          <w:szCs w:val="20"/>
        </w:rPr>
        <w:t>observable inputs, such as similar products or services</w:t>
      </w:r>
      <w:r>
        <w:rPr>
          <w:sz w:val="20"/>
          <w:szCs w:val="20"/>
        </w:rPr>
        <w:t>.</w:t>
      </w:r>
    </w:p>
    <w:p w:rsidR="00000000" w:rsidRDefault="00A309A2">
      <w:pPr>
        <w:pStyle w:val="a3"/>
        <w:spacing w:before="200" w:beforeAutospacing="0" w:after="200" w:afterAutospacing="0"/>
        <w:ind w:firstLine="555"/>
        <w:divId w:val="1551961484"/>
        <w:rPr>
          <w:sz w:val="20"/>
          <w:szCs w:val="20"/>
        </w:rPr>
      </w:pPr>
      <w:r>
        <w:rPr>
          <w:i/>
          <w:iCs/>
          <w:sz w:val="20"/>
          <w:szCs w:val="20"/>
        </w:rPr>
        <w:t>Recognize revenue as the performance obligations are satisfie</w:t>
      </w:r>
      <w:r>
        <w:rPr>
          <w:i/>
          <w:iCs/>
          <w:sz w:val="20"/>
          <w:szCs w:val="20"/>
        </w:rPr>
        <w:t>d</w:t>
      </w:r>
    </w:p>
    <w:p w:rsidR="00000000" w:rsidRDefault="00A309A2">
      <w:pPr>
        <w:pStyle w:val="a3"/>
        <w:spacing w:before="200" w:beforeAutospacing="0" w:after="200" w:afterAutospacing="0"/>
        <w:ind w:firstLine="555"/>
        <w:divId w:val="1551961484"/>
        <w:rPr>
          <w:sz w:val="20"/>
          <w:szCs w:val="20"/>
        </w:rPr>
      </w:pPr>
      <w:r>
        <w:rPr>
          <w:sz w:val="20"/>
          <w:szCs w:val="20"/>
        </w:rPr>
        <w:t>Revenues are recognized when or as control of the promised goods or services is transferred to customers. Revenue from online software p</w:t>
      </w:r>
      <w:r>
        <w:rPr>
          <w:sz w:val="20"/>
          <w:szCs w:val="20"/>
        </w:rPr>
        <w:t>roduct</w:t>
      </w:r>
      <w:r>
        <w:rPr>
          <w:sz w:val="20"/>
          <w:szCs w:val="20"/>
        </w:rPr>
        <w:t>s</w:t>
      </w:r>
      <w:r>
        <w:rPr>
          <w:sz w:val="20"/>
          <w:szCs w:val="20"/>
        </w:rPr>
        <w:t xml:space="preserve"> </w:t>
      </w:r>
      <w:r>
        <w:rPr>
          <w:sz w:val="20"/>
          <w:szCs w:val="20"/>
        </w:rPr>
        <w:t>is recognized ratably over the subscription period beginning on the date the Company’s online software products are made available to customers. Most subscription contracts are</w:t>
      </w:r>
      <w:r>
        <w:rPr>
          <w:sz w:val="20"/>
          <w:szCs w:val="20"/>
        </w:rPr>
        <w:t xml:space="preserve"> </w:t>
      </w:r>
      <w:r>
        <w:rPr>
          <w:sz w:val="20"/>
          <w:szCs w:val="20"/>
        </w:rPr>
        <w:t>one year or les</w:t>
      </w:r>
      <w:r>
        <w:rPr>
          <w:sz w:val="20"/>
          <w:szCs w:val="20"/>
        </w:rPr>
        <w:t>s</w:t>
      </w:r>
      <w:r>
        <w:rPr>
          <w:sz w:val="20"/>
          <w:szCs w:val="20"/>
        </w:rPr>
        <w:t>. The Company recognizes revenue from on-boarding, trai</w:t>
      </w:r>
      <w:r>
        <w:rPr>
          <w:sz w:val="20"/>
          <w:szCs w:val="20"/>
        </w:rPr>
        <w:t>ning, and consulting services as the services are provided. Cash payments received in advance of providing subscription or services are recorded to deferred revenue until the performance obligation is satisfied</w:t>
      </w:r>
      <w:r>
        <w:rPr>
          <w:sz w:val="20"/>
          <w:szCs w:val="20"/>
        </w:rPr>
        <w:t>.</w:t>
      </w:r>
    </w:p>
    <w:p w:rsidR="00000000" w:rsidRDefault="00A309A2">
      <w:pPr>
        <w:pStyle w:val="a3"/>
        <w:spacing w:before="200" w:beforeAutospacing="0" w:after="200" w:afterAutospacing="0"/>
        <w:ind w:firstLine="555"/>
        <w:divId w:val="1551961484"/>
        <w:rPr>
          <w:sz w:val="20"/>
          <w:szCs w:val="20"/>
        </w:rPr>
      </w:pPr>
      <w:r>
        <w:rPr>
          <w:b/>
          <w:bCs/>
          <w:i/>
          <w:iCs/>
          <w:sz w:val="20"/>
          <w:szCs w:val="20"/>
        </w:rPr>
        <w:t>Solutions Partner Commission</w:t>
      </w:r>
      <w:r>
        <w:rPr>
          <w:b/>
          <w:bCs/>
          <w:i/>
          <w:iCs/>
          <w:sz w:val="20"/>
          <w:szCs w:val="20"/>
        </w:rPr>
        <w:t>s</w:t>
      </w:r>
    </w:p>
    <w:p w:rsidR="00000000" w:rsidRDefault="00A309A2">
      <w:pPr>
        <w:pStyle w:val="a3"/>
        <w:spacing w:before="200" w:beforeAutospacing="0" w:after="200" w:afterAutospacing="0"/>
        <w:ind w:firstLine="555"/>
        <w:divId w:val="1551961484"/>
        <w:rPr>
          <w:sz w:val="20"/>
          <w:szCs w:val="20"/>
        </w:rPr>
      </w:pPr>
      <w:r>
        <w:rPr>
          <w:sz w:val="20"/>
          <w:szCs w:val="20"/>
        </w:rPr>
        <w:t>The Company pa</w:t>
      </w:r>
      <w:r>
        <w:rPr>
          <w:sz w:val="20"/>
          <w:szCs w:val="20"/>
        </w:rPr>
        <w:t>ys its Solutions Partners a commission based on the online software product sales price for sales to end-customers. The classification of the commission paid in the Company’s consolidated statements of operations depends on who purchases the online softwar</w:t>
      </w:r>
      <w:r>
        <w:rPr>
          <w:sz w:val="20"/>
          <w:szCs w:val="20"/>
        </w:rPr>
        <w:t>e product. In instances where an end-customer purchases from the Company, the commission paid to the Solutions Partner is recorded as sales and marketing expense. When a Solutions Partner purchases directly from the Company, the commission paid to the Solu</w:t>
      </w:r>
      <w:r>
        <w:rPr>
          <w:sz w:val="20"/>
          <w:szCs w:val="20"/>
        </w:rPr>
        <w:t>tions Partner is netted against the associated revenue recognized</w:t>
      </w:r>
      <w:r>
        <w:rPr>
          <w:sz w:val="20"/>
          <w:szCs w:val="20"/>
        </w:rPr>
        <w:t>.</w:t>
      </w:r>
    </w:p>
    <w:p w:rsidR="00000000" w:rsidRDefault="00A309A2">
      <w:pPr>
        <w:pStyle w:val="a3"/>
        <w:spacing w:before="200" w:beforeAutospacing="0" w:after="200" w:afterAutospacing="0"/>
        <w:ind w:firstLine="555"/>
        <w:divId w:val="806507958"/>
        <w:rPr>
          <w:sz w:val="20"/>
          <w:szCs w:val="20"/>
        </w:rPr>
      </w:pPr>
      <w:r>
        <w:rPr>
          <w:b/>
          <w:bCs/>
          <w:sz w:val="20"/>
          <w:szCs w:val="20"/>
        </w:rPr>
        <w:t>Concentrations of Credit Risk and Significant Customer</w:t>
      </w:r>
      <w:r>
        <w:rPr>
          <w:b/>
          <w:bCs/>
          <w:sz w:val="20"/>
          <w:szCs w:val="20"/>
        </w:rPr>
        <w:t>s</w:t>
      </w:r>
      <w:r>
        <w:rPr>
          <w:sz w:val="20"/>
          <w:szCs w:val="20"/>
        </w:rPr>
        <w:t xml:space="preserve"> —Financial instruments that potentially expose the Company to concentrations of credit risk consist primarily of cash, investments an</w:t>
      </w:r>
      <w:r>
        <w:rPr>
          <w:sz w:val="20"/>
          <w:szCs w:val="20"/>
        </w:rPr>
        <w:t>d accounts receivable</w:t>
      </w:r>
      <w:r>
        <w:rPr>
          <w:sz w:val="20"/>
          <w:szCs w:val="20"/>
        </w:rPr>
        <w:t>.</w:t>
      </w:r>
    </w:p>
    <w:p w:rsidR="00000000" w:rsidRDefault="00A309A2">
      <w:pPr>
        <w:pStyle w:val="a3"/>
        <w:spacing w:before="200" w:beforeAutospacing="0" w:after="200" w:afterAutospacing="0"/>
        <w:ind w:firstLine="555"/>
        <w:divId w:val="806507958"/>
        <w:rPr>
          <w:sz w:val="20"/>
          <w:szCs w:val="20"/>
        </w:rPr>
      </w:pPr>
      <w:r>
        <w:rPr>
          <w:sz w:val="20"/>
          <w:szCs w:val="20"/>
        </w:rPr>
        <w:t>The Company's cash and cash equivalents are generally held with large financial institutions. Although the Company's deposits may exceed federally insured limits, the financial institutions that the Company uses have high investment-</w:t>
      </w:r>
      <w:r>
        <w:rPr>
          <w:sz w:val="20"/>
          <w:szCs w:val="20"/>
        </w:rPr>
        <w:t>grade credit ratings and, as a result, the Company believes that, as of December 31, 2021, its risk relating to deposits exceeding federally insured limits was not significant</w:t>
      </w:r>
      <w:r>
        <w:rPr>
          <w:sz w:val="20"/>
          <w:szCs w:val="20"/>
        </w:rPr>
        <w:t>.</w:t>
      </w:r>
      <w:r>
        <w:rPr>
          <w:sz w:val="20"/>
          <w:szCs w:val="20"/>
        </w:rPr>
        <w:t xml:space="preserve"> </w:t>
      </w:r>
    </w:p>
    <w:p w:rsidR="00000000" w:rsidRDefault="00A309A2">
      <w:pPr>
        <w:pStyle w:val="a3"/>
        <w:spacing w:before="200" w:beforeAutospacing="0" w:after="200" w:afterAutospacing="0"/>
        <w:ind w:firstLine="555"/>
        <w:divId w:val="806507958"/>
        <w:rPr>
          <w:sz w:val="20"/>
          <w:szCs w:val="20"/>
        </w:rPr>
      </w:pPr>
      <w:r>
        <w:rPr>
          <w:sz w:val="20"/>
          <w:szCs w:val="20"/>
        </w:rPr>
        <w:t>The Company’s investments consist of highly rated corporate debt securities an</w:t>
      </w:r>
      <w:r>
        <w:rPr>
          <w:sz w:val="20"/>
          <w:szCs w:val="20"/>
        </w:rPr>
        <w:t>d U.S. Treasury securities. The Company limits the amount of investments in any single issuer, except U.S. Treasuries. The Company believes that, as of December 31, 2021, its concentration of credit risk related to investments was not significant</w:t>
      </w:r>
      <w:r>
        <w:rPr>
          <w:sz w:val="20"/>
          <w:szCs w:val="20"/>
        </w:rPr>
        <w:t>.</w:t>
      </w:r>
    </w:p>
    <w:p w:rsidR="00000000" w:rsidRDefault="00A309A2">
      <w:pPr>
        <w:pStyle w:val="a3"/>
        <w:spacing w:before="200" w:beforeAutospacing="0" w:after="200" w:afterAutospacing="0"/>
        <w:ind w:firstLine="555"/>
        <w:divId w:val="806507958"/>
        <w:rPr>
          <w:sz w:val="20"/>
          <w:szCs w:val="20"/>
        </w:rPr>
      </w:pPr>
      <w:r>
        <w:rPr>
          <w:sz w:val="20"/>
          <w:szCs w:val="20"/>
        </w:rPr>
        <w:t>The Comp</w:t>
      </w:r>
      <w:r>
        <w:rPr>
          <w:sz w:val="20"/>
          <w:szCs w:val="20"/>
        </w:rPr>
        <w:t>any has</w:t>
      </w:r>
      <w:r>
        <w:rPr>
          <w:sz w:val="20"/>
          <w:szCs w:val="20"/>
        </w:rPr>
        <w:t xml:space="preserve"> </w:t>
      </w:r>
      <w:r>
        <w:rPr>
          <w:sz w:val="20"/>
          <w:szCs w:val="20"/>
        </w:rPr>
        <w:t>n</w:t>
      </w:r>
      <w:r>
        <w:rPr>
          <w:sz w:val="20"/>
          <w:szCs w:val="20"/>
        </w:rPr>
        <w:t>o</w:t>
      </w:r>
      <w:r>
        <w:rPr>
          <w:sz w:val="20"/>
          <w:szCs w:val="20"/>
        </w:rPr>
        <w:t xml:space="preserve"> significant off-balance sheet risk such as foreign exchange contracts, option contracts, or other hedging arrangements</w:t>
      </w:r>
      <w:r>
        <w:rPr>
          <w:sz w:val="20"/>
          <w:szCs w:val="20"/>
        </w:rPr>
        <w:t>.</w:t>
      </w:r>
    </w:p>
    <w:p w:rsidR="00000000" w:rsidRDefault="00A309A2">
      <w:pPr>
        <w:pStyle w:val="a3"/>
        <w:spacing w:before="200" w:beforeAutospacing="0" w:after="200" w:afterAutospacing="0"/>
        <w:ind w:firstLine="555"/>
        <w:divId w:val="806507958"/>
        <w:rPr>
          <w:sz w:val="20"/>
          <w:szCs w:val="20"/>
        </w:rPr>
      </w:pPr>
      <w:r>
        <w:rPr>
          <w:sz w:val="20"/>
          <w:szCs w:val="20"/>
        </w:rPr>
        <w:t>The Company generally does not require collateral from its customers and generally requires payment</w:t>
      </w:r>
      <w:r>
        <w:rPr>
          <w:sz w:val="20"/>
          <w:szCs w:val="20"/>
        </w:rPr>
        <w:t xml:space="preserve"> </w:t>
      </w:r>
      <w:r>
        <w:rPr>
          <w:sz w:val="20"/>
          <w:szCs w:val="20"/>
        </w:rPr>
        <w:t>30 day</w:t>
      </w:r>
      <w:r>
        <w:rPr>
          <w:sz w:val="20"/>
          <w:szCs w:val="20"/>
        </w:rPr>
        <w:t>s</w:t>
      </w:r>
      <w:r>
        <w:rPr>
          <w:sz w:val="20"/>
          <w:szCs w:val="20"/>
        </w:rPr>
        <w:t xml:space="preserve"> from the invoice </w:t>
      </w:r>
      <w:r>
        <w:rPr>
          <w:sz w:val="20"/>
          <w:szCs w:val="20"/>
        </w:rPr>
        <w:t xml:space="preserve">date. The Company maintains an allowance for doubtful accounts based on its assessment of the collectability of accounts receivable. Credit risk arising from accounts receivable is mitigated as a result of transacting with a large number of geographically </w:t>
      </w:r>
      <w:r>
        <w:rPr>
          <w:sz w:val="20"/>
          <w:szCs w:val="20"/>
        </w:rPr>
        <w:t>dispersed customers spread across various industries</w:t>
      </w:r>
      <w:r>
        <w:rPr>
          <w:sz w:val="20"/>
          <w:szCs w:val="20"/>
        </w:rPr>
        <w:t>.</w:t>
      </w:r>
    </w:p>
    <w:p w:rsidR="00000000" w:rsidRDefault="00A309A2">
      <w:pPr>
        <w:pStyle w:val="a3"/>
        <w:spacing w:before="200" w:beforeAutospacing="0" w:after="200" w:afterAutospacing="0"/>
        <w:ind w:firstLine="555"/>
        <w:divId w:val="806507958"/>
        <w:rPr>
          <w:sz w:val="20"/>
          <w:szCs w:val="20"/>
        </w:rPr>
      </w:pPr>
      <w:r>
        <w:rPr>
          <w:sz w:val="20"/>
          <w:szCs w:val="20"/>
        </w:rPr>
        <w:t>At December 31, 2021 and 202</w:t>
      </w:r>
      <w:r>
        <w:rPr>
          <w:sz w:val="20"/>
          <w:szCs w:val="20"/>
        </w:rPr>
        <w:t>0</w:t>
      </w:r>
      <w:r>
        <w:rPr>
          <w:sz w:val="20"/>
          <w:szCs w:val="20"/>
        </w:rPr>
        <w:t>, there were</w:t>
      </w:r>
      <w:r>
        <w:rPr>
          <w:sz w:val="20"/>
          <w:szCs w:val="20"/>
        </w:rPr>
        <w:t xml:space="preserve"> </w:t>
      </w:r>
      <w:r>
        <w:rPr>
          <w:sz w:val="20"/>
          <w:szCs w:val="20"/>
        </w:rPr>
        <w:t>n</w:t>
      </w:r>
      <w:r>
        <w:rPr>
          <w:sz w:val="20"/>
          <w:szCs w:val="20"/>
        </w:rPr>
        <w:t>o</w:t>
      </w:r>
      <w:r>
        <w:rPr>
          <w:sz w:val="20"/>
          <w:szCs w:val="20"/>
        </w:rPr>
        <w:t xml:space="preserve"> customers that represented more than 10% of the net accounts receivable balance. There were</w:t>
      </w:r>
      <w:r>
        <w:rPr>
          <w:sz w:val="20"/>
          <w:szCs w:val="20"/>
        </w:rPr>
        <w:t xml:space="preserve"> </w:t>
      </w:r>
      <w:r>
        <w:rPr>
          <w:sz w:val="20"/>
          <w:szCs w:val="20"/>
        </w:rPr>
        <w:t>n</w:t>
      </w:r>
      <w:r>
        <w:rPr>
          <w:sz w:val="20"/>
          <w:szCs w:val="20"/>
        </w:rPr>
        <w:t>o</w:t>
      </w:r>
      <w:r>
        <w:rPr>
          <w:sz w:val="20"/>
          <w:szCs w:val="20"/>
        </w:rPr>
        <w:t xml:space="preserve"> customers that individually exceeded 10% of the Company’s reve</w:t>
      </w:r>
      <w:r>
        <w:rPr>
          <w:sz w:val="20"/>
          <w:szCs w:val="20"/>
        </w:rPr>
        <w:t>nue in any of the periods presented</w:t>
      </w:r>
      <w:r>
        <w:rPr>
          <w:sz w:val="20"/>
          <w:szCs w:val="20"/>
        </w:rPr>
        <w:t>.</w:t>
      </w:r>
    </w:p>
    <w:p w:rsidR="00000000" w:rsidRDefault="00A309A2">
      <w:pPr>
        <w:pStyle w:val="a3"/>
        <w:spacing w:before="240" w:beforeAutospacing="0" w:after="0" w:afterAutospacing="0"/>
        <w:ind w:firstLine="555"/>
        <w:divId w:val="1438678688"/>
        <w:rPr>
          <w:sz w:val="20"/>
          <w:szCs w:val="20"/>
        </w:rPr>
      </w:pPr>
      <w:r>
        <w:rPr>
          <w:b/>
          <w:bCs/>
          <w:sz w:val="20"/>
          <w:szCs w:val="20"/>
        </w:rPr>
        <w:t>Foreign Currenc</w:t>
      </w:r>
      <w:r>
        <w:rPr>
          <w:b/>
          <w:bCs/>
          <w:sz w:val="20"/>
          <w:szCs w:val="20"/>
        </w:rPr>
        <w:t>y</w:t>
      </w:r>
      <w:r>
        <w:rPr>
          <w:sz w:val="20"/>
          <w:szCs w:val="20"/>
        </w:rPr>
        <w:t xml:space="preserve"> —The functional currency of the Company’s foreign subsidiaries is the local currency. Assets and liabilities denominated in a foreign currency are translated into U.S. dollars at the exchange rates in e</w:t>
      </w:r>
      <w:r>
        <w:rPr>
          <w:sz w:val="20"/>
          <w:szCs w:val="20"/>
        </w:rPr>
        <w:t>ffect at the balance sheet dates, with the resulting translation adjustments directly recorded to a separate component of accumulated other comprehensive loss. Income and expense accounts are translated at the weighted-average exchange rates during the per</w:t>
      </w:r>
      <w:r>
        <w:rPr>
          <w:sz w:val="20"/>
          <w:szCs w:val="20"/>
        </w:rPr>
        <w:t>iod. Foreign currency transaction gains and losses are recorded in other expense</w:t>
      </w:r>
      <w:r>
        <w:rPr>
          <w:sz w:val="20"/>
          <w:szCs w:val="20"/>
        </w:rPr>
        <w:t>.</w:t>
      </w:r>
    </w:p>
    <w:p w:rsidR="00000000" w:rsidRDefault="00A309A2">
      <w:pPr>
        <w:pStyle w:val="a3"/>
        <w:spacing w:before="240" w:beforeAutospacing="0" w:after="0" w:afterAutospacing="0"/>
        <w:jc w:val="center"/>
        <w:divId w:val="1225071469"/>
        <w:rPr>
          <w:sz w:val="20"/>
          <w:szCs w:val="20"/>
        </w:rPr>
      </w:pPr>
      <w:r>
        <w:rPr>
          <w:sz w:val="20"/>
          <w:szCs w:val="20"/>
        </w:rPr>
        <w:t>7</w:t>
      </w:r>
      <w:r>
        <w:rPr>
          <w:sz w:val="20"/>
          <w:szCs w:val="20"/>
        </w:rPr>
        <w:t>3</w:t>
      </w:r>
    </w:p>
    <w:p w:rsidR="00000000" w:rsidRDefault="00A309A2">
      <w:pPr>
        <w:divId w:val="1225071469"/>
        <w:rPr>
          <w:rFonts w:eastAsia="Times New Roman"/>
        </w:rPr>
      </w:pPr>
      <w:r>
        <w:rPr>
          <w:rFonts w:eastAsia="Times New Roman"/>
        </w:rPr>
        <w:pict>
          <v:rect id="_x0000_i1100" style="width:0;height:1.5pt" o:hralign="center" o:hrstd="t" o:hr="t" fillcolor="#a0a0a0" stroked="f"/>
        </w:pict>
      </w:r>
    </w:p>
    <w:p w:rsidR="00000000" w:rsidRDefault="00A309A2">
      <w:pPr>
        <w:pStyle w:val="a3"/>
        <w:spacing w:before="0" w:beforeAutospacing="0" w:after="0" w:afterAutospacing="0"/>
        <w:divId w:val="1225071469"/>
        <w:rPr>
          <w:sz w:val="20"/>
          <w:szCs w:val="20"/>
        </w:rPr>
      </w:pPr>
      <w:r>
        <w:rPr>
          <w:sz w:val="20"/>
          <w:szCs w:val="20"/>
        </w:rPr>
        <w:t> </w:t>
      </w:r>
    </w:p>
    <w:p w:rsidR="00000000" w:rsidRDefault="00A309A2">
      <w:pPr>
        <w:pStyle w:val="a3"/>
        <w:spacing w:before="240" w:beforeAutospacing="0" w:after="0" w:afterAutospacing="0"/>
        <w:ind w:firstLine="555"/>
        <w:divId w:val="1826816166"/>
        <w:rPr>
          <w:sz w:val="20"/>
          <w:szCs w:val="20"/>
        </w:rPr>
      </w:pPr>
      <w:r>
        <w:rPr>
          <w:b/>
          <w:bCs/>
          <w:sz w:val="20"/>
          <w:szCs w:val="20"/>
        </w:rPr>
        <w:t>Research and Developmen</w:t>
      </w:r>
      <w:r>
        <w:rPr>
          <w:b/>
          <w:bCs/>
          <w:sz w:val="20"/>
          <w:szCs w:val="20"/>
        </w:rPr>
        <w:t>t</w:t>
      </w:r>
      <w:r>
        <w:rPr>
          <w:sz w:val="20"/>
          <w:szCs w:val="20"/>
        </w:rPr>
        <w:t xml:space="preserve"> —Research and development expenses include payroll, employee benefits and other expenses associated with pr</w:t>
      </w:r>
      <w:r>
        <w:rPr>
          <w:sz w:val="20"/>
          <w:szCs w:val="20"/>
        </w:rPr>
        <w:t>oduct development. Also included is a benefit related to an Irish research and development tax credit, under which the Company is able to obtain a refundable credit of up to</w:t>
      </w:r>
      <w:r>
        <w:rPr>
          <w:sz w:val="20"/>
          <w:szCs w:val="20"/>
        </w:rPr>
        <w:t xml:space="preserve"> </w:t>
      </w:r>
      <w:r>
        <w:rPr>
          <w:sz w:val="20"/>
          <w:szCs w:val="20"/>
        </w:rPr>
        <w:t>2</w:t>
      </w:r>
      <w:r>
        <w:rPr>
          <w:sz w:val="20"/>
          <w:szCs w:val="20"/>
        </w:rPr>
        <w:t>5</w:t>
      </w:r>
      <w:r>
        <w:rPr>
          <w:sz w:val="20"/>
          <w:szCs w:val="20"/>
        </w:rPr>
        <w:t>% of eligible research and development expenses incurred. The credit is recorded</w:t>
      </w:r>
      <w:r>
        <w:rPr>
          <w:sz w:val="20"/>
          <w:szCs w:val="20"/>
        </w:rPr>
        <w:t xml:space="preserve"> as a reduction of research and development expenses in the period in which the eligible expenses are recorded in the consolidated financial statements</w:t>
      </w:r>
      <w:r>
        <w:rPr>
          <w:sz w:val="20"/>
          <w:szCs w:val="20"/>
        </w:rPr>
        <w:t>.</w:t>
      </w:r>
      <w:r>
        <w:rPr>
          <w:sz w:val="20"/>
          <w:szCs w:val="20"/>
        </w:rPr>
        <w:t xml:space="preserve"> </w:t>
      </w:r>
    </w:p>
    <w:p w:rsidR="00000000" w:rsidRDefault="00A309A2">
      <w:pPr>
        <w:pStyle w:val="a3"/>
        <w:spacing w:before="240" w:beforeAutospacing="0" w:after="0" w:afterAutospacing="0"/>
        <w:ind w:firstLine="555"/>
        <w:divId w:val="1498308402"/>
        <w:rPr>
          <w:sz w:val="20"/>
          <w:szCs w:val="20"/>
        </w:rPr>
      </w:pPr>
      <w:r>
        <w:rPr>
          <w:b/>
          <w:bCs/>
          <w:sz w:val="20"/>
          <w:szCs w:val="20"/>
        </w:rPr>
        <w:t>Capitalized Software Development Cost</w:t>
      </w:r>
      <w:r>
        <w:rPr>
          <w:b/>
          <w:bCs/>
          <w:sz w:val="20"/>
          <w:szCs w:val="20"/>
        </w:rPr>
        <w:t>s</w:t>
      </w:r>
      <w:r>
        <w:rPr>
          <w:sz w:val="20"/>
          <w:szCs w:val="20"/>
        </w:rPr>
        <w:t xml:space="preserve"> —Certain payroll and stock compensation costs incurred to devel</w:t>
      </w:r>
      <w:r>
        <w:rPr>
          <w:sz w:val="20"/>
          <w:szCs w:val="20"/>
        </w:rPr>
        <w:t>op functionality for the Company’s software and internally built software platforms, as well as certain upgrades and enhancements that are expected to result in enhanced functionality are capitalized. Certain implementation costs, including external direct</w:t>
      </w:r>
      <w:r>
        <w:rPr>
          <w:sz w:val="20"/>
          <w:szCs w:val="20"/>
        </w:rPr>
        <w:t xml:space="preserve"> costs, incurred during the development stage of cloud computing arrangements are also capitalized. The costs incurred in the preliminary stages of development are expensed as incurred. Once an application has reached the development stage, the Company cap</w:t>
      </w:r>
      <w:r>
        <w:rPr>
          <w:sz w:val="20"/>
          <w:szCs w:val="20"/>
        </w:rPr>
        <w:t>italizes certain software development costs for new offerings as well as upgrades to existing software platforms. Capitalized software development costs are amortized on a straight-line basis over their estimated useful life of</w:t>
      </w:r>
      <w:r>
        <w:rPr>
          <w:sz w:val="20"/>
          <w:szCs w:val="20"/>
        </w:rPr>
        <w:t xml:space="preserve"> </w:t>
      </w:r>
      <w:r>
        <w:rPr>
          <w:sz w:val="20"/>
          <w:szCs w:val="20"/>
        </w:rPr>
        <w:t>tw</w:t>
      </w:r>
      <w:r>
        <w:rPr>
          <w:sz w:val="20"/>
          <w:szCs w:val="20"/>
        </w:rPr>
        <w:t>o</w:t>
      </w:r>
      <w:r>
        <w:rPr>
          <w:sz w:val="20"/>
          <w:szCs w:val="20"/>
        </w:rPr>
        <w:t xml:space="preserve"> to</w:t>
      </w:r>
      <w:r>
        <w:rPr>
          <w:sz w:val="20"/>
          <w:szCs w:val="20"/>
        </w:rPr>
        <w:t xml:space="preserve"> </w:t>
      </w:r>
      <w:r>
        <w:rPr>
          <w:sz w:val="20"/>
          <w:szCs w:val="20"/>
        </w:rPr>
        <w:t>five year</w:t>
      </w:r>
      <w:r>
        <w:rPr>
          <w:sz w:val="20"/>
          <w:szCs w:val="20"/>
        </w:rPr>
        <w:t>s</w:t>
      </w:r>
      <w:r>
        <w:rPr>
          <w:sz w:val="20"/>
          <w:szCs w:val="20"/>
        </w:rPr>
        <w:t>. Managemen</w:t>
      </w:r>
      <w:r>
        <w:rPr>
          <w:sz w:val="20"/>
          <w:szCs w:val="20"/>
        </w:rPr>
        <w:t>t evaluates the useful lives of these assets on a quarterly basis and tests for impairment whenever events or changes in circumstances occur that could impact the recoverability of these assets</w:t>
      </w:r>
      <w:r>
        <w:rPr>
          <w:sz w:val="20"/>
          <w:szCs w:val="20"/>
        </w:rPr>
        <w:t>.</w:t>
      </w:r>
      <w:r>
        <w:rPr>
          <w:sz w:val="20"/>
          <w:szCs w:val="20"/>
        </w:rPr>
        <w:t xml:space="preserve"> </w:t>
      </w:r>
    </w:p>
    <w:p w:rsidR="00000000" w:rsidRDefault="00A309A2">
      <w:pPr>
        <w:pStyle w:val="a3"/>
        <w:spacing w:before="240" w:beforeAutospacing="0" w:after="0" w:afterAutospacing="0"/>
        <w:ind w:firstLine="555"/>
        <w:divId w:val="1498308402"/>
        <w:rPr>
          <w:sz w:val="20"/>
          <w:szCs w:val="20"/>
        </w:rPr>
      </w:pPr>
      <w:r>
        <w:rPr>
          <w:sz w:val="20"/>
          <w:szCs w:val="20"/>
        </w:rPr>
        <w:t>The Company determines the amount of internal software costs</w:t>
      </w:r>
      <w:r>
        <w:rPr>
          <w:sz w:val="20"/>
          <w:szCs w:val="20"/>
        </w:rPr>
        <w:t xml:space="preserve"> to be capitalized based on the amount of time spent by the developers on projects in the application stage of development. There is judgment involved in estimating time allocated to a particular project in the application stage. Costs associated with buil</w:t>
      </w:r>
      <w:r>
        <w:rPr>
          <w:sz w:val="20"/>
          <w:szCs w:val="20"/>
        </w:rPr>
        <w:t>ding or significantly enhancing the</w:t>
      </w:r>
      <w:r>
        <w:rPr>
          <w:sz w:val="20"/>
          <w:szCs w:val="20"/>
        </w:rPr>
        <w:t xml:space="preserve"> </w:t>
      </w:r>
      <w:r>
        <w:rPr>
          <w:sz w:val="20"/>
          <w:szCs w:val="20"/>
        </w:rPr>
        <w:t>CR</w:t>
      </w:r>
      <w:r>
        <w:rPr>
          <w:sz w:val="20"/>
          <w:szCs w:val="20"/>
        </w:rPr>
        <w:t>M</w:t>
      </w:r>
      <w:r>
        <w:rPr>
          <w:sz w:val="20"/>
          <w:szCs w:val="20"/>
        </w:rPr>
        <w:t xml:space="preserve"> Platform and internally built software platforms are capitalized, while costs associated with planning new developments and maintaining the</w:t>
      </w:r>
      <w:r>
        <w:rPr>
          <w:sz w:val="20"/>
          <w:szCs w:val="20"/>
        </w:rPr>
        <w:t xml:space="preserve"> </w:t>
      </w:r>
      <w:r>
        <w:rPr>
          <w:sz w:val="20"/>
          <w:szCs w:val="20"/>
        </w:rPr>
        <w:t>CR</w:t>
      </w:r>
      <w:r>
        <w:rPr>
          <w:sz w:val="20"/>
          <w:szCs w:val="20"/>
        </w:rPr>
        <w:t>M</w:t>
      </w:r>
      <w:r>
        <w:rPr>
          <w:sz w:val="20"/>
          <w:szCs w:val="20"/>
        </w:rPr>
        <w:t xml:space="preserve"> Platform software and internally built software platforms are expensed a</w:t>
      </w:r>
      <w:r>
        <w:rPr>
          <w:sz w:val="20"/>
          <w:szCs w:val="20"/>
        </w:rPr>
        <w:t>s incurred</w:t>
      </w:r>
      <w:r>
        <w:rPr>
          <w:sz w:val="20"/>
          <w:szCs w:val="20"/>
        </w:rPr>
        <w:t>.</w:t>
      </w:r>
    </w:p>
    <w:p w:rsidR="00000000" w:rsidRDefault="00A309A2">
      <w:pPr>
        <w:pStyle w:val="a3"/>
        <w:spacing w:before="240" w:beforeAutospacing="0" w:after="0" w:afterAutospacing="0"/>
        <w:ind w:firstLine="555"/>
        <w:divId w:val="1107236417"/>
        <w:rPr>
          <w:sz w:val="20"/>
          <w:szCs w:val="20"/>
        </w:rPr>
      </w:pPr>
      <w:r>
        <w:rPr>
          <w:sz w:val="20"/>
          <w:szCs w:val="20"/>
        </w:rPr>
        <w:t>Capitalized software development costs, exclusive of those costs recorded within property and equipment, consisted of the following</w:t>
      </w:r>
      <w:r>
        <w:rPr>
          <w:sz w:val="20"/>
          <w:szCs w:val="20"/>
        </w:rPr>
        <w:t>:</w:t>
      </w:r>
    </w:p>
    <w:p w:rsidR="00000000" w:rsidRDefault="00A309A2">
      <w:pPr>
        <w:pStyle w:val="a3"/>
        <w:spacing w:before="0" w:beforeAutospacing="0" w:after="0" w:afterAutospacing="0"/>
        <w:divId w:val="1107236417"/>
        <w:rPr>
          <w:sz w:val="20"/>
          <w:szCs w:val="20"/>
        </w:rPr>
      </w:pPr>
      <w:r>
        <w:rPr>
          <w:sz w:val="10"/>
          <w:szCs w:val="10"/>
        </w:rPr>
        <w:t> </w:t>
      </w:r>
    </w:p>
    <w:p w:rsidR="00000000" w:rsidRDefault="00A309A2">
      <w:pPr>
        <w:pStyle w:val="a3"/>
        <w:spacing w:before="0" w:beforeAutospacing="0" w:after="0" w:afterAutospacing="0"/>
        <w:divId w:val="110723641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72"/>
        <w:gridCol w:w="125"/>
        <w:gridCol w:w="160"/>
        <w:gridCol w:w="1420"/>
        <w:gridCol w:w="127"/>
        <w:gridCol w:w="123"/>
        <w:gridCol w:w="160"/>
        <w:gridCol w:w="1416"/>
        <w:gridCol w:w="142"/>
      </w:tblGrid>
      <w:tr w:rsidR="00000000">
        <w:trPr>
          <w:divId w:val="1107236417"/>
          <w:tblCellSpacing w:w="15" w:type="dxa"/>
        </w:trPr>
        <w:tc>
          <w:tcPr>
            <w:tcW w:w="2321" w:type="pct"/>
            <w:vAlign w:val="center"/>
            <w:hideMark/>
          </w:tcPr>
          <w:p w:rsidR="00000000" w:rsidRDefault="00A309A2">
            <w:pPr>
              <w:rPr>
                <w:sz w:val="20"/>
                <w:szCs w:val="20"/>
              </w:rPr>
            </w:pPr>
          </w:p>
        </w:tc>
        <w:tc>
          <w:tcPr>
            <w:tcW w:w="91"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1110"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89"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1106"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r>
      <w:tr w:rsidR="00000000">
        <w:trPr>
          <w:divId w:val="110723641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10723641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10723641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capitalized software development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122,59</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85,63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10723641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82,73</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60,68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110723641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39,85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24,94</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498308402"/>
        <w:rPr>
          <w:sz w:val="20"/>
          <w:szCs w:val="20"/>
        </w:rPr>
      </w:pPr>
      <w:r>
        <w:rPr>
          <w:sz w:val="12"/>
          <w:szCs w:val="12"/>
        </w:rPr>
        <w:t> </w:t>
      </w:r>
    </w:p>
    <w:p w:rsidR="00000000" w:rsidRDefault="00A309A2">
      <w:pPr>
        <w:pStyle w:val="a3"/>
        <w:spacing w:before="0" w:beforeAutospacing="0" w:after="0" w:afterAutospacing="0"/>
        <w:divId w:val="1498308402"/>
        <w:rPr>
          <w:sz w:val="20"/>
          <w:szCs w:val="20"/>
        </w:rPr>
      </w:pPr>
      <w:r>
        <w:rPr>
          <w:sz w:val="12"/>
          <w:szCs w:val="12"/>
        </w:rPr>
        <w:t> </w:t>
      </w:r>
    </w:p>
    <w:p w:rsidR="00000000" w:rsidRDefault="00A309A2">
      <w:pPr>
        <w:pStyle w:val="a3"/>
        <w:spacing w:before="0" w:beforeAutospacing="0" w:after="0" w:afterAutospacing="0"/>
        <w:ind w:firstLine="555"/>
        <w:divId w:val="1498308402"/>
        <w:rPr>
          <w:sz w:val="20"/>
          <w:szCs w:val="20"/>
        </w:rPr>
      </w:pPr>
      <w:r>
        <w:rPr>
          <w:sz w:val="20"/>
          <w:szCs w:val="20"/>
        </w:rPr>
        <w:t xml:space="preserve">Amortization of capitalized software development costs, exclusive of costs recorded within property and equipment, was </w:t>
      </w:r>
      <w:r>
        <w:rPr>
          <w:sz w:val="20"/>
          <w:szCs w:val="20"/>
        </w:rPr>
        <w:t>$</w:t>
      </w:r>
      <w:r>
        <w:rPr>
          <w:sz w:val="20"/>
          <w:szCs w:val="20"/>
        </w:rPr>
        <w:t>23.</w:t>
      </w:r>
      <w:r>
        <w:rPr>
          <w:sz w:val="20"/>
          <w:szCs w:val="20"/>
        </w:rPr>
        <w:t>0</w:t>
      </w:r>
      <w:r>
        <w:rPr>
          <w:sz w:val="20"/>
          <w:szCs w:val="20"/>
        </w:rPr>
        <w:t xml:space="preserve"> million in 2021, </w:t>
      </w:r>
      <w:r>
        <w:rPr>
          <w:sz w:val="20"/>
          <w:szCs w:val="20"/>
        </w:rPr>
        <w:t>$</w:t>
      </w:r>
      <w:r>
        <w:rPr>
          <w:sz w:val="20"/>
          <w:szCs w:val="20"/>
        </w:rPr>
        <w:t>16.</w:t>
      </w:r>
      <w:r>
        <w:rPr>
          <w:sz w:val="20"/>
          <w:szCs w:val="20"/>
        </w:rPr>
        <w:t>0</w:t>
      </w:r>
      <w:r>
        <w:rPr>
          <w:sz w:val="20"/>
          <w:szCs w:val="20"/>
        </w:rPr>
        <w:t xml:space="preserve"> million in 2020, and </w:t>
      </w:r>
      <w:r>
        <w:rPr>
          <w:sz w:val="20"/>
          <w:szCs w:val="20"/>
        </w:rPr>
        <w:t>$</w:t>
      </w:r>
      <w:r>
        <w:rPr>
          <w:sz w:val="20"/>
          <w:szCs w:val="20"/>
        </w:rPr>
        <w:t>11.</w:t>
      </w:r>
      <w:r>
        <w:rPr>
          <w:sz w:val="20"/>
          <w:szCs w:val="20"/>
        </w:rPr>
        <w:t>6</w:t>
      </w:r>
      <w:r>
        <w:rPr>
          <w:sz w:val="20"/>
          <w:szCs w:val="20"/>
        </w:rPr>
        <w:t xml:space="preserve"> million in 201</w:t>
      </w:r>
      <w:r>
        <w:rPr>
          <w:sz w:val="20"/>
          <w:szCs w:val="20"/>
        </w:rPr>
        <w:t>9</w:t>
      </w:r>
      <w:r>
        <w:rPr>
          <w:sz w:val="20"/>
          <w:szCs w:val="20"/>
        </w:rPr>
        <w:t>. Amortization expense is included in cost of revenue in the conso</w:t>
      </w:r>
      <w:r>
        <w:rPr>
          <w:sz w:val="20"/>
          <w:szCs w:val="20"/>
        </w:rPr>
        <w:t>lidated statements of operations</w:t>
      </w:r>
      <w:r>
        <w:rPr>
          <w:sz w:val="20"/>
          <w:szCs w:val="20"/>
        </w:rPr>
        <w:t>.</w:t>
      </w:r>
    </w:p>
    <w:p w:rsidR="00000000" w:rsidRDefault="00A309A2">
      <w:pPr>
        <w:pStyle w:val="a3"/>
        <w:spacing w:before="240" w:beforeAutospacing="0" w:after="0" w:afterAutospacing="0"/>
        <w:ind w:firstLine="555"/>
        <w:divId w:val="723798970"/>
        <w:rPr>
          <w:sz w:val="20"/>
          <w:szCs w:val="20"/>
        </w:rPr>
      </w:pPr>
      <w:r>
        <w:rPr>
          <w:b/>
          <w:bCs/>
          <w:sz w:val="20"/>
          <w:szCs w:val="20"/>
        </w:rPr>
        <w:t>Income Taxe</w:t>
      </w:r>
      <w:r>
        <w:rPr>
          <w:b/>
          <w:bCs/>
          <w:sz w:val="20"/>
          <w:szCs w:val="20"/>
        </w:rPr>
        <w:t>s</w:t>
      </w:r>
      <w:r>
        <w:rPr>
          <w:sz w:val="20"/>
          <w:szCs w:val="20"/>
        </w:rPr>
        <w:t xml:space="preserve"> —Deferred tax assets and liabilities are recognized for the differences between the financial statement carrying amounts and the tax bases of existing assets and liabilities using tax rates expected to be in e</w:t>
      </w:r>
      <w:r>
        <w:rPr>
          <w:sz w:val="20"/>
          <w:szCs w:val="20"/>
        </w:rPr>
        <w:t>ffect in the years in which the differences are expected to reverse. Deferred tax assets are reduced by a valuation allowance if it is more likely than not that some portion or all of the deferred tax assets will not be realized</w:t>
      </w:r>
      <w:r>
        <w:rPr>
          <w:sz w:val="20"/>
          <w:szCs w:val="20"/>
        </w:rPr>
        <w:t>.</w:t>
      </w:r>
    </w:p>
    <w:p w:rsidR="00000000" w:rsidRDefault="00A309A2">
      <w:pPr>
        <w:pStyle w:val="a3"/>
        <w:spacing w:before="240" w:beforeAutospacing="0" w:after="0" w:afterAutospacing="0"/>
        <w:ind w:firstLine="555"/>
        <w:divId w:val="723798970"/>
        <w:rPr>
          <w:sz w:val="20"/>
          <w:szCs w:val="20"/>
        </w:rPr>
      </w:pPr>
      <w:r>
        <w:rPr>
          <w:sz w:val="20"/>
          <w:szCs w:val="20"/>
        </w:rPr>
        <w:t>Accounting for uncertainty</w:t>
      </w:r>
      <w:r>
        <w:rPr>
          <w:sz w:val="20"/>
          <w:szCs w:val="20"/>
        </w:rPr>
        <w:t xml:space="preserve"> in income taxes recognized in the financial statements is in accordance with authoritative accounting guidance, which prescribes a two-step process to determine the amount of tax benefit to be recognized. First, the tax position must be evaluated to deter</w:t>
      </w:r>
      <w:r>
        <w:rPr>
          <w:sz w:val="20"/>
          <w:szCs w:val="20"/>
        </w:rPr>
        <w:t>mine the likelihood that it will be sustained upon external examination. If the tax position is deemed “more-likely-than-not” to be sustained, the tax position is then assessed to determine the amount of benefit to recognize in the financial statements. Th</w:t>
      </w:r>
      <w:r>
        <w:rPr>
          <w:sz w:val="20"/>
          <w:szCs w:val="20"/>
        </w:rPr>
        <w:t>e amount of the benefit that may be recognized is the largest amount that has a greater than</w:t>
      </w:r>
      <w:r>
        <w:rPr>
          <w:sz w:val="20"/>
          <w:szCs w:val="20"/>
        </w:rPr>
        <w:t xml:space="preserve"> </w:t>
      </w:r>
      <w:r>
        <w:rPr>
          <w:sz w:val="20"/>
          <w:szCs w:val="20"/>
        </w:rPr>
        <w:t>5</w:t>
      </w:r>
      <w:r>
        <w:rPr>
          <w:sz w:val="20"/>
          <w:szCs w:val="20"/>
        </w:rPr>
        <w:t>0</w:t>
      </w:r>
      <w:r>
        <w:rPr>
          <w:sz w:val="20"/>
          <w:szCs w:val="20"/>
        </w:rPr>
        <w:t xml:space="preserve"> percent likelihood of being realized upon ultimate settlement</w:t>
      </w:r>
      <w:r>
        <w:rPr>
          <w:sz w:val="20"/>
          <w:szCs w:val="20"/>
        </w:rPr>
        <w:t>.</w:t>
      </w:r>
    </w:p>
    <w:p w:rsidR="00000000" w:rsidRDefault="00A309A2">
      <w:pPr>
        <w:pStyle w:val="a3"/>
        <w:spacing w:before="0" w:beforeAutospacing="0" w:after="0" w:afterAutospacing="0"/>
        <w:divId w:val="1225071469"/>
        <w:rPr>
          <w:sz w:val="20"/>
          <w:szCs w:val="20"/>
        </w:rPr>
      </w:pPr>
      <w:r>
        <w:rPr>
          <w:sz w:val="20"/>
          <w:szCs w:val="20"/>
        </w:rPr>
        <w:t> </w:t>
      </w:r>
    </w:p>
    <w:p w:rsidR="00000000" w:rsidRDefault="00A309A2">
      <w:pPr>
        <w:pStyle w:val="a3"/>
        <w:spacing w:before="40" w:beforeAutospacing="0" w:after="0" w:afterAutospacing="0"/>
        <w:ind w:firstLine="555"/>
        <w:divId w:val="775753611"/>
        <w:rPr>
          <w:sz w:val="20"/>
          <w:szCs w:val="20"/>
        </w:rPr>
      </w:pPr>
      <w:r>
        <w:rPr>
          <w:b/>
          <w:bCs/>
          <w:sz w:val="20"/>
          <w:szCs w:val="20"/>
        </w:rPr>
        <w:t>Stock-Based Compensatio</w:t>
      </w:r>
      <w:r>
        <w:rPr>
          <w:b/>
          <w:bCs/>
          <w:sz w:val="20"/>
          <w:szCs w:val="20"/>
        </w:rPr>
        <w:t>n</w:t>
      </w:r>
      <w:r>
        <w:rPr>
          <w:sz w:val="20"/>
          <w:szCs w:val="20"/>
        </w:rPr>
        <w:t xml:space="preserve"> — The Company accounts for all stock options and awards granted to emp</w:t>
      </w:r>
      <w:r>
        <w:rPr>
          <w:sz w:val="20"/>
          <w:szCs w:val="20"/>
        </w:rPr>
        <w:t>loyees and nonemployees using a fair value method. The measurement date for awards is generally the date of the grant. The fair value of the Company’s common stock is the closing price of the stock on the date of the grant. For stock options, the Black-Sch</w:t>
      </w:r>
      <w:r>
        <w:rPr>
          <w:sz w:val="20"/>
          <w:szCs w:val="20"/>
        </w:rPr>
        <w:t>oles option pricing model is used to measure the fair value of the grant. The expected term of options granted to employees was calculated using the simplified method, which represents the average of the contractual term of the option and the weighted-aver</w:t>
      </w:r>
      <w:r>
        <w:rPr>
          <w:sz w:val="20"/>
          <w:szCs w:val="20"/>
        </w:rPr>
        <w:t>age vesting period of the option. The Company considers this appropriate as there is no other method that would be more indicative of exercise activity. The expected volatility for the Company’s common stock was based on an average of the historical volati</w:t>
      </w:r>
      <w:r>
        <w:rPr>
          <w:sz w:val="20"/>
          <w:szCs w:val="20"/>
        </w:rPr>
        <w:t>lity of a peer group of similar public companies. To determine the Company’s peer companies, the following criteria was used: software or software-as-a-service companies; similar histories and relatively comparable financial leverage; sufficient public com</w:t>
      </w:r>
      <w:r>
        <w:rPr>
          <w:sz w:val="20"/>
          <w:szCs w:val="20"/>
        </w:rPr>
        <w:t>pany trading history; similar talent pool; and in similar businesses and geographical markets. The risk-free interest rate is based on the rate on U.S. Treasury securities with maturities consistent with the estimated expected term of the awards. The assum</w:t>
      </w:r>
      <w:r>
        <w:rPr>
          <w:sz w:val="20"/>
          <w:szCs w:val="20"/>
        </w:rPr>
        <w:t>ed dividend yield is based upon the Company’s expectation of not paying dividends in the foreseeable future</w:t>
      </w:r>
      <w:r>
        <w:rPr>
          <w:sz w:val="20"/>
          <w:szCs w:val="20"/>
        </w:rPr>
        <w:t>.</w:t>
      </w:r>
    </w:p>
    <w:p w:rsidR="00000000" w:rsidRDefault="00A309A2">
      <w:pPr>
        <w:pStyle w:val="a3"/>
        <w:spacing w:before="40" w:beforeAutospacing="0" w:after="0" w:afterAutospacing="0"/>
        <w:ind w:firstLine="555"/>
        <w:divId w:val="775753611"/>
        <w:rPr>
          <w:sz w:val="20"/>
          <w:szCs w:val="20"/>
        </w:rPr>
      </w:pPr>
      <w:r>
        <w:rPr>
          <w:sz w:val="20"/>
          <w:szCs w:val="20"/>
        </w:rPr>
        <w:t> </w:t>
      </w:r>
    </w:p>
    <w:p w:rsidR="00000000" w:rsidRDefault="00A309A2">
      <w:pPr>
        <w:pStyle w:val="a3"/>
        <w:spacing w:before="240" w:beforeAutospacing="0" w:after="0" w:afterAutospacing="0"/>
        <w:jc w:val="center"/>
        <w:divId w:val="775753611"/>
        <w:rPr>
          <w:sz w:val="20"/>
          <w:szCs w:val="20"/>
        </w:rPr>
      </w:pPr>
      <w:r>
        <w:rPr>
          <w:sz w:val="20"/>
          <w:szCs w:val="20"/>
        </w:rPr>
        <w:t>7</w:t>
      </w:r>
      <w:r>
        <w:rPr>
          <w:sz w:val="20"/>
          <w:szCs w:val="20"/>
        </w:rPr>
        <w:t>4</w:t>
      </w:r>
    </w:p>
    <w:p w:rsidR="00000000" w:rsidRDefault="00A309A2">
      <w:pPr>
        <w:divId w:val="775753611"/>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A309A2">
      <w:pPr>
        <w:pStyle w:val="a3"/>
        <w:spacing w:before="0" w:beforeAutospacing="0" w:after="0" w:afterAutospacing="0"/>
        <w:divId w:val="775753611"/>
        <w:rPr>
          <w:sz w:val="20"/>
          <w:szCs w:val="20"/>
        </w:rPr>
      </w:pPr>
      <w:r>
        <w:rPr>
          <w:sz w:val="20"/>
          <w:szCs w:val="20"/>
        </w:rPr>
        <w:t> </w:t>
      </w:r>
    </w:p>
    <w:p w:rsidR="00000000" w:rsidRDefault="00A309A2">
      <w:pPr>
        <w:pStyle w:val="a3"/>
        <w:spacing w:before="40" w:beforeAutospacing="0" w:after="0" w:afterAutospacing="0"/>
        <w:ind w:firstLine="555"/>
        <w:divId w:val="775753611"/>
        <w:rPr>
          <w:sz w:val="20"/>
          <w:szCs w:val="20"/>
        </w:rPr>
      </w:pPr>
      <w:r>
        <w:rPr>
          <w:sz w:val="20"/>
          <w:szCs w:val="20"/>
        </w:rPr>
        <w:t>Stock-based compensation costs are recognized as expense over the requisite service period, which is generally the vesting period for awards, on a straight-line basis</w:t>
      </w:r>
      <w:r>
        <w:rPr>
          <w:sz w:val="20"/>
          <w:szCs w:val="20"/>
        </w:rPr>
        <w:t>.</w:t>
      </w:r>
      <w:r>
        <w:rPr>
          <w:sz w:val="20"/>
          <w:szCs w:val="20"/>
        </w:rPr>
        <w:t xml:space="preserve"> </w:t>
      </w:r>
    </w:p>
    <w:p w:rsidR="00000000" w:rsidRDefault="00A309A2">
      <w:pPr>
        <w:pStyle w:val="a3"/>
        <w:spacing w:before="0" w:beforeAutospacing="0" w:after="0" w:afterAutospacing="0"/>
        <w:divId w:val="1225071469"/>
        <w:rPr>
          <w:sz w:val="20"/>
          <w:szCs w:val="20"/>
        </w:rPr>
      </w:pPr>
      <w:r>
        <w:rPr>
          <w:sz w:val="20"/>
          <w:szCs w:val="20"/>
        </w:rPr>
        <w:t> </w:t>
      </w:r>
    </w:p>
    <w:p w:rsidR="00000000" w:rsidRDefault="00A309A2">
      <w:pPr>
        <w:pStyle w:val="a3"/>
        <w:spacing w:before="40" w:beforeAutospacing="0" w:after="0" w:afterAutospacing="0"/>
        <w:ind w:firstLine="555"/>
        <w:divId w:val="1559047903"/>
        <w:rPr>
          <w:sz w:val="20"/>
          <w:szCs w:val="20"/>
        </w:rPr>
      </w:pPr>
      <w:r>
        <w:rPr>
          <w:b/>
          <w:bCs/>
          <w:sz w:val="20"/>
          <w:szCs w:val="20"/>
        </w:rPr>
        <w:t>Recent Accounting Pronouncement</w:t>
      </w:r>
      <w:r>
        <w:rPr>
          <w:b/>
          <w:bCs/>
          <w:sz w:val="20"/>
          <w:szCs w:val="20"/>
        </w:rPr>
        <w:t>s</w:t>
      </w:r>
      <w:r>
        <w:rPr>
          <w:sz w:val="20"/>
          <w:szCs w:val="20"/>
        </w:rPr>
        <w:t>— Recent accoun</w:t>
      </w:r>
      <w:r>
        <w:rPr>
          <w:sz w:val="20"/>
          <w:szCs w:val="20"/>
        </w:rPr>
        <w:t>ting standards not included below are not expected to have a material impact on our consolidated financial position and results of operations</w:t>
      </w:r>
      <w:r>
        <w:rPr>
          <w:sz w:val="20"/>
          <w:szCs w:val="20"/>
        </w:rPr>
        <w:t>.</w:t>
      </w:r>
    </w:p>
    <w:p w:rsidR="00000000" w:rsidRDefault="00A309A2">
      <w:pPr>
        <w:pStyle w:val="a3"/>
        <w:spacing w:before="360" w:beforeAutospacing="0" w:after="0" w:afterAutospacing="0"/>
        <w:ind w:firstLine="555"/>
        <w:divId w:val="1559047903"/>
        <w:rPr>
          <w:sz w:val="20"/>
          <w:szCs w:val="20"/>
        </w:rPr>
      </w:pPr>
      <w:r>
        <w:rPr>
          <w:b/>
          <w:bCs/>
          <w:i/>
          <w:iCs/>
          <w:sz w:val="20"/>
          <w:szCs w:val="20"/>
        </w:rPr>
        <w:t>Recent Accounting Pronouncements to be Adopted in 2022 and Future Periods</w:t>
      </w:r>
      <w:r>
        <w:rPr>
          <w:b/>
          <w:bCs/>
          <w:i/>
          <w:iCs/>
          <w:sz w:val="20"/>
          <w:szCs w:val="20"/>
        </w:rPr>
        <w:t>:</w:t>
      </w:r>
    </w:p>
    <w:p w:rsidR="00000000" w:rsidRDefault="00A309A2">
      <w:pPr>
        <w:pStyle w:val="a3"/>
        <w:spacing w:before="120" w:beforeAutospacing="0" w:after="0" w:afterAutospacing="0"/>
        <w:ind w:firstLine="555"/>
        <w:divId w:val="1559047903"/>
        <w:rPr>
          <w:sz w:val="20"/>
          <w:szCs w:val="20"/>
        </w:rPr>
      </w:pPr>
      <w:r>
        <w:rPr>
          <w:sz w:val="20"/>
          <w:szCs w:val="20"/>
        </w:rPr>
        <w:t>In August 2020, the FASB issued guidan</w:t>
      </w:r>
      <w:r>
        <w:rPr>
          <w:sz w:val="20"/>
          <w:szCs w:val="20"/>
        </w:rPr>
        <w:t>ce simplifying the accounting for convertible instruments by reducing the number of accounting models for convertible debt instruments and convertible preferred stock. Limiting the accounting models results in fewer embedded conversion features being bifur</w:t>
      </w:r>
      <w:r>
        <w:rPr>
          <w:sz w:val="20"/>
          <w:szCs w:val="20"/>
        </w:rPr>
        <w:t>cated from the host contract and separately recognized as compared with current GAAP. In addition, it eliminates the treas</w:t>
      </w:r>
      <w:r>
        <w:rPr>
          <w:sz w:val="20"/>
          <w:szCs w:val="20"/>
        </w:rPr>
        <w:t>u</w:t>
      </w:r>
      <w:r>
        <w:rPr>
          <w:sz w:val="20"/>
          <w:szCs w:val="20"/>
        </w:rPr>
        <w:t>ry stock method for calculating diluted earnings per share for convertible instruments and requires the use of the if-converted metho</w:t>
      </w:r>
      <w:r>
        <w:rPr>
          <w:sz w:val="20"/>
          <w:szCs w:val="20"/>
        </w:rPr>
        <w:t>d. The Company will early adopt the standard on January 1, 2022 using the modified retrospective method, which would result in a cumulative effect adjustment as of the date of adoption. The Company expects a material change on its consolidated balance shee</w:t>
      </w:r>
      <w:r>
        <w:rPr>
          <w:sz w:val="20"/>
          <w:szCs w:val="20"/>
        </w:rPr>
        <w:t>t related to the recognition of convertible senior notes that was previously classified as equity. The Company also expects interest expense to decrease as non-cash interest expense due to the discount created by the separation of the equity component of i</w:t>
      </w:r>
      <w:r>
        <w:rPr>
          <w:sz w:val="20"/>
          <w:szCs w:val="20"/>
        </w:rPr>
        <w:t>ts convertible instruments will be eliminated. The Company will also need to assume share settlement of the entire convertible debt instrument under th</w:t>
      </w:r>
      <w:r>
        <w:rPr>
          <w:sz w:val="20"/>
          <w:szCs w:val="20"/>
        </w:rPr>
        <w:t>e</w:t>
      </w:r>
      <w:r>
        <w:rPr>
          <w:sz w:val="20"/>
          <w:szCs w:val="20"/>
        </w:rPr>
        <w:t xml:space="preserve"> if-converted method therefore increasing the potentially dilutive common stock equivalents for the dilu</w:t>
      </w:r>
      <w:r>
        <w:rPr>
          <w:sz w:val="20"/>
          <w:szCs w:val="20"/>
        </w:rPr>
        <w:t>ted earnings per share calculation. This will only have an impact on the Company if it is profitable</w:t>
      </w:r>
      <w:r>
        <w:rPr>
          <w:sz w:val="20"/>
          <w:szCs w:val="20"/>
        </w:rPr>
        <w:t>.</w:t>
      </w:r>
      <w:r>
        <w:rPr>
          <w:sz w:val="20"/>
          <w:szCs w:val="20"/>
        </w:rPr>
        <w:t xml:space="preserve"> </w:t>
      </w:r>
    </w:p>
    <w:p w:rsidR="00000000" w:rsidRDefault="00A309A2">
      <w:pPr>
        <w:pStyle w:val="a3"/>
        <w:spacing w:before="120" w:beforeAutospacing="0" w:after="0" w:afterAutospacing="0"/>
        <w:ind w:firstLine="555"/>
        <w:divId w:val="1559047903"/>
        <w:rPr>
          <w:sz w:val="20"/>
          <w:szCs w:val="20"/>
        </w:rPr>
      </w:pPr>
      <w:r>
        <w:rPr>
          <w:sz w:val="20"/>
          <w:szCs w:val="20"/>
        </w:rPr>
        <w:t>In October 2021, the F</w:t>
      </w:r>
      <w:r>
        <w:rPr>
          <w:sz w:val="20"/>
          <w:szCs w:val="20"/>
        </w:rPr>
        <w:t>A</w:t>
      </w:r>
      <w:r>
        <w:rPr>
          <w:sz w:val="20"/>
          <w:szCs w:val="20"/>
        </w:rPr>
        <w:t>SB issued guidance that requires companies to recognize and measure contract assets and contract liabilities acquired in a busines</w:t>
      </w:r>
      <w:r>
        <w:rPr>
          <w:sz w:val="20"/>
          <w:szCs w:val="20"/>
        </w:rPr>
        <w:t>s combination, in accordance with the revenue recognition guidance, as if the acquirer had entered into the original contract at the same time and on the same terms as the acquiree. Generally, this will result in the acquirer recognizing contract assets an</w:t>
      </w:r>
      <w:r>
        <w:rPr>
          <w:sz w:val="20"/>
          <w:szCs w:val="20"/>
        </w:rPr>
        <w:t>d liabilities at the same amounts recorded by the acquiree as of the acquisition date. Under the current standard, an acquirer generally recognizes such items at fair value on the acquisition date. The Company will early adopt the standard on January 1, 20</w:t>
      </w:r>
      <w:r>
        <w:rPr>
          <w:sz w:val="20"/>
          <w:szCs w:val="20"/>
        </w:rPr>
        <w:t>22 and will continue to evaluate the impact of this guidance, which will depend on the contract assets and liabilities acquired in future business combinations</w:t>
      </w:r>
      <w:r>
        <w:rPr>
          <w:sz w:val="20"/>
          <w:szCs w:val="20"/>
        </w:rPr>
        <w:t>.</w:t>
      </w:r>
      <w:r>
        <w:rPr>
          <w:sz w:val="20"/>
          <w:szCs w:val="20"/>
        </w:rPr>
        <w:t> </w:t>
      </w:r>
    </w:p>
    <w:p w:rsidR="00000000" w:rsidRDefault="00A309A2">
      <w:pPr>
        <w:pStyle w:val="a3"/>
        <w:spacing w:before="200" w:beforeAutospacing="0" w:after="0" w:afterAutospacing="0"/>
        <w:divId w:val="1184788955"/>
        <w:rPr>
          <w:sz w:val="20"/>
          <w:szCs w:val="20"/>
        </w:rPr>
      </w:pPr>
      <w:r>
        <w:rPr>
          <w:b/>
          <w:bCs/>
          <w:sz w:val="20"/>
          <w:szCs w:val="20"/>
        </w:rPr>
        <w:t>3. Revenue</w:t>
      </w:r>
      <w:r>
        <w:rPr>
          <w:b/>
          <w:bCs/>
          <w:sz w:val="20"/>
          <w:szCs w:val="20"/>
        </w:rPr>
        <w:t>s</w:t>
      </w:r>
    </w:p>
    <w:p w:rsidR="00000000" w:rsidRDefault="00A309A2">
      <w:pPr>
        <w:pStyle w:val="a3"/>
        <w:spacing w:before="200" w:beforeAutospacing="0" w:after="0" w:afterAutospacing="0"/>
        <w:ind w:firstLine="555"/>
        <w:divId w:val="1184788955"/>
        <w:rPr>
          <w:sz w:val="20"/>
          <w:szCs w:val="20"/>
        </w:rPr>
      </w:pPr>
      <w:r>
        <w:rPr>
          <w:b/>
          <w:bCs/>
          <w:i/>
          <w:iCs/>
          <w:sz w:val="20"/>
          <w:szCs w:val="20"/>
        </w:rPr>
        <w:t>Disaggregation of Revenu</w:t>
      </w:r>
      <w:r>
        <w:rPr>
          <w:b/>
          <w:bCs/>
          <w:i/>
          <w:iCs/>
          <w:sz w:val="20"/>
          <w:szCs w:val="20"/>
        </w:rPr>
        <w:t>e</w:t>
      </w:r>
    </w:p>
    <w:p w:rsidR="00000000" w:rsidRDefault="00A309A2">
      <w:pPr>
        <w:pStyle w:val="a3"/>
        <w:spacing w:before="200" w:beforeAutospacing="0" w:after="0" w:afterAutospacing="0"/>
        <w:ind w:firstLine="555"/>
        <w:divId w:val="1184788955"/>
        <w:rPr>
          <w:sz w:val="20"/>
          <w:szCs w:val="20"/>
        </w:rPr>
      </w:pPr>
      <w:r>
        <w:rPr>
          <w:sz w:val="20"/>
          <w:szCs w:val="20"/>
        </w:rPr>
        <w:t xml:space="preserve">The Company provides disaggregation of revenue based on </w:t>
      </w:r>
      <w:r>
        <w:rPr>
          <w:sz w:val="20"/>
          <w:szCs w:val="20"/>
        </w:rPr>
        <w:t>geographic region (Note 10) and based on the subscription versus professional services and other classification on the consolidated statements of operations as it believes these best depict how the nature, amount, timing and uncertainty of revenue and cash</w:t>
      </w:r>
      <w:r>
        <w:rPr>
          <w:sz w:val="20"/>
          <w:szCs w:val="20"/>
        </w:rPr>
        <w:t xml:space="preserve"> flows are affected by economic factors</w:t>
      </w:r>
      <w:r>
        <w:rPr>
          <w:sz w:val="20"/>
          <w:szCs w:val="20"/>
        </w:rPr>
        <w:t>.</w:t>
      </w:r>
    </w:p>
    <w:p w:rsidR="00000000" w:rsidRDefault="00A309A2">
      <w:pPr>
        <w:pStyle w:val="a3"/>
        <w:spacing w:before="200" w:beforeAutospacing="0" w:after="0" w:afterAutospacing="0"/>
        <w:ind w:firstLine="555"/>
        <w:divId w:val="1184788955"/>
        <w:rPr>
          <w:sz w:val="20"/>
          <w:szCs w:val="20"/>
        </w:rPr>
      </w:pPr>
      <w:r>
        <w:rPr>
          <w:b/>
          <w:bCs/>
          <w:i/>
          <w:iCs/>
          <w:sz w:val="20"/>
          <w:szCs w:val="20"/>
        </w:rPr>
        <w:t>Deferred Revenue and Deferred Commission Expens</w:t>
      </w:r>
      <w:r>
        <w:rPr>
          <w:b/>
          <w:bCs/>
          <w:i/>
          <w:iCs/>
          <w:sz w:val="20"/>
          <w:szCs w:val="20"/>
        </w:rPr>
        <w:t>e</w:t>
      </w:r>
      <w:r>
        <w:rPr>
          <w:b/>
          <w:bCs/>
          <w:i/>
          <w:iCs/>
          <w:sz w:val="20"/>
          <w:szCs w:val="20"/>
        </w:rPr>
        <w:t xml:space="preserve"> </w:t>
      </w:r>
    </w:p>
    <w:p w:rsidR="00000000" w:rsidRDefault="00A309A2">
      <w:pPr>
        <w:pStyle w:val="a3"/>
        <w:spacing w:before="200" w:beforeAutospacing="0" w:after="0" w:afterAutospacing="0"/>
        <w:ind w:firstLine="555"/>
        <w:divId w:val="1184788955"/>
        <w:rPr>
          <w:sz w:val="20"/>
          <w:szCs w:val="20"/>
        </w:rPr>
      </w:pPr>
      <w:r>
        <w:rPr>
          <w:sz w:val="20"/>
          <w:szCs w:val="20"/>
        </w:rPr>
        <w:t xml:space="preserve">Amounts that have been invoiced are recorded in accounts receivable and deferred revenue or revenue, depending on whether the revenue recognition criteria have been </w:t>
      </w:r>
      <w:r>
        <w:rPr>
          <w:sz w:val="20"/>
          <w:szCs w:val="20"/>
        </w:rPr>
        <w:t xml:space="preserve">met. Deferred revenue represents amounts billed for which revenue has not yet been recognized. Deferred revenue that will be recognized during the succeeding 12-month period is recorded as current deferred revenue, and the remaining portion is recorded as </w:t>
      </w:r>
      <w:r>
        <w:rPr>
          <w:sz w:val="20"/>
          <w:szCs w:val="20"/>
        </w:rPr>
        <w:t xml:space="preserve">long-term deferred revenue. Deferred revenue during the year ended December 31, 2021 increased by </w:t>
      </w:r>
      <w:r>
        <w:rPr>
          <w:sz w:val="20"/>
          <w:szCs w:val="20"/>
        </w:rPr>
        <w:t>$</w:t>
      </w:r>
      <w:r>
        <w:rPr>
          <w:sz w:val="20"/>
          <w:szCs w:val="20"/>
        </w:rPr>
        <w:t>118.</w:t>
      </w:r>
      <w:r>
        <w:rPr>
          <w:sz w:val="20"/>
          <w:szCs w:val="20"/>
        </w:rPr>
        <w:t>4</w:t>
      </w:r>
      <w:r>
        <w:rPr>
          <w:sz w:val="20"/>
          <w:szCs w:val="20"/>
        </w:rPr>
        <w:t xml:space="preserve"> million resulting from </w:t>
      </w:r>
      <w:r>
        <w:rPr>
          <w:sz w:val="20"/>
          <w:szCs w:val="20"/>
        </w:rPr>
        <w:t>$</w:t>
      </w:r>
      <w:r>
        <w:rPr>
          <w:sz w:val="20"/>
          <w:szCs w:val="20"/>
        </w:rPr>
        <w:t>1.</w:t>
      </w:r>
      <w:r>
        <w:rPr>
          <w:sz w:val="20"/>
          <w:szCs w:val="20"/>
        </w:rPr>
        <w:t>4</w:t>
      </w:r>
      <w:r>
        <w:rPr>
          <w:sz w:val="20"/>
          <w:szCs w:val="20"/>
        </w:rPr>
        <w:t xml:space="preserve"> billio</w:t>
      </w:r>
      <w:r>
        <w:rPr>
          <w:sz w:val="20"/>
          <w:szCs w:val="20"/>
        </w:rPr>
        <w:t>n</w:t>
      </w:r>
      <w:r>
        <w:rPr>
          <w:sz w:val="20"/>
          <w:szCs w:val="20"/>
        </w:rPr>
        <w:t xml:space="preserve"> of calculated billings and was offset by revenue recognized of </w:t>
      </w:r>
      <w:r>
        <w:rPr>
          <w:sz w:val="20"/>
          <w:szCs w:val="20"/>
        </w:rPr>
        <w:t>$</w:t>
      </w:r>
      <w:r>
        <w:rPr>
          <w:sz w:val="20"/>
          <w:szCs w:val="20"/>
        </w:rPr>
        <w:t>1.</w:t>
      </w:r>
      <w:r>
        <w:rPr>
          <w:sz w:val="20"/>
          <w:szCs w:val="20"/>
        </w:rPr>
        <w:t>3</w:t>
      </w:r>
      <w:r>
        <w:rPr>
          <w:sz w:val="20"/>
          <w:szCs w:val="20"/>
        </w:rPr>
        <w:t xml:space="preserve"> billio</w:t>
      </w:r>
      <w:r>
        <w:rPr>
          <w:sz w:val="20"/>
          <w:szCs w:val="20"/>
        </w:rPr>
        <w:t>n</w:t>
      </w:r>
      <w:r>
        <w:rPr>
          <w:sz w:val="20"/>
          <w:szCs w:val="20"/>
        </w:rPr>
        <w:t xml:space="preserve"> during the same period. </w:t>
      </w:r>
      <w:r>
        <w:rPr>
          <w:sz w:val="20"/>
          <w:szCs w:val="20"/>
        </w:rPr>
        <w:t>$</w:t>
      </w:r>
      <w:r>
        <w:rPr>
          <w:sz w:val="20"/>
          <w:szCs w:val="20"/>
        </w:rPr>
        <w:t>312.</w:t>
      </w:r>
      <w:r>
        <w:rPr>
          <w:sz w:val="20"/>
          <w:szCs w:val="20"/>
        </w:rPr>
        <w:t>2</w:t>
      </w:r>
      <w:r>
        <w:rPr>
          <w:sz w:val="20"/>
          <w:szCs w:val="20"/>
        </w:rPr>
        <w:t xml:space="preserve"> million </w:t>
      </w:r>
      <w:r>
        <w:rPr>
          <w:sz w:val="20"/>
          <w:szCs w:val="20"/>
        </w:rPr>
        <w:t>of revenue was recognized during the year ended December 31, 2021 that was included in deferred revenue at the beginning of the period. As of December 31, 2021,</w:t>
      </w:r>
      <w:r>
        <w:rPr>
          <w:sz w:val="20"/>
          <w:szCs w:val="20"/>
        </w:rPr>
        <w:t xml:space="preserve"> </w:t>
      </w:r>
      <w:r>
        <w:rPr>
          <w:sz w:val="20"/>
          <w:szCs w:val="20"/>
        </w:rPr>
        <w:t>approximately</w:t>
      </w:r>
      <w:r>
        <w:rPr>
          <w:sz w:val="20"/>
          <w:szCs w:val="20"/>
        </w:rPr>
        <w:t xml:space="preserve"> </w:t>
      </w:r>
      <w:r>
        <w:rPr>
          <w:sz w:val="20"/>
          <w:szCs w:val="20"/>
        </w:rPr>
        <w:t>$</w:t>
      </w:r>
      <w:r>
        <w:rPr>
          <w:sz w:val="20"/>
          <w:szCs w:val="20"/>
        </w:rPr>
        <w:t>376.</w:t>
      </w:r>
      <w:r>
        <w:rPr>
          <w:sz w:val="20"/>
          <w:szCs w:val="20"/>
        </w:rPr>
        <w:t>6</w:t>
      </w:r>
      <w:r>
        <w:rPr>
          <w:sz w:val="20"/>
          <w:szCs w:val="20"/>
        </w:rPr>
        <w:t xml:space="preserve"> millio</w:t>
      </w:r>
      <w:r>
        <w:rPr>
          <w:sz w:val="20"/>
          <w:szCs w:val="20"/>
        </w:rPr>
        <w:t>n</w:t>
      </w:r>
      <w:r>
        <w:rPr>
          <w:sz w:val="20"/>
          <w:szCs w:val="20"/>
        </w:rPr>
        <w:t xml:space="preserve"> of revenue is expected to be recognized from remaining performance</w:t>
      </w:r>
      <w:r>
        <w:rPr>
          <w:sz w:val="20"/>
          <w:szCs w:val="20"/>
        </w:rPr>
        <w:t xml:space="preserve"> obligations for contracts with original performance obligations that exceed</w:t>
      </w:r>
      <w:r>
        <w:rPr>
          <w:sz w:val="20"/>
          <w:szCs w:val="20"/>
        </w:rPr>
        <w:t xml:space="preserve"> </w:t>
      </w:r>
      <w:r>
        <w:rPr>
          <w:sz w:val="20"/>
          <w:szCs w:val="20"/>
        </w:rPr>
        <w:t>one yea</w:t>
      </w:r>
      <w:r>
        <w:rPr>
          <w:sz w:val="20"/>
          <w:szCs w:val="20"/>
        </w:rPr>
        <w:t>r</w:t>
      </w:r>
      <w:r>
        <w:rPr>
          <w:sz w:val="20"/>
          <w:szCs w:val="20"/>
        </w:rPr>
        <w:t>. The Company expects to recognize revenue on ap</w:t>
      </w:r>
      <w:r>
        <w:rPr>
          <w:sz w:val="20"/>
          <w:szCs w:val="20"/>
        </w:rPr>
        <w:t>p</w:t>
      </w:r>
      <w:r>
        <w:rPr>
          <w:sz w:val="20"/>
          <w:szCs w:val="20"/>
        </w:rPr>
        <w:t>roximately</w:t>
      </w:r>
      <w:r>
        <w:rPr>
          <w:sz w:val="20"/>
          <w:szCs w:val="20"/>
        </w:rPr>
        <w:t xml:space="preserve"> </w:t>
      </w:r>
      <w:r>
        <w:rPr>
          <w:sz w:val="20"/>
          <w:szCs w:val="20"/>
        </w:rPr>
        <w:t>9</w:t>
      </w:r>
      <w:r>
        <w:rPr>
          <w:sz w:val="20"/>
          <w:szCs w:val="20"/>
        </w:rPr>
        <w:t>3</w:t>
      </w:r>
      <w:r>
        <w:rPr>
          <w:sz w:val="20"/>
          <w:szCs w:val="20"/>
        </w:rPr>
        <w:t>%</w:t>
      </w:r>
      <w:r>
        <w:rPr>
          <w:sz w:val="20"/>
          <w:szCs w:val="20"/>
        </w:rPr>
        <w:t xml:space="preserve"> of thes</w:t>
      </w:r>
      <w:r>
        <w:rPr>
          <w:sz w:val="20"/>
          <w:szCs w:val="20"/>
        </w:rPr>
        <w:t>e</w:t>
      </w:r>
      <w:r>
        <w:rPr>
          <w:sz w:val="20"/>
          <w:szCs w:val="20"/>
        </w:rPr>
        <w:t xml:space="preserve"> remaining performance obligations over the next</w:t>
      </w:r>
      <w:r>
        <w:rPr>
          <w:sz w:val="20"/>
          <w:szCs w:val="20"/>
        </w:rPr>
        <w:t xml:space="preserve"> </w:t>
      </w:r>
      <w:r>
        <w:rPr>
          <w:sz w:val="20"/>
          <w:szCs w:val="20"/>
        </w:rPr>
        <w:t>2</w:t>
      </w:r>
      <w:r>
        <w:rPr>
          <w:sz w:val="20"/>
          <w:szCs w:val="20"/>
        </w:rPr>
        <w:t>4</w:t>
      </w:r>
      <w:r>
        <w:rPr>
          <w:sz w:val="20"/>
          <w:szCs w:val="20"/>
        </w:rPr>
        <w:t xml:space="preserve"> months, with the balance recognized thereafter</w:t>
      </w:r>
      <w:r>
        <w:rPr>
          <w:sz w:val="20"/>
          <w:szCs w:val="20"/>
        </w:rPr>
        <w:t>.</w:t>
      </w:r>
      <w:r>
        <w:rPr>
          <w:rFonts w:ascii="Arial" w:hAnsi="Arial" w:cs="Arial"/>
          <w:sz w:val="20"/>
          <w:szCs w:val="20"/>
        </w:rPr>
        <w:t xml:space="preserve"> </w:t>
      </w:r>
    </w:p>
    <w:p w:rsidR="00000000" w:rsidRDefault="00A309A2">
      <w:pPr>
        <w:pStyle w:val="a3"/>
        <w:spacing w:before="200" w:beforeAutospacing="0" w:after="0" w:afterAutospacing="0"/>
        <w:ind w:firstLine="555"/>
        <w:divId w:val="1184788955"/>
        <w:rPr>
          <w:sz w:val="20"/>
          <w:szCs w:val="20"/>
        </w:rPr>
      </w:pPr>
      <w:r>
        <w:rPr>
          <w:sz w:val="20"/>
          <w:szCs w:val="20"/>
        </w:rPr>
        <w:t xml:space="preserve">Additional contract liabilities </w:t>
      </w:r>
      <w:r>
        <w:rPr>
          <w:sz w:val="20"/>
          <w:szCs w:val="20"/>
        </w:rPr>
        <w:t>$</w:t>
      </w:r>
      <w:r>
        <w:rPr>
          <w:sz w:val="20"/>
          <w:szCs w:val="20"/>
        </w:rPr>
        <w:t>2.</w:t>
      </w:r>
      <w:r>
        <w:rPr>
          <w:sz w:val="20"/>
          <w:szCs w:val="20"/>
        </w:rPr>
        <w:t>5</w:t>
      </w:r>
      <w:r>
        <w:rPr>
          <w:sz w:val="20"/>
          <w:szCs w:val="20"/>
        </w:rPr>
        <w:t xml:space="preserve"> million and </w:t>
      </w:r>
      <w:r>
        <w:rPr>
          <w:sz w:val="20"/>
          <w:szCs w:val="20"/>
        </w:rPr>
        <w:t>$</w:t>
      </w:r>
      <w:r>
        <w:rPr>
          <w:sz w:val="20"/>
          <w:szCs w:val="20"/>
        </w:rPr>
        <w:t>1.</w:t>
      </w:r>
      <w:r>
        <w:rPr>
          <w:sz w:val="20"/>
          <w:szCs w:val="20"/>
        </w:rPr>
        <w:t>7</w:t>
      </w:r>
      <w:r>
        <w:rPr>
          <w:sz w:val="20"/>
          <w:szCs w:val="20"/>
        </w:rPr>
        <w:t xml:space="preserve"> million were included in accrued expenses and other current liabilities as of December 31, 2021 and December 31, 2020</w:t>
      </w:r>
      <w:r>
        <w:rPr>
          <w:sz w:val="20"/>
          <w:szCs w:val="20"/>
        </w:rPr>
        <w:t>.</w:t>
      </w:r>
      <w:r>
        <w:rPr>
          <w:sz w:val="20"/>
          <w:szCs w:val="20"/>
        </w:rPr>
        <w:t xml:space="preserve"> </w:t>
      </w:r>
    </w:p>
    <w:p w:rsidR="00000000" w:rsidRDefault="00A309A2">
      <w:pPr>
        <w:pStyle w:val="a3"/>
        <w:spacing w:before="200" w:beforeAutospacing="0" w:after="0" w:afterAutospacing="0"/>
        <w:ind w:firstLine="555"/>
        <w:divId w:val="1184788955"/>
        <w:rPr>
          <w:sz w:val="20"/>
          <w:szCs w:val="20"/>
        </w:rPr>
      </w:pPr>
      <w:r>
        <w:rPr>
          <w:sz w:val="20"/>
          <w:szCs w:val="20"/>
        </w:rPr>
        <w:t>The incremental direct costs of obtaining a contract, which primarily consist of</w:t>
      </w:r>
      <w:r>
        <w:rPr>
          <w:sz w:val="20"/>
          <w:szCs w:val="20"/>
        </w:rPr>
        <w:t xml:space="preserve"> sales commissions paid for new subscription contracts, are deferred and amortized on a straight-line basis over a period of approximately</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three year</w:t>
      </w:r>
      <w:r>
        <w:rPr>
          <w:sz w:val="20"/>
          <w:szCs w:val="20"/>
        </w:rPr>
        <w:t>s</w:t>
      </w:r>
      <w:r>
        <w:rPr>
          <w:sz w:val="20"/>
          <w:szCs w:val="20"/>
        </w:rPr>
        <w:t>. The one to three-year period has been determined by taking into consideration the type of product</w:t>
      </w:r>
      <w:r>
        <w:rPr>
          <w:sz w:val="20"/>
          <w:szCs w:val="20"/>
        </w:rPr>
        <w:t xml:space="preserve"> sold, the commitment term of the customer contract, the nature of the Company’s technology development life-cycle, and an estimated customer relationship period. Sales commissions for upgrade contracts are deferred and amortized on a straight-line basis o</w:t>
      </w:r>
      <w:r>
        <w:rPr>
          <w:sz w:val="20"/>
          <w:szCs w:val="20"/>
        </w:rPr>
        <w:t>ver the remaining estimated customer relationship period of the related customer. Deferred commission expense that will be recorded as expense during the succeeding 12-month period is recorded as current deferred commission expense, and the remaining porti</w:t>
      </w:r>
      <w:r>
        <w:rPr>
          <w:sz w:val="20"/>
          <w:szCs w:val="20"/>
        </w:rPr>
        <w:t>on is recorded as long-term deferred commission expense</w:t>
      </w:r>
      <w:r>
        <w:rPr>
          <w:sz w:val="20"/>
          <w:szCs w:val="20"/>
        </w:rPr>
        <w:t>.</w:t>
      </w:r>
      <w:r>
        <w:rPr>
          <w:sz w:val="20"/>
          <w:szCs w:val="20"/>
        </w:rPr>
        <w:t xml:space="preserve"> </w:t>
      </w:r>
    </w:p>
    <w:p w:rsidR="00000000" w:rsidRDefault="00A309A2">
      <w:pPr>
        <w:pStyle w:val="a3"/>
        <w:spacing w:before="240" w:beforeAutospacing="0" w:after="0" w:afterAutospacing="0"/>
        <w:jc w:val="center"/>
        <w:divId w:val="1184788955"/>
        <w:rPr>
          <w:sz w:val="20"/>
          <w:szCs w:val="20"/>
        </w:rPr>
      </w:pPr>
      <w:r>
        <w:rPr>
          <w:sz w:val="20"/>
          <w:szCs w:val="20"/>
        </w:rPr>
        <w:t>7</w:t>
      </w:r>
      <w:r>
        <w:rPr>
          <w:sz w:val="20"/>
          <w:szCs w:val="20"/>
        </w:rPr>
        <w:t>5</w:t>
      </w:r>
    </w:p>
    <w:p w:rsidR="00000000" w:rsidRDefault="00A309A2">
      <w:pPr>
        <w:divId w:val="1184788955"/>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A309A2">
      <w:pPr>
        <w:pStyle w:val="a3"/>
        <w:spacing w:before="0" w:beforeAutospacing="0" w:after="0" w:afterAutospacing="0"/>
        <w:divId w:val="1184788955"/>
        <w:rPr>
          <w:sz w:val="20"/>
          <w:szCs w:val="20"/>
        </w:rPr>
      </w:pPr>
      <w:r>
        <w:rPr>
          <w:sz w:val="20"/>
          <w:szCs w:val="20"/>
        </w:rPr>
        <w:t> </w:t>
      </w:r>
    </w:p>
    <w:p w:rsidR="00000000" w:rsidRDefault="00A309A2">
      <w:pPr>
        <w:pStyle w:val="a3"/>
        <w:spacing w:before="200" w:beforeAutospacing="0" w:after="0" w:afterAutospacing="0"/>
        <w:ind w:firstLine="555"/>
        <w:divId w:val="1184788955"/>
        <w:rPr>
          <w:sz w:val="20"/>
          <w:szCs w:val="20"/>
        </w:rPr>
      </w:pPr>
      <w:r>
        <w:rPr>
          <w:sz w:val="20"/>
          <w:szCs w:val="20"/>
        </w:rPr>
        <w:t xml:space="preserve">Deferred commission expense during the year ended December 31, 2021 increased by </w:t>
      </w:r>
      <w:r>
        <w:rPr>
          <w:sz w:val="20"/>
          <w:szCs w:val="20"/>
        </w:rPr>
        <w:t>$</w:t>
      </w:r>
      <w:r>
        <w:rPr>
          <w:sz w:val="20"/>
          <w:szCs w:val="20"/>
        </w:rPr>
        <w:t>29.</w:t>
      </w:r>
      <w:r>
        <w:rPr>
          <w:sz w:val="20"/>
          <w:szCs w:val="20"/>
        </w:rPr>
        <w:t>7</w:t>
      </w:r>
      <w:r>
        <w:rPr>
          <w:sz w:val="20"/>
          <w:szCs w:val="20"/>
        </w:rPr>
        <w:t xml:space="preserve"> million as a result of deferring incremental costs of obtaining a contract</w:t>
      </w:r>
      <w:r>
        <w:rPr>
          <w:sz w:val="20"/>
          <w:szCs w:val="20"/>
        </w:rPr>
        <w:t xml:space="preserve"> </w:t>
      </w:r>
      <w:r>
        <w:rPr>
          <w:sz w:val="20"/>
          <w:szCs w:val="20"/>
        </w:rPr>
        <w:t xml:space="preserve">of </w:t>
      </w:r>
      <w:r>
        <w:rPr>
          <w:sz w:val="20"/>
          <w:szCs w:val="20"/>
        </w:rPr>
        <w:t>$</w:t>
      </w:r>
      <w:r>
        <w:rPr>
          <w:sz w:val="20"/>
          <w:szCs w:val="20"/>
        </w:rPr>
        <w:t>96.</w:t>
      </w:r>
      <w:r>
        <w:rPr>
          <w:sz w:val="20"/>
          <w:szCs w:val="20"/>
        </w:rPr>
        <w:t>5</w:t>
      </w:r>
      <w:r>
        <w:rPr>
          <w:sz w:val="20"/>
          <w:szCs w:val="20"/>
        </w:rPr>
        <w:t xml:space="preserve"> million and was offset by amortization of </w:t>
      </w:r>
      <w:r>
        <w:rPr>
          <w:sz w:val="20"/>
          <w:szCs w:val="20"/>
        </w:rPr>
        <w:t>$</w:t>
      </w:r>
      <w:r>
        <w:rPr>
          <w:sz w:val="20"/>
          <w:szCs w:val="20"/>
        </w:rPr>
        <w:t>66.</w:t>
      </w:r>
      <w:r>
        <w:rPr>
          <w:sz w:val="20"/>
          <w:szCs w:val="20"/>
        </w:rPr>
        <w:t>8</w:t>
      </w:r>
      <w:r>
        <w:rPr>
          <w:sz w:val="20"/>
          <w:szCs w:val="20"/>
        </w:rPr>
        <w:t xml:space="preserve"> millio</w:t>
      </w:r>
      <w:r>
        <w:rPr>
          <w:sz w:val="20"/>
          <w:szCs w:val="20"/>
        </w:rPr>
        <w:t>n</w:t>
      </w:r>
      <w:r>
        <w:rPr>
          <w:sz w:val="20"/>
          <w:szCs w:val="20"/>
        </w:rPr>
        <w:t xml:space="preserve"> during the same period</w:t>
      </w:r>
      <w:r>
        <w:rPr>
          <w:sz w:val="20"/>
          <w:szCs w:val="20"/>
        </w:rPr>
        <w:t>.</w:t>
      </w:r>
    </w:p>
    <w:p w:rsidR="00000000" w:rsidRDefault="00A309A2">
      <w:pPr>
        <w:pStyle w:val="a3"/>
        <w:spacing w:before="160" w:beforeAutospacing="0" w:after="0" w:afterAutospacing="0"/>
        <w:divId w:val="544801070"/>
        <w:rPr>
          <w:sz w:val="20"/>
          <w:szCs w:val="20"/>
        </w:rPr>
      </w:pPr>
      <w:r>
        <w:rPr>
          <w:b/>
          <w:bCs/>
          <w:sz w:val="20"/>
          <w:szCs w:val="20"/>
        </w:rPr>
        <w:t>4. Le</w:t>
      </w:r>
      <w:r>
        <w:rPr>
          <w:b/>
          <w:bCs/>
          <w:sz w:val="20"/>
          <w:szCs w:val="20"/>
        </w:rPr>
        <w:t>ase</w:t>
      </w:r>
      <w:r>
        <w:rPr>
          <w:b/>
          <w:bCs/>
          <w:sz w:val="20"/>
          <w:szCs w:val="20"/>
        </w:rPr>
        <w:t>s</w:t>
      </w:r>
      <w:r>
        <w:rPr>
          <w:b/>
          <w:bCs/>
          <w:sz w:val="20"/>
          <w:szCs w:val="20"/>
        </w:rPr>
        <w:t xml:space="preserve"> </w:t>
      </w:r>
    </w:p>
    <w:p w:rsidR="00000000" w:rsidRDefault="00A309A2">
      <w:pPr>
        <w:pStyle w:val="a3"/>
        <w:spacing w:before="200" w:beforeAutospacing="0" w:after="0" w:afterAutospacing="0"/>
        <w:ind w:firstLine="555"/>
        <w:divId w:val="544801070"/>
        <w:rPr>
          <w:sz w:val="20"/>
          <w:szCs w:val="20"/>
        </w:rPr>
      </w:pPr>
      <w:r>
        <w:rPr>
          <w:sz w:val="20"/>
          <w:szCs w:val="20"/>
        </w:rPr>
        <w:t>The Company leases office facilities under non-cancelable operating leases that expire at various dates through February 2035</w:t>
      </w:r>
      <w:r>
        <w:rPr>
          <w:sz w:val="20"/>
          <w:szCs w:val="20"/>
        </w:rPr>
        <w:t>.</w:t>
      </w:r>
      <w:r>
        <w:rPr>
          <w:sz w:val="20"/>
          <w:szCs w:val="20"/>
        </w:rPr>
        <w:t xml:space="preserve"> </w:t>
      </w:r>
    </w:p>
    <w:p w:rsidR="00000000" w:rsidRDefault="00A309A2">
      <w:pPr>
        <w:pStyle w:val="a3"/>
        <w:spacing w:before="200" w:beforeAutospacing="0" w:after="0" w:afterAutospacing="0"/>
        <w:ind w:firstLine="555"/>
        <w:divId w:val="544801070"/>
        <w:rPr>
          <w:sz w:val="20"/>
          <w:szCs w:val="20"/>
        </w:rPr>
      </w:pPr>
      <w:r>
        <w:rPr>
          <w:sz w:val="20"/>
          <w:szCs w:val="20"/>
        </w:rPr>
        <w:t>Operating lease expense costs were</w:t>
      </w:r>
      <w:r>
        <w:rPr>
          <w:sz w:val="20"/>
          <w:szCs w:val="20"/>
        </w:rPr>
        <w:t xml:space="preserve"> </w:t>
      </w:r>
      <w:r>
        <w:rPr>
          <w:sz w:val="20"/>
          <w:szCs w:val="20"/>
        </w:rPr>
        <w:t>$</w:t>
      </w:r>
      <w:r>
        <w:rPr>
          <w:sz w:val="20"/>
          <w:szCs w:val="20"/>
        </w:rPr>
        <w:t>47.</w:t>
      </w:r>
      <w:r>
        <w:rPr>
          <w:sz w:val="20"/>
          <w:szCs w:val="20"/>
        </w:rPr>
        <w:t>5</w:t>
      </w:r>
      <w:r>
        <w:rPr>
          <w:sz w:val="20"/>
          <w:szCs w:val="20"/>
        </w:rPr>
        <w:t xml:space="preserve"> in 2021,</w:t>
      </w:r>
      <w:r>
        <w:rPr>
          <w:sz w:val="20"/>
          <w:szCs w:val="20"/>
        </w:rPr>
        <w:t xml:space="preserve"> </w:t>
      </w:r>
      <w:r>
        <w:rPr>
          <w:sz w:val="20"/>
          <w:szCs w:val="20"/>
        </w:rPr>
        <w:t>$</w:t>
      </w:r>
      <w:r>
        <w:rPr>
          <w:sz w:val="20"/>
          <w:szCs w:val="20"/>
        </w:rPr>
        <w:t>44.</w:t>
      </w:r>
      <w:r>
        <w:rPr>
          <w:sz w:val="20"/>
          <w:szCs w:val="20"/>
        </w:rPr>
        <w:t>6</w:t>
      </w:r>
      <w:r>
        <w:rPr>
          <w:sz w:val="20"/>
          <w:szCs w:val="20"/>
        </w:rPr>
        <w:t xml:space="preserve"> million in 2020, and</w:t>
      </w:r>
      <w:r>
        <w:rPr>
          <w:sz w:val="20"/>
          <w:szCs w:val="20"/>
        </w:rPr>
        <w:t xml:space="preserve"> </w:t>
      </w:r>
      <w:r>
        <w:rPr>
          <w:sz w:val="20"/>
          <w:szCs w:val="20"/>
        </w:rPr>
        <w:t>$</w:t>
      </w:r>
      <w:r>
        <w:rPr>
          <w:sz w:val="20"/>
          <w:szCs w:val="20"/>
        </w:rPr>
        <w:t>32.</w:t>
      </w:r>
      <w:r>
        <w:rPr>
          <w:sz w:val="20"/>
          <w:szCs w:val="20"/>
        </w:rPr>
        <w:t>2</w:t>
      </w:r>
      <w:r>
        <w:rPr>
          <w:sz w:val="20"/>
          <w:szCs w:val="20"/>
        </w:rPr>
        <w:t xml:space="preserve"> million in 2019</w:t>
      </w:r>
      <w:r>
        <w:rPr>
          <w:sz w:val="20"/>
          <w:szCs w:val="20"/>
        </w:rPr>
        <w:t>.</w:t>
      </w:r>
    </w:p>
    <w:p w:rsidR="00000000" w:rsidRDefault="00A309A2">
      <w:pPr>
        <w:pStyle w:val="a3"/>
        <w:spacing w:before="200" w:beforeAutospacing="0" w:after="0" w:afterAutospacing="0"/>
        <w:ind w:firstLine="555"/>
        <w:divId w:val="347371671"/>
        <w:rPr>
          <w:sz w:val="20"/>
          <w:szCs w:val="20"/>
        </w:rPr>
      </w:pPr>
      <w:r>
        <w:rPr>
          <w:sz w:val="20"/>
          <w:szCs w:val="20"/>
        </w:rPr>
        <w:t xml:space="preserve">The Company subleases </w:t>
      </w:r>
      <w:r>
        <w:rPr>
          <w:sz w:val="20"/>
          <w:szCs w:val="20"/>
        </w:rPr>
        <w:t>some of its unused spaces to third parties. Operating sublease income generated under all operating lease agreements is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840"/>
        <w:gridCol w:w="115"/>
        <w:gridCol w:w="160"/>
        <w:gridCol w:w="1055"/>
        <w:gridCol w:w="110"/>
        <w:gridCol w:w="110"/>
        <w:gridCol w:w="160"/>
        <w:gridCol w:w="777"/>
        <w:gridCol w:w="110"/>
        <w:gridCol w:w="110"/>
        <w:gridCol w:w="160"/>
        <w:gridCol w:w="982"/>
        <w:gridCol w:w="125"/>
      </w:tblGrid>
      <w:tr w:rsidR="00000000">
        <w:trPr>
          <w:divId w:val="347371671"/>
          <w:tblCellSpacing w:w="15" w:type="dxa"/>
        </w:trPr>
        <w:tc>
          <w:tcPr>
            <w:tcW w:w="1715" w:type="pct"/>
            <w:vAlign w:val="center"/>
            <w:hideMark/>
          </w:tcPr>
          <w:p w:rsidR="00000000" w:rsidRDefault="00A309A2">
            <w:pPr>
              <w:rPr>
                <w:sz w:val="20"/>
                <w:szCs w:val="20"/>
              </w:rPr>
            </w:pPr>
          </w:p>
        </w:tc>
        <w:tc>
          <w:tcPr>
            <w:tcW w:w="67" w:type="pct"/>
            <w:vAlign w:val="center"/>
            <w:hideMark/>
          </w:tcPr>
          <w:p w:rsidR="00000000" w:rsidRDefault="00A309A2">
            <w:pPr>
              <w:rPr>
                <w:rFonts w:eastAsia="Times New Roman"/>
                <w:sz w:val="20"/>
                <w:szCs w:val="20"/>
              </w:rPr>
            </w:pPr>
          </w:p>
        </w:tc>
        <w:tc>
          <w:tcPr>
            <w:tcW w:w="99" w:type="pct"/>
            <w:vAlign w:val="center"/>
            <w:hideMark/>
          </w:tcPr>
          <w:p w:rsidR="00000000" w:rsidRDefault="00A309A2">
            <w:pPr>
              <w:rPr>
                <w:rFonts w:eastAsia="Times New Roman"/>
                <w:sz w:val="20"/>
                <w:szCs w:val="20"/>
              </w:rPr>
            </w:pPr>
          </w:p>
        </w:tc>
        <w:tc>
          <w:tcPr>
            <w:tcW w:w="1002"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67" w:type="pct"/>
            <w:vAlign w:val="center"/>
            <w:hideMark/>
          </w:tcPr>
          <w:p w:rsidR="00000000" w:rsidRDefault="00A309A2">
            <w:pPr>
              <w:rPr>
                <w:rFonts w:eastAsia="Times New Roman"/>
                <w:sz w:val="20"/>
                <w:szCs w:val="20"/>
              </w:rPr>
            </w:pPr>
          </w:p>
        </w:tc>
        <w:tc>
          <w:tcPr>
            <w:tcW w:w="99" w:type="pct"/>
            <w:vAlign w:val="center"/>
            <w:hideMark/>
          </w:tcPr>
          <w:p w:rsidR="00000000" w:rsidRDefault="00A309A2">
            <w:pPr>
              <w:rPr>
                <w:rFonts w:eastAsia="Times New Roman"/>
                <w:sz w:val="20"/>
                <w:szCs w:val="20"/>
              </w:rPr>
            </w:pPr>
          </w:p>
        </w:tc>
        <w:tc>
          <w:tcPr>
            <w:tcW w:w="744"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99" w:type="pct"/>
            <w:vAlign w:val="center"/>
            <w:hideMark/>
          </w:tcPr>
          <w:p w:rsidR="00000000" w:rsidRDefault="00A309A2">
            <w:pPr>
              <w:rPr>
                <w:rFonts w:eastAsia="Times New Roman"/>
                <w:sz w:val="20"/>
                <w:szCs w:val="20"/>
              </w:rPr>
            </w:pPr>
          </w:p>
        </w:tc>
        <w:tc>
          <w:tcPr>
            <w:tcW w:w="933"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r>
      <w:tr w:rsidR="00000000">
        <w:trPr>
          <w:divId w:val="347371671"/>
          <w:trHeight w:val="160"/>
          <w:tblCellSpacing w:w="15" w:type="dxa"/>
        </w:trPr>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4737167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4737167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47371671"/>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Operating sublease incom</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4,95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5,00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2,49</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ind w:firstLine="555"/>
        <w:divId w:val="812596727"/>
        <w:rPr>
          <w:sz w:val="20"/>
          <w:szCs w:val="20"/>
        </w:rPr>
      </w:pPr>
      <w:r>
        <w:rPr>
          <w:sz w:val="20"/>
          <w:szCs w:val="20"/>
        </w:rPr>
        <w:t>The following table provides a reconciliation between non-cancelable lease commitments and lease liabilities as of December 31,</w:t>
      </w:r>
      <w:r>
        <w:rPr>
          <w:sz w:val="20"/>
          <w:szCs w:val="20"/>
        </w:rPr>
        <w:t xml:space="preserve"> </w:t>
      </w:r>
      <w:r>
        <w:rPr>
          <w:sz w:val="20"/>
          <w:szCs w:val="20"/>
        </w:rPr>
        <w:t>202</w:t>
      </w:r>
      <w:r>
        <w:rPr>
          <w:sz w:val="20"/>
          <w:szCs w:val="20"/>
        </w:rPr>
        <w:t>1</w:t>
      </w:r>
      <w:r>
        <w:rPr>
          <w:b/>
          <w:bCs/>
          <w:sz w:val="20"/>
          <w:szCs w:val="20"/>
        </w:rPr>
        <w:t>:</w:t>
      </w:r>
    </w:p>
    <w:tbl>
      <w:tblPr>
        <w:tblW w:w="3450" w:type="pct"/>
        <w:tblCellSpacing w:w="15" w:type="dxa"/>
        <w:tblCellMar>
          <w:top w:w="15" w:type="dxa"/>
          <w:left w:w="15" w:type="dxa"/>
          <w:bottom w:w="15" w:type="dxa"/>
          <w:right w:w="15" w:type="dxa"/>
        </w:tblCellMar>
        <w:tblLook w:val="04A0" w:firstRow="1" w:lastRow="0" w:firstColumn="1" w:lastColumn="0" w:noHBand="0" w:noVBand="1"/>
      </w:tblPr>
      <w:tblGrid>
        <w:gridCol w:w="3219"/>
        <w:gridCol w:w="210"/>
        <w:gridCol w:w="160"/>
        <w:gridCol w:w="1902"/>
        <w:gridCol w:w="110"/>
        <w:gridCol w:w="130"/>
      </w:tblGrid>
      <w:tr w:rsidR="00000000">
        <w:trPr>
          <w:divId w:val="812596727"/>
          <w:tblCellSpacing w:w="15" w:type="dxa"/>
        </w:trPr>
        <w:tc>
          <w:tcPr>
            <w:tcW w:w="2916" w:type="pct"/>
            <w:vAlign w:val="center"/>
            <w:hideMark/>
          </w:tcPr>
          <w:p w:rsidR="00000000" w:rsidRDefault="00A309A2">
            <w:pPr>
              <w:rPr>
                <w:sz w:val="20"/>
                <w:szCs w:val="20"/>
              </w:rPr>
            </w:pPr>
          </w:p>
        </w:tc>
        <w:tc>
          <w:tcPr>
            <w:tcW w:w="128" w:type="pct"/>
            <w:vAlign w:val="center"/>
            <w:hideMark/>
          </w:tcPr>
          <w:p w:rsidR="00000000" w:rsidRDefault="00A309A2">
            <w:pPr>
              <w:rPr>
                <w:rFonts w:eastAsia="Times New Roman"/>
                <w:sz w:val="20"/>
                <w:szCs w:val="20"/>
              </w:rPr>
            </w:pPr>
          </w:p>
        </w:tc>
        <w:tc>
          <w:tcPr>
            <w:tcW w:w="104" w:type="pct"/>
            <w:vAlign w:val="center"/>
            <w:hideMark/>
          </w:tcPr>
          <w:p w:rsidR="00000000" w:rsidRDefault="00A309A2">
            <w:pPr>
              <w:rPr>
                <w:rFonts w:eastAsia="Times New Roman"/>
                <w:sz w:val="20"/>
                <w:szCs w:val="20"/>
              </w:rPr>
            </w:pPr>
          </w:p>
        </w:tc>
        <w:tc>
          <w:tcPr>
            <w:tcW w:w="1738" w:type="pct"/>
            <w:vAlign w:val="center"/>
            <w:hideMark/>
          </w:tcPr>
          <w:p w:rsidR="00000000" w:rsidRDefault="00A309A2">
            <w:pPr>
              <w:rPr>
                <w:rFonts w:eastAsia="Times New Roman"/>
                <w:sz w:val="20"/>
                <w:szCs w:val="20"/>
              </w:rPr>
            </w:pPr>
          </w:p>
        </w:tc>
        <w:tc>
          <w:tcPr>
            <w:tcW w:w="43" w:type="pct"/>
            <w:vAlign w:val="center"/>
            <w:hideMark/>
          </w:tcPr>
          <w:p w:rsidR="00000000" w:rsidRDefault="00A309A2">
            <w:pPr>
              <w:rPr>
                <w:rFonts w:eastAsia="Times New Roman"/>
                <w:sz w:val="20"/>
                <w:szCs w:val="20"/>
              </w:rPr>
            </w:pPr>
          </w:p>
        </w:tc>
        <w:tc>
          <w:tcPr>
            <w:tcW w:w="68" w:type="pct"/>
            <w:vAlign w:val="center"/>
            <w:hideMark/>
          </w:tcPr>
          <w:p w:rsidR="00000000" w:rsidRDefault="00A309A2">
            <w:pPr>
              <w:rPr>
                <w:rFonts w:eastAsia="Times New Roman"/>
                <w:sz w:val="20"/>
                <w:szCs w:val="20"/>
              </w:rPr>
            </w:pPr>
          </w:p>
        </w:tc>
      </w:tr>
      <w:tr w:rsidR="00000000">
        <w:trPr>
          <w:divId w:val="81259672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r>
      <w:tr w:rsidR="00000000">
        <w:trPr>
          <w:divId w:val="81259672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Lease commitments (Note 11</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385,99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r>
      <w:tr w:rsidR="00000000">
        <w:trPr>
          <w:divId w:val="81259672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Less: Legally binding minimum lease payments for</w:t>
            </w:r>
            <w:r>
              <w:rPr>
                <w:sz w:val="20"/>
                <w:szCs w:val="20"/>
              </w:rPr>
              <w:br/>
              <w:t>  leases signed but not yet commence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r>
      <w:tr w:rsidR="00000000">
        <w:trPr>
          <w:divId w:val="81259672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Less: Present value discoun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75,76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r>
      <w:tr w:rsidR="00000000">
        <w:trPr>
          <w:divId w:val="812596727"/>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lease liabilitie</w:t>
            </w:r>
            <w:r>
              <w:rPr>
                <w:sz w:val="20"/>
                <w:szCs w:val="20"/>
              </w:rPr>
              <w:t>s</w:t>
            </w:r>
          </w:p>
        </w:tc>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310,23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2"/>
                <w:szCs w:val="22"/>
              </w:rPr>
            </w:pPr>
            <w:r>
              <w:rPr>
                <w:sz w:val="22"/>
                <w:szCs w:val="22"/>
              </w:rPr>
              <w:t> </w:t>
            </w:r>
          </w:p>
        </w:tc>
      </w:tr>
    </w:tbl>
    <w:p w:rsidR="00000000" w:rsidRDefault="00A309A2">
      <w:pPr>
        <w:pStyle w:val="a3"/>
        <w:spacing w:before="200" w:beforeAutospacing="0" w:after="0" w:afterAutospacing="0"/>
        <w:ind w:firstLine="555"/>
        <w:divId w:val="544801070"/>
        <w:rPr>
          <w:sz w:val="20"/>
          <w:szCs w:val="20"/>
        </w:rPr>
      </w:pPr>
      <w:r>
        <w:rPr>
          <w:sz w:val="20"/>
          <w:szCs w:val="20"/>
        </w:rPr>
        <w:t>During the year ended December 31, 2021,</w:t>
      </w:r>
      <w:r>
        <w:rPr>
          <w:sz w:val="20"/>
          <w:szCs w:val="20"/>
        </w:rPr>
        <w:t xml:space="preserve"> </w:t>
      </w:r>
      <w:r>
        <w:rPr>
          <w:sz w:val="20"/>
          <w:szCs w:val="20"/>
        </w:rPr>
        <w:t xml:space="preserve">the Company terminated a lease for certain office facilities in Cambridge, Massachusetts and recorded a gain of </w:t>
      </w:r>
      <w:r>
        <w:rPr>
          <w:sz w:val="20"/>
          <w:szCs w:val="20"/>
        </w:rPr>
        <w:t>$</w:t>
      </w:r>
      <w:r>
        <w:rPr>
          <w:sz w:val="20"/>
          <w:szCs w:val="20"/>
        </w:rPr>
        <w:t>4.</w:t>
      </w:r>
      <w:r>
        <w:rPr>
          <w:sz w:val="20"/>
          <w:szCs w:val="20"/>
        </w:rPr>
        <w:t>3</w:t>
      </w:r>
      <w:r>
        <w:rPr>
          <w:sz w:val="20"/>
          <w:szCs w:val="20"/>
        </w:rPr>
        <w:t xml:space="preserve"> million. In connection with the lease termination, the Company recorded a loss of </w:t>
      </w:r>
      <w:r>
        <w:rPr>
          <w:sz w:val="20"/>
          <w:szCs w:val="20"/>
        </w:rPr>
        <w:t>$</w:t>
      </w:r>
      <w:r>
        <w:rPr>
          <w:sz w:val="20"/>
          <w:szCs w:val="20"/>
        </w:rPr>
        <w:t>6.</w:t>
      </w:r>
      <w:r>
        <w:rPr>
          <w:sz w:val="20"/>
          <w:szCs w:val="20"/>
        </w:rPr>
        <w:t>5</w:t>
      </w:r>
      <w:r>
        <w:rPr>
          <w:sz w:val="20"/>
          <w:szCs w:val="20"/>
        </w:rPr>
        <w:t xml:space="preserve"> million for</w:t>
      </w:r>
      <w:r>
        <w:rPr>
          <w:sz w:val="20"/>
          <w:szCs w:val="20"/>
        </w:rPr>
        <w:t xml:space="preserve"> the disposal of fixed assets. The net loss of </w:t>
      </w:r>
      <w:r>
        <w:rPr>
          <w:sz w:val="20"/>
          <w:szCs w:val="20"/>
        </w:rPr>
        <w:t>$</w:t>
      </w:r>
      <w:r>
        <w:rPr>
          <w:sz w:val="20"/>
          <w:szCs w:val="20"/>
        </w:rPr>
        <w:t>2.</w:t>
      </w:r>
      <w:r>
        <w:rPr>
          <w:sz w:val="20"/>
          <w:szCs w:val="20"/>
        </w:rPr>
        <w:t>2</w:t>
      </w:r>
      <w:r>
        <w:rPr>
          <w:sz w:val="20"/>
          <w:szCs w:val="20"/>
        </w:rPr>
        <w:t xml:space="preserve"> million is reported in the consolidated statements of operations as operating expense</w:t>
      </w:r>
      <w:r>
        <w:rPr>
          <w:sz w:val="20"/>
          <w:szCs w:val="20"/>
        </w:rPr>
        <w:t>.</w:t>
      </w:r>
      <w:r>
        <w:rPr>
          <w:sz w:val="20"/>
          <w:szCs w:val="20"/>
        </w:rPr>
        <w:t xml:space="preserve"> </w:t>
      </w:r>
    </w:p>
    <w:p w:rsidR="00000000" w:rsidRDefault="00A309A2">
      <w:pPr>
        <w:pStyle w:val="a3"/>
        <w:spacing w:before="200" w:beforeAutospacing="0" w:after="0" w:afterAutospacing="0"/>
        <w:ind w:firstLine="555"/>
        <w:divId w:val="544801070"/>
        <w:rPr>
          <w:sz w:val="20"/>
          <w:szCs w:val="20"/>
        </w:rPr>
      </w:pPr>
      <w:r>
        <w:rPr>
          <w:b/>
          <w:bCs/>
          <w:i/>
          <w:iCs/>
          <w:sz w:val="20"/>
          <w:szCs w:val="20"/>
        </w:rPr>
        <w:t>Lease Term and Discount Rat</w:t>
      </w:r>
      <w:r>
        <w:rPr>
          <w:b/>
          <w:bCs/>
          <w:i/>
          <w:iCs/>
          <w:sz w:val="20"/>
          <w:szCs w:val="20"/>
        </w:rPr>
        <w:t>e</w:t>
      </w:r>
    </w:p>
    <w:p w:rsidR="00000000" w:rsidRDefault="00A309A2">
      <w:pPr>
        <w:pStyle w:val="a3"/>
        <w:spacing w:before="120" w:beforeAutospacing="0" w:after="0" w:afterAutospacing="0"/>
        <w:ind w:firstLine="555"/>
        <w:divId w:val="544801070"/>
        <w:rPr>
          <w:sz w:val="20"/>
          <w:szCs w:val="20"/>
        </w:rPr>
      </w:pPr>
      <w:r>
        <w:rPr>
          <w:sz w:val="20"/>
          <w:szCs w:val="20"/>
        </w:rPr>
        <w:t>The Company uses its estimated incremental borrowing rate, which is derived from inform</w:t>
      </w:r>
      <w:r>
        <w:rPr>
          <w:sz w:val="20"/>
          <w:szCs w:val="20"/>
        </w:rPr>
        <w:t>ation available at the lease commencement date, in determining the present value of operating lease payments. To determine the estimated incremental borrowing rate, the Company uses publicly available credit ratings for peer companies. The Company estimate</w:t>
      </w:r>
      <w:r>
        <w:rPr>
          <w:sz w:val="20"/>
          <w:szCs w:val="20"/>
        </w:rPr>
        <w:t>s the incremental borrowing rate using yields for maturities that are in line with the duration of the lease payments</w:t>
      </w:r>
      <w:r>
        <w:rPr>
          <w:sz w:val="20"/>
          <w:szCs w:val="20"/>
        </w:rPr>
        <w:t>.</w:t>
      </w:r>
    </w:p>
    <w:p w:rsidR="00000000" w:rsidRDefault="00A309A2">
      <w:pPr>
        <w:pStyle w:val="a3"/>
        <w:spacing w:before="240" w:beforeAutospacing="0" w:after="0" w:afterAutospacing="0"/>
        <w:ind w:firstLine="555"/>
        <w:divId w:val="308242373"/>
        <w:rPr>
          <w:sz w:val="20"/>
          <w:szCs w:val="20"/>
        </w:rPr>
      </w:pPr>
      <w:r>
        <w:rPr>
          <w:sz w:val="20"/>
          <w:szCs w:val="20"/>
        </w:rPr>
        <w:t>The following table provides weighted average remaining lease terms and weighted average discount rate for operating and finance leases a</w:t>
      </w:r>
      <w:r>
        <w:rPr>
          <w:sz w:val="20"/>
          <w:szCs w:val="20"/>
        </w:rPr>
        <w:t>s of December 31,</w:t>
      </w:r>
      <w:r>
        <w:rPr>
          <w:sz w:val="20"/>
          <w:szCs w:val="20"/>
        </w:rPr>
        <w:t xml:space="preserve"> </w:t>
      </w:r>
      <w:r>
        <w:rPr>
          <w:sz w:val="20"/>
          <w:szCs w:val="20"/>
        </w:rPr>
        <w:t>2021</w:t>
      </w:r>
      <w:r>
        <w:rPr>
          <w:sz w:val="20"/>
          <w:szCs w:val="20"/>
        </w:rPr>
        <w:t>:</w:t>
      </w:r>
    </w:p>
    <w:p w:rsidR="00000000" w:rsidRDefault="00A309A2">
      <w:pPr>
        <w:pStyle w:val="a3"/>
        <w:spacing w:before="0" w:beforeAutospacing="0" w:after="0" w:afterAutospacing="0"/>
        <w:divId w:val="30824237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30"/>
        <w:gridCol w:w="210"/>
        <w:gridCol w:w="2174"/>
      </w:tblGrid>
      <w:tr w:rsidR="00000000">
        <w:trPr>
          <w:divId w:val="308242373"/>
          <w:tblCellSpacing w:w="15" w:type="dxa"/>
        </w:trPr>
        <w:tc>
          <w:tcPr>
            <w:tcW w:w="2988" w:type="pct"/>
            <w:vAlign w:val="center"/>
            <w:hideMark/>
          </w:tcPr>
          <w:p w:rsidR="00000000" w:rsidRDefault="00A309A2">
            <w:pPr>
              <w:rPr>
                <w:sz w:val="20"/>
                <w:szCs w:val="20"/>
              </w:rPr>
            </w:pPr>
          </w:p>
        </w:tc>
        <w:tc>
          <w:tcPr>
            <w:tcW w:w="125" w:type="pct"/>
            <w:vAlign w:val="center"/>
            <w:hideMark/>
          </w:tcPr>
          <w:p w:rsidR="00000000" w:rsidRDefault="00A309A2">
            <w:pPr>
              <w:rPr>
                <w:rFonts w:eastAsia="Times New Roman"/>
                <w:sz w:val="20"/>
                <w:szCs w:val="20"/>
              </w:rPr>
            </w:pPr>
          </w:p>
        </w:tc>
        <w:tc>
          <w:tcPr>
            <w:tcW w:w="1886" w:type="pct"/>
            <w:vAlign w:val="center"/>
            <w:hideMark/>
          </w:tcPr>
          <w:p w:rsidR="00000000" w:rsidRDefault="00A309A2">
            <w:pPr>
              <w:rPr>
                <w:rFonts w:eastAsia="Times New Roman"/>
                <w:sz w:val="20"/>
                <w:szCs w:val="20"/>
              </w:rPr>
            </w:pPr>
          </w:p>
        </w:tc>
      </w:tr>
      <w:tr w:rsidR="00000000">
        <w:trPr>
          <w:divId w:val="308242373"/>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Weighted-average remaining lease term</w:t>
            </w:r>
            <w:r>
              <w:rPr>
                <w:sz w:val="20"/>
                <w:szCs w:val="20"/>
              </w:rPr>
              <w:t>:</w:t>
            </w:r>
          </w:p>
        </w:tc>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r>
              <w:rPr>
                <w:sz w:val="20"/>
                <w:szCs w:val="20"/>
              </w:rPr>
              <w:t>6</w:t>
            </w:r>
            <w:r>
              <w:rPr>
                <w:sz w:val="20"/>
                <w:szCs w:val="20"/>
              </w:rPr>
              <w:t> year</w:t>
            </w:r>
            <w:r>
              <w:rPr>
                <w:sz w:val="20"/>
                <w:szCs w:val="20"/>
              </w:rPr>
              <w:t>s</w:t>
            </w:r>
          </w:p>
        </w:tc>
      </w:tr>
      <w:tr w:rsidR="00000000">
        <w:trPr>
          <w:divId w:val="308242373"/>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Weighted-average discount rate</w:t>
            </w:r>
            <w:r>
              <w:rPr>
                <w:sz w:val="20"/>
                <w:szCs w:val="20"/>
              </w:rPr>
              <w:t>:</w:t>
            </w:r>
          </w:p>
        </w:tc>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5</w:t>
            </w:r>
            <w:r>
              <w:rPr>
                <w:sz w:val="20"/>
                <w:szCs w:val="20"/>
              </w:rPr>
              <w:t>%</w:t>
            </w:r>
          </w:p>
        </w:tc>
      </w:tr>
    </w:tbl>
    <w:p w:rsidR="00000000" w:rsidRDefault="00A309A2">
      <w:pPr>
        <w:pStyle w:val="a3"/>
        <w:spacing w:before="0" w:beforeAutospacing="0" w:after="0" w:afterAutospacing="0"/>
        <w:divId w:val="544801070"/>
        <w:rPr>
          <w:sz w:val="20"/>
          <w:szCs w:val="20"/>
        </w:rPr>
      </w:pPr>
      <w:r>
        <w:rPr>
          <w:sz w:val="20"/>
          <w:szCs w:val="20"/>
        </w:rPr>
        <w:t> </w:t>
      </w:r>
    </w:p>
    <w:p w:rsidR="00000000" w:rsidRDefault="00A309A2">
      <w:pPr>
        <w:pStyle w:val="a3"/>
        <w:spacing w:before="160" w:beforeAutospacing="0" w:after="0" w:afterAutospacing="0"/>
        <w:ind w:firstLine="555"/>
        <w:divId w:val="544801070"/>
        <w:rPr>
          <w:sz w:val="20"/>
          <w:szCs w:val="20"/>
        </w:rPr>
      </w:pPr>
      <w:r>
        <w:rPr>
          <w:b/>
          <w:bCs/>
          <w:i/>
          <w:iCs/>
          <w:sz w:val="20"/>
          <w:szCs w:val="20"/>
        </w:rPr>
        <w:t>Other Informatio</w:t>
      </w:r>
      <w:r>
        <w:rPr>
          <w:b/>
          <w:bCs/>
          <w:i/>
          <w:iCs/>
          <w:sz w:val="20"/>
          <w:szCs w:val="20"/>
        </w:rPr>
        <w:t>n</w:t>
      </w:r>
    </w:p>
    <w:p w:rsidR="00000000" w:rsidRDefault="00A309A2">
      <w:pPr>
        <w:pStyle w:val="a3"/>
        <w:spacing w:before="120" w:beforeAutospacing="0" w:after="0" w:afterAutospacing="0"/>
        <w:ind w:firstLine="555"/>
        <w:divId w:val="544801070"/>
        <w:rPr>
          <w:sz w:val="20"/>
          <w:szCs w:val="20"/>
        </w:rPr>
      </w:pPr>
      <w:r>
        <w:rPr>
          <w:sz w:val="20"/>
          <w:szCs w:val="20"/>
        </w:rPr>
        <w:t>Cash payments related to operating lease liabilities were</w:t>
      </w:r>
      <w:r>
        <w:rPr>
          <w:sz w:val="20"/>
          <w:szCs w:val="20"/>
        </w:rPr>
        <w:t xml:space="preserve"> </w:t>
      </w:r>
      <w:r>
        <w:rPr>
          <w:sz w:val="20"/>
          <w:szCs w:val="20"/>
        </w:rPr>
        <w:t>$</w:t>
      </w:r>
      <w:r>
        <w:rPr>
          <w:sz w:val="20"/>
          <w:szCs w:val="20"/>
        </w:rPr>
        <w:t>49.</w:t>
      </w:r>
      <w:r>
        <w:rPr>
          <w:sz w:val="20"/>
          <w:szCs w:val="20"/>
        </w:rPr>
        <w:t>5</w:t>
      </w:r>
      <w:r>
        <w:rPr>
          <w:sz w:val="20"/>
          <w:szCs w:val="20"/>
        </w:rPr>
        <w:t xml:space="preserve"> million in 2021,</w:t>
      </w:r>
      <w:r>
        <w:rPr>
          <w:sz w:val="20"/>
          <w:szCs w:val="20"/>
        </w:rPr>
        <w:t xml:space="preserve"> </w:t>
      </w:r>
      <w:r>
        <w:rPr>
          <w:sz w:val="20"/>
          <w:szCs w:val="20"/>
        </w:rPr>
        <w:t>$</w:t>
      </w:r>
      <w:r>
        <w:rPr>
          <w:sz w:val="20"/>
          <w:szCs w:val="20"/>
        </w:rPr>
        <w:t>48.</w:t>
      </w:r>
      <w:r>
        <w:rPr>
          <w:sz w:val="20"/>
          <w:szCs w:val="20"/>
        </w:rPr>
        <w:t>8</w:t>
      </w:r>
      <w:r>
        <w:rPr>
          <w:sz w:val="20"/>
          <w:szCs w:val="20"/>
        </w:rPr>
        <w:t xml:space="preserve"> </w:t>
      </w:r>
      <w:r>
        <w:rPr>
          <w:sz w:val="20"/>
          <w:szCs w:val="20"/>
        </w:rPr>
        <w:t>million in 2020, and</w:t>
      </w:r>
      <w:r>
        <w:rPr>
          <w:sz w:val="20"/>
          <w:szCs w:val="20"/>
        </w:rPr>
        <w:t xml:space="preserve"> </w:t>
      </w:r>
      <w:r>
        <w:rPr>
          <w:sz w:val="20"/>
          <w:szCs w:val="20"/>
        </w:rPr>
        <w:t>$</w:t>
      </w:r>
      <w:r>
        <w:rPr>
          <w:sz w:val="20"/>
          <w:szCs w:val="20"/>
        </w:rPr>
        <w:t>28.</w:t>
      </w:r>
      <w:r>
        <w:rPr>
          <w:sz w:val="20"/>
          <w:szCs w:val="20"/>
        </w:rPr>
        <w:t>8</w:t>
      </w:r>
      <w:r>
        <w:rPr>
          <w:sz w:val="20"/>
          <w:szCs w:val="20"/>
        </w:rPr>
        <w:t xml:space="preserve"> million in 201</w:t>
      </w:r>
      <w:r>
        <w:rPr>
          <w:sz w:val="20"/>
          <w:szCs w:val="20"/>
        </w:rPr>
        <w:t>9</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200" w:beforeAutospacing="0" w:after="0" w:afterAutospacing="0"/>
        <w:divId w:val="943919089"/>
        <w:rPr>
          <w:sz w:val="20"/>
          <w:szCs w:val="20"/>
        </w:rPr>
      </w:pPr>
      <w:r>
        <w:rPr>
          <w:b/>
          <w:bCs/>
          <w:sz w:val="20"/>
          <w:szCs w:val="20"/>
        </w:rPr>
        <w:t>5. Fair Value of Financial Instrument</w:t>
      </w:r>
      <w:r>
        <w:rPr>
          <w:b/>
          <w:bCs/>
          <w:sz w:val="20"/>
          <w:szCs w:val="20"/>
        </w:rPr>
        <w:t>s</w:t>
      </w:r>
    </w:p>
    <w:p w:rsidR="00000000" w:rsidRDefault="00A309A2">
      <w:pPr>
        <w:pStyle w:val="a3"/>
        <w:spacing w:before="200" w:beforeAutospacing="0" w:after="0" w:afterAutospacing="0"/>
        <w:ind w:firstLine="555"/>
        <w:divId w:val="943919089"/>
        <w:rPr>
          <w:sz w:val="20"/>
          <w:szCs w:val="20"/>
        </w:rPr>
      </w:pPr>
      <w:r>
        <w:rPr>
          <w:sz w:val="20"/>
          <w:szCs w:val="20"/>
        </w:rPr>
        <w:t>The Company measures certain financial assets at fair value. Fair value is determined based upon the exit price that would be received to sell an asset or paid to transfe</w:t>
      </w:r>
      <w:r>
        <w:rPr>
          <w:sz w:val="20"/>
          <w:szCs w:val="20"/>
        </w:rPr>
        <w:t>r a liability in an orderly transaction between market participants, as determined by either the principal market or the most advantageous market. Inputs used in the valuation techniques to derive fair values are classified based on a three-level hierarchy</w:t>
      </w:r>
      <w:r>
        <w:rPr>
          <w:sz w:val="20"/>
          <w:szCs w:val="20"/>
        </w:rPr>
        <w:t>, as follows</w:t>
      </w:r>
      <w:r>
        <w:rPr>
          <w:sz w:val="20"/>
          <w:szCs w:val="20"/>
        </w:rPr>
        <w:t>:</w:t>
      </w:r>
    </w:p>
    <w:p w:rsidR="00000000" w:rsidRDefault="00A309A2">
      <w:pPr>
        <w:pStyle w:val="a3"/>
        <w:spacing w:before="200" w:beforeAutospacing="0" w:after="0" w:afterAutospacing="0"/>
        <w:ind w:left="476"/>
        <w:divId w:val="943919089"/>
        <w:rPr>
          <w:sz w:val="20"/>
          <w:szCs w:val="20"/>
        </w:rPr>
      </w:pPr>
      <w:r>
        <w:rPr>
          <w:sz w:val="20"/>
          <w:szCs w:val="20"/>
        </w:rPr>
        <w:t>Level 1 — Quoted prices in active markets for identical assets or liabilities</w:t>
      </w:r>
      <w:r>
        <w:rPr>
          <w:sz w:val="20"/>
          <w:szCs w:val="20"/>
        </w:rPr>
        <w:t>.</w:t>
      </w:r>
    </w:p>
    <w:p w:rsidR="00000000" w:rsidRDefault="00A309A2">
      <w:pPr>
        <w:pStyle w:val="a3"/>
        <w:spacing w:before="200" w:beforeAutospacing="0" w:after="0" w:afterAutospacing="0"/>
        <w:ind w:left="476"/>
        <w:divId w:val="943919089"/>
        <w:rPr>
          <w:sz w:val="20"/>
          <w:szCs w:val="20"/>
        </w:rPr>
      </w:pPr>
      <w:r>
        <w:rPr>
          <w:sz w:val="20"/>
          <w:szCs w:val="20"/>
        </w:rPr>
        <w:t xml:space="preserve">Level 2 — </w:t>
      </w:r>
      <w:r>
        <w:rPr>
          <w:sz w:val="20"/>
          <w:szCs w:val="20"/>
        </w:rPr>
        <w:t>Observable inputs other than Level 1 prices such as quoted prices for similar assets or liabilities; quoted prices in markets with insufficient volume or infrequent transactions (less active markets); or model-derived valuations in which al</w:t>
      </w:r>
      <w:r>
        <w:rPr>
          <w:sz w:val="20"/>
          <w:szCs w:val="20"/>
        </w:rPr>
        <w:t>l</w:t>
      </w:r>
      <w:r>
        <w:rPr>
          <w:sz w:val="20"/>
          <w:szCs w:val="20"/>
        </w:rPr>
        <w:t xml:space="preserve"> </w:t>
      </w:r>
    </w:p>
    <w:p w:rsidR="00000000" w:rsidRDefault="00A309A2">
      <w:pPr>
        <w:pStyle w:val="a3"/>
        <w:spacing w:before="240" w:beforeAutospacing="0" w:after="0" w:afterAutospacing="0"/>
        <w:jc w:val="center"/>
        <w:divId w:val="943919089"/>
        <w:rPr>
          <w:sz w:val="20"/>
          <w:szCs w:val="20"/>
        </w:rPr>
      </w:pPr>
      <w:r>
        <w:rPr>
          <w:sz w:val="20"/>
          <w:szCs w:val="20"/>
        </w:rPr>
        <w:t>7</w:t>
      </w:r>
      <w:r>
        <w:rPr>
          <w:sz w:val="20"/>
          <w:szCs w:val="20"/>
        </w:rPr>
        <w:t>6</w:t>
      </w:r>
    </w:p>
    <w:p w:rsidR="00000000" w:rsidRDefault="00A309A2">
      <w:pPr>
        <w:divId w:val="943919089"/>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A309A2">
      <w:pPr>
        <w:pStyle w:val="a3"/>
        <w:spacing w:before="0" w:beforeAutospacing="0" w:after="0" w:afterAutospacing="0"/>
        <w:divId w:val="943919089"/>
        <w:rPr>
          <w:sz w:val="20"/>
          <w:szCs w:val="20"/>
        </w:rPr>
      </w:pPr>
      <w:r>
        <w:rPr>
          <w:sz w:val="20"/>
          <w:szCs w:val="20"/>
        </w:rPr>
        <w:t> </w:t>
      </w:r>
    </w:p>
    <w:p w:rsidR="00000000" w:rsidRDefault="00A309A2">
      <w:pPr>
        <w:pStyle w:val="a3"/>
        <w:spacing w:before="200" w:beforeAutospacing="0" w:after="0" w:afterAutospacing="0"/>
        <w:ind w:left="476"/>
        <w:divId w:val="943919089"/>
        <w:rPr>
          <w:sz w:val="20"/>
          <w:szCs w:val="20"/>
        </w:rPr>
      </w:pPr>
      <w:r>
        <w:rPr>
          <w:sz w:val="20"/>
          <w:szCs w:val="20"/>
        </w:rPr>
        <w:t>significant inputs are observable or can be derived principally from or corroborated by observable market data for substantially the full term of the assets or liabilities</w:t>
      </w:r>
      <w:r>
        <w:rPr>
          <w:sz w:val="20"/>
          <w:szCs w:val="20"/>
        </w:rPr>
        <w:t>.</w:t>
      </w:r>
    </w:p>
    <w:p w:rsidR="00000000" w:rsidRDefault="00A309A2">
      <w:pPr>
        <w:pStyle w:val="a3"/>
        <w:spacing w:before="200" w:beforeAutospacing="0" w:after="0" w:afterAutospacing="0"/>
        <w:ind w:left="476"/>
        <w:divId w:val="943919089"/>
        <w:rPr>
          <w:sz w:val="20"/>
          <w:szCs w:val="20"/>
        </w:rPr>
      </w:pPr>
      <w:r>
        <w:rPr>
          <w:sz w:val="20"/>
          <w:szCs w:val="20"/>
        </w:rPr>
        <w:t>Level 3 — Unobservable inputs to the valuation methodol</w:t>
      </w:r>
      <w:r>
        <w:rPr>
          <w:sz w:val="20"/>
          <w:szCs w:val="20"/>
        </w:rPr>
        <w:t>ogy that are significant to the measurement of fair value of assets or liabilities</w:t>
      </w:r>
      <w:r>
        <w:rPr>
          <w:sz w:val="20"/>
          <w:szCs w:val="20"/>
        </w:rPr>
        <w:t>.</w:t>
      </w:r>
    </w:p>
    <w:p w:rsidR="00000000" w:rsidRDefault="00A309A2">
      <w:pPr>
        <w:pStyle w:val="a3"/>
        <w:spacing w:before="200" w:beforeAutospacing="0" w:after="0" w:afterAutospacing="0"/>
        <w:ind w:firstLine="555"/>
        <w:divId w:val="1565142831"/>
        <w:rPr>
          <w:sz w:val="20"/>
          <w:szCs w:val="20"/>
        </w:rPr>
      </w:pPr>
      <w:r>
        <w:rPr>
          <w:sz w:val="20"/>
          <w:szCs w:val="20"/>
        </w:rPr>
        <w:t>The following table details the fair value measurements within the fair value hierarchy of the Company’s financial assets and liabilities at December 31,</w:t>
      </w:r>
      <w:r>
        <w:rPr>
          <w:sz w:val="20"/>
          <w:szCs w:val="20"/>
        </w:rPr>
        <w:t xml:space="preserve"> </w:t>
      </w:r>
      <w:r>
        <w:rPr>
          <w:sz w:val="20"/>
          <w:szCs w:val="20"/>
        </w:rPr>
        <w:t xml:space="preserve">2021 and December </w:t>
      </w:r>
      <w:r>
        <w:rPr>
          <w:sz w:val="20"/>
          <w:szCs w:val="20"/>
        </w:rPr>
        <w:t xml:space="preserve">31, 2020 </w:t>
      </w:r>
      <w:r>
        <w:rPr>
          <w:sz w:val="20"/>
          <w:szCs w:val="20"/>
        </w:rPr>
        <w:t>:</w:t>
      </w:r>
    </w:p>
    <w:p w:rsidR="00000000" w:rsidRDefault="00A309A2">
      <w:pPr>
        <w:pStyle w:val="a3"/>
        <w:spacing w:before="0" w:beforeAutospacing="0" w:after="0" w:afterAutospacing="0"/>
        <w:divId w:val="156514283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38"/>
        <w:gridCol w:w="110"/>
        <w:gridCol w:w="160"/>
        <w:gridCol w:w="710"/>
        <w:gridCol w:w="110"/>
        <w:gridCol w:w="110"/>
        <w:gridCol w:w="160"/>
        <w:gridCol w:w="860"/>
        <w:gridCol w:w="110"/>
        <w:gridCol w:w="110"/>
        <w:gridCol w:w="161"/>
        <w:gridCol w:w="371"/>
        <w:gridCol w:w="110"/>
        <w:gridCol w:w="110"/>
        <w:gridCol w:w="160"/>
        <w:gridCol w:w="860"/>
        <w:gridCol w:w="125"/>
      </w:tblGrid>
      <w:tr w:rsidR="00000000">
        <w:trPr>
          <w:divId w:val="1565142831"/>
          <w:tblCellSpacing w:w="15" w:type="dxa"/>
        </w:trPr>
        <w:tc>
          <w:tcPr>
            <w:tcW w:w="2426"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8"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92"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44"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95"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r>
      <w:tr w:rsidR="00000000">
        <w:trPr>
          <w:divId w:val="156514283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6514283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6514283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125,94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125,94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28,33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28,33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249,84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249,84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22,46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22,46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698,30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698,30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125,94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1,001,97</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1,127,91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56514283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19"/>
        <w:gridCol w:w="110"/>
        <w:gridCol w:w="160"/>
        <w:gridCol w:w="710"/>
        <w:gridCol w:w="110"/>
        <w:gridCol w:w="110"/>
        <w:gridCol w:w="160"/>
        <w:gridCol w:w="710"/>
        <w:gridCol w:w="110"/>
        <w:gridCol w:w="110"/>
        <w:gridCol w:w="161"/>
        <w:gridCol w:w="440"/>
        <w:gridCol w:w="110"/>
        <w:gridCol w:w="110"/>
        <w:gridCol w:w="160"/>
        <w:gridCol w:w="860"/>
        <w:gridCol w:w="125"/>
      </w:tblGrid>
      <w:tr w:rsidR="00000000">
        <w:trPr>
          <w:divId w:val="1565142831"/>
          <w:tblCellSpacing w:w="15" w:type="dxa"/>
        </w:trPr>
        <w:tc>
          <w:tcPr>
            <w:tcW w:w="2435"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9"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9"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46"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95"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r>
      <w:tr w:rsidR="00000000">
        <w:trPr>
          <w:divId w:val="156514283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6514283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6514283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Certificates of deposi</w:t>
            </w:r>
            <w:r>
              <w:rPr>
                <w:sz w:val="20"/>
                <w:szCs w:val="20"/>
              </w:rPr>
              <w:t>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6514283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172,48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906,79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1,079,28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943919089"/>
        <w:rPr>
          <w:sz w:val="20"/>
          <w:szCs w:val="20"/>
        </w:rPr>
      </w:pPr>
      <w:r>
        <w:rPr>
          <w:sz w:val="20"/>
          <w:szCs w:val="20"/>
        </w:rPr>
        <w:t> </w:t>
      </w:r>
    </w:p>
    <w:p w:rsidR="00000000" w:rsidRDefault="00A309A2">
      <w:pPr>
        <w:pStyle w:val="a3"/>
        <w:spacing w:before="200" w:beforeAutospacing="0" w:after="0" w:afterAutospacing="0"/>
        <w:ind w:firstLine="555"/>
        <w:divId w:val="943919089"/>
        <w:rPr>
          <w:sz w:val="20"/>
          <w:szCs w:val="20"/>
        </w:rPr>
      </w:pPr>
      <w:r>
        <w:rPr>
          <w:sz w:val="20"/>
          <w:szCs w:val="20"/>
        </w:rPr>
        <w:t>The Company considers all highly liquid investments purchased with a remaining maturity of three months or less to be cash equivalents. The fair value of the Company’s investments in certain money market funds is their face value and such instruments are c</w:t>
      </w:r>
      <w:r>
        <w:rPr>
          <w:sz w:val="20"/>
          <w:szCs w:val="20"/>
        </w:rPr>
        <w:t>lassified as Level 1 and are included in cash and cash equivalents, and restricted cash (within other long-term assets) on the consolidated balance sheets. At December 31, 2021 and 2020, Level 2 securities were priced by pricing vendors. These pricing vend</w:t>
      </w:r>
      <w:r>
        <w:rPr>
          <w:sz w:val="20"/>
          <w:szCs w:val="20"/>
        </w:rPr>
        <w:t>ors utilize the most recent observable market information in pricing these securities or, if specific prices are not available for these securities, use other observable inputs like market transactions involving identical or comparable securities</w:t>
      </w:r>
      <w:r>
        <w:rPr>
          <w:sz w:val="20"/>
          <w:szCs w:val="20"/>
        </w:rPr>
        <w:t>.</w:t>
      </w:r>
    </w:p>
    <w:p w:rsidR="00000000" w:rsidRDefault="00A309A2">
      <w:pPr>
        <w:pStyle w:val="a3"/>
        <w:spacing w:before="200" w:beforeAutospacing="0" w:after="0" w:afterAutospacing="0"/>
        <w:ind w:firstLine="555"/>
        <w:divId w:val="943919089"/>
        <w:rPr>
          <w:sz w:val="20"/>
          <w:szCs w:val="20"/>
        </w:rPr>
      </w:pPr>
      <w:r>
        <w:rPr>
          <w:sz w:val="20"/>
          <w:szCs w:val="20"/>
        </w:rPr>
        <w:t>As of De</w:t>
      </w:r>
      <w:r>
        <w:rPr>
          <w:sz w:val="20"/>
          <w:szCs w:val="20"/>
        </w:rPr>
        <w:t>cember 31, 2021, the fair value of the 2022 Notes was</w:t>
      </w:r>
      <w:r>
        <w:rPr>
          <w:sz w:val="20"/>
          <w:szCs w:val="20"/>
        </w:rPr>
        <w:t xml:space="preserve"> </w:t>
      </w:r>
      <w:r>
        <w:rPr>
          <w:sz w:val="20"/>
          <w:szCs w:val="20"/>
        </w:rPr>
        <w:t>$</w:t>
      </w:r>
      <w:r>
        <w:rPr>
          <w:sz w:val="20"/>
          <w:szCs w:val="20"/>
        </w:rPr>
        <w:t>135.</w:t>
      </w:r>
      <w:r>
        <w:rPr>
          <w:sz w:val="20"/>
          <w:szCs w:val="20"/>
        </w:rPr>
        <w:t>0</w:t>
      </w:r>
      <w:r>
        <w:rPr>
          <w:sz w:val="20"/>
          <w:szCs w:val="20"/>
        </w:rPr>
        <w:t xml:space="preserve"> million and the fair value of the 2025 Notes was </w:t>
      </w:r>
      <w:r>
        <w:rPr>
          <w:sz w:val="20"/>
          <w:szCs w:val="20"/>
        </w:rPr>
        <w:t>$</w:t>
      </w:r>
      <w:r>
        <w:rPr>
          <w:sz w:val="20"/>
          <w:szCs w:val="20"/>
        </w:rPr>
        <w:t>1.</w:t>
      </w:r>
      <w:r>
        <w:rPr>
          <w:sz w:val="20"/>
          <w:szCs w:val="20"/>
        </w:rPr>
        <w:t>1</w:t>
      </w:r>
      <w:r>
        <w:rPr>
          <w:sz w:val="20"/>
          <w:szCs w:val="20"/>
        </w:rPr>
        <w:t xml:space="preserve"> billio</w:t>
      </w:r>
      <w:r>
        <w:rPr>
          <w:sz w:val="20"/>
          <w:szCs w:val="20"/>
        </w:rPr>
        <w:t>n</w:t>
      </w:r>
      <w:r>
        <w:rPr>
          <w:sz w:val="20"/>
          <w:szCs w:val="20"/>
        </w:rPr>
        <w:t xml:space="preserve"> (Note 9). The fair value was determined based on the quoted price of the 2022 and 2025 Notes in an inactive market on the last tradin</w:t>
      </w:r>
      <w:r>
        <w:rPr>
          <w:sz w:val="20"/>
          <w:szCs w:val="20"/>
        </w:rPr>
        <w:t>g day of the reporting period and has been classified as Level 2 within the fair value hierarchy</w:t>
      </w:r>
      <w:r>
        <w:rPr>
          <w:sz w:val="20"/>
          <w:szCs w:val="20"/>
        </w:rPr>
        <w:t>.</w:t>
      </w:r>
    </w:p>
    <w:p w:rsidR="00000000" w:rsidRDefault="00A309A2">
      <w:pPr>
        <w:pStyle w:val="a3"/>
        <w:spacing w:before="200" w:beforeAutospacing="0" w:after="0" w:afterAutospacing="0"/>
        <w:ind w:firstLine="555"/>
        <w:divId w:val="943919089"/>
        <w:rPr>
          <w:sz w:val="20"/>
          <w:szCs w:val="20"/>
        </w:rPr>
      </w:pPr>
      <w:r>
        <w:rPr>
          <w:sz w:val="20"/>
          <w:szCs w:val="20"/>
        </w:rPr>
        <w:t>For certain other financial instruments, including accounts receivable, accounts payable, and other current liabilities, the carrying amounts approximate thei</w:t>
      </w:r>
      <w:r>
        <w:rPr>
          <w:sz w:val="20"/>
          <w:szCs w:val="20"/>
        </w:rPr>
        <w:t>r fair value due to the relatively short maturity of these balances</w:t>
      </w:r>
      <w:r>
        <w:rPr>
          <w:sz w:val="20"/>
          <w:szCs w:val="20"/>
        </w:rPr>
        <w:t>.</w:t>
      </w:r>
    </w:p>
    <w:p w:rsidR="00000000" w:rsidRDefault="00A309A2">
      <w:pPr>
        <w:pStyle w:val="a3"/>
        <w:spacing w:before="200" w:beforeAutospacing="0" w:after="0" w:afterAutospacing="0"/>
        <w:ind w:firstLine="555"/>
        <w:divId w:val="943919089"/>
        <w:rPr>
          <w:sz w:val="20"/>
          <w:szCs w:val="20"/>
        </w:rPr>
      </w:pPr>
      <w:r>
        <w:rPr>
          <w:sz w:val="20"/>
          <w:szCs w:val="20"/>
        </w:rPr>
        <w:t>Restricted cash is comprised of money market funds related to landlord guarantees for leased facilities. These restricted cash balances have been excluded from our cash and cash equivalen</w:t>
      </w:r>
      <w:r>
        <w:rPr>
          <w:sz w:val="20"/>
          <w:szCs w:val="20"/>
        </w:rPr>
        <w:t>ts balance on our consolidated balance sheets</w:t>
      </w:r>
      <w:r>
        <w:rPr>
          <w:sz w:val="20"/>
          <w:szCs w:val="20"/>
        </w:rPr>
        <w:t>.</w:t>
      </w:r>
    </w:p>
    <w:p w:rsidR="00000000" w:rsidRDefault="00A309A2">
      <w:pPr>
        <w:pStyle w:val="a3"/>
        <w:spacing w:before="200" w:beforeAutospacing="0" w:after="0" w:afterAutospacing="0"/>
        <w:ind w:firstLine="555"/>
        <w:divId w:val="943919089"/>
        <w:rPr>
          <w:sz w:val="20"/>
          <w:szCs w:val="20"/>
        </w:rPr>
      </w:pPr>
      <w:r>
        <w:rPr>
          <w:sz w:val="20"/>
          <w:szCs w:val="20"/>
        </w:rPr>
        <w:t>Strategic investments consist of non-controlling equity investments in privately held companies. The Company elected the measurement alternative for these investments without readily determinable fair values a</w:t>
      </w:r>
      <w:r>
        <w:rPr>
          <w:sz w:val="20"/>
          <w:szCs w:val="20"/>
        </w:rPr>
        <w:t>nd for which the Company does not have the ability to exercise significant influence. These investments are accounted for under the cost method of accounting. Under the cost method of accounting, the non-marketable equity securities are carried at cost les</w:t>
      </w:r>
      <w:r>
        <w:rPr>
          <w:sz w:val="20"/>
          <w:szCs w:val="20"/>
        </w:rPr>
        <w:t xml:space="preserve">s any impairment, plus or minus adjustments resulting from observable price changes in orderly transactions for the identical or a similar investment of the same issuer, which is recorded within the statement of operations. The Company held </w:t>
      </w:r>
      <w:r>
        <w:rPr>
          <w:sz w:val="20"/>
          <w:szCs w:val="20"/>
        </w:rPr>
        <w:t>$</w:t>
      </w:r>
      <w:r>
        <w:rPr>
          <w:sz w:val="20"/>
          <w:szCs w:val="20"/>
        </w:rPr>
        <w:t>17.</w:t>
      </w:r>
      <w:r>
        <w:rPr>
          <w:sz w:val="20"/>
          <w:szCs w:val="20"/>
        </w:rPr>
        <w:t>8</w:t>
      </w:r>
      <w:r>
        <w:rPr>
          <w:sz w:val="20"/>
          <w:szCs w:val="20"/>
        </w:rPr>
        <w:t xml:space="preserve"> million o</w:t>
      </w:r>
      <w:r>
        <w:rPr>
          <w:sz w:val="20"/>
          <w:szCs w:val="20"/>
        </w:rPr>
        <w:t xml:space="preserve">f strategic investments without readily determinable fair values at December 31, 2021 and </w:t>
      </w:r>
      <w:r>
        <w:rPr>
          <w:sz w:val="20"/>
          <w:szCs w:val="20"/>
        </w:rPr>
        <w:t>$</w:t>
      </w:r>
      <w:r>
        <w:rPr>
          <w:sz w:val="20"/>
          <w:szCs w:val="20"/>
        </w:rPr>
        <w:t>6.</w:t>
      </w:r>
      <w:r>
        <w:rPr>
          <w:sz w:val="20"/>
          <w:szCs w:val="20"/>
        </w:rPr>
        <w:t>7</w:t>
      </w:r>
      <w:r>
        <w:rPr>
          <w:sz w:val="20"/>
          <w:szCs w:val="20"/>
        </w:rPr>
        <w:t xml:space="preserve"> million of strategic investments without readily determinable fair values at December 31, 2020. These investments are included in prepaid and other current asset</w:t>
      </w:r>
      <w:r>
        <w:rPr>
          <w:sz w:val="20"/>
          <w:szCs w:val="20"/>
        </w:rPr>
        <w:t>s and other assets on the consolidated balance sheets. Durin</w:t>
      </w:r>
      <w:r>
        <w:rPr>
          <w:sz w:val="20"/>
          <w:szCs w:val="20"/>
        </w:rPr>
        <w:t>g</w:t>
      </w:r>
      <w:r>
        <w:rPr>
          <w:sz w:val="20"/>
          <w:szCs w:val="20"/>
        </w:rPr>
        <w:t xml:space="preserve"> </w:t>
      </w:r>
    </w:p>
    <w:p w:rsidR="00000000" w:rsidRDefault="00A309A2">
      <w:pPr>
        <w:pStyle w:val="a3"/>
        <w:spacing w:before="240" w:beforeAutospacing="0" w:after="0" w:afterAutospacing="0"/>
        <w:jc w:val="center"/>
        <w:divId w:val="943919089"/>
        <w:rPr>
          <w:sz w:val="20"/>
          <w:szCs w:val="20"/>
        </w:rPr>
      </w:pPr>
      <w:r>
        <w:rPr>
          <w:sz w:val="20"/>
          <w:szCs w:val="20"/>
        </w:rPr>
        <w:t>7</w:t>
      </w:r>
      <w:r>
        <w:rPr>
          <w:sz w:val="20"/>
          <w:szCs w:val="20"/>
        </w:rPr>
        <w:t>7</w:t>
      </w:r>
    </w:p>
    <w:p w:rsidR="00000000" w:rsidRDefault="00A309A2">
      <w:pPr>
        <w:divId w:val="943919089"/>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A309A2">
      <w:pPr>
        <w:pStyle w:val="a3"/>
        <w:spacing w:before="0" w:beforeAutospacing="0" w:after="0" w:afterAutospacing="0"/>
        <w:divId w:val="943919089"/>
        <w:rPr>
          <w:sz w:val="20"/>
          <w:szCs w:val="20"/>
        </w:rPr>
      </w:pPr>
      <w:r>
        <w:rPr>
          <w:sz w:val="20"/>
          <w:szCs w:val="20"/>
        </w:rPr>
        <w:t> </w:t>
      </w:r>
    </w:p>
    <w:p w:rsidR="00000000" w:rsidRDefault="00A309A2">
      <w:pPr>
        <w:pStyle w:val="a3"/>
        <w:spacing w:before="200" w:beforeAutospacing="0" w:after="0" w:afterAutospacing="0"/>
        <w:divId w:val="943919089"/>
        <w:rPr>
          <w:sz w:val="20"/>
          <w:szCs w:val="20"/>
        </w:rPr>
      </w:pPr>
      <w:r>
        <w:rPr>
          <w:sz w:val="20"/>
          <w:szCs w:val="20"/>
        </w:rPr>
        <w:t>the year ended December 31, 202</w:t>
      </w:r>
      <w:r>
        <w:rPr>
          <w:sz w:val="20"/>
          <w:szCs w:val="20"/>
        </w:rPr>
        <w:t>1</w:t>
      </w:r>
      <w:r>
        <w:rPr>
          <w:sz w:val="20"/>
          <w:szCs w:val="20"/>
        </w:rPr>
        <w:t>, two strategic investments had observable price changes and the Company adjusted the fair value of these investments by</w:t>
      </w:r>
      <w:r>
        <w:rPr>
          <w:sz w:val="20"/>
          <w:szCs w:val="20"/>
        </w:rPr>
        <w:t xml:space="preserve"> recording a gain of </w:t>
      </w:r>
      <w:r>
        <w:rPr>
          <w:sz w:val="20"/>
          <w:szCs w:val="20"/>
        </w:rPr>
        <w:t>$</w:t>
      </w:r>
      <w:r>
        <w:rPr>
          <w:sz w:val="20"/>
          <w:szCs w:val="20"/>
        </w:rPr>
        <w:t>11.</w:t>
      </w:r>
      <w:r>
        <w:rPr>
          <w:sz w:val="20"/>
          <w:szCs w:val="20"/>
        </w:rPr>
        <w:t>7</w:t>
      </w:r>
      <w:r>
        <w:rPr>
          <w:sz w:val="20"/>
          <w:szCs w:val="20"/>
        </w:rPr>
        <w:t xml:space="preserve"> million in the consolidated statements of operations as other income.</w:t>
      </w:r>
      <w:r>
        <w:rPr>
          <w:sz w:val="20"/>
          <w:szCs w:val="20"/>
        </w:rPr>
        <w:t xml:space="preserve"> </w:t>
      </w:r>
      <w:r>
        <w:rPr>
          <w:sz w:val="20"/>
          <w:szCs w:val="20"/>
        </w:rPr>
        <w:t>For the year ended December 31, 2020</w:t>
      </w:r>
      <w:r>
        <w:rPr>
          <w:sz w:val="20"/>
          <w:szCs w:val="20"/>
        </w:rPr>
        <w:t>,</w:t>
      </w:r>
      <w:r>
        <w:rPr>
          <w:sz w:val="20"/>
          <w:szCs w:val="20"/>
        </w:rPr>
        <w:t xml:space="preserve"> the Company recorded an impairment of </w:t>
      </w:r>
      <w:r>
        <w:rPr>
          <w:sz w:val="20"/>
          <w:szCs w:val="20"/>
        </w:rPr>
        <w:t>$</w:t>
      </w:r>
      <w:r>
        <w:rPr>
          <w:sz w:val="20"/>
          <w:szCs w:val="20"/>
        </w:rPr>
        <w:t>25</w:t>
      </w:r>
      <w:r>
        <w:rPr>
          <w:sz w:val="20"/>
          <w:szCs w:val="20"/>
        </w:rPr>
        <w:t>0</w:t>
      </w:r>
      <w:r>
        <w:rPr>
          <w:sz w:val="20"/>
          <w:szCs w:val="20"/>
        </w:rPr>
        <w:t xml:space="preserve"> thousand.</w:t>
      </w:r>
      <w:r>
        <w:rPr>
          <w:sz w:val="20"/>
          <w:szCs w:val="20"/>
        </w:rPr>
        <w:t xml:space="preserve"> </w:t>
      </w:r>
      <w:r>
        <w:rPr>
          <w:sz w:val="20"/>
          <w:szCs w:val="20"/>
        </w:rPr>
        <w:t>There were no adjustments to the carrying value of the strategic inv</w:t>
      </w:r>
      <w:r>
        <w:rPr>
          <w:sz w:val="20"/>
          <w:szCs w:val="20"/>
        </w:rPr>
        <w:t>estments in 2019</w:t>
      </w:r>
      <w:r>
        <w:rPr>
          <w:sz w:val="20"/>
          <w:szCs w:val="20"/>
        </w:rPr>
        <w:t>.</w:t>
      </w:r>
    </w:p>
    <w:p w:rsidR="00000000" w:rsidRDefault="00A309A2">
      <w:pPr>
        <w:pStyle w:val="a3"/>
        <w:spacing w:before="200" w:beforeAutospacing="0" w:after="0" w:afterAutospacing="0"/>
        <w:ind w:firstLine="555"/>
        <w:divId w:val="943919089"/>
        <w:rPr>
          <w:sz w:val="20"/>
          <w:szCs w:val="20"/>
        </w:rPr>
      </w:pPr>
      <w:r>
        <w:rPr>
          <w:sz w:val="20"/>
          <w:szCs w:val="20"/>
        </w:rPr>
        <w:t>The Company also holds an equity method investment which represents an investment in a non-controlled company without a readily determinable market value. See Note 12 for more information on the equity method investment</w:t>
      </w:r>
      <w:r>
        <w:rPr>
          <w:sz w:val="20"/>
          <w:szCs w:val="20"/>
        </w:rPr>
        <w:t>.</w:t>
      </w:r>
      <w:r>
        <w:rPr>
          <w:sz w:val="20"/>
          <w:szCs w:val="20"/>
        </w:rPr>
        <w:t xml:space="preserve"> </w:t>
      </w:r>
    </w:p>
    <w:p w:rsidR="00000000" w:rsidRDefault="00A309A2">
      <w:pPr>
        <w:pStyle w:val="a3"/>
        <w:spacing w:before="200" w:beforeAutospacing="0" w:after="0" w:afterAutospacing="0"/>
        <w:ind w:firstLine="555"/>
        <w:divId w:val="1977907981"/>
        <w:rPr>
          <w:sz w:val="20"/>
          <w:szCs w:val="20"/>
        </w:rPr>
      </w:pPr>
      <w:r>
        <w:rPr>
          <w:sz w:val="20"/>
          <w:szCs w:val="20"/>
        </w:rPr>
        <w:t>The following ta</w:t>
      </w:r>
      <w:r>
        <w:rPr>
          <w:sz w:val="20"/>
          <w:szCs w:val="20"/>
        </w:rPr>
        <w:t>bles summarize the composition of our short- and long-term investments at December 31,</w:t>
      </w:r>
      <w:r>
        <w:rPr>
          <w:sz w:val="20"/>
          <w:szCs w:val="20"/>
        </w:rPr>
        <w:t xml:space="preserve"> </w:t>
      </w:r>
      <w:r>
        <w:rPr>
          <w:sz w:val="20"/>
          <w:szCs w:val="20"/>
        </w:rPr>
        <w:t>2021 and 2020</w:t>
      </w:r>
      <w:r>
        <w:rPr>
          <w:sz w:val="20"/>
          <w:szCs w:val="20"/>
        </w:rPr>
        <w:t>:</w:t>
      </w:r>
    </w:p>
    <w:p w:rsidR="00000000" w:rsidRDefault="00A309A2">
      <w:pPr>
        <w:pStyle w:val="a3"/>
        <w:spacing w:before="0" w:beforeAutospacing="0" w:after="0" w:afterAutospacing="0"/>
        <w:ind w:firstLine="555"/>
        <w:divId w:val="197790798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39"/>
        <w:gridCol w:w="310"/>
        <w:gridCol w:w="160"/>
        <w:gridCol w:w="710"/>
        <w:gridCol w:w="110"/>
        <w:gridCol w:w="110"/>
        <w:gridCol w:w="161"/>
        <w:gridCol w:w="681"/>
        <w:gridCol w:w="110"/>
        <w:gridCol w:w="110"/>
        <w:gridCol w:w="161"/>
        <w:gridCol w:w="681"/>
        <w:gridCol w:w="127"/>
        <w:gridCol w:w="110"/>
        <w:gridCol w:w="160"/>
        <w:gridCol w:w="710"/>
        <w:gridCol w:w="125"/>
      </w:tblGrid>
      <w:tr w:rsidR="00000000">
        <w:trPr>
          <w:divId w:val="1977907981"/>
          <w:tblCellSpacing w:w="15" w:type="dxa"/>
        </w:trPr>
        <w:tc>
          <w:tcPr>
            <w:tcW w:w="2378" w:type="pct"/>
            <w:vAlign w:val="center"/>
            <w:hideMark/>
          </w:tcPr>
          <w:p w:rsidR="00000000" w:rsidRDefault="00A309A2">
            <w:pPr>
              <w:rPr>
                <w:sz w:val="20"/>
                <w:szCs w:val="20"/>
              </w:rPr>
            </w:pPr>
          </w:p>
        </w:tc>
        <w:tc>
          <w:tcPr>
            <w:tcW w:w="103"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6"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6"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6"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49"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9"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r>
      <w:tr w:rsidR="00000000">
        <w:trPr>
          <w:divId w:val="197790798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7790798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Aggregate</w:t>
            </w:r>
            <w:r>
              <w:rPr>
                <w:b/>
                <w:bCs/>
                <w:sz w:val="16"/>
                <w:szCs w:val="16"/>
              </w:rPr>
              <w:br/>
            </w:r>
            <w:r>
              <w:rPr>
                <w:b/>
                <w:bCs/>
                <w:sz w:val="16"/>
                <w:szCs w:val="16"/>
              </w:rP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7790798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25,24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25,24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250,44</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60</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249,84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22,50</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22,46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698,44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698,30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996,63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79</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995,85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977907981"/>
        <w:rPr>
          <w:sz w:val="20"/>
          <w:szCs w:val="20"/>
        </w:rPr>
      </w:pPr>
      <w:r>
        <w:rPr>
          <w:sz w:val="10"/>
          <w:szCs w:val="10"/>
        </w:rPr>
        <w:t> </w:t>
      </w:r>
    </w:p>
    <w:p w:rsidR="00000000" w:rsidRDefault="00A309A2">
      <w:pPr>
        <w:pStyle w:val="a3"/>
        <w:spacing w:before="0" w:beforeAutospacing="0" w:after="0" w:afterAutospacing="0"/>
        <w:divId w:val="1977907981"/>
        <w:rPr>
          <w:sz w:val="20"/>
          <w:szCs w:val="20"/>
        </w:rPr>
      </w:pPr>
      <w:r>
        <w:rPr>
          <w:sz w:val="10"/>
          <w:szCs w:val="1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34"/>
        <w:gridCol w:w="310"/>
        <w:gridCol w:w="160"/>
        <w:gridCol w:w="710"/>
        <w:gridCol w:w="110"/>
        <w:gridCol w:w="110"/>
        <w:gridCol w:w="161"/>
        <w:gridCol w:w="684"/>
        <w:gridCol w:w="110"/>
        <w:gridCol w:w="110"/>
        <w:gridCol w:w="161"/>
        <w:gridCol w:w="683"/>
        <w:gridCol w:w="127"/>
        <w:gridCol w:w="110"/>
        <w:gridCol w:w="160"/>
        <w:gridCol w:w="710"/>
        <w:gridCol w:w="125"/>
      </w:tblGrid>
      <w:tr w:rsidR="00000000">
        <w:trPr>
          <w:divId w:val="1977907981"/>
          <w:tblCellSpacing w:w="15" w:type="dxa"/>
        </w:trPr>
        <w:tc>
          <w:tcPr>
            <w:tcW w:w="2348" w:type="pct"/>
            <w:vAlign w:val="center"/>
            <w:hideMark/>
          </w:tcPr>
          <w:p w:rsidR="00000000" w:rsidRDefault="00A309A2">
            <w:pPr>
              <w:rPr>
                <w:sz w:val="20"/>
                <w:szCs w:val="20"/>
              </w:rPr>
            </w:pPr>
          </w:p>
        </w:tc>
        <w:tc>
          <w:tcPr>
            <w:tcW w:w="103"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95"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95"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87" w:type="pct"/>
            <w:vAlign w:val="center"/>
            <w:hideMark/>
          </w:tcPr>
          <w:p w:rsidR="00000000" w:rsidRDefault="00A309A2">
            <w:pPr>
              <w:rPr>
                <w:rFonts w:eastAsia="Times New Roman"/>
                <w:sz w:val="20"/>
                <w:szCs w:val="20"/>
              </w:rPr>
            </w:pPr>
          </w:p>
        </w:tc>
        <w:tc>
          <w:tcPr>
            <w:tcW w:w="46"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95" w:type="pct"/>
            <w:vAlign w:val="center"/>
            <w:hideMark/>
          </w:tcPr>
          <w:p w:rsidR="00000000" w:rsidRDefault="00A309A2">
            <w:pPr>
              <w:rPr>
                <w:rFonts w:eastAsia="Times New Roman"/>
                <w:sz w:val="20"/>
                <w:szCs w:val="20"/>
              </w:rPr>
            </w:pPr>
          </w:p>
        </w:tc>
        <w:tc>
          <w:tcPr>
            <w:tcW w:w="30" w:type="pct"/>
            <w:vAlign w:val="center"/>
            <w:hideMark/>
          </w:tcPr>
          <w:p w:rsidR="00000000" w:rsidRDefault="00A309A2">
            <w:pPr>
              <w:rPr>
                <w:rFonts w:eastAsia="Times New Roman"/>
                <w:sz w:val="20"/>
                <w:szCs w:val="20"/>
              </w:rPr>
            </w:pPr>
          </w:p>
        </w:tc>
      </w:tr>
      <w:tr w:rsidR="00000000">
        <w:trPr>
          <w:divId w:val="197790798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7790798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7790798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12,23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115,98</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42</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116,37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774,66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774,77</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Certificates of deposi</w:t>
            </w:r>
            <w:r>
              <w:rPr>
                <w:sz w:val="20"/>
                <w:szCs w:val="20"/>
              </w:rPr>
              <w:t>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97790798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903,27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903,77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943919089"/>
        <w:rPr>
          <w:sz w:val="20"/>
          <w:szCs w:val="20"/>
        </w:rPr>
      </w:pPr>
      <w:r>
        <w:rPr>
          <w:sz w:val="20"/>
          <w:szCs w:val="20"/>
        </w:rPr>
        <w:t> </w:t>
      </w:r>
    </w:p>
    <w:p w:rsidR="00000000" w:rsidRDefault="00A309A2">
      <w:pPr>
        <w:pStyle w:val="a3"/>
        <w:spacing w:before="40" w:beforeAutospacing="0" w:after="0" w:afterAutospacing="0"/>
        <w:ind w:firstLine="555"/>
        <w:divId w:val="943919089"/>
        <w:rPr>
          <w:sz w:val="20"/>
          <w:szCs w:val="20"/>
        </w:rPr>
      </w:pPr>
      <w:r>
        <w:rPr>
          <w:sz w:val="20"/>
          <w:szCs w:val="20"/>
        </w:rPr>
        <w:t>For all of our securities for which the amortized cost basis was greater than the fair value at December 31, 2021 and 2020, the Company has concluded that there is no plan to sell the security nor is it more likely than not that the Company would be requir</w:t>
      </w:r>
      <w:r>
        <w:rPr>
          <w:sz w:val="20"/>
          <w:szCs w:val="20"/>
        </w:rPr>
        <w:t>ed to sell the security before its anticipated recovery. In making the determination as to whether the unrealized loss is other-than-temporary, the Company considered the length of time and extent the investment has been in an unrealized loss position, the</w:t>
      </w:r>
      <w:r>
        <w:rPr>
          <w:sz w:val="20"/>
          <w:szCs w:val="20"/>
        </w:rPr>
        <w:t xml:space="preserve"> financial condition and near-term prospects of the issuers, the issuers’ credit rating and the time to maturity</w:t>
      </w:r>
      <w:r>
        <w:rPr>
          <w:sz w:val="20"/>
          <w:szCs w:val="20"/>
        </w:rPr>
        <w:t>.</w:t>
      </w:r>
    </w:p>
    <w:p w:rsidR="00000000" w:rsidRDefault="00A309A2">
      <w:pPr>
        <w:pStyle w:val="a3"/>
        <w:spacing w:before="360" w:beforeAutospacing="0" w:after="0" w:afterAutospacing="0"/>
        <w:divId w:val="943919089"/>
        <w:rPr>
          <w:sz w:val="20"/>
          <w:szCs w:val="20"/>
        </w:rPr>
      </w:pPr>
      <w:r>
        <w:rPr>
          <w:b/>
          <w:bCs/>
          <w:i/>
          <w:iCs/>
          <w:sz w:val="20"/>
          <w:szCs w:val="20"/>
        </w:rPr>
        <w:t>Contractual Maturitie</w:t>
      </w:r>
      <w:r>
        <w:rPr>
          <w:b/>
          <w:bCs/>
          <w:i/>
          <w:iCs/>
          <w:sz w:val="20"/>
          <w:szCs w:val="20"/>
        </w:rPr>
        <w:t>s</w:t>
      </w:r>
    </w:p>
    <w:p w:rsidR="00000000" w:rsidRDefault="00A309A2">
      <w:pPr>
        <w:pStyle w:val="a3"/>
        <w:spacing w:before="120" w:beforeAutospacing="0" w:after="0" w:afterAutospacing="0"/>
        <w:ind w:firstLine="555"/>
        <w:divId w:val="804736641"/>
        <w:rPr>
          <w:sz w:val="20"/>
          <w:szCs w:val="20"/>
        </w:rPr>
      </w:pPr>
      <w:r>
        <w:rPr>
          <w:sz w:val="20"/>
          <w:szCs w:val="20"/>
        </w:rPr>
        <w:t>The contractual maturities of short-term and long-term investments held as follows</w:t>
      </w:r>
      <w:r>
        <w:rPr>
          <w:sz w:val="20"/>
          <w:szCs w:val="20"/>
        </w:rPr>
        <w:t>:</w:t>
      </w:r>
    </w:p>
    <w:p w:rsidR="00000000" w:rsidRDefault="00A309A2">
      <w:pPr>
        <w:pStyle w:val="a3"/>
        <w:spacing w:before="0" w:beforeAutospacing="0" w:after="0" w:afterAutospacing="0"/>
        <w:divId w:val="80473664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00"/>
        <w:gridCol w:w="110"/>
        <w:gridCol w:w="160"/>
        <w:gridCol w:w="710"/>
        <w:gridCol w:w="110"/>
        <w:gridCol w:w="110"/>
        <w:gridCol w:w="160"/>
        <w:gridCol w:w="710"/>
        <w:gridCol w:w="110"/>
        <w:gridCol w:w="110"/>
        <w:gridCol w:w="160"/>
        <w:gridCol w:w="710"/>
        <w:gridCol w:w="110"/>
        <w:gridCol w:w="110"/>
        <w:gridCol w:w="160"/>
        <w:gridCol w:w="710"/>
        <w:gridCol w:w="125"/>
      </w:tblGrid>
      <w:tr w:rsidR="00000000">
        <w:trPr>
          <w:divId w:val="804736641"/>
          <w:tblCellSpacing w:w="15" w:type="dxa"/>
        </w:trPr>
        <w:tc>
          <w:tcPr>
            <w:tcW w:w="2407"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81"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81"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81"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483"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r>
      <w:tr w:rsidR="00000000">
        <w:trPr>
          <w:divId w:val="80473664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0473664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0473664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309A2">
            <w:pPr>
              <w:pStyle w:val="a3"/>
              <w:spacing w:before="0" w:beforeAutospacing="0" w:after="0" w:afterAutospacing="0"/>
              <w:jc w:val="center"/>
              <w:rPr>
                <w:sz w:val="16"/>
                <w:szCs w:val="16"/>
              </w:rPr>
            </w:pPr>
            <w:r>
              <w:rPr>
                <w:b/>
                <w:bCs/>
                <w:sz w:val="16"/>
                <w:szCs w:val="16"/>
              </w:rPr>
              <w:t>(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047366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Due within one yea</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821,10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820,96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872,63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873,07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047366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Due after 1 year and within 2 year</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175,53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174,89</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30,64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30,69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0473664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996,63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995,85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903,27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903,77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943919089"/>
        <w:rPr>
          <w:sz w:val="20"/>
          <w:szCs w:val="20"/>
        </w:rPr>
      </w:pPr>
      <w:r>
        <w:rPr>
          <w:sz w:val="10"/>
          <w:szCs w:val="10"/>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7</w:t>
      </w:r>
      <w:r>
        <w:rPr>
          <w:sz w:val="20"/>
          <w:szCs w:val="20"/>
        </w:rPr>
        <w:t>8</w:t>
      </w:r>
    </w:p>
    <w:p w:rsidR="00000000" w:rsidRDefault="00A309A2">
      <w:pPr>
        <w:rPr>
          <w:rFonts w:eastAsia="Times New Roman"/>
        </w:rPr>
      </w:pPr>
      <w:r>
        <w:rPr>
          <w:rFonts w:eastAsia="Times New Roman"/>
        </w:rPr>
        <w:pict>
          <v:rect id="_x0000_i110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divId w:val="1038703675"/>
        <w:rPr>
          <w:sz w:val="20"/>
          <w:szCs w:val="20"/>
        </w:rPr>
      </w:pPr>
      <w:r>
        <w:rPr>
          <w:b/>
          <w:bCs/>
          <w:sz w:val="20"/>
          <w:szCs w:val="20"/>
        </w:rPr>
        <w:t>6. Property and Equipmen</w:t>
      </w:r>
      <w:r>
        <w:rPr>
          <w:b/>
          <w:bCs/>
          <w:sz w:val="20"/>
          <w:szCs w:val="20"/>
        </w:rPr>
        <w:t>t</w:t>
      </w:r>
    </w:p>
    <w:p w:rsidR="00000000" w:rsidRDefault="00A309A2">
      <w:pPr>
        <w:pStyle w:val="a3"/>
        <w:spacing w:before="120" w:beforeAutospacing="0" w:after="0" w:afterAutospacing="0"/>
        <w:ind w:firstLine="555"/>
        <w:divId w:val="1607879972"/>
        <w:rPr>
          <w:sz w:val="20"/>
          <w:szCs w:val="20"/>
        </w:rPr>
      </w:pPr>
      <w:r>
        <w:rPr>
          <w:sz w:val="20"/>
          <w:szCs w:val="20"/>
        </w:rPr>
        <w:t>Property and equipment consists of the following</w:t>
      </w:r>
      <w:r>
        <w:rPr>
          <w:sz w:val="20"/>
          <w:szCs w:val="20"/>
        </w:rPr>
        <w:t>:</w:t>
      </w:r>
      <w:r>
        <w:rPr>
          <w:sz w:val="20"/>
          <w:szCs w:val="20"/>
        </w:rPr>
        <w:t xml:space="preserve">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23"/>
        <w:gridCol w:w="110"/>
        <w:gridCol w:w="160"/>
        <w:gridCol w:w="791"/>
        <w:gridCol w:w="127"/>
        <w:gridCol w:w="110"/>
        <w:gridCol w:w="160"/>
        <w:gridCol w:w="791"/>
        <w:gridCol w:w="142"/>
      </w:tblGrid>
      <w:tr w:rsidR="00000000">
        <w:trPr>
          <w:divId w:val="1607879972"/>
          <w:tblCellSpacing w:w="15" w:type="dxa"/>
        </w:trPr>
        <w:tc>
          <w:tcPr>
            <w:tcW w:w="3094" w:type="pct"/>
            <w:vAlign w:val="center"/>
            <w:hideMark/>
          </w:tcPr>
          <w:p w:rsidR="00000000" w:rsidRDefault="00A309A2">
            <w:pPr>
              <w:rPr>
                <w:sz w:val="20"/>
                <w:szCs w:val="20"/>
              </w:rPr>
            </w:pPr>
          </w:p>
        </w:tc>
        <w:tc>
          <w:tcPr>
            <w:tcW w:w="66" w:type="pct"/>
            <w:vAlign w:val="center"/>
            <w:hideMark/>
          </w:tcPr>
          <w:p w:rsidR="00000000" w:rsidRDefault="00A309A2">
            <w:pPr>
              <w:rPr>
                <w:rFonts w:eastAsia="Times New Roman"/>
                <w:sz w:val="20"/>
                <w:szCs w:val="20"/>
              </w:rPr>
            </w:pPr>
          </w:p>
        </w:tc>
        <w:tc>
          <w:tcPr>
            <w:tcW w:w="98" w:type="pct"/>
            <w:vAlign w:val="center"/>
            <w:hideMark/>
          </w:tcPr>
          <w:p w:rsidR="00000000" w:rsidRDefault="00A309A2">
            <w:pPr>
              <w:rPr>
                <w:rFonts w:eastAsia="Times New Roman"/>
                <w:sz w:val="20"/>
                <w:szCs w:val="20"/>
              </w:rPr>
            </w:pPr>
          </w:p>
        </w:tc>
        <w:tc>
          <w:tcPr>
            <w:tcW w:w="722" w:type="pct"/>
            <w:vAlign w:val="center"/>
            <w:hideMark/>
          </w:tcPr>
          <w:p w:rsidR="00000000" w:rsidRDefault="00A309A2">
            <w:pPr>
              <w:rPr>
                <w:rFonts w:eastAsia="Times New Roman"/>
                <w:sz w:val="20"/>
                <w:szCs w:val="20"/>
              </w:rPr>
            </w:pPr>
          </w:p>
        </w:tc>
        <w:tc>
          <w:tcPr>
            <w:tcW w:w="65" w:type="pct"/>
            <w:vAlign w:val="center"/>
            <w:hideMark/>
          </w:tcPr>
          <w:p w:rsidR="00000000" w:rsidRDefault="00A309A2">
            <w:pPr>
              <w:rPr>
                <w:rFonts w:eastAsia="Times New Roman"/>
                <w:sz w:val="20"/>
                <w:szCs w:val="20"/>
              </w:rPr>
            </w:pPr>
          </w:p>
        </w:tc>
        <w:tc>
          <w:tcPr>
            <w:tcW w:w="66" w:type="pct"/>
            <w:vAlign w:val="center"/>
            <w:hideMark/>
          </w:tcPr>
          <w:p w:rsidR="00000000" w:rsidRDefault="00A309A2">
            <w:pPr>
              <w:rPr>
                <w:rFonts w:eastAsia="Times New Roman"/>
                <w:sz w:val="20"/>
                <w:szCs w:val="20"/>
              </w:rPr>
            </w:pPr>
          </w:p>
        </w:tc>
        <w:tc>
          <w:tcPr>
            <w:tcW w:w="98" w:type="pct"/>
            <w:vAlign w:val="center"/>
            <w:hideMark/>
          </w:tcPr>
          <w:p w:rsidR="00000000" w:rsidRDefault="00A309A2">
            <w:pPr>
              <w:rPr>
                <w:rFonts w:eastAsia="Times New Roman"/>
                <w:sz w:val="20"/>
                <w:szCs w:val="20"/>
              </w:rPr>
            </w:pPr>
          </w:p>
        </w:tc>
        <w:tc>
          <w:tcPr>
            <w:tcW w:w="722" w:type="pct"/>
            <w:vAlign w:val="center"/>
            <w:hideMark/>
          </w:tcPr>
          <w:p w:rsidR="00000000" w:rsidRDefault="00A309A2">
            <w:pPr>
              <w:rPr>
                <w:rFonts w:eastAsia="Times New Roman"/>
                <w:sz w:val="20"/>
                <w:szCs w:val="20"/>
              </w:rPr>
            </w:pPr>
          </w:p>
        </w:tc>
        <w:tc>
          <w:tcPr>
            <w:tcW w:w="65" w:type="pct"/>
            <w:vAlign w:val="center"/>
            <w:hideMark/>
          </w:tcPr>
          <w:p w:rsidR="00000000" w:rsidRDefault="00A309A2">
            <w:pPr>
              <w:rPr>
                <w:rFonts w:eastAsia="Times New Roman"/>
                <w:sz w:val="20"/>
                <w:szCs w:val="20"/>
              </w:rPr>
            </w:pPr>
          </w:p>
        </w:tc>
      </w:tr>
      <w:tr w:rsidR="00000000">
        <w:trPr>
          <w:divId w:val="1607879972"/>
          <w:trHeight w:val="18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A309A2">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A309A2">
            <w:pPr>
              <w:pStyle w:val="a3"/>
              <w:spacing w:before="0" w:beforeAutospacing="0" w:after="0" w:afterAutospacing="0"/>
              <w:jc w:val="center"/>
              <w:rPr>
                <w:sz w:val="18"/>
                <w:szCs w:val="18"/>
              </w:rPr>
            </w:pPr>
            <w:r>
              <w:rPr>
                <w:sz w:val="18"/>
                <w:szCs w:val="18"/>
              </w:rPr>
              <w:t> </w:t>
            </w:r>
          </w:p>
        </w:tc>
      </w:tr>
      <w:tr w:rsidR="00000000">
        <w:trPr>
          <w:divId w:val="1607879972"/>
          <w:trHeight w:val="18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A309A2">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A309A2">
            <w:pPr>
              <w:pStyle w:val="a3"/>
              <w:spacing w:before="0" w:beforeAutospacing="0" w:after="0" w:afterAutospacing="0"/>
              <w:jc w:val="center"/>
              <w:rPr>
                <w:sz w:val="18"/>
                <w:szCs w:val="18"/>
              </w:rPr>
            </w:pPr>
            <w:r>
              <w:rPr>
                <w:b/>
                <w:bCs/>
                <w:sz w:val="18"/>
                <w:szCs w:val="18"/>
              </w:rPr>
              <w:t>202</w:t>
            </w:r>
            <w:r>
              <w:rPr>
                <w:b/>
                <w:bCs/>
                <w:sz w:val="18"/>
                <w:szCs w:val="18"/>
              </w:rPr>
              <w:t>0</w:t>
            </w:r>
          </w:p>
        </w:tc>
        <w:tc>
          <w:tcPr>
            <w:tcW w:w="0" w:type="auto"/>
            <w:vAlign w:val="bottom"/>
            <w:hideMark/>
          </w:tcPr>
          <w:p w:rsidR="00000000" w:rsidRDefault="00A309A2">
            <w:pPr>
              <w:pStyle w:val="a3"/>
              <w:spacing w:before="0" w:beforeAutospacing="0" w:after="0" w:afterAutospacing="0"/>
              <w:jc w:val="center"/>
              <w:rPr>
                <w:sz w:val="18"/>
                <w:szCs w:val="18"/>
              </w:rPr>
            </w:pPr>
            <w:r>
              <w:rPr>
                <w:sz w:val="18"/>
                <w:szCs w:val="18"/>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A309A2">
            <w:pPr>
              <w:pStyle w:val="a3"/>
              <w:spacing w:before="0" w:beforeAutospacing="0" w:after="0" w:afterAutospacing="0"/>
              <w:jc w:val="center"/>
              <w:rPr>
                <w:sz w:val="20"/>
                <w:szCs w:val="20"/>
              </w:rPr>
            </w:pPr>
            <w:r>
              <w:rPr>
                <w:b/>
                <w:bCs/>
                <w:sz w:val="20"/>
                <w:szCs w:val="20"/>
              </w:rPr>
              <w:t>(in thousands</w:t>
            </w:r>
            <w:r>
              <w:rPr>
                <w:b/>
                <w:bCs/>
                <w:sz w:val="20"/>
                <w:szCs w:val="20"/>
              </w:rPr>
              <w:t>)</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15,52</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15,12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Employee related computer equipmen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32,23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20,80</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20,18</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20,20</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90,07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89,85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Internal-use softwar</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20,61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4,14</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10,01</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property and equipmen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182,76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168,52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86,62</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67,40</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1607879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96,13</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101,12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038703675"/>
        <w:rPr>
          <w:sz w:val="20"/>
          <w:szCs w:val="20"/>
        </w:rPr>
      </w:pPr>
      <w:r>
        <w:rPr>
          <w:sz w:val="20"/>
          <w:szCs w:val="20"/>
        </w:rPr>
        <w:t> </w:t>
      </w:r>
    </w:p>
    <w:p w:rsidR="00000000" w:rsidRDefault="00A309A2">
      <w:pPr>
        <w:pStyle w:val="a3"/>
        <w:spacing w:before="0" w:beforeAutospacing="0" w:after="0" w:afterAutospacing="0"/>
        <w:ind w:firstLine="555"/>
        <w:divId w:val="1038703675"/>
        <w:rPr>
          <w:sz w:val="20"/>
          <w:szCs w:val="20"/>
        </w:rPr>
      </w:pPr>
      <w:r>
        <w:rPr>
          <w:sz w:val="20"/>
          <w:szCs w:val="20"/>
        </w:rPr>
        <w:t>Depreciation and amortization expense was</w:t>
      </w:r>
      <w:r>
        <w:rPr>
          <w:sz w:val="20"/>
          <w:szCs w:val="20"/>
        </w:rPr>
        <w:t xml:space="preserve"> </w:t>
      </w:r>
      <w:r>
        <w:rPr>
          <w:sz w:val="20"/>
          <w:szCs w:val="20"/>
        </w:rPr>
        <w:t>$</w:t>
      </w:r>
      <w:r>
        <w:rPr>
          <w:sz w:val="20"/>
          <w:szCs w:val="20"/>
        </w:rPr>
        <w:t>23.</w:t>
      </w:r>
      <w:r>
        <w:rPr>
          <w:sz w:val="20"/>
          <w:szCs w:val="20"/>
        </w:rPr>
        <w:t>9</w:t>
      </w:r>
      <w:r>
        <w:rPr>
          <w:sz w:val="20"/>
          <w:szCs w:val="20"/>
        </w:rPr>
        <w:t xml:space="preserve"> millio</w:t>
      </w:r>
      <w:r>
        <w:rPr>
          <w:sz w:val="20"/>
          <w:szCs w:val="20"/>
        </w:rPr>
        <w:t>n</w:t>
      </w:r>
      <w:r>
        <w:rPr>
          <w:sz w:val="20"/>
          <w:szCs w:val="20"/>
        </w:rPr>
        <w:t xml:space="preserve"> in 2021,</w:t>
      </w:r>
      <w:r>
        <w:rPr>
          <w:sz w:val="20"/>
          <w:szCs w:val="20"/>
        </w:rPr>
        <w:t xml:space="preserve"> </w:t>
      </w:r>
      <w:r>
        <w:rPr>
          <w:sz w:val="20"/>
          <w:szCs w:val="20"/>
        </w:rPr>
        <w:t>$</w:t>
      </w:r>
      <w:r>
        <w:rPr>
          <w:sz w:val="20"/>
          <w:szCs w:val="20"/>
        </w:rPr>
        <w:t>20.</w:t>
      </w:r>
      <w:r>
        <w:rPr>
          <w:sz w:val="20"/>
          <w:szCs w:val="20"/>
        </w:rPr>
        <w:t>6</w:t>
      </w:r>
      <w:r>
        <w:rPr>
          <w:sz w:val="20"/>
          <w:szCs w:val="20"/>
        </w:rPr>
        <w:t xml:space="preserve"> millio</w:t>
      </w:r>
      <w:r>
        <w:rPr>
          <w:sz w:val="20"/>
          <w:szCs w:val="20"/>
        </w:rPr>
        <w:t>n</w:t>
      </w:r>
      <w:r>
        <w:rPr>
          <w:sz w:val="20"/>
          <w:szCs w:val="20"/>
        </w:rPr>
        <w:t xml:space="preserve"> in 2020, and</w:t>
      </w:r>
      <w:r>
        <w:rPr>
          <w:sz w:val="20"/>
          <w:szCs w:val="20"/>
        </w:rPr>
        <w:t xml:space="preserve">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in 2019</w:t>
      </w:r>
      <w:r>
        <w:rPr>
          <w:sz w:val="20"/>
          <w:szCs w:val="20"/>
        </w:rPr>
        <w:t>.</w:t>
      </w:r>
      <w:r>
        <w:rPr>
          <w:sz w:val="20"/>
          <w:szCs w:val="20"/>
        </w:rPr>
        <w:t xml:space="preserve"> </w:t>
      </w:r>
    </w:p>
    <w:p w:rsidR="00000000" w:rsidRDefault="00A309A2">
      <w:pPr>
        <w:pStyle w:val="a3"/>
        <w:spacing w:before="0" w:beforeAutospacing="0" w:after="0" w:afterAutospacing="0"/>
        <w:ind w:firstLine="555"/>
        <w:divId w:val="1038703675"/>
        <w:rPr>
          <w:sz w:val="20"/>
          <w:szCs w:val="20"/>
        </w:rPr>
      </w:pPr>
      <w:r>
        <w:rPr>
          <w:sz w:val="20"/>
          <w:szCs w:val="20"/>
        </w:rPr>
        <w:t> </w:t>
      </w:r>
    </w:p>
    <w:p w:rsidR="00000000" w:rsidRDefault="00A309A2">
      <w:pPr>
        <w:pStyle w:val="a3"/>
        <w:spacing w:before="0" w:beforeAutospacing="0" w:after="0" w:afterAutospacing="0"/>
        <w:ind w:firstLine="555"/>
        <w:divId w:val="1038703675"/>
        <w:rPr>
          <w:sz w:val="20"/>
          <w:szCs w:val="20"/>
        </w:rPr>
      </w:pPr>
      <w:r>
        <w:rPr>
          <w:sz w:val="20"/>
          <w:szCs w:val="20"/>
        </w:rPr>
        <w:t>Refer to Note 4 regarding the disposal of certain property and equipment associated with a lease termination</w:t>
      </w:r>
      <w:r>
        <w:rPr>
          <w:sz w:val="20"/>
          <w:szCs w:val="20"/>
        </w:rPr>
        <w:t>.</w:t>
      </w:r>
      <w:r>
        <w:rPr>
          <w:sz w:val="20"/>
          <w:szCs w:val="20"/>
        </w:rPr>
        <w:t xml:space="preserve"> </w:t>
      </w:r>
    </w:p>
    <w:p w:rsidR="00000000" w:rsidRDefault="00A309A2">
      <w:pPr>
        <w:pStyle w:val="a3"/>
        <w:spacing w:before="240" w:beforeAutospacing="0" w:after="0" w:afterAutospacing="0"/>
        <w:ind w:firstLine="555"/>
        <w:divId w:val="1038703675"/>
        <w:rPr>
          <w:sz w:val="20"/>
          <w:szCs w:val="20"/>
        </w:rPr>
      </w:pPr>
      <w:r>
        <w:rPr>
          <w:sz w:val="20"/>
          <w:szCs w:val="20"/>
        </w:rPr>
        <w:t xml:space="preserve">The Company capitalized asset retirement costs of </w:t>
      </w:r>
      <w:r>
        <w:rPr>
          <w:sz w:val="20"/>
          <w:szCs w:val="20"/>
        </w:rPr>
        <w:t>$</w:t>
      </w:r>
      <w:r>
        <w:rPr>
          <w:sz w:val="20"/>
          <w:szCs w:val="20"/>
        </w:rPr>
        <w:t>4.</w:t>
      </w:r>
      <w:r>
        <w:rPr>
          <w:sz w:val="20"/>
          <w:szCs w:val="20"/>
        </w:rPr>
        <w:t>1</w:t>
      </w:r>
      <w:r>
        <w:rPr>
          <w:sz w:val="20"/>
          <w:szCs w:val="20"/>
        </w:rPr>
        <w:t xml:space="preserve"> million at December 31, 2021 and </w:t>
      </w:r>
      <w:r>
        <w:rPr>
          <w:sz w:val="20"/>
          <w:szCs w:val="20"/>
        </w:rPr>
        <w:t>$</w:t>
      </w:r>
      <w:r>
        <w:rPr>
          <w:sz w:val="20"/>
          <w:szCs w:val="20"/>
        </w:rPr>
        <w:t>4.</w:t>
      </w:r>
      <w:r>
        <w:rPr>
          <w:sz w:val="20"/>
          <w:szCs w:val="20"/>
        </w:rPr>
        <w:t>4</w:t>
      </w:r>
      <w:r>
        <w:rPr>
          <w:sz w:val="20"/>
          <w:szCs w:val="20"/>
        </w:rPr>
        <w:t xml:space="preserve"> million at December 31, 2020 within leasehold improv</w:t>
      </w:r>
      <w:r>
        <w:rPr>
          <w:sz w:val="20"/>
          <w:szCs w:val="20"/>
        </w:rPr>
        <w:t>ements and the related liability is within accrued expenses and other current liabilities and other long-term liabilities on the consolidated balance sheet. These costs represent future lease restoration obligations as required by Company’s leases</w:t>
      </w:r>
      <w:r>
        <w:rPr>
          <w:sz w:val="20"/>
          <w:szCs w:val="20"/>
        </w:rPr>
        <w:t>.</w:t>
      </w:r>
    </w:p>
    <w:p w:rsidR="00000000" w:rsidRDefault="00A309A2">
      <w:pPr>
        <w:pStyle w:val="a3"/>
        <w:spacing w:before="240" w:beforeAutospacing="0" w:after="0" w:afterAutospacing="0"/>
        <w:ind w:firstLine="555"/>
        <w:divId w:val="1458336684"/>
        <w:rPr>
          <w:sz w:val="20"/>
          <w:szCs w:val="20"/>
        </w:rPr>
      </w:pPr>
      <w:r>
        <w:rPr>
          <w:sz w:val="20"/>
          <w:szCs w:val="20"/>
        </w:rPr>
        <w:t>The cha</w:t>
      </w:r>
      <w:r>
        <w:rPr>
          <w:sz w:val="20"/>
          <w:szCs w:val="20"/>
        </w:rPr>
        <w:t>nges in the asset retirement obligation balance during the year ending December 31,</w:t>
      </w:r>
      <w:r>
        <w:rPr>
          <w:sz w:val="20"/>
          <w:szCs w:val="20"/>
        </w:rPr>
        <w:t xml:space="preserve"> </w:t>
      </w:r>
      <w:r>
        <w:rPr>
          <w:sz w:val="20"/>
          <w:szCs w:val="20"/>
        </w:rPr>
        <w:t>2021 and December 31, 2020 are as follows</w:t>
      </w:r>
      <w:r>
        <w:rPr>
          <w:sz w:val="20"/>
          <w:szCs w:val="20"/>
        </w:rPr>
        <w:t>:</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2597"/>
        <w:gridCol w:w="160"/>
        <w:gridCol w:w="852"/>
        <w:gridCol w:w="127"/>
        <w:gridCol w:w="110"/>
        <w:gridCol w:w="160"/>
        <w:gridCol w:w="853"/>
        <w:gridCol w:w="125"/>
      </w:tblGrid>
      <w:tr w:rsidR="00000000">
        <w:trPr>
          <w:divId w:val="1458336684"/>
          <w:tblCellSpacing w:w="15" w:type="dxa"/>
        </w:trPr>
        <w:tc>
          <w:tcPr>
            <w:tcW w:w="2737" w:type="pct"/>
            <w:vAlign w:val="center"/>
            <w:hideMark/>
          </w:tcPr>
          <w:p w:rsidR="00000000" w:rsidRDefault="00A309A2">
            <w:pPr>
              <w:rPr>
                <w:sz w:val="20"/>
                <w:szCs w:val="20"/>
              </w:rPr>
            </w:pPr>
          </w:p>
        </w:tc>
        <w:tc>
          <w:tcPr>
            <w:tcW w:w="121" w:type="pct"/>
            <w:vAlign w:val="center"/>
            <w:hideMark/>
          </w:tcPr>
          <w:p w:rsidR="00000000" w:rsidRDefault="00A309A2">
            <w:pPr>
              <w:rPr>
                <w:rFonts w:eastAsia="Times New Roman"/>
                <w:sz w:val="20"/>
                <w:szCs w:val="20"/>
              </w:rPr>
            </w:pPr>
          </w:p>
        </w:tc>
        <w:tc>
          <w:tcPr>
            <w:tcW w:w="903" w:type="pct"/>
            <w:vAlign w:val="center"/>
            <w:hideMark/>
          </w:tcPr>
          <w:p w:rsidR="00000000" w:rsidRDefault="00A309A2">
            <w:pPr>
              <w:rPr>
                <w:rFonts w:eastAsia="Times New Roman"/>
                <w:sz w:val="20"/>
                <w:szCs w:val="20"/>
              </w:rPr>
            </w:pPr>
          </w:p>
        </w:tc>
        <w:tc>
          <w:tcPr>
            <w:tcW w:w="81" w:type="pct"/>
            <w:vAlign w:val="center"/>
            <w:hideMark/>
          </w:tcPr>
          <w:p w:rsidR="00000000" w:rsidRDefault="00A309A2">
            <w:pPr>
              <w:rPr>
                <w:rFonts w:eastAsia="Times New Roman"/>
                <w:sz w:val="20"/>
                <w:szCs w:val="20"/>
              </w:rPr>
            </w:pPr>
          </w:p>
        </w:tc>
        <w:tc>
          <w:tcPr>
            <w:tcW w:w="73" w:type="pct"/>
            <w:vAlign w:val="center"/>
            <w:hideMark/>
          </w:tcPr>
          <w:p w:rsidR="00000000" w:rsidRDefault="00A309A2">
            <w:pPr>
              <w:rPr>
                <w:rFonts w:eastAsia="Times New Roman"/>
                <w:sz w:val="20"/>
                <w:szCs w:val="20"/>
              </w:rPr>
            </w:pPr>
          </w:p>
        </w:tc>
        <w:tc>
          <w:tcPr>
            <w:tcW w:w="121" w:type="pct"/>
            <w:vAlign w:val="center"/>
            <w:hideMark/>
          </w:tcPr>
          <w:p w:rsidR="00000000" w:rsidRDefault="00A309A2">
            <w:pPr>
              <w:rPr>
                <w:rFonts w:eastAsia="Times New Roman"/>
                <w:sz w:val="20"/>
                <w:szCs w:val="20"/>
              </w:rPr>
            </w:pPr>
          </w:p>
        </w:tc>
        <w:tc>
          <w:tcPr>
            <w:tcW w:w="904" w:type="pct"/>
            <w:vAlign w:val="center"/>
            <w:hideMark/>
          </w:tcPr>
          <w:p w:rsidR="00000000" w:rsidRDefault="00A309A2">
            <w:pPr>
              <w:rPr>
                <w:rFonts w:eastAsia="Times New Roman"/>
                <w:sz w:val="20"/>
                <w:szCs w:val="20"/>
              </w:rPr>
            </w:pPr>
          </w:p>
        </w:tc>
        <w:tc>
          <w:tcPr>
            <w:tcW w:w="57" w:type="pct"/>
            <w:vAlign w:val="center"/>
            <w:hideMark/>
          </w:tcPr>
          <w:p w:rsidR="00000000" w:rsidRDefault="00A309A2">
            <w:pPr>
              <w:rPr>
                <w:rFonts w:eastAsia="Times New Roman"/>
                <w:sz w:val="20"/>
                <w:szCs w:val="20"/>
              </w:rPr>
            </w:pPr>
          </w:p>
        </w:tc>
      </w:tr>
      <w:tr w:rsidR="00000000">
        <w:trPr>
          <w:divId w:val="1458336684"/>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458336684"/>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458336684"/>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458336684"/>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3,53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458336684"/>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Addition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458336684"/>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Accretio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458336684"/>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Updates to estimated cash flow</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458336684"/>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4,90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40" w:beforeAutospacing="0" w:after="0" w:afterAutospacing="0"/>
        <w:ind w:firstLine="555"/>
        <w:rPr>
          <w:sz w:val="20"/>
          <w:szCs w:val="20"/>
        </w:rPr>
      </w:pPr>
      <w:r>
        <w:rPr>
          <w:sz w:val="20"/>
          <w:szCs w:val="20"/>
        </w:rPr>
        <w:t> </w:t>
      </w:r>
    </w:p>
    <w:p w:rsidR="00000000" w:rsidRDefault="00A309A2">
      <w:pPr>
        <w:pStyle w:val="a3"/>
        <w:spacing w:before="200" w:beforeAutospacing="0" w:after="20" w:afterAutospacing="0"/>
        <w:divId w:val="1982150513"/>
        <w:rPr>
          <w:sz w:val="20"/>
          <w:szCs w:val="20"/>
        </w:rPr>
      </w:pPr>
      <w:r>
        <w:rPr>
          <w:b/>
          <w:bCs/>
          <w:sz w:val="20"/>
          <w:szCs w:val="20"/>
        </w:rPr>
        <w:t>7. Business Acquisition</w:t>
      </w:r>
      <w:r>
        <w:rPr>
          <w:b/>
          <w:bCs/>
          <w:sz w:val="20"/>
          <w:szCs w:val="20"/>
        </w:rPr>
        <w:t>s</w:t>
      </w:r>
    </w:p>
    <w:p w:rsidR="00000000" w:rsidRDefault="00A309A2">
      <w:pPr>
        <w:pStyle w:val="a3"/>
        <w:spacing w:before="200" w:beforeAutospacing="0" w:after="20" w:afterAutospacing="0"/>
        <w:ind w:left="476"/>
        <w:divId w:val="1982150513"/>
        <w:rPr>
          <w:sz w:val="20"/>
          <w:szCs w:val="20"/>
        </w:rPr>
      </w:pPr>
      <w:r>
        <w:rPr>
          <w:b/>
          <w:bCs/>
          <w:i/>
          <w:iCs/>
          <w:sz w:val="20"/>
          <w:szCs w:val="20"/>
        </w:rPr>
        <w:t>Hustle Con Media, Inc</w:t>
      </w:r>
      <w:r>
        <w:rPr>
          <w:b/>
          <w:bCs/>
          <w:i/>
          <w:iCs/>
          <w:sz w:val="20"/>
          <w:szCs w:val="20"/>
        </w:rPr>
        <w:t>.</w:t>
      </w:r>
    </w:p>
    <w:p w:rsidR="00000000" w:rsidRDefault="00A309A2">
      <w:pPr>
        <w:pStyle w:val="a3"/>
        <w:spacing w:before="200" w:beforeAutospacing="0" w:after="20" w:afterAutospacing="0"/>
        <w:ind w:firstLine="555"/>
        <w:divId w:val="1982150513"/>
        <w:rPr>
          <w:sz w:val="20"/>
          <w:szCs w:val="20"/>
        </w:rPr>
      </w:pPr>
      <w:r>
        <w:rPr>
          <w:sz w:val="20"/>
          <w:szCs w:val="20"/>
        </w:rPr>
        <w:t>On</w:t>
      </w:r>
      <w:r>
        <w:rPr>
          <w:sz w:val="20"/>
          <w:szCs w:val="20"/>
        </w:rPr>
        <w:t xml:space="preserve"> </w:t>
      </w:r>
      <w:r>
        <w:rPr>
          <w:sz w:val="20"/>
          <w:szCs w:val="20"/>
        </w:rPr>
        <w:t>February 9, 202</w:t>
      </w:r>
      <w:r>
        <w:rPr>
          <w:sz w:val="20"/>
          <w:szCs w:val="20"/>
        </w:rPr>
        <w:t>1</w:t>
      </w:r>
      <w:r>
        <w:rPr>
          <w:sz w:val="20"/>
          <w:szCs w:val="20"/>
        </w:rPr>
        <w:t>, the Company acquired</w:t>
      </w:r>
      <w:r>
        <w:rPr>
          <w:sz w:val="20"/>
          <w:szCs w:val="20"/>
        </w:rPr>
        <w:t xml:space="preserve"> </w:t>
      </w:r>
      <w:r>
        <w:rPr>
          <w:sz w:val="20"/>
          <w:szCs w:val="20"/>
        </w:rPr>
        <w:t>10</w:t>
      </w:r>
      <w:r>
        <w:rPr>
          <w:sz w:val="20"/>
          <w:szCs w:val="20"/>
        </w:rPr>
        <w:t>0</w:t>
      </w:r>
      <w:r>
        <w:rPr>
          <w:sz w:val="20"/>
          <w:szCs w:val="20"/>
        </w:rPr>
        <w:t>% of the equity interests of Hustle Con Media, Inc. (the “Hustle”), a media company that produces a newsletter, podcast, and premium research content for innovative professionals</w:t>
      </w:r>
      <w:r>
        <w:rPr>
          <w:sz w:val="20"/>
          <w:szCs w:val="20"/>
        </w:rPr>
        <w:t>.</w:t>
      </w:r>
      <w:r>
        <w:rPr>
          <w:sz w:val="20"/>
          <w:szCs w:val="20"/>
        </w:rPr>
        <w:t xml:space="preserve"> The Hustle will enable the Company to better meet </w:t>
      </w:r>
      <w:r>
        <w:rPr>
          <w:sz w:val="20"/>
          <w:szCs w:val="20"/>
        </w:rPr>
        <w:t xml:space="preserve">the needs of scaling companies by delivering educational, business and technology trend content in their preferred formats. The total cash purchase price for the acquisition was </w:t>
      </w:r>
      <w:r>
        <w:rPr>
          <w:sz w:val="20"/>
          <w:szCs w:val="20"/>
        </w:rPr>
        <w:t>$</w:t>
      </w:r>
      <w:r>
        <w:rPr>
          <w:sz w:val="20"/>
          <w:szCs w:val="20"/>
        </w:rPr>
        <w:t>17.</w:t>
      </w:r>
      <w:r>
        <w:rPr>
          <w:sz w:val="20"/>
          <w:szCs w:val="20"/>
        </w:rPr>
        <w:t>2</w:t>
      </w:r>
      <w:r>
        <w:rPr>
          <w:sz w:val="20"/>
          <w:szCs w:val="20"/>
        </w:rPr>
        <w:t xml:space="preserve"> million, net of cash acquired, which included an upward working capital </w:t>
      </w:r>
      <w:r>
        <w:rPr>
          <w:sz w:val="20"/>
          <w:szCs w:val="20"/>
        </w:rPr>
        <w:t xml:space="preserve">adjustment of </w:t>
      </w:r>
      <w:r>
        <w:rPr>
          <w:sz w:val="20"/>
          <w:szCs w:val="20"/>
        </w:rPr>
        <w:t>$</w:t>
      </w:r>
      <w:r>
        <w:rPr>
          <w:sz w:val="20"/>
          <w:szCs w:val="20"/>
        </w:rPr>
        <w:t>0.</w:t>
      </w:r>
      <w:r>
        <w:rPr>
          <w:sz w:val="20"/>
          <w:szCs w:val="20"/>
        </w:rPr>
        <w:t>4</w:t>
      </w:r>
      <w:r>
        <w:rPr>
          <w:sz w:val="20"/>
          <w:szCs w:val="20"/>
        </w:rPr>
        <w:t xml:space="preserve"> million</w:t>
      </w:r>
      <w:r>
        <w:rPr>
          <w:sz w:val="20"/>
          <w:szCs w:val="20"/>
        </w:rPr>
        <w:t>.</w:t>
      </w:r>
      <w:r>
        <w:rPr>
          <w:sz w:val="20"/>
          <w:szCs w:val="20"/>
        </w:rPr>
        <w:t xml:space="preserve"> </w:t>
      </w:r>
    </w:p>
    <w:p w:rsidR="00000000" w:rsidRDefault="00A309A2">
      <w:pPr>
        <w:pStyle w:val="a3"/>
        <w:spacing w:before="200" w:beforeAutospacing="0" w:after="0" w:afterAutospacing="0"/>
        <w:ind w:firstLine="555"/>
        <w:divId w:val="895243541"/>
        <w:rPr>
          <w:sz w:val="20"/>
          <w:szCs w:val="20"/>
        </w:rPr>
      </w:pPr>
      <w:r>
        <w:rPr>
          <w:sz w:val="20"/>
          <w:szCs w:val="20"/>
        </w:rPr>
        <w:t>The following table summarizes the fair value of assets acquired and liabilities assumed as of the date of acquisition:</w:t>
      </w:r>
      <w:r>
        <w:rPr>
          <w:sz w:val="20"/>
          <w:szCs w:val="20"/>
        </w:rPr>
        <w:br/>
      </w:r>
      <w:r>
        <w:rPr>
          <w:sz w:val="20"/>
          <w:szCs w:val="20"/>
        </w:rPr>
        <w:t> </w:t>
      </w:r>
    </w:p>
    <w:p w:rsidR="00000000" w:rsidRDefault="00A309A2">
      <w:pPr>
        <w:pStyle w:val="a3"/>
        <w:spacing w:before="240" w:beforeAutospacing="0" w:after="0" w:afterAutospacing="0"/>
        <w:jc w:val="center"/>
        <w:divId w:val="895243541"/>
        <w:rPr>
          <w:sz w:val="20"/>
          <w:szCs w:val="20"/>
        </w:rPr>
      </w:pPr>
      <w:r>
        <w:rPr>
          <w:sz w:val="20"/>
          <w:szCs w:val="20"/>
        </w:rPr>
        <w:t>7</w:t>
      </w:r>
      <w:r>
        <w:rPr>
          <w:sz w:val="20"/>
          <w:szCs w:val="20"/>
        </w:rPr>
        <w:t>9</w:t>
      </w:r>
    </w:p>
    <w:p w:rsidR="00000000" w:rsidRDefault="00A309A2">
      <w:pPr>
        <w:divId w:val="895243541"/>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A309A2">
      <w:pPr>
        <w:pStyle w:val="a3"/>
        <w:spacing w:before="0" w:beforeAutospacing="0" w:after="0" w:afterAutospacing="0"/>
        <w:divId w:val="89524354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374"/>
        <w:gridCol w:w="110"/>
        <w:gridCol w:w="161"/>
        <w:gridCol w:w="1027"/>
        <w:gridCol w:w="142"/>
      </w:tblGrid>
      <w:tr w:rsidR="00000000">
        <w:trPr>
          <w:divId w:val="895243541"/>
          <w:tblCellSpacing w:w="15" w:type="dxa"/>
        </w:trPr>
        <w:tc>
          <w:tcPr>
            <w:tcW w:w="3869" w:type="pct"/>
            <w:vAlign w:val="center"/>
            <w:hideMark/>
          </w:tcPr>
          <w:p w:rsidR="00000000" w:rsidRDefault="00A309A2">
            <w:pPr>
              <w:rPr>
                <w:sz w:val="20"/>
                <w:szCs w:val="20"/>
              </w:rPr>
            </w:pPr>
          </w:p>
        </w:tc>
        <w:tc>
          <w:tcPr>
            <w:tcW w:w="46"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914" w:type="pct"/>
            <w:vAlign w:val="center"/>
            <w:hideMark/>
          </w:tcPr>
          <w:p w:rsidR="00000000" w:rsidRDefault="00A309A2">
            <w:pPr>
              <w:rPr>
                <w:rFonts w:eastAsia="Times New Roman"/>
                <w:sz w:val="20"/>
                <w:szCs w:val="20"/>
              </w:rPr>
            </w:pPr>
          </w:p>
        </w:tc>
        <w:tc>
          <w:tcPr>
            <w:tcW w:w="67" w:type="pct"/>
            <w:vAlign w:val="center"/>
            <w:hideMark/>
          </w:tcPr>
          <w:p w:rsidR="00000000" w:rsidRDefault="00A309A2">
            <w:pPr>
              <w:rPr>
                <w:rFonts w:eastAsia="Times New Roman"/>
                <w:sz w:val="20"/>
                <w:szCs w:val="20"/>
              </w:rPr>
            </w:pPr>
          </w:p>
        </w:tc>
      </w:tr>
      <w:tr w:rsidR="00000000">
        <w:trPr>
          <w:divId w:val="895243541"/>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9524354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Cas</w:t>
            </w:r>
            <w:r>
              <w:rPr>
                <w:sz w:val="20"/>
                <w:szCs w:val="20"/>
              </w:rPr>
              <w:t>h</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Accounts receivabl</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1,15</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current and noncurrent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83</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Current backlog asse</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16,98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Accounts payable, accrued expenses, and other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2,97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tax liabilit</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1,04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895243541"/>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purchase pric</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20,29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ind w:firstLine="555"/>
        <w:divId w:val="1982150513"/>
        <w:rPr>
          <w:sz w:val="20"/>
          <w:szCs w:val="20"/>
        </w:rPr>
      </w:pPr>
      <w:r>
        <w:rPr>
          <w:sz w:val="20"/>
          <w:szCs w:val="20"/>
        </w:rPr>
        <w:t xml:space="preserve">As part of the purchase price allocation, the Company recorded a net deferred tax liability for approximately </w:t>
      </w:r>
      <w:r>
        <w:rPr>
          <w:sz w:val="20"/>
          <w:szCs w:val="20"/>
        </w:rPr>
        <w:t>$</w:t>
      </w:r>
      <w:r>
        <w:rPr>
          <w:sz w:val="20"/>
          <w:szCs w:val="20"/>
        </w:rPr>
        <w:t>1.</w:t>
      </w:r>
      <w:r>
        <w:rPr>
          <w:sz w:val="20"/>
          <w:szCs w:val="20"/>
        </w:rPr>
        <w:t>0</w:t>
      </w:r>
      <w:r>
        <w:rPr>
          <w:sz w:val="20"/>
          <w:szCs w:val="20"/>
        </w:rPr>
        <w:t xml:space="preserve"> million related to the difference between the tax basis and fair value of the acquired intangible assets. This net deferred tax liability pro</w:t>
      </w:r>
      <w:r>
        <w:rPr>
          <w:sz w:val="20"/>
          <w:szCs w:val="20"/>
        </w:rPr>
        <w:t>vided a source of additional income to support the realizability of the Company’s pre-existing, U.S. deferred tax assets. As the Company has recorded a full valuation allowance against its U.S. deferred tax assets, the Company released a portion of its val</w:t>
      </w:r>
      <w:r>
        <w:rPr>
          <w:sz w:val="20"/>
          <w:szCs w:val="20"/>
        </w:rPr>
        <w:t xml:space="preserve">uation allowance and recorded a corresponding income tax benefit of </w:t>
      </w:r>
      <w:r>
        <w:rPr>
          <w:sz w:val="20"/>
          <w:szCs w:val="20"/>
        </w:rPr>
        <w:t>$</w:t>
      </w:r>
      <w:r>
        <w:rPr>
          <w:sz w:val="20"/>
          <w:szCs w:val="20"/>
        </w:rPr>
        <w:t>1.</w:t>
      </w:r>
      <w:r>
        <w:rPr>
          <w:sz w:val="20"/>
          <w:szCs w:val="20"/>
        </w:rPr>
        <w:t>0</w:t>
      </w:r>
      <w:r>
        <w:rPr>
          <w:sz w:val="20"/>
          <w:szCs w:val="20"/>
        </w:rPr>
        <w:t xml:space="preserve"> million in the consolidated statement of operations</w:t>
      </w:r>
      <w:r>
        <w:rPr>
          <w:sz w:val="20"/>
          <w:szCs w:val="20"/>
        </w:rPr>
        <w:t>.</w:t>
      </w:r>
    </w:p>
    <w:p w:rsidR="00000000" w:rsidRDefault="00A309A2">
      <w:pPr>
        <w:pStyle w:val="a3"/>
        <w:spacing w:before="200" w:beforeAutospacing="0" w:after="0" w:afterAutospacing="0"/>
        <w:ind w:firstLine="555"/>
        <w:divId w:val="1982150513"/>
        <w:rPr>
          <w:sz w:val="20"/>
          <w:szCs w:val="20"/>
        </w:rPr>
      </w:pPr>
      <w:r>
        <w:rPr>
          <w:sz w:val="20"/>
          <w:szCs w:val="20"/>
        </w:rPr>
        <w:t>The excess of the purchase consideration over the fair value of net tangible and identifiable intangible assets and liabilities ac</w:t>
      </w:r>
      <w:r>
        <w:rPr>
          <w:sz w:val="20"/>
          <w:szCs w:val="20"/>
        </w:rPr>
        <w:t>quired was recorded as goodwill. The Company believes the goodwill is attributable to the significant value obtained from the Company utilizing the advertising space within the Hustle’s newsletter and podcast, as well as the market influence of the premium</w:t>
      </w:r>
      <w:r>
        <w:rPr>
          <w:sz w:val="20"/>
          <w:szCs w:val="20"/>
        </w:rPr>
        <w:t xml:space="preserve"> research content to promote its products to the Hustle’s customer base and acquire new customers. The goodwill recognized is not deductible for U.S. or foreign income tax purposes</w:t>
      </w:r>
      <w:r>
        <w:rPr>
          <w:sz w:val="20"/>
          <w:szCs w:val="20"/>
        </w:rPr>
        <w:t>.</w:t>
      </w:r>
    </w:p>
    <w:p w:rsidR="00000000" w:rsidRDefault="00A309A2">
      <w:pPr>
        <w:pStyle w:val="a3"/>
        <w:spacing w:before="200" w:beforeAutospacing="0" w:after="0" w:afterAutospacing="0"/>
        <w:ind w:firstLine="555"/>
        <w:divId w:val="1982150513"/>
        <w:rPr>
          <w:sz w:val="20"/>
          <w:szCs w:val="20"/>
        </w:rPr>
      </w:pPr>
      <w:r>
        <w:rPr>
          <w:sz w:val="20"/>
          <w:szCs w:val="20"/>
        </w:rPr>
        <w:t xml:space="preserve">The Company applied an income approach to estimate the fair values of the </w:t>
      </w:r>
      <w:r>
        <w:rPr>
          <w:sz w:val="20"/>
          <w:szCs w:val="20"/>
        </w:rPr>
        <w:t xml:space="preserve">intangible assets acquired. The primary intangible asset acquired in the business acquisition was customer relationships and the fair value of </w:t>
      </w:r>
      <w:r>
        <w:rPr>
          <w:sz w:val="20"/>
          <w:szCs w:val="20"/>
        </w:rPr>
        <w:t>$</w:t>
      </w:r>
      <w:r>
        <w:rPr>
          <w:sz w:val="20"/>
          <w:szCs w:val="20"/>
        </w:rPr>
        <w:t>2.</w:t>
      </w:r>
      <w:r>
        <w:rPr>
          <w:sz w:val="20"/>
          <w:szCs w:val="20"/>
        </w:rPr>
        <w:t>4</w:t>
      </w:r>
      <w:r>
        <w:rPr>
          <w:sz w:val="20"/>
          <w:szCs w:val="20"/>
        </w:rPr>
        <w:t xml:space="preserve"> million was determined based on the estimated present value of expected after-tax cash flows attributable to</w:t>
      </w:r>
      <w:r>
        <w:rPr>
          <w:sz w:val="20"/>
          <w:szCs w:val="20"/>
        </w:rPr>
        <w:t xml:space="preserve"> subscribers using an excess earnings method. The Company applied various estimates and assumptions with respect to forecasted revenue growth rates, the revenue attributable to the existing customers over time and the discount rate. The fair values assigne</w:t>
      </w:r>
      <w:r>
        <w:rPr>
          <w:sz w:val="20"/>
          <w:szCs w:val="20"/>
        </w:rPr>
        <w:t>d to the other tangible and identifiable intangible assets acquired and liabilities assumed as part of the business combination were based on management’s estimates and assumptions</w:t>
      </w:r>
      <w:r>
        <w:rPr>
          <w:sz w:val="20"/>
          <w:szCs w:val="20"/>
        </w:rPr>
        <w:t>.</w:t>
      </w:r>
      <w:r>
        <w:rPr>
          <w:sz w:val="20"/>
          <w:szCs w:val="20"/>
        </w:rPr>
        <w:t xml:space="preserve"> </w:t>
      </w:r>
      <w:r>
        <w:rPr>
          <w:sz w:val="20"/>
          <w:szCs w:val="20"/>
        </w:rPr>
        <w:t>The Company began amortizing the customer relationships on the date of acq</w:t>
      </w:r>
      <w:r>
        <w:rPr>
          <w:sz w:val="20"/>
          <w:szCs w:val="20"/>
        </w:rPr>
        <w:t>uisition over a period of</w:t>
      </w:r>
      <w:r>
        <w:rPr>
          <w:sz w:val="20"/>
          <w:szCs w:val="20"/>
        </w:rPr>
        <w:t xml:space="preserve"> </w:t>
      </w:r>
      <w:r>
        <w:rPr>
          <w:sz w:val="20"/>
          <w:szCs w:val="20"/>
        </w:rPr>
        <w:t>seven year</w:t>
      </w:r>
      <w:r>
        <w:rPr>
          <w:sz w:val="20"/>
          <w:szCs w:val="20"/>
        </w:rPr>
        <w:t>s</w:t>
      </w:r>
      <w:r>
        <w:rPr>
          <w:sz w:val="20"/>
          <w:szCs w:val="20"/>
        </w:rPr>
        <w:t xml:space="preserve"> based on expected future cash flow attributable to existing customers. The amortization expense is recorded to sales and marketing expense in the consolidated statements of operations</w:t>
      </w:r>
      <w:r>
        <w:rPr>
          <w:sz w:val="20"/>
          <w:szCs w:val="20"/>
        </w:rPr>
        <w:t>.</w:t>
      </w:r>
      <w:r>
        <w:rPr>
          <w:sz w:val="20"/>
          <w:szCs w:val="20"/>
        </w:rPr>
        <w:t xml:space="preserve"> </w:t>
      </w:r>
    </w:p>
    <w:p w:rsidR="00000000" w:rsidRDefault="00A309A2">
      <w:pPr>
        <w:pStyle w:val="a3"/>
        <w:spacing w:before="200" w:beforeAutospacing="0" w:after="0" w:afterAutospacing="0"/>
        <w:ind w:firstLine="555"/>
        <w:divId w:val="1982150513"/>
        <w:rPr>
          <w:sz w:val="20"/>
          <w:szCs w:val="20"/>
        </w:rPr>
      </w:pPr>
      <w:r>
        <w:rPr>
          <w:sz w:val="20"/>
          <w:szCs w:val="20"/>
        </w:rPr>
        <w:t>The Company has included the ope</w:t>
      </w:r>
      <w:r>
        <w:rPr>
          <w:sz w:val="20"/>
          <w:szCs w:val="20"/>
        </w:rPr>
        <w:t>rating results of the Hustle in its consolidated financial statements since the date of the acquisition. The acquisition did not have a material effect on the revenue or earnings in the consolidated income statement for the reporting periods presented. The</w:t>
      </w:r>
      <w:r>
        <w:rPr>
          <w:sz w:val="20"/>
          <w:szCs w:val="20"/>
        </w:rPr>
        <w:t xml:space="preserve"> pro forma results of the Company as if the acquisition had taken place on the first day of 2019 were not materially different from the amounts reflected in the accompanying consolidated financial statements</w:t>
      </w:r>
      <w:r>
        <w:rPr>
          <w:sz w:val="20"/>
          <w:szCs w:val="20"/>
        </w:rPr>
        <w:t>.</w:t>
      </w:r>
    </w:p>
    <w:p w:rsidR="00000000" w:rsidRDefault="00A309A2">
      <w:pPr>
        <w:pStyle w:val="a3"/>
        <w:spacing w:before="200" w:beforeAutospacing="0" w:after="0" w:afterAutospacing="0"/>
        <w:ind w:left="476"/>
        <w:divId w:val="1982150513"/>
        <w:rPr>
          <w:sz w:val="20"/>
          <w:szCs w:val="20"/>
        </w:rPr>
      </w:pPr>
      <w:r>
        <w:rPr>
          <w:b/>
          <w:bCs/>
          <w:i/>
          <w:iCs/>
          <w:sz w:val="20"/>
          <w:szCs w:val="20"/>
        </w:rPr>
        <w:t>P</w:t>
      </w:r>
      <w:r>
        <w:rPr>
          <w:b/>
          <w:bCs/>
          <w:i/>
          <w:iCs/>
          <w:sz w:val="20"/>
          <w:szCs w:val="20"/>
        </w:rPr>
        <w:t>i</w:t>
      </w:r>
      <w:r>
        <w:rPr>
          <w:b/>
          <w:bCs/>
          <w:i/>
          <w:iCs/>
          <w:sz w:val="20"/>
          <w:szCs w:val="20"/>
        </w:rPr>
        <w:t>e</w:t>
      </w:r>
      <w:r>
        <w:rPr>
          <w:b/>
          <w:bCs/>
          <w:i/>
          <w:iCs/>
          <w:sz w:val="20"/>
          <w:szCs w:val="20"/>
        </w:rPr>
        <w:t>S</w:t>
      </w:r>
      <w:r>
        <w:rPr>
          <w:b/>
          <w:bCs/>
          <w:i/>
          <w:iCs/>
          <w:sz w:val="20"/>
          <w:szCs w:val="20"/>
        </w:rPr>
        <w:t>y</w:t>
      </w:r>
      <w:r>
        <w:rPr>
          <w:b/>
          <w:bCs/>
          <w:i/>
          <w:iCs/>
          <w:sz w:val="20"/>
          <w:szCs w:val="20"/>
        </w:rPr>
        <w:t>n</w:t>
      </w:r>
      <w:r>
        <w:rPr>
          <w:b/>
          <w:bCs/>
          <w:i/>
          <w:iCs/>
          <w:sz w:val="20"/>
          <w:szCs w:val="20"/>
        </w:rPr>
        <w:t>c</w:t>
      </w:r>
    </w:p>
    <w:p w:rsidR="00000000" w:rsidRDefault="00A309A2">
      <w:pPr>
        <w:pStyle w:val="a3"/>
        <w:spacing w:before="200" w:beforeAutospacing="0" w:after="0" w:afterAutospacing="0"/>
        <w:ind w:firstLine="555"/>
        <w:divId w:val="1982150513"/>
        <w:rPr>
          <w:sz w:val="20"/>
          <w:szCs w:val="20"/>
        </w:rPr>
      </w:pPr>
      <w:r>
        <w:rPr>
          <w:sz w:val="20"/>
          <w:szCs w:val="20"/>
        </w:rPr>
        <w:t>On</w:t>
      </w:r>
      <w:r>
        <w:rPr>
          <w:sz w:val="20"/>
          <w:szCs w:val="20"/>
        </w:rPr>
        <w:t xml:space="preserve"> </w:t>
      </w:r>
      <w:r>
        <w:rPr>
          <w:sz w:val="20"/>
          <w:szCs w:val="20"/>
        </w:rPr>
        <w:t>October 31, 201</w:t>
      </w:r>
      <w:r>
        <w:rPr>
          <w:sz w:val="20"/>
          <w:szCs w:val="20"/>
        </w:rPr>
        <w:t>9</w:t>
      </w:r>
      <w:r>
        <w:rPr>
          <w:sz w:val="20"/>
          <w:szCs w:val="20"/>
        </w:rPr>
        <w:t>, the Company acquir</w:t>
      </w:r>
      <w:r>
        <w:rPr>
          <w:sz w:val="20"/>
          <w:szCs w:val="20"/>
        </w:rPr>
        <w:t>ed</w:t>
      </w:r>
      <w:r>
        <w:rPr>
          <w:sz w:val="20"/>
          <w:szCs w:val="20"/>
        </w:rPr>
        <w:t xml:space="preserve"> </w:t>
      </w:r>
      <w:r>
        <w:rPr>
          <w:sz w:val="20"/>
          <w:szCs w:val="20"/>
        </w:rPr>
        <w:t>10</w:t>
      </w:r>
      <w:r>
        <w:rPr>
          <w:sz w:val="20"/>
          <w:szCs w:val="20"/>
        </w:rPr>
        <w:t>0</w:t>
      </w:r>
      <w:r>
        <w:rPr>
          <w:sz w:val="20"/>
          <w:szCs w:val="20"/>
        </w:rPr>
        <w:t>% of the equity interests of PieSync, a Belgian-based technology company that operates an integration platform as a service (“iPaaS”) solution which continuously syncs customer data bi-directionally across various software applications</w:t>
      </w:r>
      <w:r>
        <w:rPr>
          <w:sz w:val="20"/>
          <w:szCs w:val="20"/>
        </w:rPr>
        <w:t>.</w:t>
      </w:r>
      <w:r>
        <w:rPr>
          <w:sz w:val="20"/>
          <w:szCs w:val="20"/>
        </w:rPr>
        <w:t xml:space="preserve"> PieSync is on</w:t>
      </w:r>
      <w:r>
        <w:rPr>
          <w:sz w:val="20"/>
          <w:szCs w:val="20"/>
        </w:rPr>
        <w:t>e of the only iPaaS technologies that provides both a current and historical two-way sync of customer data that operates in the background, which will offer customers a more efficient way of managing multiple applications. The total cash purchase price for</w:t>
      </w:r>
      <w:r>
        <w:rPr>
          <w:sz w:val="20"/>
          <w:szCs w:val="20"/>
        </w:rPr>
        <w:t xml:space="preserve"> the acquisition was </w:t>
      </w:r>
      <w:r>
        <w:rPr>
          <w:sz w:val="20"/>
          <w:szCs w:val="20"/>
        </w:rPr>
        <w:t>$</w:t>
      </w:r>
      <w:r>
        <w:rPr>
          <w:sz w:val="20"/>
          <w:szCs w:val="20"/>
        </w:rPr>
        <w:t>23.</w:t>
      </w:r>
      <w:r>
        <w:rPr>
          <w:sz w:val="20"/>
          <w:szCs w:val="20"/>
        </w:rPr>
        <w:t>3</w:t>
      </w:r>
      <w:r>
        <w:rPr>
          <w:sz w:val="20"/>
          <w:szCs w:val="20"/>
        </w:rPr>
        <w:t xml:space="preserve"> million, net of cash acquired, which includes a working capital settlement of </w:t>
      </w:r>
      <w:r>
        <w:rPr>
          <w:sz w:val="20"/>
          <w:szCs w:val="20"/>
        </w:rPr>
        <w:t>$</w:t>
      </w:r>
      <w:r>
        <w:rPr>
          <w:sz w:val="20"/>
          <w:szCs w:val="20"/>
        </w:rPr>
        <w:t>0.</w:t>
      </w:r>
      <w:r>
        <w:rPr>
          <w:sz w:val="20"/>
          <w:szCs w:val="20"/>
        </w:rPr>
        <w:t>3</w:t>
      </w:r>
      <w:r>
        <w:rPr>
          <w:sz w:val="20"/>
          <w:szCs w:val="20"/>
        </w:rPr>
        <w:t xml:space="preserve"> million. There was approximately </w:t>
      </w:r>
      <w:r>
        <w:rPr>
          <w:sz w:val="20"/>
          <w:szCs w:val="20"/>
        </w:rPr>
        <w:t>$</w:t>
      </w:r>
      <w:r>
        <w:rPr>
          <w:sz w:val="20"/>
          <w:szCs w:val="20"/>
        </w:rPr>
        <w:t>2.</w:t>
      </w:r>
      <w:r>
        <w:rPr>
          <w:sz w:val="20"/>
          <w:szCs w:val="20"/>
        </w:rPr>
        <w:t>7</w:t>
      </w:r>
      <w:r>
        <w:rPr>
          <w:sz w:val="20"/>
          <w:szCs w:val="20"/>
        </w:rPr>
        <w:t xml:space="preserve"> million of consideration that was not included in the purchase price allocation as it is</w:t>
      </w:r>
      <w:r>
        <w:rPr>
          <w:sz w:val="20"/>
          <w:szCs w:val="20"/>
        </w:rPr>
        <w:t xml:space="preserve"> </w:t>
      </w:r>
      <w:r>
        <w:rPr>
          <w:sz w:val="20"/>
          <w:szCs w:val="20"/>
        </w:rPr>
        <w:t>not associated with</w:t>
      </w:r>
      <w:r>
        <w:rPr>
          <w:sz w:val="20"/>
          <w:szCs w:val="20"/>
        </w:rPr>
        <w:t xml:space="preserve"> pre-combination services. As of December 31, 2021, the consideration was earned in full and the Company recorded operating expenses of </w:t>
      </w:r>
      <w:r>
        <w:rPr>
          <w:sz w:val="20"/>
          <w:szCs w:val="20"/>
        </w:rPr>
        <w:t>$</w:t>
      </w:r>
      <w:r>
        <w:rPr>
          <w:sz w:val="20"/>
          <w:szCs w:val="20"/>
        </w:rPr>
        <w:t>1.</w:t>
      </w:r>
      <w:r>
        <w:rPr>
          <w:sz w:val="20"/>
          <w:szCs w:val="20"/>
        </w:rPr>
        <w:t>1</w:t>
      </w:r>
      <w:r>
        <w:rPr>
          <w:sz w:val="20"/>
          <w:szCs w:val="20"/>
        </w:rPr>
        <w:t xml:space="preserve"> million in 2021 and </w:t>
      </w:r>
      <w:r>
        <w:rPr>
          <w:sz w:val="20"/>
          <w:szCs w:val="20"/>
        </w:rPr>
        <w:t>$</w:t>
      </w:r>
      <w:r>
        <w:rPr>
          <w:sz w:val="20"/>
          <w:szCs w:val="20"/>
        </w:rPr>
        <w:t>1.</w:t>
      </w:r>
      <w:r>
        <w:rPr>
          <w:sz w:val="20"/>
          <w:szCs w:val="20"/>
        </w:rPr>
        <w:t>6</w:t>
      </w:r>
      <w:r>
        <w:rPr>
          <w:sz w:val="20"/>
          <w:szCs w:val="20"/>
        </w:rPr>
        <w:t xml:space="preserve"> million in 2020. The transaction costs associated with the acquisition were approximately </w:t>
      </w:r>
      <w:r>
        <w:rPr>
          <w:sz w:val="20"/>
          <w:szCs w:val="20"/>
        </w:rPr>
        <w:t>$</w:t>
      </w:r>
      <w:r>
        <w:rPr>
          <w:sz w:val="20"/>
          <w:szCs w:val="20"/>
        </w:rPr>
        <w:t>52</w:t>
      </w:r>
      <w:r>
        <w:rPr>
          <w:sz w:val="20"/>
          <w:szCs w:val="20"/>
        </w:rPr>
        <w:t>7</w:t>
      </w:r>
      <w:r>
        <w:rPr>
          <w:sz w:val="20"/>
          <w:szCs w:val="20"/>
        </w:rPr>
        <w:t xml:space="preserve"> thousand and were recorded in general and administrative expense</w:t>
      </w:r>
      <w:r>
        <w:rPr>
          <w:sz w:val="20"/>
          <w:szCs w:val="20"/>
        </w:rPr>
        <w:t>.</w:t>
      </w:r>
    </w:p>
    <w:p w:rsidR="00000000" w:rsidRDefault="00A309A2">
      <w:pPr>
        <w:pStyle w:val="a3"/>
        <w:spacing w:before="240" w:beforeAutospacing="0" w:after="0" w:afterAutospacing="0"/>
        <w:jc w:val="center"/>
        <w:divId w:val="1982150513"/>
        <w:rPr>
          <w:sz w:val="20"/>
          <w:szCs w:val="20"/>
        </w:rPr>
      </w:pPr>
      <w:r>
        <w:rPr>
          <w:sz w:val="20"/>
          <w:szCs w:val="20"/>
        </w:rPr>
        <w:t>8</w:t>
      </w:r>
      <w:r>
        <w:rPr>
          <w:sz w:val="20"/>
          <w:szCs w:val="20"/>
        </w:rPr>
        <w:t>0</w:t>
      </w:r>
    </w:p>
    <w:p w:rsidR="00000000" w:rsidRDefault="00A309A2">
      <w:pPr>
        <w:divId w:val="1982150513"/>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A309A2">
      <w:pPr>
        <w:pStyle w:val="a3"/>
        <w:spacing w:before="0" w:beforeAutospacing="0" w:after="0" w:afterAutospacing="0"/>
        <w:divId w:val="1982150513"/>
        <w:rPr>
          <w:sz w:val="20"/>
          <w:szCs w:val="20"/>
        </w:rPr>
      </w:pPr>
      <w:r>
        <w:rPr>
          <w:sz w:val="20"/>
          <w:szCs w:val="20"/>
        </w:rPr>
        <w:t> </w:t>
      </w:r>
    </w:p>
    <w:p w:rsidR="00000000" w:rsidRDefault="00A309A2">
      <w:pPr>
        <w:pStyle w:val="a3"/>
        <w:spacing w:before="200" w:beforeAutospacing="0" w:after="0" w:afterAutospacing="0"/>
        <w:ind w:firstLine="555"/>
        <w:divId w:val="988442765"/>
        <w:rPr>
          <w:sz w:val="20"/>
          <w:szCs w:val="20"/>
        </w:rPr>
      </w:pPr>
      <w:r>
        <w:rPr>
          <w:sz w:val="20"/>
          <w:szCs w:val="20"/>
        </w:rPr>
        <w:t>The following table summarizes the fair value of assets acquired and liabilities assu</w:t>
      </w:r>
      <w:r>
        <w:rPr>
          <w:sz w:val="20"/>
          <w:szCs w:val="20"/>
        </w:rPr>
        <w:t>m</w:t>
      </w:r>
      <w:r>
        <w:rPr>
          <w:sz w:val="20"/>
          <w:szCs w:val="20"/>
        </w:rPr>
        <w:t>ed as of the date of acquisition:</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389"/>
        <w:gridCol w:w="110"/>
        <w:gridCol w:w="161"/>
        <w:gridCol w:w="1012"/>
        <w:gridCol w:w="142"/>
      </w:tblGrid>
      <w:tr w:rsidR="00000000">
        <w:trPr>
          <w:divId w:val="988442765"/>
          <w:tblCellSpacing w:w="15" w:type="dxa"/>
        </w:trPr>
        <w:tc>
          <w:tcPr>
            <w:tcW w:w="3886" w:type="pct"/>
            <w:vAlign w:val="center"/>
            <w:hideMark/>
          </w:tcPr>
          <w:p w:rsidR="00000000" w:rsidRDefault="00A309A2">
            <w:pPr>
              <w:rPr>
                <w:sz w:val="20"/>
                <w:szCs w:val="20"/>
              </w:rPr>
            </w:pPr>
          </w:p>
        </w:tc>
        <w:tc>
          <w:tcPr>
            <w:tcW w:w="39"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903" w:type="pct"/>
            <w:vAlign w:val="center"/>
            <w:hideMark/>
          </w:tcPr>
          <w:p w:rsidR="00000000" w:rsidRDefault="00A309A2">
            <w:pPr>
              <w:rPr>
                <w:rFonts w:eastAsia="Times New Roman"/>
                <w:sz w:val="20"/>
                <w:szCs w:val="20"/>
              </w:rPr>
            </w:pPr>
          </w:p>
        </w:tc>
        <w:tc>
          <w:tcPr>
            <w:tcW w:w="68" w:type="pct"/>
            <w:vAlign w:val="center"/>
            <w:hideMark/>
          </w:tcPr>
          <w:p w:rsidR="00000000" w:rsidRDefault="00A309A2">
            <w:pPr>
              <w:rPr>
                <w:rFonts w:eastAsia="Times New Roman"/>
                <w:sz w:val="20"/>
                <w:szCs w:val="20"/>
              </w:rPr>
            </w:pPr>
          </w:p>
        </w:tc>
      </w:tr>
      <w:tr w:rsidR="00000000">
        <w:trPr>
          <w:divId w:val="988442765"/>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88442765"/>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Cas</w:t>
            </w:r>
            <w:r>
              <w:rPr>
                <w:sz w:val="20"/>
                <w:szCs w:val="20"/>
              </w:rPr>
              <w:t>h</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Accounts receivabl</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current and noncurrent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Acquired developed technolog</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Other intangible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15,21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Accounts payable, accrued expenses, and other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revenu</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tax liabilit</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1,32</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988442765"/>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purchase pric</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23,82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ind w:firstLine="555"/>
        <w:divId w:val="1982150513"/>
        <w:rPr>
          <w:sz w:val="20"/>
          <w:szCs w:val="20"/>
        </w:rPr>
      </w:pPr>
      <w:r>
        <w:rPr>
          <w:sz w:val="20"/>
          <w:szCs w:val="20"/>
        </w:rPr>
        <w:t>The excess of the purchase consideration over the fair value of net tangible and identifiable intangible assets and liabilities acquired was recorded as goodwill. The Company will derive significant value from this acquisition through synergies such as cro</w:t>
      </w:r>
      <w:r>
        <w:rPr>
          <w:sz w:val="20"/>
          <w:szCs w:val="20"/>
        </w:rPr>
        <w:t>ss selling opportunities and a stronger platform that offers a suite of products not directly matched by competitors. The goodwill recognized is not deductible for foreign income tax purposes</w:t>
      </w:r>
      <w:r>
        <w:rPr>
          <w:sz w:val="20"/>
          <w:szCs w:val="20"/>
        </w:rPr>
        <w:t>.</w:t>
      </w:r>
      <w:r>
        <w:rPr>
          <w:sz w:val="20"/>
          <w:szCs w:val="20"/>
        </w:rPr>
        <w:t xml:space="preserve"> </w:t>
      </w:r>
    </w:p>
    <w:p w:rsidR="00000000" w:rsidRDefault="00A309A2">
      <w:pPr>
        <w:pStyle w:val="a3"/>
        <w:spacing w:before="200" w:beforeAutospacing="0" w:after="0" w:afterAutospacing="0"/>
        <w:ind w:firstLine="555"/>
        <w:divId w:val="1982150513"/>
        <w:rPr>
          <w:sz w:val="20"/>
          <w:szCs w:val="20"/>
        </w:rPr>
      </w:pPr>
      <w:r>
        <w:rPr>
          <w:sz w:val="20"/>
          <w:szCs w:val="20"/>
        </w:rPr>
        <w:t>The Company applied variations of the income approach to estim</w:t>
      </w:r>
      <w:r>
        <w:rPr>
          <w:sz w:val="20"/>
          <w:szCs w:val="20"/>
        </w:rPr>
        <w:t xml:space="preserve">ate the fair values of the intangible assets acquired. The primary intangible asset acquired in the business combination was developed technology and the fair value of the developed technology of </w:t>
      </w:r>
      <w:r>
        <w:rPr>
          <w:sz w:val="20"/>
          <w:szCs w:val="20"/>
        </w:rPr>
        <w:t>$</w:t>
      </w:r>
      <w:r>
        <w:rPr>
          <w:sz w:val="20"/>
          <w:szCs w:val="20"/>
        </w:rPr>
        <w:t>9.</w:t>
      </w:r>
      <w:r>
        <w:rPr>
          <w:sz w:val="20"/>
          <w:szCs w:val="20"/>
        </w:rPr>
        <w:t>8</w:t>
      </w:r>
      <w:r>
        <w:rPr>
          <w:sz w:val="20"/>
          <w:szCs w:val="20"/>
        </w:rPr>
        <w:t xml:space="preserve"> million was determined based on the estimated present v</w:t>
      </w:r>
      <w:r>
        <w:rPr>
          <w:sz w:val="20"/>
          <w:szCs w:val="20"/>
        </w:rPr>
        <w:t>alue of expected after-tax cash flows attributable to the technology using an excess earnings method. The Company applied significant estimates and assumptions with respect to forecasted revenue growth rates, the revenue attributable to the acquired intang</w:t>
      </w:r>
      <w:r>
        <w:rPr>
          <w:sz w:val="20"/>
          <w:szCs w:val="20"/>
        </w:rPr>
        <w:t xml:space="preserve">ible asset over its estimated economic life, and the discount rate. The fair values assigned to the other tangible and identifiable intangible assets acquired and liabilities assumed as part of the business combination were based on management’s estimates </w:t>
      </w:r>
      <w:r>
        <w:rPr>
          <w:sz w:val="20"/>
          <w:szCs w:val="20"/>
        </w:rPr>
        <w:t>and assumptions</w:t>
      </w:r>
      <w:r>
        <w:rPr>
          <w:sz w:val="20"/>
          <w:szCs w:val="20"/>
        </w:rPr>
        <w:t>.</w:t>
      </w:r>
    </w:p>
    <w:p w:rsidR="00000000" w:rsidRDefault="00A309A2">
      <w:pPr>
        <w:pStyle w:val="a3"/>
        <w:spacing w:before="200" w:beforeAutospacing="0" w:after="0" w:afterAutospacing="0"/>
        <w:ind w:firstLine="555"/>
        <w:divId w:val="1982150513"/>
        <w:rPr>
          <w:sz w:val="20"/>
          <w:szCs w:val="20"/>
        </w:rPr>
      </w:pPr>
      <w:r>
        <w:rPr>
          <w:sz w:val="20"/>
          <w:szCs w:val="20"/>
        </w:rPr>
        <w:t>The Company began amortizing the acquired technology on the date of acquisition. The acquired technology is being amortized over</w:t>
      </w:r>
      <w:r>
        <w:rPr>
          <w:sz w:val="20"/>
          <w:szCs w:val="20"/>
        </w:rPr>
        <w:t xml:space="preserve"> </w:t>
      </w:r>
      <w:r>
        <w:rPr>
          <w:sz w:val="20"/>
          <w:szCs w:val="20"/>
        </w:rPr>
        <w:t>seven year</w:t>
      </w:r>
      <w:r>
        <w:rPr>
          <w:sz w:val="20"/>
          <w:szCs w:val="20"/>
        </w:rPr>
        <w:t>s</w:t>
      </w:r>
      <w:r>
        <w:rPr>
          <w:sz w:val="20"/>
          <w:szCs w:val="20"/>
        </w:rPr>
        <w:t xml:space="preserve"> using a method</w:t>
      </w:r>
      <w:r>
        <w:rPr>
          <w:sz w:val="20"/>
          <w:szCs w:val="20"/>
        </w:rPr>
        <w:t xml:space="preserve"> </w:t>
      </w:r>
      <w:r>
        <w:rPr>
          <w:sz w:val="20"/>
          <w:szCs w:val="20"/>
        </w:rPr>
        <w:t>reflective of the expected economic benefit consumption over the expected useful life of the asset.</w:t>
      </w:r>
      <w:r>
        <w:rPr>
          <w:sz w:val="20"/>
          <w:szCs w:val="20"/>
        </w:rPr>
        <w:t xml:space="preserve"> </w:t>
      </w:r>
      <w:r>
        <w:rPr>
          <w:sz w:val="20"/>
          <w:szCs w:val="20"/>
        </w:rPr>
        <w:t>The a</w:t>
      </w:r>
      <w:r>
        <w:rPr>
          <w:sz w:val="20"/>
          <w:szCs w:val="20"/>
        </w:rPr>
        <w:t>m</w:t>
      </w:r>
      <w:r>
        <w:rPr>
          <w:sz w:val="20"/>
          <w:szCs w:val="20"/>
        </w:rPr>
        <w:t>ortization expense is recorded to cost of subscription revenue in the consolidated statements of operations</w:t>
      </w:r>
      <w:r>
        <w:rPr>
          <w:sz w:val="20"/>
          <w:szCs w:val="20"/>
        </w:rPr>
        <w:t>.</w:t>
      </w:r>
    </w:p>
    <w:p w:rsidR="00000000" w:rsidRDefault="00A309A2">
      <w:pPr>
        <w:pStyle w:val="a3"/>
        <w:spacing w:before="200" w:beforeAutospacing="0" w:after="0" w:afterAutospacing="0"/>
        <w:divId w:val="796217357"/>
        <w:rPr>
          <w:sz w:val="20"/>
          <w:szCs w:val="20"/>
        </w:rPr>
      </w:pPr>
      <w:r>
        <w:rPr>
          <w:b/>
          <w:bCs/>
          <w:sz w:val="20"/>
          <w:szCs w:val="20"/>
        </w:rPr>
        <w:t>8. Intangible Assets and Goodwil</w:t>
      </w:r>
      <w:r>
        <w:rPr>
          <w:b/>
          <w:bCs/>
          <w:sz w:val="20"/>
          <w:szCs w:val="20"/>
        </w:rPr>
        <w:t>l</w:t>
      </w:r>
    </w:p>
    <w:p w:rsidR="00000000" w:rsidRDefault="00A309A2">
      <w:pPr>
        <w:pStyle w:val="a3"/>
        <w:spacing w:before="200" w:beforeAutospacing="0" w:after="0" w:afterAutospacing="0"/>
        <w:ind w:firstLine="555"/>
        <w:divId w:val="796217357"/>
        <w:rPr>
          <w:sz w:val="20"/>
          <w:szCs w:val="20"/>
        </w:rPr>
      </w:pPr>
      <w:r>
        <w:rPr>
          <w:b/>
          <w:bCs/>
          <w:i/>
          <w:iCs/>
          <w:sz w:val="20"/>
          <w:szCs w:val="20"/>
        </w:rPr>
        <w:t>Intangible assets acquired through business combination</w:t>
      </w:r>
      <w:r>
        <w:rPr>
          <w:b/>
          <w:bCs/>
          <w:i/>
          <w:iCs/>
          <w:sz w:val="20"/>
          <w:szCs w:val="20"/>
        </w:rPr>
        <w:t>s</w:t>
      </w:r>
    </w:p>
    <w:p w:rsidR="00000000" w:rsidRDefault="00A309A2">
      <w:pPr>
        <w:pStyle w:val="a3"/>
        <w:spacing w:before="200" w:beforeAutospacing="0" w:after="0" w:afterAutospacing="0"/>
        <w:ind w:firstLine="555"/>
        <w:divId w:val="947278363"/>
        <w:rPr>
          <w:sz w:val="20"/>
          <w:szCs w:val="20"/>
        </w:rPr>
      </w:pPr>
      <w:r>
        <w:rPr>
          <w:sz w:val="20"/>
          <w:szCs w:val="20"/>
        </w:rPr>
        <w:t>Intangible assets as of December 31,</w:t>
      </w:r>
      <w:r>
        <w:rPr>
          <w:sz w:val="20"/>
          <w:szCs w:val="20"/>
        </w:rPr>
        <w:t xml:space="preserve"> </w:t>
      </w:r>
      <w:r>
        <w:rPr>
          <w:sz w:val="20"/>
          <w:szCs w:val="20"/>
        </w:rPr>
        <w:t>2021 and 2020 consist of the following:</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721"/>
        <w:gridCol w:w="110"/>
        <w:gridCol w:w="944"/>
        <w:gridCol w:w="110"/>
        <w:gridCol w:w="160"/>
        <w:gridCol w:w="615"/>
        <w:gridCol w:w="127"/>
        <w:gridCol w:w="110"/>
        <w:gridCol w:w="160"/>
        <w:gridCol w:w="615"/>
        <w:gridCol w:w="142"/>
      </w:tblGrid>
      <w:tr w:rsidR="00000000">
        <w:trPr>
          <w:divId w:val="947278363"/>
          <w:tblCellSpacing w:w="15" w:type="dxa"/>
        </w:trPr>
        <w:tc>
          <w:tcPr>
            <w:tcW w:w="2490" w:type="pct"/>
            <w:vAlign w:val="center"/>
            <w:hideMark/>
          </w:tcPr>
          <w:p w:rsidR="00000000" w:rsidRDefault="00A309A2">
            <w:pPr>
              <w:rPr>
                <w:sz w:val="20"/>
                <w:szCs w:val="20"/>
              </w:rPr>
            </w:pPr>
          </w:p>
        </w:tc>
        <w:tc>
          <w:tcPr>
            <w:tcW w:w="57" w:type="pct"/>
            <w:vAlign w:val="center"/>
            <w:hideMark/>
          </w:tcPr>
          <w:p w:rsidR="00000000" w:rsidRDefault="00A309A2">
            <w:pPr>
              <w:rPr>
                <w:rFonts w:eastAsia="Times New Roman"/>
                <w:sz w:val="20"/>
                <w:szCs w:val="20"/>
              </w:rPr>
            </w:pPr>
          </w:p>
        </w:tc>
        <w:tc>
          <w:tcPr>
            <w:tcW w:w="874"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97" w:type="pct"/>
            <w:vAlign w:val="center"/>
            <w:hideMark/>
          </w:tcPr>
          <w:p w:rsidR="00000000" w:rsidRDefault="00A309A2">
            <w:pPr>
              <w:rPr>
                <w:rFonts w:eastAsia="Times New Roman"/>
                <w:sz w:val="20"/>
                <w:szCs w:val="20"/>
              </w:rPr>
            </w:pPr>
          </w:p>
        </w:tc>
        <w:tc>
          <w:tcPr>
            <w:tcW w:w="573" w:type="pct"/>
            <w:vAlign w:val="center"/>
            <w:hideMark/>
          </w:tcPr>
          <w:p w:rsidR="00000000" w:rsidRDefault="00A309A2">
            <w:pPr>
              <w:rPr>
                <w:rFonts w:eastAsia="Times New Roman"/>
                <w:sz w:val="20"/>
                <w:szCs w:val="20"/>
              </w:rPr>
            </w:pPr>
          </w:p>
        </w:tc>
        <w:tc>
          <w:tcPr>
            <w:tcW w:w="65"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97" w:type="pct"/>
            <w:vAlign w:val="center"/>
            <w:hideMark/>
          </w:tcPr>
          <w:p w:rsidR="00000000" w:rsidRDefault="00A309A2">
            <w:pPr>
              <w:rPr>
                <w:rFonts w:eastAsia="Times New Roman"/>
                <w:sz w:val="20"/>
                <w:szCs w:val="20"/>
              </w:rPr>
            </w:pPr>
          </w:p>
        </w:tc>
        <w:tc>
          <w:tcPr>
            <w:tcW w:w="573" w:type="pct"/>
            <w:vAlign w:val="center"/>
            <w:hideMark/>
          </w:tcPr>
          <w:p w:rsidR="00000000" w:rsidRDefault="00A309A2">
            <w:pPr>
              <w:rPr>
                <w:rFonts w:eastAsia="Times New Roman"/>
                <w:sz w:val="20"/>
                <w:szCs w:val="20"/>
              </w:rPr>
            </w:pPr>
          </w:p>
        </w:tc>
        <w:tc>
          <w:tcPr>
            <w:tcW w:w="65" w:type="pct"/>
            <w:vAlign w:val="center"/>
            <w:hideMark/>
          </w:tcPr>
          <w:p w:rsidR="00000000" w:rsidRDefault="00A309A2">
            <w:pPr>
              <w:rPr>
                <w:rFonts w:eastAsia="Times New Roman"/>
                <w:sz w:val="20"/>
                <w:szCs w:val="20"/>
              </w:rPr>
            </w:pPr>
          </w:p>
        </w:tc>
      </w:tr>
      <w:tr w:rsidR="00000000">
        <w:trPr>
          <w:divId w:val="947278363"/>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Useful Lif</w:t>
            </w:r>
            <w:r>
              <w:rPr>
                <w:b/>
                <w:bCs/>
                <w:sz w:val="16"/>
                <w:szCs w:val="16"/>
              </w:rPr>
              <w:t>e</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47278363"/>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47278363"/>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4727836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Acquired technolog</w:t>
            </w:r>
            <w:r>
              <w:rPr>
                <w:sz w:val="20"/>
                <w:szCs w:val="20"/>
              </w:rPr>
              <w:t>y</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3</w:t>
            </w:r>
            <w:r>
              <w:rPr>
                <w:sz w:val="20"/>
                <w:szCs w:val="20"/>
              </w:rPr>
              <w:t>2</w:t>
            </w:r>
            <w:r>
              <w:rPr>
                <w:sz w:val="20"/>
                <w:szCs w:val="20"/>
              </w:rPr>
              <w:t> Month</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17,56</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18,38</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4727836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3</w:t>
            </w:r>
            <w:r>
              <w:rPr>
                <w:sz w:val="20"/>
                <w:szCs w:val="20"/>
              </w:rPr>
              <w:t>6</w:t>
            </w:r>
            <w:r>
              <w:rPr>
                <w:sz w:val="20"/>
                <w:szCs w:val="20"/>
              </w:rPr>
              <w:t> Month</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4727836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Trade nam</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2</w:t>
            </w:r>
            <w:r>
              <w:rPr>
                <w:sz w:val="20"/>
                <w:szCs w:val="20"/>
              </w:rPr>
              <w:t> Month</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4727836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9,47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8,17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947278363"/>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10,56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ind w:firstLine="555"/>
        <w:divId w:val="796217357"/>
        <w:rPr>
          <w:sz w:val="20"/>
          <w:szCs w:val="20"/>
        </w:rPr>
      </w:pPr>
      <w:r>
        <w:rPr>
          <w:sz w:val="20"/>
          <w:szCs w:val="20"/>
        </w:rPr>
        <w:t>The estimated useful life of acquired technology is</w:t>
      </w:r>
      <w:r>
        <w:rPr>
          <w:sz w:val="20"/>
          <w:szCs w:val="20"/>
        </w:rPr>
        <w:t xml:space="preserve"> </w:t>
      </w:r>
      <w:r>
        <w:rPr>
          <w:sz w:val="20"/>
          <w:szCs w:val="20"/>
        </w:rPr>
        <w:t>tw</w:t>
      </w:r>
      <w:r>
        <w:rPr>
          <w:sz w:val="20"/>
          <w:szCs w:val="20"/>
        </w:rPr>
        <w:t>o</w:t>
      </w:r>
      <w:r>
        <w:rPr>
          <w:sz w:val="20"/>
          <w:szCs w:val="20"/>
        </w:rPr>
        <w:t xml:space="preserve"> to</w:t>
      </w:r>
      <w:r>
        <w:rPr>
          <w:sz w:val="20"/>
          <w:szCs w:val="20"/>
        </w:rPr>
        <w:t xml:space="preserve"> </w:t>
      </w:r>
      <w:r>
        <w:rPr>
          <w:sz w:val="20"/>
          <w:szCs w:val="20"/>
        </w:rPr>
        <w:t>seven year</w:t>
      </w:r>
      <w:r>
        <w:rPr>
          <w:sz w:val="20"/>
          <w:szCs w:val="20"/>
        </w:rPr>
        <w:t>s</w:t>
      </w:r>
      <w:r>
        <w:rPr>
          <w:sz w:val="20"/>
          <w:szCs w:val="20"/>
        </w:rPr>
        <w:t xml:space="preserve"> and estimated useful life of customer relationships is</w:t>
      </w:r>
      <w:r>
        <w:rPr>
          <w:sz w:val="20"/>
          <w:szCs w:val="20"/>
        </w:rPr>
        <w:t xml:space="preserve"> </w:t>
      </w:r>
      <w:r>
        <w:rPr>
          <w:sz w:val="20"/>
          <w:szCs w:val="20"/>
        </w:rPr>
        <w:t>fou</w:t>
      </w:r>
      <w:r>
        <w:rPr>
          <w:sz w:val="20"/>
          <w:szCs w:val="20"/>
        </w:rPr>
        <w:t>r</w:t>
      </w:r>
      <w:r>
        <w:rPr>
          <w:sz w:val="20"/>
          <w:szCs w:val="20"/>
        </w:rPr>
        <w:t xml:space="preserve"> to</w:t>
      </w:r>
      <w:r>
        <w:rPr>
          <w:sz w:val="20"/>
          <w:szCs w:val="20"/>
        </w:rPr>
        <w:t xml:space="preserve"> </w:t>
      </w:r>
      <w:r>
        <w:rPr>
          <w:sz w:val="20"/>
          <w:szCs w:val="20"/>
        </w:rPr>
        <w:t>seven year</w:t>
      </w:r>
      <w:r>
        <w:rPr>
          <w:sz w:val="20"/>
          <w:szCs w:val="20"/>
        </w:rPr>
        <w:t>s</w:t>
      </w:r>
      <w:r>
        <w:rPr>
          <w:sz w:val="20"/>
          <w:szCs w:val="20"/>
        </w:rPr>
        <w:t>. The Company evaluates the useful lives of these assets on an annual basis and tests for impairment whenever events or changes in circumstances occur that could impact the recoverability of these assets</w:t>
      </w:r>
      <w:r>
        <w:rPr>
          <w:sz w:val="20"/>
          <w:szCs w:val="20"/>
        </w:rPr>
        <w:t>.</w:t>
      </w:r>
    </w:p>
    <w:p w:rsidR="00000000" w:rsidRDefault="00A309A2">
      <w:pPr>
        <w:pStyle w:val="a3"/>
        <w:spacing w:before="200" w:beforeAutospacing="0" w:after="0" w:afterAutospacing="0"/>
        <w:ind w:firstLine="555"/>
        <w:divId w:val="796217357"/>
        <w:rPr>
          <w:sz w:val="20"/>
          <w:szCs w:val="20"/>
        </w:rPr>
      </w:pPr>
      <w:r>
        <w:rPr>
          <w:sz w:val="20"/>
          <w:szCs w:val="20"/>
        </w:rPr>
        <w:t>Amortization expense related to intangible assets w</w:t>
      </w:r>
      <w:r>
        <w:rPr>
          <w:sz w:val="20"/>
          <w:szCs w:val="20"/>
        </w:rPr>
        <w:t>as</w:t>
      </w:r>
      <w:r>
        <w:rPr>
          <w:sz w:val="20"/>
          <w:szCs w:val="20"/>
        </w:rPr>
        <w:t xml:space="preserve"> </w:t>
      </w:r>
      <w:r>
        <w:rPr>
          <w:sz w:val="20"/>
          <w:szCs w:val="20"/>
        </w:rPr>
        <w:t>$</w:t>
      </w:r>
      <w:r>
        <w:rPr>
          <w:sz w:val="20"/>
          <w:szCs w:val="20"/>
        </w:rPr>
        <w:t>1.</w:t>
      </w:r>
      <w:r>
        <w:rPr>
          <w:sz w:val="20"/>
          <w:szCs w:val="20"/>
        </w:rPr>
        <w:t>3</w:t>
      </w:r>
      <w:r>
        <w:rPr>
          <w:sz w:val="20"/>
          <w:szCs w:val="20"/>
        </w:rPr>
        <w:t xml:space="preserve"> million in 2021,</w:t>
      </w:r>
      <w:r>
        <w:rPr>
          <w:sz w:val="20"/>
          <w:szCs w:val="20"/>
        </w:rPr>
        <w:t xml:space="preserve"> </w:t>
      </w:r>
      <w:r>
        <w:rPr>
          <w:sz w:val="20"/>
          <w:szCs w:val="20"/>
        </w:rPr>
        <w:t>$</w:t>
      </w:r>
      <w:r>
        <w:rPr>
          <w:sz w:val="20"/>
          <w:szCs w:val="20"/>
        </w:rPr>
        <w:t>2.</w:t>
      </w:r>
      <w:r>
        <w:rPr>
          <w:sz w:val="20"/>
          <w:szCs w:val="20"/>
        </w:rPr>
        <w:t>6</w:t>
      </w:r>
      <w:r>
        <w:rPr>
          <w:sz w:val="20"/>
          <w:szCs w:val="20"/>
        </w:rPr>
        <w:t xml:space="preserve"> million in 2020, and</w:t>
      </w:r>
      <w:r>
        <w:rPr>
          <w:sz w:val="20"/>
          <w:szCs w:val="20"/>
        </w:rPr>
        <w:t xml:space="preserve"> </w:t>
      </w:r>
      <w:r>
        <w:rPr>
          <w:sz w:val="20"/>
          <w:szCs w:val="20"/>
        </w:rPr>
        <w:t>$</w:t>
      </w:r>
      <w:r>
        <w:rPr>
          <w:sz w:val="20"/>
          <w:szCs w:val="20"/>
        </w:rPr>
        <w:t>3.</w:t>
      </w:r>
      <w:r>
        <w:rPr>
          <w:sz w:val="20"/>
          <w:szCs w:val="20"/>
        </w:rPr>
        <w:t>2</w:t>
      </w:r>
      <w:r>
        <w:rPr>
          <w:sz w:val="20"/>
          <w:szCs w:val="20"/>
        </w:rPr>
        <w:t xml:space="preserve"> million in 2019. Amortization expense of acquired technology is included in cost of subscription revenue and amortization expense of customer relationships is included in sales and marketing expense i</w:t>
      </w:r>
      <w:r>
        <w:rPr>
          <w:sz w:val="20"/>
          <w:szCs w:val="20"/>
        </w:rPr>
        <w:t>n the consolidated statements of operations</w:t>
      </w:r>
      <w:r>
        <w:rPr>
          <w:sz w:val="20"/>
          <w:szCs w:val="20"/>
        </w:rPr>
        <w:t>.</w:t>
      </w:r>
    </w:p>
    <w:p w:rsidR="00000000" w:rsidRDefault="00A309A2">
      <w:pPr>
        <w:pStyle w:val="a3"/>
        <w:spacing w:before="240" w:beforeAutospacing="0" w:after="0" w:afterAutospacing="0"/>
        <w:jc w:val="center"/>
        <w:divId w:val="796217357"/>
        <w:rPr>
          <w:sz w:val="20"/>
          <w:szCs w:val="20"/>
        </w:rPr>
      </w:pPr>
      <w:r>
        <w:rPr>
          <w:sz w:val="20"/>
          <w:szCs w:val="20"/>
        </w:rPr>
        <w:t>8</w:t>
      </w:r>
      <w:r>
        <w:rPr>
          <w:sz w:val="20"/>
          <w:szCs w:val="20"/>
        </w:rPr>
        <w:t>1</w:t>
      </w:r>
    </w:p>
    <w:p w:rsidR="00000000" w:rsidRDefault="00A309A2">
      <w:pPr>
        <w:divId w:val="796217357"/>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A309A2">
      <w:pPr>
        <w:pStyle w:val="a3"/>
        <w:spacing w:before="0" w:beforeAutospacing="0" w:after="0" w:afterAutospacing="0"/>
        <w:divId w:val="796217357"/>
        <w:rPr>
          <w:sz w:val="20"/>
          <w:szCs w:val="20"/>
        </w:rPr>
      </w:pPr>
      <w:r>
        <w:rPr>
          <w:sz w:val="20"/>
          <w:szCs w:val="20"/>
        </w:rPr>
        <w:t> </w:t>
      </w:r>
    </w:p>
    <w:p w:rsidR="00000000" w:rsidRDefault="00A309A2">
      <w:pPr>
        <w:pStyle w:val="a3"/>
        <w:spacing w:before="200" w:beforeAutospacing="0" w:after="0" w:afterAutospacing="0"/>
        <w:ind w:firstLine="555"/>
        <w:divId w:val="602540939"/>
        <w:rPr>
          <w:sz w:val="20"/>
          <w:szCs w:val="20"/>
        </w:rPr>
      </w:pPr>
      <w:r>
        <w:rPr>
          <w:sz w:val="20"/>
          <w:szCs w:val="20"/>
        </w:rPr>
        <w:t>Estimated future amortization expense for intangible assets as of December 31,</w:t>
      </w:r>
      <w:r>
        <w:rPr>
          <w:sz w:val="20"/>
          <w:szCs w:val="20"/>
        </w:rPr>
        <w:t xml:space="preserve"> </w:t>
      </w:r>
      <w:r>
        <w:rPr>
          <w:sz w:val="20"/>
          <w:szCs w:val="20"/>
        </w:rPr>
        <w:t>2021 is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134"/>
        <w:gridCol w:w="110"/>
        <w:gridCol w:w="161"/>
        <w:gridCol w:w="1284"/>
        <w:gridCol w:w="125"/>
      </w:tblGrid>
      <w:tr w:rsidR="00000000">
        <w:trPr>
          <w:divId w:val="602540939"/>
          <w:tblCellSpacing w:w="15" w:type="dxa"/>
        </w:trPr>
        <w:tc>
          <w:tcPr>
            <w:tcW w:w="3641" w:type="pct"/>
            <w:vAlign w:val="center"/>
            <w:hideMark/>
          </w:tcPr>
          <w:p w:rsidR="00000000" w:rsidRDefault="00A309A2">
            <w:pPr>
              <w:rPr>
                <w:sz w:val="20"/>
                <w:szCs w:val="20"/>
              </w:rPr>
            </w:pPr>
          </w:p>
        </w:tc>
        <w:tc>
          <w:tcPr>
            <w:tcW w:w="81"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1130" w:type="pct"/>
            <w:vAlign w:val="center"/>
            <w:hideMark/>
          </w:tcPr>
          <w:p w:rsidR="00000000" w:rsidRDefault="00A309A2">
            <w:pPr>
              <w:rPr>
                <w:rFonts w:eastAsia="Times New Roman"/>
                <w:sz w:val="20"/>
                <w:szCs w:val="20"/>
              </w:rPr>
            </w:pPr>
          </w:p>
        </w:tc>
        <w:tc>
          <w:tcPr>
            <w:tcW w:w="43" w:type="pct"/>
            <w:vAlign w:val="center"/>
            <w:hideMark/>
          </w:tcPr>
          <w:p w:rsidR="00000000" w:rsidRDefault="00A309A2">
            <w:pPr>
              <w:rPr>
                <w:rFonts w:eastAsia="Times New Roman"/>
                <w:sz w:val="20"/>
                <w:szCs w:val="20"/>
              </w:rPr>
            </w:pPr>
          </w:p>
        </w:tc>
      </w:tr>
      <w:tr w:rsidR="00000000">
        <w:trPr>
          <w:divId w:val="602540939"/>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b/>
                <w:bCs/>
                <w:sz w:val="16"/>
                <w:szCs w:val="16"/>
              </w:rPr>
              <w:t>Years ended</w:t>
            </w:r>
            <w:r>
              <w:rPr>
                <w:b/>
                <w:bCs/>
                <w:sz w:val="16"/>
                <w:szCs w:val="16"/>
              </w:rPr>
              <w:t xml:space="preserve"> </w:t>
            </w:r>
            <w:r>
              <w:rPr>
                <w:b/>
                <w:bCs/>
                <w:sz w:val="16"/>
                <w:szCs w:val="16"/>
                <w:u w:val="single"/>
              </w:rPr>
              <w:t>December 31</w:t>
            </w:r>
            <w:r>
              <w:rPr>
                <w:b/>
                <w:bCs/>
                <w:sz w:val="16"/>
                <w:szCs w:val="16"/>
                <w:u w:val="single"/>
              </w:rPr>
              <w:t>,</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Amortization</w:t>
            </w:r>
            <w:r>
              <w:rPr>
                <w:b/>
                <w:bCs/>
                <w:sz w:val="16"/>
                <w:szCs w:val="16"/>
              </w:rPr>
              <w:br/>
              <w:t>Expens</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602540939"/>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60254093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202</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0254093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202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0254093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202</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0254093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202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2,30</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0254093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202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0254093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Thereafte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34</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602540939"/>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10,56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ind w:firstLine="555"/>
        <w:divId w:val="796217357"/>
        <w:rPr>
          <w:sz w:val="20"/>
          <w:szCs w:val="20"/>
        </w:rPr>
      </w:pPr>
      <w:r>
        <w:rPr>
          <w:b/>
          <w:bCs/>
          <w:i/>
          <w:iCs/>
          <w:sz w:val="20"/>
          <w:szCs w:val="20"/>
        </w:rPr>
        <w:t>Goodwil</w:t>
      </w:r>
      <w:r>
        <w:rPr>
          <w:b/>
          <w:bCs/>
          <w:i/>
          <w:iCs/>
          <w:sz w:val="20"/>
          <w:szCs w:val="20"/>
        </w:rPr>
        <w:t>l</w:t>
      </w:r>
      <w:r>
        <w:rPr>
          <w:b/>
          <w:bCs/>
          <w:i/>
          <w:iCs/>
          <w:sz w:val="20"/>
          <w:szCs w:val="20"/>
        </w:rPr>
        <w:t xml:space="preserve"> </w:t>
      </w:r>
    </w:p>
    <w:p w:rsidR="00000000" w:rsidRDefault="00A309A2">
      <w:pPr>
        <w:pStyle w:val="a3"/>
        <w:spacing w:before="200" w:beforeAutospacing="0" w:after="0" w:afterAutospacing="0"/>
        <w:ind w:firstLine="555"/>
        <w:divId w:val="796217357"/>
        <w:rPr>
          <w:sz w:val="20"/>
          <w:szCs w:val="20"/>
        </w:rPr>
      </w:pPr>
      <w:r>
        <w:rPr>
          <w:sz w:val="20"/>
          <w:szCs w:val="20"/>
        </w:rPr>
        <w:t>Goodwill represents the excess of the purchase price in a business combination over the fair value of net assets acquired and is generally not deductible for tax purposes. Goodwill amounts are not amortized, but rather tested for impairment annually</w:t>
      </w:r>
      <w:r>
        <w:rPr>
          <w:sz w:val="20"/>
          <w:szCs w:val="20"/>
        </w:rPr>
        <w:t>.</w:t>
      </w:r>
      <w:r>
        <w:rPr>
          <w:sz w:val="20"/>
          <w:szCs w:val="20"/>
        </w:rPr>
        <w:t xml:space="preserve"> </w:t>
      </w:r>
    </w:p>
    <w:p w:rsidR="00000000" w:rsidRDefault="00A309A2">
      <w:pPr>
        <w:pStyle w:val="a3"/>
        <w:spacing w:before="200" w:beforeAutospacing="0" w:after="0" w:afterAutospacing="0"/>
        <w:ind w:firstLine="555"/>
        <w:divId w:val="150829319"/>
        <w:rPr>
          <w:sz w:val="20"/>
          <w:szCs w:val="20"/>
        </w:rPr>
      </w:pPr>
      <w:r>
        <w:rPr>
          <w:sz w:val="20"/>
          <w:szCs w:val="20"/>
        </w:rPr>
        <w:t xml:space="preserve">The </w:t>
      </w:r>
      <w:r>
        <w:rPr>
          <w:sz w:val="20"/>
          <w:szCs w:val="20"/>
        </w:rPr>
        <w:t>changes in the carrying amounts of goodwill consist of the following:</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088"/>
        <w:gridCol w:w="110"/>
        <w:gridCol w:w="161"/>
        <w:gridCol w:w="1313"/>
        <w:gridCol w:w="142"/>
      </w:tblGrid>
      <w:tr w:rsidR="00000000">
        <w:trPr>
          <w:divId w:val="150829319"/>
          <w:tblCellSpacing w:w="15" w:type="dxa"/>
        </w:trPr>
        <w:tc>
          <w:tcPr>
            <w:tcW w:w="3605" w:type="pct"/>
            <w:vAlign w:val="center"/>
            <w:hideMark/>
          </w:tcPr>
          <w:p w:rsidR="00000000" w:rsidRDefault="00A309A2">
            <w:pPr>
              <w:rPr>
                <w:sz w:val="20"/>
                <w:szCs w:val="20"/>
              </w:rPr>
            </w:pPr>
          </w:p>
        </w:tc>
        <w:tc>
          <w:tcPr>
            <w:tcW w:w="68"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1156" w:type="pct"/>
            <w:vAlign w:val="center"/>
            <w:hideMark/>
          </w:tcPr>
          <w:p w:rsidR="00000000" w:rsidRDefault="00A309A2">
            <w:pPr>
              <w:rPr>
                <w:rFonts w:eastAsia="Times New Roman"/>
                <w:sz w:val="20"/>
                <w:szCs w:val="20"/>
              </w:rPr>
            </w:pPr>
          </w:p>
        </w:tc>
        <w:tc>
          <w:tcPr>
            <w:tcW w:w="67" w:type="pct"/>
            <w:vAlign w:val="center"/>
            <w:hideMark/>
          </w:tcPr>
          <w:p w:rsidR="00000000" w:rsidRDefault="00A309A2">
            <w:pPr>
              <w:rPr>
                <w:rFonts w:eastAsia="Times New Roman"/>
                <w:sz w:val="20"/>
                <w:szCs w:val="20"/>
              </w:rPr>
            </w:pPr>
          </w:p>
        </w:tc>
      </w:tr>
      <w:tr w:rsidR="00000000">
        <w:trPr>
          <w:divId w:val="150829319"/>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082931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Balance as of December 31, 201</w:t>
            </w:r>
            <w:r>
              <w:rPr>
                <w:sz w:val="20"/>
                <w:szCs w:val="20"/>
              </w:rPr>
              <w:t>9</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30,25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0829319"/>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Effect of foreign currency translatio</w:t>
            </w:r>
            <w:r>
              <w:rPr>
                <w:sz w:val="20"/>
                <w:szCs w:val="20"/>
              </w:rPr>
              <w:t>n</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0829319"/>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Measurement period adjustment</w:t>
            </w:r>
            <w:r>
              <w:rPr>
                <w:sz w:val="20"/>
                <w:szCs w:val="20"/>
              </w:rPr>
              <w:t>s</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36</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15082931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Balance as of December 31, 202</w:t>
            </w:r>
            <w:r>
              <w:rPr>
                <w:sz w:val="20"/>
                <w:szCs w:val="20"/>
              </w:rPr>
              <w:t>0</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31,31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0829319"/>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The Hustle acquisitio</w:t>
            </w:r>
            <w:r>
              <w:rPr>
                <w:sz w:val="20"/>
                <w:szCs w:val="20"/>
              </w:rPr>
              <w:t>n</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16,98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0829319"/>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Effect of foreign currency translatio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1,23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15082931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Balance as of December 31,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47,07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00" w:beforeAutospacing="0" w:after="0" w:afterAutospacing="0"/>
        <w:rPr>
          <w:sz w:val="20"/>
          <w:szCs w:val="20"/>
        </w:rPr>
      </w:pPr>
      <w:r>
        <w:rPr>
          <w:sz w:val="18"/>
          <w:szCs w:val="18"/>
        </w:rPr>
        <w:t> </w:t>
      </w:r>
    </w:p>
    <w:p w:rsidR="00000000" w:rsidRDefault="00A309A2">
      <w:pPr>
        <w:pStyle w:val="a3"/>
        <w:spacing w:before="0" w:beforeAutospacing="0" w:after="0" w:afterAutospacing="0"/>
        <w:divId w:val="1861161000"/>
        <w:rPr>
          <w:sz w:val="20"/>
          <w:szCs w:val="20"/>
        </w:rPr>
      </w:pPr>
      <w:r>
        <w:rPr>
          <w:b/>
          <w:bCs/>
          <w:sz w:val="20"/>
          <w:szCs w:val="20"/>
        </w:rPr>
        <w:t>9. Convertible Senior Note</w:t>
      </w:r>
      <w:r>
        <w:rPr>
          <w:b/>
          <w:bCs/>
          <w:sz w:val="20"/>
          <w:szCs w:val="20"/>
        </w:rPr>
        <w:t>s</w:t>
      </w:r>
    </w:p>
    <w:p w:rsidR="00000000" w:rsidRDefault="00A309A2">
      <w:pPr>
        <w:pStyle w:val="a3"/>
        <w:spacing w:before="120" w:beforeAutospacing="0" w:after="0" w:afterAutospacing="0"/>
        <w:ind w:firstLine="555"/>
        <w:divId w:val="1861161000"/>
        <w:rPr>
          <w:sz w:val="20"/>
          <w:szCs w:val="20"/>
        </w:rPr>
      </w:pPr>
      <w:r>
        <w:rPr>
          <w:b/>
          <w:bCs/>
          <w:i/>
          <w:iCs/>
          <w:sz w:val="20"/>
          <w:szCs w:val="20"/>
        </w:rPr>
        <w:t>2025 Convertible Senior Notes and Capped Call Option</w:t>
      </w:r>
      <w:r>
        <w:rPr>
          <w:b/>
          <w:bCs/>
          <w:i/>
          <w:iCs/>
          <w:sz w:val="20"/>
          <w:szCs w:val="20"/>
        </w:rPr>
        <w:t>s</w:t>
      </w:r>
    </w:p>
    <w:p w:rsidR="00000000" w:rsidRDefault="00A309A2">
      <w:pPr>
        <w:pStyle w:val="a3"/>
        <w:spacing w:before="120" w:beforeAutospacing="0" w:after="0" w:afterAutospacing="0"/>
        <w:ind w:firstLine="555"/>
        <w:divId w:val="1861161000"/>
        <w:rPr>
          <w:sz w:val="20"/>
          <w:szCs w:val="20"/>
        </w:rPr>
      </w:pPr>
      <w:r>
        <w:rPr>
          <w:sz w:val="20"/>
          <w:szCs w:val="20"/>
        </w:rPr>
        <w:t xml:space="preserve">In June 2020, the Company issued </w:t>
      </w:r>
      <w:r>
        <w:rPr>
          <w:sz w:val="20"/>
          <w:szCs w:val="20"/>
        </w:rPr>
        <w:t>$</w:t>
      </w:r>
      <w:r>
        <w:rPr>
          <w:sz w:val="20"/>
          <w:szCs w:val="20"/>
        </w:rPr>
        <w:t>40</w:t>
      </w:r>
      <w:r>
        <w:rPr>
          <w:sz w:val="20"/>
          <w:szCs w:val="20"/>
        </w:rPr>
        <w:t>0</w:t>
      </w:r>
      <w:r>
        <w:rPr>
          <w:sz w:val="20"/>
          <w:szCs w:val="20"/>
        </w:rPr>
        <w:t xml:space="preserve"> million aggregate principal amount of</w:t>
      </w:r>
      <w:r>
        <w:rPr>
          <w:sz w:val="20"/>
          <w:szCs w:val="20"/>
        </w:rPr>
        <w:t xml:space="preserve"> </w:t>
      </w:r>
      <w:r>
        <w:rPr>
          <w:sz w:val="20"/>
          <w:szCs w:val="20"/>
        </w:rPr>
        <w:t>0.37</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5</w:t>
      </w:r>
      <w:r>
        <w:rPr>
          <w:sz w:val="20"/>
          <w:szCs w:val="20"/>
        </w:rPr>
        <w:t xml:space="preserve"> (the “2025 Notes”) in a private offering and an a</w:t>
      </w:r>
      <w:r>
        <w:rPr>
          <w:sz w:val="20"/>
          <w:szCs w:val="20"/>
        </w:rPr>
        <w:t xml:space="preserve">dditional </w:t>
      </w:r>
      <w:r>
        <w:rPr>
          <w:sz w:val="20"/>
          <w:szCs w:val="20"/>
        </w:rPr>
        <w:t>$</w:t>
      </w:r>
      <w:r>
        <w:rPr>
          <w:sz w:val="20"/>
          <w:szCs w:val="20"/>
        </w:rPr>
        <w:t>6</w:t>
      </w:r>
      <w:r>
        <w:rPr>
          <w:sz w:val="20"/>
          <w:szCs w:val="20"/>
        </w:rPr>
        <w:t>0</w:t>
      </w:r>
      <w:r>
        <w:rPr>
          <w:sz w:val="20"/>
          <w:szCs w:val="20"/>
        </w:rPr>
        <w:t xml:space="preserve"> million aggregate principal amount of the 2025 Notes pursuant to the exercise in full of the over-allotment options of the initial purchasers.</w:t>
      </w:r>
      <w:r>
        <w:rPr>
          <w:sz w:val="20"/>
          <w:szCs w:val="20"/>
        </w:rPr>
        <w:t xml:space="preserve"> </w:t>
      </w:r>
      <w:r>
        <w:rPr>
          <w:sz w:val="20"/>
          <w:szCs w:val="20"/>
        </w:rPr>
        <w:t>The interest rate is fixed at 0.375% per annum and is payable semi-annually in arrears on June 1 an</w:t>
      </w:r>
      <w:r>
        <w:rPr>
          <w:sz w:val="20"/>
          <w:szCs w:val="20"/>
        </w:rPr>
        <w:t>d December 1 of each year</w:t>
      </w:r>
      <w:r>
        <w:rPr>
          <w:sz w:val="20"/>
          <w:szCs w:val="20"/>
        </w:rPr>
        <w:t>.</w:t>
      </w:r>
      <w:r>
        <w:rPr>
          <w:sz w:val="20"/>
          <w:szCs w:val="20"/>
        </w:rPr>
        <w:t xml:space="preserve"> The total net proceeds from the debt offering, after deducting initial purchase discounts and debt issuance costs, were approximately </w:t>
      </w:r>
      <w:r>
        <w:rPr>
          <w:sz w:val="20"/>
          <w:szCs w:val="20"/>
        </w:rPr>
        <w:t>$</w:t>
      </w:r>
      <w:r>
        <w:rPr>
          <w:sz w:val="20"/>
          <w:szCs w:val="20"/>
        </w:rPr>
        <w:t>450.</w:t>
      </w:r>
      <w:r>
        <w:rPr>
          <w:sz w:val="20"/>
          <w:szCs w:val="20"/>
        </w:rPr>
        <w:t>1</w:t>
      </w:r>
      <w:r>
        <w:rPr>
          <w:sz w:val="20"/>
          <w:szCs w:val="20"/>
        </w:rPr>
        <w:t xml:space="preserve"> million</w:t>
      </w:r>
      <w:r>
        <w:rPr>
          <w:sz w:val="20"/>
          <w:szCs w:val="20"/>
        </w:rPr>
        <w:t>.</w:t>
      </w:r>
    </w:p>
    <w:p w:rsidR="00000000" w:rsidRDefault="00A309A2">
      <w:pPr>
        <w:pStyle w:val="a3"/>
        <w:spacing w:before="240" w:beforeAutospacing="0" w:after="0" w:afterAutospacing="0"/>
        <w:ind w:firstLine="555"/>
        <w:divId w:val="1861161000"/>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of principal amount of the 2025 Notes will initially be convertible</w:t>
      </w:r>
      <w:r>
        <w:rPr>
          <w:sz w:val="20"/>
          <w:szCs w:val="20"/>
        </w:rPr>
        <w:t xml:space="preserve"> into</w:t>
      </w:r>
      <w:r>
        <w:rPr>
          <w:sz w:val="20"/>
          <w:szCs w:val="20"/>
        </w:rPr>
        <w:t xml:space="preserve"> </w:t>
      </w:r>
      <w:r>
        <w:rPr>
          <w:sz w:val="20"/>
          <w:szCs w:val="20"/>
        </w:rPr>
        <w:t>3.539</w:t>
      </w:r>
      <w:r>
        <w:rPr>
          <w:sz w:val="20"/>
          <w:szCs w:val="20"/>
        </w:rPr>
        <w:t>6</w:t>
      </w:r>
      <w:r>
        <w:rPr>
          <w:sz w:val="20"/>
          <w:szCs w:val="20"/>
        </w:rPr>
        <w:t xml:space="preserve"> shares of the Company’s common stock (the “Conversion Option of the 2025 Notes”), which is equivalent to an initial conversion price of approximately </w:t>
      </w:r>
      <w:r>
        <w:rPr>
          <w:sz w:val="20"/>
          <w:szCs w:val="20"/>
        </w:rPr>
        <w:t>$</w:t>
      </w:r>
      <w:r>
        <w:rPr>
          <w:sz w:val="20"/>
          <w:szCs w:val="20"/>
        </w:rPr>
        <w:t>282.5</w:t>
      </w:r>
      <w:r>
        <w:rPr>
          <w:sz w:val="20"/>
          <w:szCs w:val="20"/>
        </w:rPr>
        <w:t>2</w:t>
      </w:r>
      <w:r>
        <w:rPr>
          <w:sz w:val="20"/>
          <w:szCs w:val="20"/>
        </w:rPr>
        <w:t xml:space="preserve"> per share, subject to adjustment upon the occurrence of certain specified events. On </w:t>
      </w:r>
      <w:r>
        <w:rPr>
          <w:sz w:val="20"/>
          <w:szCs w:val="20"/>
        </w:rPr>
        <w:t>or after March 1, 2025 until the close of business on the second scheduled trading day immediately preceding the maturity date, holders may convert their 2025 Notes at any time. The 2025 Notes will be convertible at the option of the holders prior to the c</w:t>
      </w:r>
      <w:r>
        <w:rPr>
          <w:sz w:val="20"/>
          <w:szCs w:val="20"/>
        </w:rPr>
        <w:t>lose of business on the business day immediately preceding March 1, 2025 under certain circumstances as described in the indenture governing the 2025 Notes (the “Indenture”). Upon conversion, the Company will pay or deliver, as the case may be, cash, share</w:t>
      </w:r>
      <w:r>
        <w:rPr>
          <w:sz w:val="20"/>
          <w:szCs w:val="20"/>
        </w:rPr>
        <w:t>s of the Company’s common stock or a combination of cash and shares of the Company’s common stock, at the Company’s election.</w:t>
      </w:r>
      <w:r>
        <w:rPr>
          <w:sz w:val="20"/>
          <w:szCs w:val="20"/>
        </w:rPr>
        <w:t xml:space="preserve"> </w:t>
      </w:r>
      <w:r>
        <w:rPr>
          <w:sz w:val="20"/>
          <w:szCs w:val="20"/>
        </w:rPr>
        <w:t>The Company expects to settle the principal amount of the 2025 Notes in cash.</w:t>
      </w:r>
      <w:r>
        <w:rPr>
          <w:sz w:val="20"/>
          <w:szCs w:val="20"/>
        </w:rPr>
        <w:t xml:space="preserve"> </w:t>
      </w:r>
      <w:r>
        <w:rPr>
          <w:sz w:val="20"/>
          <w:szCs w:val="20"/>
        </w:rPr>
        <w:t>Because the last reported sale price of the Company’</w:t>
      </w:r>
      <w:r>
        <w:rPr>
          <w:sz w:val="20"/>
          <w:szCs w:val="20"/>
        </w:rPr>
        <w:t>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w:t>
      </w:r>
      <w:r>
        <w:rPr>
          <w:sz w:val="20"/>
          <w:szCs w:val="20"/>
        </w:rPr>
        <w:t xml:space="preserve"> </w:t>
      </w:r>
      <w:r>
        <w:rPr>
          <w:sz w:val="20"/>
          <w:szCs w:val="20"/>
        </w:rPr>
        <w:t>December 31, 202</w:t>
      </w:r>
      <w:r>
        <w:rPr>
          <w:sz w:val="20"/>
          <w:szCs w:val="20"/>
        </w:rPr>
        <w:t>1</w:t>
      </w:r>
      <w:r>
        <w:rPr>
          <w:sz w:val="20"/>
          <w:szCs w:val="20"/>
        </w:rPr>
        <w:t xml:space="preserve"> was equal to or greater than</w:t>
      </w:r>
      <w:r>
        <w:rPr>
          <w:sz w:val="20"/>
          <w:szCs w:val="20"/>
        </w:rPr>
        <w:t xml:space="preserve"> </w:t>
      </w:r>
      <w:r>
        <w:rPr>
          <w:sz w:val="20"/>
          <w:szCs w:val="20"/>
        </w:rPr>
        <w:t>13</w:t>
      </w:r>
      <w:r>
        <w:rPr>
          <w:sz w:val="20"/>
          <w:szCs w:val="20"/>
        </w:rPr>
        <w:t>0</w:t>
      </w:r>
      <w:r>
        <w:rPr>
          <w:sz w:val="20"/>
          <w:szCs w:val="20"/>
        </w:rPr>
        <w:t>% of the applicable conversion price on each applica</w:t>
      </w:r>
      <w:r>
        <w:rPr>
          <w:sz w:val="20"/>
          <w:szCs w:val="20"/>
        </w:rPr>
        <w:t>ble trading day, the 2025 Notes are convertible at the option of the holders thereof during the calendar quarter ending March 31, 2022.</w:t>
      </w:r>
      <w:r>
        <w:rPr>
          <w:sz w:val="20"/>
          <w:szCs w:val="20"/>
        </w:rPr>
        <w:t xml:space="preserve"> </w:t>
      </w:r>
      <w:r>
        <w:rPr>
          <w:sz w:val="20"/>
          <w:szCs w:val="20"/>
        </w:rPr>
        <w:t xml:space="preserve">Between the end of the most recently completed fiscal quarter and February 11, 2022, the Company settled </w:t>
      </w:r>
      <w:r>
        <w:rPr>
          <w:sz w:val="20"/>
          <w:szCs w:val="20"/>
        </w:rPr>
        <w:t>$</w:t>
      </w:r>
      <w:r>
        <w:rPr>
          <w:sz w:val="20"/>
          <w:szCs w:val="20"/>
        </w:rPr>
        <w:t>0.</w:t>
      </w:r>
      <w:r>
        <w:rPr>
          <w:sz w:val="20"/>
          <w:szCs w:val="20"/>
        </w:rPr>
        <w:t>9</w:t>
      </w:r>
      <w:r>
        <w:rPr>
          <w:sz w:val="20"/>
          <w:szCs w:val="20"/>
        </w:rPr>
        <w:t xml:space="preserve"> million of</w:t>
      </w:r>
      <w:r>
        <w:rPr>
          <w:sz w:val="20"/>
          <w:szCs w:val="20"/>
        </w:rPr>
        <w:t xml:space="preserve"> principal balance of the 2025 Notes in cash in response to conversion notices received prior to December 31, 2021. As of February 11, 2</w:t>
      </w:r>
      <w:r>
        <w:rPr>
          <w:sz w:val="20"/>
          <w:szCs w:val="20"/>
        </w:rPr>
        <w:t>0</w:t>
      </w:r>
      <w:r>
        <w:rPr>
          <w:sz w:val="20"/>
          <w:szCs w:val="20"/>
        </w:rPr>
        <w:t>22, the Company has</w:t>
      </w:r>
      <w:r>
        <w:rPr>
          <w:sz w:val="20"/>
          <w:szCs w:val="20"/>
        </w:rPr>
        <w:t xml:space="preserve"> </w:t>
      </w:r>
      <w:r>
        <w:rPr>
          <w:sz w:val="20"/>
          <w:szCs w:val="20"/>
        </w:rPr>
        <w:t>n</w:t>
      </w:r>
      <w:r>
        <w:rPr>
          <w:sz w:val="20"/>
          <w:szCs w:val="20"/>
        </w:rPr>
        <w:t>o</w:t>
      </w:r>
      <w:r>
        <w:rPr>
          <w:sz w:val="20"/>
          <w:szCs w:val="20"/>
        </w:rPr>
        <w:t>t received additional conversion notices</w:t>
      </w:r>
      <w:r>
        <w:rPr>
          <w:sz w:val="20"/>
          <w:szCs w:val="20"/>
        </w:rPr>
        <w:t>.</w:t>
      </w:r>
      <w:r>
        <w:rPr>
          <w:sz w:val="20"/>
          <w:szCs w:val="20"/>
        </w:rPr>
        <w:t xml:space="preserve"> </w:t>
      </w:r>
    </w:p>
    <w:p w:rsidR="00000000" w:rsidRDefault="00A309A2">
      <w:pPr>
        <w:pStyle w:val="a3"/>
        <w:spacing w:before="240" w:beforeAutospacing="0" w:after="0" w:afterAutospacing="0"/>
        <w:ind w:firstLine="555"/>
        <w:divId w:val="1861161000"/>
        <w:rPr>
          <w:sz w:val="20"/>
          <w:szCs w:val="20"/>
        </w:rPr>
      </w:pPr>
      <w:r>
        <w:rPr>
          <w:sz w:val="20"/>
          <w:szCs w:val="20"/>
        </w:rPr>
        <w:t>The 2025 Notes are classified as long-term debt, excep</w:t>
      </w:r>
      <w:r>
        <w:rPr>
          <w:sz w:val="20"/>
          <w:szCs w:val="20"/>
        </w:rPr>
        <w:t xml:space="preserve">t for </w:t>
      </w:r>
      <w:r>
        <w:rPr>
          <w:sz w:val="20"/>
          <w:szCs w:val="20"/>
        </w:rPr>
        <w:t>$</w:t>
      </w:r>
      <w:r>
        <w:rPr>
          <w:sz w:val="20"/>
          <w:szCs w:val="20"/>
        </w:rPr>
        <w:t>0.</w:t>
      </w:r>
      <w:r>
        <w:rPr>
          <w:sz w:val="20"/>
          <w:szCs w:val="20"/>
        </w:rPr>
        <w:t>7</w:t>
      </w:r>
      <w:r>
        <w:rPr>
          <w:sz w:val="20"/>
          <w:szCs w:val="20"/>
        </w:rPr>
        <w:t xml:space="preserve"> million classified as current as of</w:t>
      </w:r>
      <w:r>
        <w:rPr>
          <w:sz w:val="20"/>
          <w:szCs w:val="20"/>
        </w:rPr>
        <w:t xml:space="preserve"> </w:t>
      </w:r>
      <w:r>
        <w:rPr>
          <w:sz w:val="20"/>
          <w:szCs w:val="20"/>
        </w:rPr>
        <w:t>December 31, 2021 for conversion notices received prior to year-end, for which the principal amount is expected to be cash-settled during the quarter ended March 31, 2022. The equity component of the 2025 Note</w:t>
      </w:r>
      <w:r>
        <w:rPr>
          <w:sz w:val="20"/>
          <w:szCs w:val="20"/>
        </w:rPr>
        <w:t xml:space="preserve">s is classified as additional paid-in capital as the Company has the option to settle the principal amount in shares and the maturity date of the 2025 Notes is more than 12 months away. However, it is the Company’s intent to settle the principal amount of </w:t>
      </w:r>
      <w:r>
        <w:rPr>
          <w:sz w:val="20"/>
          <w:szCs w:val="20"/>
        </w:rPr>
        <w:t>the 2025 Notes in cash</w:t>
      </w:r>
      <w:r>
        <w:rPr>
          <w:sz w:val="20"/>
          <w:szCs w:val="20"/>
        </w:rPr>
        <w:t>.</w:t>
      </w:r>
    </w:p>
    <w:p w:rsidR="00000000" w:rsidRDefault="00A309A2">
      <w:pPr>
        <w:pStyle w:val="a3"/>
        <w:spacing w:before="240" w:beforeAutospacing="0" w:after="0" w:afterAutospacing="0"/>
        <w:jc w:val="center"/>
        <w:divId w:val="1861161000"/>
        <w:rPr>
          <w:sz w:val="20"/>
          <w:szCs w:val="20"/>
        </w:rPr>
      </w:pPr>
      <w:r>
        <w:rPr>
          <w:sz w:val="20"/>
          <w:szCs w:val="20"/>
        </w:rPr>
        <w:t>8</w:t>
      </w:r>
      <w:r>
        <w:rPr>
          <w:sz w:val="20"/>
          <w:szCs w:val="20"/>
        </w:rPr>
        <w:t>2</w:t>
      </w:r>
    </w:p>
    <w:p w:rsidR="00000000" w:rsidRDefault="00A309A2">
      <w:pPr>
        <w:divId w:val="1861161000"/>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A309A2">
      <w:pPr>
        <w:pStyle w:val="a3"/>
        <w:spacing w:before="0" w:beforeAutospacing="0" w:after="0" w:afterAutospacing="0"/>
        <w:divId w:val="1861161000"/>
        <w:rPr>
          <w:sz w:val="20"/>
          <w:szCs w:val="20"/>
        </w:rPr>
      </w:pPr>
      <w:r>
        <w:rPr>
          <w:sz w:val="20"/>
          <w:szCs w:val="20"/>
        </w:rPr>
        <w:t> </w:t>
      </w:r>
    </w:p>
    <w:p w:rsidR="00000000" w:rsidRDefault="00A309A2">
      <w:pPr>
        <w:pStyle w:val="a3"/>
        <w:spacing w:before="240" w:beforeAutospacing="0" w:after="0" w:afterAutospacing="0"/>
        <w:ind w:firstLine="555"/>
        <w:divId w:val="1861161000"/>
        <w:rPr>
          <w:sz w:val="20"/>
          <w:szCs w:val="20"/>
        </w:rPr>
      </w:pPr>
      <w:r>
        <w:rPr>
          <w:sz w:val="20"/>
          <w:szCs w:val="20"/>
        </w:rPr>
        <w:t xml:space="preserve">In accounting for the issuance of the 2025 Notes, the Company separated the 2025 Notes into liability and equity components. The carrying amount of the liability component was calculated by measuring the fair value of </w:t>
      </w:r>
      <w:r>
        <w:rPr>
          <w:sz w:val="20"/>
          <w:szCs w:val="20"/>
        </w:rPr>
        <w:t xml:space="preserve">a similar debt instrument that does not have an associated convertible feature. The carrying amount of the equity component representing the Conversion Option was </w:t>
      </w:r>
      <w:r>
        <w:rPr>
          <w:sz w:val="20"/>
          <w:szCs w:val="20"/>
        </w:rPr>
        <w:t>$</w:t>
      </w:r>
      <w:r>
        <w:rPr>
          <w:sz w:val="20"/>
          <w:szCs w:val="20"/>
        </w:rPr>
        <w:t>98.</w:t>
      </w:r>
      <w:r>
        <w:rPr>
          <w:sz w:val="20"/>
          <w:szCs w:val="20"/>
        </w:rPr>
        <w:t>7</w:t>
      </w:r>
      <w:r>
        <w:rPr>
          <w:sz w:val="20"/>
          <w:szCs w:val="20"/>
        </w:rPr>
        <w:t xml:space="preserve"> million and was determined by deducting the fair value of the liability component from </w:t>
      </w:r>
      <w:r>
        <w:rPr>
          <w:sz w:val="20"/>
          <w:szCs w:val="20"/>
        </w:rPr>
        <w:t>the par value of the 2025 Notes. The equity component is recorded in additional paid-in capital in the consolidated balance sheets and is not remeasured as long as it continues to meet the conditions for equity classification. The excess of the principal a</w:t>
      </w:r>
      <w:r>
        <w:rPr>
          <w:sz w:val="20"/>
          <w:szCs w:val="20"/>
        </w:rPr>
        <w:t>mount of the liability component over its carrying amount (the "Debt Discount") is amortized to interest expense at an effective interest rate of</w:t>
      </w:r>
      <w:r>
        <w:rPr>
          <w:sz w:val="20"/>
          <w:szCs w:val="20"/>
        </w:rPr>
        <w:t xml:space="preserve"> </w:t>
      </w:r>
      <w:r>
        <w:rPr>
          <w:sz w:val="20"/>
          <w:szCs w:val="20"/>
        </w:rPr>
        <w:t>5.7</w:t>
      </w:r>
      <w:r>
        <w:rPr>
          <w:sz w:val="20"/>
          <w:szCs w:val="20"/>
        </w:rPr>
        <w:t>1</w:t>
      </w:r>
      <w:r>
        <w:rPr>
          <w:sz w:val="20"/>
          <w:szCs w:val="20"/>
        </w:rPr>
        <w:t>% over the contractual term of the 2025 Notes</w:t>
      </w:r>
      <w:r>
        <w:rPr>
          <w:sz w:val="20"/>
          <w:szCs w:val="20"/>
        </w:rPr>
        <w:t>.</w:t>
      </w:r>
    </w:p>
    <w:p w:rsidR="00000000" w:rsidRDefault="00A309A2">
      <w:pPr>
        <w:pStyle w:val="a3"/>
        <w:spacing w:before="240" w:beforeAutospacing="0" w:after="0" w:afterAutospacing="0"/>
        <w:ind w:firstLine="555"/>
        <w:divId w:val="1861161000"/>
        <w:rPr>
          <w:sz w:val="20"/>
          <w:szCs w:val="20"/>
        </w:rPr>
      </w:pPr>
      <w:r>
        <w:rPr>
          <w:sz w:val="20"/>
          <w:szCs w:val="20"/>
        </w:rPr>
        <w:t xml:space="preserve">In accounting for the debt issuance costs of </w:t>
      </w:r>
      <w:r>
        <w:rPr>
          <w:sz w:val="20"/>
          <w:szCs w:val="20"/>
        </w:rPr>
        <w:t>$</w:t>
      </w:r>
      <w:r>
        <w:rPr>
          <w:sz w:val="20"/>
          <w:szCs w:val="20"/>
        </w:rPr>
        <w:t>9.</w:t>
      </w:r>
      <w:r>
        <w:rPr>
          <w:sz w:val="20"/>
          <w:szCs w:val="20"/>
        </w:rPr>
        <w:t>9</w:t>
      </w:r>
      <w:r>
        <w:rPr>
          <w:sz w:val="20"/>
          <w:szCs w:val="20"/>
        </w:rPr>
        <w:t xml:space="preserve"> million r</w:t>
      </w:r>
      <w:r>
        <w:rPr>
          <w:sz w:val="20"/>
          <w:szCs w:val="20"/>
        </w:rPr>
        <w:t xml:space="preserve">elated to the 2025 Notes, the Company allocated the total amount incurred to the liability and equity components of the 2025 Notes based on their relative values. Issuance costs attributable to the liability component were </w:t>
      </w:r>
      <w:r>
        <w:rPr>
          <w:sz w:val="20"/>
          <w:szCs w:val="20"/>
        </w:rPr>
        <w:t>$</w:t>
      </w:r>
      <w:r>
        <w:rPr>
          <w:sz w:val="20"/>
          <w:szCs w:val="20"/>
        </w:rPr>
        <w:t>7.</w:t>
      </w:r>
      <w:r>
        <w:rPr>
          <w:sz w:val="20"/>
          <w:szCs w:val="20"/>
        </w:rPr>
        <w:t>8</w:t>
      </w:r>
      <w:r>
        <w:rPr>
          <w:sz w:val="20"/>
          <w:szCs w:val="20"/>
        </w:rPr>
        <w:t xml:space="preserve"> million and will be amortize</w:t>
      </w:r>
      <w:r>
        <w:rPr>
          <w:sz w:val="20"/>
          <w:szCs w:val="20"/>
        </w:rPr>
        <w:t xml:space="preserve">d to interest expense using the effective interest method over the contractual terms of the 2025 Notes. Issuance costs attributable to the equity component were </w:t>
      </w:r>
      <w:r>
        <w:rPr>
          <w:sz w:val="20"/>
          <w:szCs w:val="20"/>
        </w:rPr>
        <w:t>$</w:t>
      </w:r>
      <w:r>
        <w:rPr>
          <w:sz w:val="20"/>
          <w:szCs w:val="20"/>
        </w:rPr>
        <w:t>2.</w:t>
      </w:r>
      <w:r>
        <w:rPr>
          <w:sz w:val="20"/>
          <w:szCs w:val="20"/>
        </w:rPr>
        <w:t>1</w:t>
      </w:r>
      <w:r>
        <w:rPr>
          <w:sz w:val="20"/>
          <w:szCs w:val="20"/>
        </w:rPr>
        <w:t xml:space="preserve"> million and are netted with the equity component of the 2025 Notes in stockholders’ equity</w:t>
      </w:r>
      <w:r>
        <w:rPr>
          <w:sz w:val="20"/>
          <w:szCs w:val="20"/>
        </w:rPr>
        <w:t>.</w:t>
      </w:r>
    </w:p>
    <w:p w:rsidR="00000000" w:rsidRDefault="00A309A2">
      <w:pPr>
        <w:pStyle w:val="a3"/>
        <w:spacing w:before="240" w:beforeAutospacing="0" w:after="0" w:afterAutospacing="0"/>
        <w:ind w:firstLine="555"/>
        <w:divId w:val="1861161000"/>
        <w:rPr>
          <w:sz w:val="20"/>
          <w:szCs w:val="20"/>
        </w:rPr>
      </w:pPr>
      <w:r>
        <w:rPr>
          <w:sz w:val="20"/>
          <w:szCs w:val="20"/>
        </w:rPr>
        <w:t>The difference in the book and tax allocation between the liability and equity components of the 2025 Notes resulted in a difference between the carrying amount and tax basis of the 2025 Notes. This taxable temporary difference resulted in the Company re</w:t>
      </w:r>
      <w:r>
        <w:rPr>
          <w:sz w:val="20"/>
          <w:szCs w:val="20"/>
        </w:rPr>
        <w:t>cognizing a deferred tax liability and a corresponding reduction in the Company's valuation allowance on its US deferred tax assets, resulting in no net deferred tax impact</w:t>
      </w:r>
      <w:r>
        <w:rPr>
          <w:sz w:val="20"/>
          <w:szCs w:val="20"/>
        </w:rPr>
        <w:t>.</w:t>
      </w:r>
    </w:p>
    <w:p w:rsidR="00000000" w:rsidRDefault="00A309A2">
      <w:pPr>
        <w:pStyle w:val="a3"/>
        <w:spacing w:before="240" w:beforeAutospacing="0" w:after="0" w:afterAutospacing="0"/>
        <w:ind w:firstLine="555"/>
        <w:divId w:val="729689517"/>
        <w:rPr>
          <w:sz w:val="20"/>
          <w:szCs w:val="20"/>
        </w:rPr>
      </w:pPr>
      <w:r>
        <w:rPr>
          <w:sz w:val="20"/>
          <w:szCs w:val="20"/>
        </w:rPr>
        <w:t>The net carrying amount of the liability component of the 2025 Notes is as follows</w:t>
      </w:r>
      <w:r>
        <w:rPr>
          <w:sz w:val="20"/>
          <w:szCs w:val="20"/>
        </w:rPr>
        <w:t>:</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68"/>
        <w:gridCol w:w="113"/>
        <w:gridCol w:w="160"/>
        <w:gridCol w:w="1118"/>
        <w:gridCol w:w="127"/>
        <w:gridCol w:w="114"/>
        <w:gridCol w:w="160"/>
        <w:gridCol w:w="1143"/>
        <w:gridCol w:w="142"/>
      </w:tblGrid>
      <w:tr w:rsidR="00000000">
        <w:trPr>
          <w:divId w:val="729689517"/>
          <w:tblCellSpacing w:w="15" w:type="dxa"/>
        </w:trPr>
        <w:tc>
          <w:tcPr>
            <w:tcW w:w="2790" w:type="pct"/>
            <w:vAlign w:val="center"/>
            <w:hideMark/>
          </w:tcPr>
          <w:p w:rsidR="00000000" w:rsidRDefault="00A309A2">
            <w:pPr>
              <w:rPr>
                <w:sz w:val="20"/>
                <w:szCs w:val="20"/>
              </w:rPr>
            </w:pPr>
          </w:p>
        </w:tc>
        <w:tc>
          <w:tcPr>
            <w:tcW w:w="82"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872"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892"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r>
      <w:tr w:rsidR="00000000">
        <w:trPr>
          <w:divId w:val="72968951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2968951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2968951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Principa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459,99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460,00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2968951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Unamortized debt discoun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70,59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88,75</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2968951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Unamortized issuance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5,54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29689517"/>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Net carrying amoun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383,86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364,27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40" w:beforeAutospacing="0" w:after="0" w:afterAutospacing="0"/>
        <w:ind w:firstLine="555"/>
        <w:divId w:val="729689517"/>
        <w:rPr>
          <w:sz w:val="20"/>
          <w:szCs w:val="20"/>
        </w:rPr>
      </w:pPr>
      <w:r>
        <w:rPr>
          <w:sz w:val="20"/>
          <w:szCs w:val="20"/>
        </w:rPr>
        <w:t> </w:t>
      </w:r>
    </w:p>
    <w:p w:rsidR="00000000" w:rsidRDefault="00A309A2">
      <w:pPr>
        <w:pStyle w:val="a3"/>
        <w:spacing w:before="40" w:beforeAutospacing="0" w:after="0" w:afterAutospacing="0"/>
        <w:ind w:firstLine="555"/>
        <w:divId w:val="369578042"/>
        <w:rPr>
          <w:sz w:val="20"/>
          <w:szCs w:val="20"/>
        </w:rPr>
      </w:pPr>
      <w:r>
        <w:rPr>
          <w:sz w:val="20"/>
          <w:szCs w:val="20"/>
        </w:rPr>
        <w:t>The net carrying amount of the equity component of the 2025 Notes is as follows</w:t>
      </w:r>
      <w:r>
        <w:rPr>
          <w:sz w:val="20"/>
          <w:szCs w:val="20"/>
        </w:rPr>
        <w:t>:</w:t>
      </w:r>
    </w:p>
    <w:p w:rsidR="00000000" w:rsidRDefault="00A309A2">
      <w:pPr>
        <w:pStyle w:val="a3"/>
        <w:spacing w:before="0" w:beforeAutospacing="0" w:after="0" w:afterAutospacing="0"/>
        <w:ind w:firstLine="555"/>
        <w:divId w:val="369578042"/>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76"/>
        <w:gridCol w:w="115"/>
        <w:gridCol w:w="160"/>
        <w:gridCol w:w="1111"/>
        <w:gridCol w:w="127"/>
        <w:gridCol w:w="115"/>
        <w:gridCol w:w="160"/>
        <w:gridCol w:w="1139"/>
        <w:gridCol w:w="142"/>
      </w:tblGrid>
      <w:tr w:rsidR="00000000">
        <w:trPr>
          <w:divId w:val="369578042"/>
          <w:tblCellSpacing w:w="15" w:type="dxa"/>
        </w:trPr>
        <w:tc>
          <w:tcPr>
            <w:tcW w:w="2796" w:type="pct"/>
            <w:vAlign w:val="center"/>
            <w:hideMark/>
          </w:tcPr>
          <w:p w:rsidR="00000000" w:rsidRDefault="00A309A2">
            <w:pPr>
              <w:rPr>
                <w:sz w:val="20"/>
                <w:szCs w:val="20"/>
              </w:rPr>
            </w:pPr>
          </w:p>
        </w:tc>
        <w:tc>
          <w:tcPr>
            <w:tcW w:w="83"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867"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888"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r>
      <w:tr w:rsidR="00000000">
        <w:trPr>
          <w:divId w:val="36957804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6957804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6957804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Debt discount for conversion optio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98,73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98,73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6957804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Issuance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2,12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2,12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369578042"/>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Net carrying amoun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96,61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40" w:beforeAutospacing="0" w:after="0" w:afterAutospacing="0"/>
        <w:ind w:firstLine="555"/>
        <w:divId w:val="369578042"/>
        <w:rPr>
          <w:sz w:val="20"/>
          <w:szCs w:val="20"/>
        </w:rPr>
      </w:pPr>
      <w:r>
        <w:rPr>
          <w:sz w:val="20"/>
          <w:szCs w:val="20"/>
        </w:rPr>
        <w:t> </w:t>
      </w:r>
    </w:p>
    <w:p w:rsidR="00000000" w:rsidRDefault="00A309A2">
      <w:pPr>
        <w:pStyle w:val="a3"/>
        <w:spacing w:before="40" w:beforeAutospacing="0" w:after="0" w:afterAutospacing="0"/>
        <w:ind w:firstLine="555"/>
        <w:divId w:val="1210647302"/>
        <w:rPr>
          <w:sz w:val="20"/>
          <w:szCs w:val="20"/>
        </w:rPr>
      </w:pPr>
      <w:r>
        <w:rPr>
          <w:sz w:val="20"/>
          <w:szCs w:val="20"/>
        </w:rPr>
        <w:t>Interest expense related to the 2025 Notes is as follows</w:t>
      </w:r>
      <w:r>
        <w:rPr>
          <w:sz w:val="20"/>
          <w:szCs w:val="20"/>
        </w:rPr>
        <w:t>:</w:t>
      </w:r>
    </w:p>
    <w:p w:rsidR="00000000" w:rsidRDefault="00A309A2">
      <w:pPr>
        <w:pStyle w:val="a3"/>
        <w:spacing w:before="0" w:beforeAutospacing="0" w:after="0" w:afterAutospacing="0"/>
        <w:ind w:firstLine="555"/>
        <w:divId w:val="1210647302"/>
        <w:rPr>
          <w:sz w:val="20"/>
          <w:szCs w:val="20"/>
        </w:rPr>
      </w:pPr>
      <w: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67"/>
        <w:gridCol w:w="110"/>
        <w:gridCol w:w="160"/>
        <w:gridCol w:w="892"/>
        <w:gridCol w:w="110"/>
        <w:gridCol w:w="110"/>
        <w:gridCol w:w="160"/>
        <w:gridCol w:w="914"/>
        <w:gridCol w:w="110"/>
        <w:gridCol w:w="110"/>
        <w:gridCol w:w="160"/>
        <w:gridCol w:w="717"/>
        <w:gridCol w:w="125"/>
      </w:tblGrid>
      <w:tr w:rsidR="00000000">
        <w:trPr>
          <w:divId w:val="1210647302"/>
          <w:tblCellSpacing w:w="15" w:type="dxa"/>
        </w:trPr>
        <w:tc>
          <w:tcPr>
            <w:tcW w:w="2366" w:type="pct"/>
            <w:vAlign w:val="center"/>
            <w:hideMark/>
          </w:tcPr>
          <w:p w:rsidR="00000000" w:rsidRDefault="00A309A2">
            <w:pPr>
              <w:rPr>
                <w:sz w:val="20"/>
                <w:szCs w:val="20"/>
              </w:rPr>
            </w:pPr>
          </w:p>
        </w:tc>
        <w:tc>
          <w:tcPr>
            <w:tcW w:w="70"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728" w:type="pct"/>
            <w:vAlign w:val="center"/>
            <w:hideMark/>
          </w:tcPr>
          <w:p w:rsidR="00000000" w:rsidRDefault="00A309A2">
            <w:pPr>
              <w:rPr>
                <w:rFonts w:eastAsia="Times New Roman"/>
                <w:sz w:val="20"/>
                <w:szCs w:val="20"/>
              </w:rPr>
            </w:pPr>
          </w:p>
        </w:tc>
        <w:tc>
          <w:tcPr>
            <w:tcW w:w="36"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745" w:type="pct"/>
            <w:vAlign w:val="center"/>
            <w:hideMark/>
          </w:tcPr>
          <w:p w:rsidR="00000000" w:rsidRDefault="00A309A2">
            <w:pPr>
              <w:rPr>
                <w:rFonts w:eastAsia="Times New Roman"/>
                <w:sz w:val="20"/>
                <w:szCs w:val="20"/>
              </w:rPr>
            </w:pPr>
          </w:p>
        </w:tc>
        <w:tc>
          <w:tcPr>
            <w:tcW w:w="36"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587" w:type="pct"/>
            <w:vAlign w:val="center"/>
            <w:hideMark/>
          </w:tcPr>
          <w:p w:rsidR="00000000" w:rsidRDefault="00A309A2">
            <w:pPr>
              <w:rPr>
                <w:rFonts w:eastAsia="Times New Roman"/>
                <w:sz w:val="20"/>
                <w:szCs w:val="20"/>
              </w:rPr>
            </w:pPr>
          </w:p>
        </w:tc>
        <w:tc>
          <w:tcPr>
            <w:tcW w:w="36" w:type="pct"/>
            <w:vAlign w:val="center"/>
            <w:hideMark/>
          </w:tcPr>
          <w:p w:rsidR="00000000" w:rsidRDefault="00A309A2">
            <w:pPr>
              <w:rPr>
                <w:rFonts w:eastAsia="Times New Roman"/>
                <w:sz w:val="20"/>
                <w:szCs w:val="20"/>
              </w:rPr>
            </w:pPr>
          </w:p>
        </w:tc>
      </w:tr>
      <w:tr w:rsidR="00000000">
        <w:trPr>
          <w:divId w:val="121064730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21064730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21064730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2106473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2106473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18,17</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9,97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2106473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1,42</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210647302"/>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Total 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21,32</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11,74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40" w:beforeAutospacing="0" w:after="0" w:afterAutospacing="0"/>
        <w:ind w:firstLine="555"/>
        <w:divId w:val="1210647302"/>
        <w:rPr>
          <w:sz w:val="20"/>
          <w:szCs w:val="20"/>
        </w:rPr>
      </w:pPr>
      <w:r>
        <w:rPr>
          <w:sz w:val="20"/>
          <w:szCs w:val="20"/>
        </w:rPr>
        <w:t> </w:t>
      </w:r>
    </w:p>
    <w:p w:rsidR="00000000" w:rsidRDefault="00A309A2">
      <w:pPr>
        <w:pStyle w:val="a3"/>
        <w:spacing w:before="40" w:beforeAutospacing="0" w:after="0" w:afterAutospacing="0"/>
        <w:ind w:firstLine="555"/>
        <w:divId w:val="1861161000"/>
        <w:rPr>
          <w:sz w:val="20"/>
          <w:szCs w:val="20"/>
        </w:rPr>
      </w:pPr>
      <w:r>
        <w:rPr>
          <w:sz w:val="20"/>
          <w:szCs w:val="20"/>
        </w:rPr>
        <w:t xml:space="preserve">In connection with the offering of the 2025 Notes, the Company purchased capped call options (“Capped Call Options”) with respect to its common stock for </w:t>
      </w:r>
      <w:r>
        <w:rPr>
          <w:sz w:val="20"/>
          <w:szCs w:val="20"/>
        </w:rPr>
        <w:t>$</w:t>
      </w:r>
      <w:r>
        <w:rPr>
          <w:sz w:val="20"/>
          <w:szCs w:val="20"/>
        </w:rPr>
        <w:t>50.</w:t>
      </w:r>
      <w:r>
        <w:rPr>
          <w:sz w:val="20"/>
          <w:szCs w:val="20"/>
        </w:rPr>
        <w:t>6</w:t>
      </w:r>
      <w:r>
        <w:rPr>
          <w:sz w:val="20"/>
          <w:szCs w:val="20"/>
        </w:rPr>
        <w:t xml:space="preserve"> million. The Capped Call Options are purchased call options that give the Company the option to </w:t>
      </w:r>
      <w:r>
        <w:rPr>
          <w:sz w:val="20"/>
          <w:szCs w:val="20"/>
        </w:rPr>
        <w:t>purchase up to approximately</w:t>
      </w:r>
      <w:r>
        <w:rPr>
          <w:sz w:val="20"/>
          <w:szCs w:val="20"/>
        </w:rPr>
        <w:t xml:space="preserve"> </w:t>
      </w:r>
      <w:r>
        <w:rPr>
          <w:sz w:val="20"/>
          <w:szCs w:val="20"/>
        </w:rPr>
        <w:t>1.</w:t>
      </w:r>
      <w:r>
        <w:rPr>
          <w:sz w:val="20"/>
          <w:szCs w:val="20"/>
        </w:rPr>
        <w:t>6</w:t>
      </w:r>
      <w:r>
        <w:rPr>
          <w:sz w:val="20"/>
          <w:szCs w:val="20"/>
        </w:rPr>
        <w:t xml:space="preserve"> million shares of its common stock for </w:t>
      </w:r>
      <w:r>
        <w:rPr>
          <w:sz w:val="20"/>
          <w:szCs w:val="20"/>
        </w:rPr>
        <w:t>$</w:t>
      </w:r>
      <w:r>
        <w:rPr>
          <w:sz w:val="20"/>
          <w:szCs w:val="20"/>
        </w:rPr>
        <w:t>282.5</w:t>
      </w:r>
      <w:r>
        <w:rPr>
          <w:sz w:val="20"/>
          <w:szCs w:val="20"/>
        </w:rPr>
        <w:t>2</w:t>
      </w:r>
      <w:r>
        <w:rPr>
          <w:sz w:val="20"/>
          <w:szCs w:val="20"/>
        </w:rPr>
        <w:t xml:space="preserve"> per share, which corresponds to the approximate initial conversion price of the 2025 Notes. The Capped Call Options were purchased in order to offset potential dilution to the </w:t>
      </w:r>
      <w:r>
        <w:rPr>
          <w:sz w:val="20"/>
          <w:szCs w:val="20"/>
        </w:rPr>
        <w:t xml:space="preserve">Company’s common stock upon any conversion of the 2025 Notes, subject to a cap of </w:t>
      </w:r>
      <w:r>
        <w:rPr>
          <w:sz w:val="20"/>
          <w:szCs w:val="20"/>
        </w:rPr>
        <w:t>$</w:t>
      </w:r>
      <w:r>
        <w:rPr>
          <w:sz w:val="20"/>
          <w:szCs w:val="20"/>
        </w:rPr>
        <w:t>426.4</w:t>
      </w:r>
      <w:r>
        <w:rPr>
          <w:sz w:val="20"/>
          <w:szCs w:val="20"/>
        </w:rPr>
        <w:t>4</w:t>
      </w:r>
      <w:r>
        <w:rPr>
          <w:sz w:val="20"/>
          <w:szCs w:val="20"/>
        </w:rPr>
        <w:t xml:space="preserve"> per share, and expire concurrently with the 2025 Notes. The Capped Call Options automatically settle in components commencing on April 16, 2025 and are subject to eit</w:t>
      </w:r>
      <w:r>
        <w:rPr>
          <w:sz w:val="20"/>
          <w:szCs w:val="20"/>
        </w:rPr>
        <w:t xml:space="preserve">her adjustment or termination upon the occurrence of specified extraordinary events affecting the Company, including a merger event; a tender offer; and a nationalization, insolvency or delisting involving the Company. In addition, the Capped Call Options </w:t>
      </w:r>
      <w:r>
        <w:rPr>
          <w:sz w:val="20"/>
          <w:szCs w:val="20"/>
        </w:rPr>
        <w:t>are subject to certain specified additional disruption events that may give rise to a termination of the Capped Call Options, including changes in law, insolvency filings, and hedging disruptions. Since the transaction meets certain accounting criteria, th</w:t>
      </w:r>
      <w:r>
        <w:rPr>
          <w:sz w:val="20"/>
          <w:szCs w:val="20"/>
        </w:rPr>
        <w:t xml:space="preserve">e </w:t>
      </w:r>
      <w:r>
        <w:rPr>
          <w:sz w:val="20"/>
          <w:szCs w:val="20"/>
        </w:rPr>
        <w:t>$</w:t>
      </w:r>
      <w:r>
        <w:rPr>
          <w:sz w:val="20"/>
          <w:szCs w:val="20"/>
        </w:rPr>
        <w:t>50.</w:t>
      </w:r>
      <w:r>
        <w:rPr>
          <w:sz w:val="20"/>
          <w:szCs w:val="20"/>
        </w:rPr>
        <w:t>6</w:t>
      </w:r>
      <w:r>
        <w:rPr>
          <w:sz w:val="20"/>
          <w:szCs w:val="20"/>
        </w:rPr>
        <w:t xml:space="preserve"> million</w:t>
      </w:r>
      <w:r>
        <w:rPr>
          <w:sz w:val="20"/>
          <w:szCs w:val="20"/>
        </w:rPr>
        <w:t xml:space="preserve"> </w:t>
      </w:r>
      <w:r>
        <w:rPr>
          <w:sz w:val="20"/>
          <w:szCs w:val="20"/>
        </w:rPr>
        <w:t>paid for th</w:t>
      </w:r>
      <w:r>
        <w:rPr>
          <w:sz w:val="20"/>
          <w:szCs w:val="20"/>
        </w:rPr>
        <w:t>e</w:t>
      </w:r>
      <w:r>
        <w:rPr>
          <w:sz w:val="20"/>
          <w:szCs w:val="20"/>
        </w:rPr>
        <w:t xml:space="preserve"> </w:t>
      </w:r>
    </w:p>
    <w:p w:rsidR="00000000" w:rsidRDefault="00A309A2">
      <w:pPr>
        <w:pStyle w:val="a3"/>
        <w:spacing w:before="240" w:beforeAutospacing="0" w:after="0" w:afterAutospacing="0"/>
        <w:jc w:val="center"/>
        <w:divId w:val="1861161000"/>
        <w:rPr>
          <w:sz w:val="20"/>
          <w:szCs w:val="20"/>
        </w:rPr>
      </w:pPr>
      <w:r>
        <w:rPr>
          <w:sz w:val="20"/>
          <w:szCs w:val="20"/>
        </w:rPr>
        <w:t>8</w:t>
      </w:r>
      <w:r>
        <w:rPr>
          <w:sz w:val="20"/>
          <w:szCs w:val="20"/>
        </w:rPr>
        <w:t>3</w:t>
      </w:r>
    </w:p>
    <w:p w:rsidR="00000000" w:rsidRDefault="00A309A2">
      <w:pPr>
        <w:divId w:val="1861161000"/>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A309A2">
      <w:pPr>
        <w:pStyle w:val="a3"/>
        <w:spacing w:before="0" w:beforeAutospacing="0" w:after="0" w:afterAutospacing="0"/>
        <w:divId w:val="1861161000"/>
        <w:rPr>
          <w:sz w:val="20"/>
          <w:szCs w:val="20"/>
        </w:rPr>
      </w:pPr>
      <w:r>
        <w:rPr>
          <w:sz w:val="20"/>
          <w:szCs w:val="20"/>
        </w:rPr>
        <w:t> </w:t>
      </w:r>
    </w:p>
    <w:p w:rsidR="00000000" w:rsidRDefault="00A309A2">
      <w:pPr>
        <w:pStyle w:val="a3"/>
        <w:spacing w:before="40" w:beforeAutospacing="0" w:after="0" w:afterAutospacing="0"/>
        <w:divId w:val="1861161000"/>
        <w:rPr>
          <w:sz w:val="20"/>
          <w:szCs w:val="20"/>
        </w:rPr>
      </w:pPr>
      <w:r>
        <w:rPr>
          <w:sz w:val="20"/>
          <w:szCs w:val="20"/>
        </w:rPr>
        <w:t>Capped</w:t>
      </w:r>
      <w:r>
        <w:rPr>
          <w:sz w:val="20"/>
          <w:szCs w:val="20"/>
        </w:rPr>
        <w:t xml:space="preserve"> </w:t>
      </w:r>
      <w:r>
        <w:rPr>
          <w:sz w:val="20"/>
          <w:szCs w:val="20"/>
        </w:rPr>
        <w:t>Call Options is recorded in stockholders’ equity as a reduction in additional paid-in capital and are not accounted for as separate derivative financial instruments</w:t>
      </w:r>
      <w:r>
        <w:rPr>
          <w:sz w:val="20"/>
          <w:szCs w:val="20"/>
        </w:rPr>
        <w:t>.</w:t>
      </w:r>
    </w:p>
    <w:p w:rsidR="00000000" w:rsidRDefault="00A309A2">
      <w:pPr>
        <w:pStyle w:val="a3"/>
        <w:spacing w:before="40" w:beforeAutospacing="0" w:after="0" w:afterAutospacing="0"/>
        <w:ind w:firstLine="555"/>
        <w:divId w:val="1861161000"/>
        <w:rPr>
          <w:sz w:val="20"/>
          <w:szCs w:val="20"/>
        </w:rPr>
      </w:pPr>
      <w:r>
        <w:rPr>
          <w:sz w:val="20"/>
          <w:szCs w:val="20"/>
        </w:rPr>
        <w:t> </w:t>
      </w:r>
    </w:p>
    <w:p w:rsidR="00000000" w:rsidRDefault="00A309A2">
      <w:pPr>
        <w:pStyle w:val="a3"/>
        <w:spacing w:before="40" w:beforeAutospacing="0" w:after="0" w:afterAutospacing="0"/>
        <w:ind w:firstLine="555"/>
        <w:divId w:val="1861161000"/>
        <w:rPr>
          <w:sz w:val="20"/>
          <w:szCs w:val="20"/>
        </w:rPr>
      </w:pPr>
      <w:r>
        <w:rPr>
          <w:b/>
          <w:bCs/>
          <w:i/>
          <w:iCs/>
          <w:sz w:val="20"/>
          <w:szCs w:val="20"/>
        </w:rPr>
        <w:t>2022 Conv</w:t>
      </w:r>
      <w:r>
        <w:rPr>
          <w:b/>
          <w:bCs/>
          <w:i/>
          <w:iCs/>
          <w:sz w:val="20"/>
          <w:szCs w:val="20"/>
        </w:rPr>
        <w:t>ertible Senior Notes, Convertible Note Hedge and Warran</w:t>
      </w:r>
      <w:r>
        <w:rPr>
          <w:b/>
          <w:bCs/>
          <w:i/>
          <w:iCs/>
          <w:sz w:val="20"/>
          <w:szCs w:val="20"/>
        </w:rPr>
        <w:t>t</w:t>
      </w:r>
      <w:r>
        <w:rPr>
          <w:b/>
          <w:bCs/>
          <w:i/>
          <w:iCs/>
          <w:sz w:val="20"/>
          <w:szCs w:val="20"/>
        </w:rPr>
        <w:t xml:space="preserve"> </w:t>
      </w:r>
    </w:p>
    <w:p w:rsidR="00000000" w:rsidRDefault="00A309A2">
      <w:pPr>
        <w:pStyle w:val="a3"/>
        <w:spacing w:before="120" w:beforeAutospacing="0" w:after="0" w:afterAutospacing="0"/>
        <w:ind w:firstLine="555"/>
        <w:divId w:val="1861161000"/>
        <w:rPr>
          <w:sz w:val="20"/>
          <w:szCs w:val="20"/>
        </w:rPr>
      </w:pPr>
      <w:r>
        <w:rPr>
          <w:sz w:val="20"/>
          <w:szCs w:val="20"/>
        </w:rPr>
        <w:t xml:space="preserve">In May 2017, the Company issued </w:t>
      </w:r>
      <w:r>
        <w:rPr>
          <w:sz w:val="20"/>
          <w:szCs w:val="20"/>
        </w:rPr>
        <w:t>$</w:t>
      </w:r>
      <w:r>
        <w:rPr>
          <w:sz w:val="20"/>
          <w:szCs w:val="20"/>
        </w:rPr>
        <w:t>350.</w:t>
      </w:r>
      <w:r>
        <w:rPr>
          <w:sz w:val="20"/>
          <w:szCs w:val="20"/>
        </w:rPr>
        <w:t>0</w:t>
      </w:r>
      <w:r>
        <w:rPr>
          <w:sz w:val="20"/>
          <w:szCs w:val="20"/>
        </w:rPr>
        <w:t xml:space="preserve"> million aggregate principal amount of</w:t>
      </w:r>
      <w:r>
        <w:rPr>
          <w:sz w:val="20"/>
          <w:szCs w:val="20"/>
        </w:rPr>
        <w:t xml:space="preserve"> </w:t>
      </w:r>
      <w:r>
        <w:rPr>
          <w:sz w:val="20"/>
          <w:szCs w:val="20"/>
        </w:rPr>
        <w:t>0.2</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2</w:t>
      </w:r>
      <w:r>
        <w:rPr>
          <w:sz w:val="20"/>
          <w:szCs w:val="20"/>
        </w:rPr>
        <w:t xml:space="preserve"> (the “2022 Notes”) in a private offering and an additional </w:t>
      </w:r>
      <w:r>
        <w:rPr>
          <w:sz w:val="20"/>
          <w:szCs w:val="20"/>
        </w:rPr>
        <w:t>$</w:t>
      </w:r>
      <w:r>
        <w:rPr>
          <w:sz w:val="20"/>
          <w:szCs w:val="20"/>
        </w:rPr>
        <w:t>5</w:t>
      </w:r>
      <w:r>
        <w:rPr>
          <w:sz w:val="20"/>
          <w:szCs w:val="20"/>
        </w:rPr>
        <w:t>0</w:t>
      </w:r>
      <w:r>
        <w:rPr>
          <w:sz w:val="20"/>
          <w:szCs w:val="20"/>
        </w:rPr>
        <w:t xml:space="preserve"> million ag</w:t>
      </w:r>
      <w:r>
        <w:rPr>
          <w:sz w:val="20"/>
          <w:szCs w:val="20"/>
        </w:rPr>
        <w:t>gregate principal amount of such notes pursuant to the exercise in full of the over-allotment options of the initial purchasers of the 2022 Notes.</w:t>
      </w:r>
      <w:r>
        <w:rPr>
          <w:sz w:val="20"/>
          <w:szCs w:val="20"/>
        </w:rPr>
        <w:t xml:space="preserve"> </w:t>
      </w:r>
      <w:r>
        <w:rPr>
          <w:sz w:val="20"/>
          <w:szCs w:val="20"/>
        </w:rPr>
        <w:t xml:space="preserve">The interest rate is fixed at 0.25% per annum and is payable semi-annually in arrears on June 1 and December </w:t>
      </w:r>
      <w:r>
        <w:rPr>
          <w:sz w:val="20"/>
          <w:szCs w:val="20"/>
        </w:rPr>
        <w:t>1 of each year.</w:t>
      </w:r>
      <w:r>
        <w:rPr>
          <w:sz w:val="20"/>
          <w:szCs w:val="20"/>
        </w:rPr>
        <w:t xml:space="preserve"> </w:t>
      </w:r>
      <w:r>
        <w:rPr>
          <w:sz w:val="20"/>
          <w:szCs w:val="20"/>
        </w:rPr>
        <w:t xml:space="preserve">The total net proceeds from the debt offering, after deducting initial purchase discounts and debt issuance costs, were approximately </w:t>
      </w:r>
      <w:r>
        <w:rPr>
          <w:sz w:val="20"/>
          <w:szCs w:val="20"/>
        </w:rPr>
        <w:t>$</w:t>
      </w:r>
      <w:r>
        <w:rPr>
          <w:sz w:val="20"/>
          <w:szCs w:val="20"/>
        </w:rPr>
        <w:t>389.</w:t>
      </w:r>
      <w:r>
        <w:rPr>
          <w:sz w:val="20"/>
          <w:szCs w:val="20"/>
        </w:rPr>
        <w:t>2</w:t>
      </w:r>
      <w:r>
        <w:rPr>
          <w:sz w:val="20"/>
          <w:szCs w:val="20"/>
        </w:rPr>
        <w:t xml:space="preserve"> million</w:t>
      </w:r>
      <w:r>
        <w:rPr>
          <w:sz w:val="20"/>
          <w:szCs w:val="20"/>
        </w:rPr>
        <w:t>.</w:t>
      </w:r>
    </w:p>
    <w:p w:rsidR="00000000" w:rsidRDefault="00A309A2">
      <w:pPr>
        <w:pStyle w:val="a3"/>
        <w:spacing w:before="240" w:beforeAutospacing="0" w:after="0" w:afterAutospacing="0"/>
        <w:ind w:firstLine="555"/>
        <w:divId w:val="1861161000"/>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principal amount of the 2022 Notes are currently convertible into</w:t>
      </w:r>
      <w:r>
        <w:rPr>
          <w:sz w:val="20"/>
          <w:szCs w:val="20"/>
        </w:rPr>
        <w:t xml:space="preserve"> </w:t>
      </w:r>
      <w:r>
        <w:rPr>
          <w:sz w:val="20"/>
          <w:szCs w:val="20"/>
        </w:rPr>
        <w:t>10.551</w:t>
      </w:r>
      <w:r>
        <w:rPr>
          <w:sz w:val="20"/>
          <w:szCs w:val="20"/>
        </w:rPr>
        <w:t>9</w:t>
      </w:r>
      <w:r>
        <w:rPr>
          <w:sz w:val="20"/>
          <w:szCs w:val="20"/>
        </w:rPr>
        <w:t xml:space="preserve"> shar</w:t>
      </w:r>
      <w:r>
        <w:rPr>
          <w:sz w:val="20"/>
          <w:szCs w:val="20"/>
        </w:rPr>
        <w:t xml:space="preserve">es of the Company’s common stock (the “Conversion Option of the 2022 Notes”), which is equivalent to an initial conversion price of approximately </w:t>
      </w:r>
      <w:r>
        <w:rPr>
          <w:sz w:val="20"/>
          <w:szCs w:val="20"/>
        </w:rPr>
        <w:t>$</w:t>
      </w:r>
      <w:r>
        <w:rPr>
          <w:sz w:val="20"/>
          <w:szCs w:val="20"/>
        </w:rPr>
        <w:t>94.7</w:t>
      </w:r>
      <w:r>
        <w:rPr>
          <w:sz w:val="20"/>
          <w:szCs w:val="20"/>
        </w:rPr>
        <w:t>7</w:t>
      </w:r>
      <w:r>
        <w:rPr>
          <w:sz w:val="20"/>
          <w:szCs w:val="20"/>
        </w:rPr>
        <w:t xml:space="preserve"> per share, subject to adjustment upon the occurrence of specified events. Because the last reported sal</w:t>
      </w:r>
      <w:r>
        <w:rPr>
          <w:sz w:val="20"/>
          <w:szCs w:val="20"/>
        </w:rPr>
        <w:t>e price of the Company’s common stock for at least</w:t>
      </w:r>
      <w:r>
        <w:rPr>
          <w:sz w:val="20"/>
          <w:szCs w:val="20"/>
        </w:rPr>
        <w:t xml:space="preserve"> </w:t>
      </w:r>
      <w:r>
        <w:rPr>
          <w:sz w:val="20"/>
          <w:szCs w:val="20"/>
        </w:rPr>
        <w:t>2</w:t>
      </w:r>
      <w:r>
        <w:rPr>
          <w:sz w:val="20"/>
          <w:szCs w:val="20"/>
        </w:rPr>
        <w:t>0</w:t>
      </w:r>
      <w:r>
        <w:rPr>
          <w:sz w:val="20"/>
          <w:szCs w:val="20"/>
        </w:rPr>
        <w:t xml:space="preserve"> trading days during the period of</w:t>
      </w:r>
      <w:r>
        <w:rPr>
          <w:sz w:val="20"/>
          <w:szCs w:val="20"/>
        </w:rPr>
        <w:t xml:space="preserve"> </w:t>
      </w:r>
      <w:r>
        <w:rPr>
          <w:sz w:val="20"/>
          <w:szCs w:val="20"/>
        </w:rPr>
        <w:t>3</w:t>
      </w:r>
      <w:r>
        <w:rPr>
          <w:sz w:val="20"/>
          <w:szCs w:val="20"/>
        </w:rPr>
        <w:t>0</w:t>
      </w:r>
      <w:r>
        <w:rPr>
          <w:sz w:val="20"/>
          <w:szCs w:val="20"/>
        </w:rPr>
        <w:t xml:space="preserve"> consecutive trading days ending on the last trading day of the calendar quarter ended December 31, 2021 was equal to or greater than</w:t>
      </w:r>
      <w:r>
        <w:rPr>
          <w:sz w:val="20"/>
          <w:szCs w:val="20"/>
        </w:rPr>
        <w:t xml:space="preserve"> </w:t>
      </w:r>
      <w:r>
        <w:rPr>
          <w:sz w:val="20"/>
          <w:szCs w:val="20"/>
        </w:rPr>
        <w:t>13</w:t>
      </w:r>
      <w:r>
        <w:rPr>
          <w:sz w:val="20"/>
          <w:szCs w:val="20"/>
        </w:rPr>
        <w:t>0</w:t>
      </w:r>
      <w:r>
        <w:rPr>
          <w:sz w:val="20"/>
          <w:szCs w:val="20"/>
        </w:rPr>
        <w:t>% of the applicable conversio</w:t>
      </w:r>
      <w:r>
        <w:rPr>
          <w:sz w:val="20"/>
          <w:szCs w:val="20"/>
        </w:rPr>
        <w:t>n price on each applicable trading day, the 2022 Notes are convertible at the option of the holders on the business day immediately preceding February 1, 2022. On or after February 1, 2022 until the close of business on the second scheduled trading day imm</w:t>
      </w:r>
      <w:r>
        <w:rPr>
          <w:sz w:val="20"/>
          <w:szCs w:val="20"/>
        </w:rPr>
        <w:t xml:space="preserve">ediately preceding the maturity date, holders may convert their notes at any time. Upon conversion, the Company will pay or deliver, as the case may be, cash, shares of the Company’s common stock or a combination of cash and shares of the Company’s common </w:t>
      </w:r>
      <w:r>
        <w:rPr>
          <w:sz w:val="20"/>
          <w:szCs w:val="20"/>
        </w:rPr>
        <w:t>stock, at the Company’s election.</w:t>
      </w:r>
      <w:r>
        <w:rPr>
          <w:sz w:val="20"/>
          <w:szCs w:val="20"/>
        </w:rPr>
        <w:t xml:space="preserve"> </w:t>
      </w:r>
      <w:r>
        <w:rPr>
          <w:sz w:val="20"/>
          <w:szCs w:val="20"/>
        </w:rPr>
        <w:t>The Company expects to settle the principal amount of the 2022 Notes in cash</w:t>
      </w:r>
      <w:r>
        <w:rPr>
          <w:sz w:val="20"/>
          <w:szCs w:val="20"/>
        </w:rPr>
        <w:t>.</w:t>
      </w:r>
      <w:r>
        <w:rPr>
          <w:sz w:val="20"/>
          <w:szCs w:val="20"/>
        </w:rPr>
        <w:t xml:space="preserve"> In 2021, the Company settled </w:t>
      </w:r>
      <w:r>
        <w:rPr>
          <w:sz w:val="20"/>
          <w:szCs w:val="20"/>
        </w:rPr>
        <w:t>$</w:t>
      </w:r>
      <w:r>
        <w:rPr>
          <w:sz w:val="20"/>
          <w:szCs w:val="20"/>
        </w:rPr>
        <w:t>106.</w:t>
      </w:r>
      <w:r>
        <w:rPr>
          <w:sz w:val="20"/>
          <w:szCs w:val="20"/>
        </w:rPr>
        <w:t>5</w:t>
      </w:r>
      <w:r>
        <w:rPr>
          <w:sz w:val="20"/>
          <w:szCs w:val="20"/>
        </w:rPr>
        <w:t xml:space="preserve"> million of principal balance of the 2022 Notes in cash.</w:t>
      </w:r>
      <w:r>
        <w:rPr>
          <w:sz w:val="20"/>
          <w:szCs w:val="20"/>
        </w:rPr>
        <w:t xml:space="preserve"> </w:t>
      </w:r>
      <w:r>
        <w:rPr>
          <w:sz w:val="20"/>
          <w:szCs w:val="20"/>
        </w:rPr>
        <w:t>The Company compared the consideration attributed to</w:t>
      </w:r>
      <w:r>
        <w:rPr>
          <w:sz w:val="20"/>
          <w:szCs w:val="20"/>
        </w:rPr>
        <w:t xml:space="preserve"> the fair value of the debt component with the carrying value of the debt component, which includes the proportionate amounts of the unamortized debt discount and the remaining unamortized debt issuance costs and recorded a loss on early extinguishment of </w:t>
      </w:r>
      <w:r>
        <w:rPr>
          <w:sz w:val="20"/>
          <w:szCs w:val="20"/>
        </w:rPr>
        <w:t>$</w:t>
      </w:r>
      <w:r>
        <w:rPr>
          <w:sz w:val="20"/>
          <w:szCs w:val="20"/>
        </w:rPr>
        <w:t>4.</w:t>
      </w:r>
      <w:r>
        <w:rPr>
          <w:sz w:val="20"/>
          <w:szCs w:val="20"/>
        </w:rPr>
        <w:t>9</w:t>
      </w:r>
      <w:r>
        <w:rPr>
          <w:sz w:val="20"/>
          <w:szCs w:val="20"/>
        </w:rPr>
        <w:t xml:space="preserve"> million for the year ended</w:t>
      </w:r>
      <w:r>
        <w:rPr>
          <w:sz w:val="20"/>
          <w:szCs w:val="20"/>
        </w:rPr>
        <w:t xml:space="preserve"> </w:t>
      </w:r>
      <w:r>
        <w:rPr>
          <w:sz w:val="20"/>
          <w:szCs w:val="20"/>
        </w:rPr>
        <w:t>December 31, 202</w:t>
      </w:r>
      <w:r>
        <w:rPr>
          <w:sz w:val="20"/>
          <w:szCs w:val="20"/>
        </w:rPr>
        <w:t>1</w:t>
      </w:r>
      <w:r>
        <w:rPr>
          <w:sz w:val="20"/>
          <w:szCs w:val="20"/>
        </w:rPr>
        <w:t xml:space="preserve"> within interest expense on the Company’s statements of operations. As of February 11, 2022, the Company has</w:t>
      </w:r>
      <w:r>
        <w:rPr>
          <w:sz w:val="20"/>
          <w:szCs w:val="20"/>
        </w:rPr>
        <w:t xml:space="preserve"> </w:t>
      </w:r>
      <w:r>
        <w:rPr>
          <w:sz w:val="20"/>
          <w:szCs w:val="20"/>
        </w:rPr>
        <w:t>n</w:t>
      </w:r>
      <w:r>
        <w:rPr>
          <w:sz w:val="20"/>
          <w:szCs w:val="20"/>
        </w:rPr>
        <w:t>o</w:t>
      </w:r>
      <w:r>
        <w:rPr>
          <w:sz w:val="20"/>
          <w:szCs w:val="20"/>
        </w:rPr>
        <w:t>t received any conversion notices</w:t>
      </w:r>
      <w:r>
        <w:rPr>
          <w:sz w:val="20"/>
          <w:szCs w:val="20"/>
        </w:rPr>
        <w:t>.</w:t>
      </w:r>
      <w:r>
        <w:rPr>
          <w:sz w:val="20"/>
          <w:szCs w:val="20"/>
        </w:rPr>
        <w:t xml:space="preserve"> </w:t>
      </w:r>
    </w:p>
    <w:p w:rsidR="00000000" w:rsidRDefault="00A309A2">
      <w:pPr>
        <w:pStyle w:val="a3"/>
        <w:spacing w:before="240" w:beforeAutospacing="0" w:after="0" w:afterAutospacing="0"/>
        <w:ind w:firstLine="555"/>
        <w:divId w:val="1861161000"/>
        <w:rPr>
          <w:sz w:val="20"/>
          <w:szCs w:val="20"/>
        </w:rPr>
      </w:pPr>
      <w:r>
        <w:rPr>
          <w:sz w:val="20"/>
          <w:szCs w:val="20"/>
        </w:rPr>
        <w:t>In connection with the offering of the 2022 Notes, the Compa</w:t>
      </w:r>
      <w:r>
        <w:rPr>
          <w:sz w:val="20"/>
          <w:szCs w:val="20"/>
        </w:rPr>
        <w:t>ny entered into convertible note hedge transactions (the “Convertible Note Hedges”) with certain counterparties in which the Company has the option to purchase (subject to adjustment for certain specified events) up to approximately</w:t>
      </w:r>
      <w:r>
        <w:rPr>
          <w:sz w:val="20"/>
          <w:szCs w:val="20"/>
        </w:rPr>
        <w:t xml:space="preserve"> </w:t>
      </w:r>
      <w:r>
        <w:rPr>
          <w:sz w:val="20"/>
          <w:szCs w:val="20"/>
        </w:rPr>
        <w:t>4.</w:t>
      </w:r>
      <w:r>
        <w:rPr>
          <w:sz w:val="20"/>
          <w:szCs w:val="20"/>
        </w:rPr>
        <w:t>2</w:t>
      </w:r>
      <w:r>
        <w:rPr>
          <w:sz w:val="20"/>
          <w:szCs w:val="20"/>
        </w:rPr>
        <w:t xml:space="preserve"> million shares of t</w:t>
      </w:r>
      <w:r>
        <w:rPr>
          <w:sz w:val="20"/>
          <w:szCs w:val="20"/>
        </w:rPr>
        <w:t xml:space="preserve">he Company’s common stock at a price of approximately </w:t>
      </w:r>
      <w:r>
        <w:rPr>
          <w:sz w:val="20"/>
          <w:szCs w:val="20"/>
        </w:rPr>
        <w:t>$</w:t>
      </w:r>
      <w:r>
        <w:rPr>
          <w:sz w:val="20"/>
          <w:szCs w:val="20"/>
        </w:rPr>
        <w:t>94.7</w:t>
      </w:r>
      <w:r>
        <w:rPr>
          <w:sz w:val="20"/>
          <w:szCs w:val="20"/>
        </w:rPr>
        <w:t>7</w:t>
      </w:r>
      <w:r>
        <w:rPr>
          <w:sz w:val="20"/>
          <w:szCs w:val="20"/>
        </w:rPr>
        <w:t xml:space="preserve"> per share.</w:t>
      </w:r>
      <w:r>
        <w:rPr>
          <w:sz w:val="20"/>
          <w:szCs w:val="20"/>
        </w:rPr>
        <w:t xml:space="preserve"> </w:t>
      </w:r>
      <w:r>
        <w:rPr>
          <w:sz w:val="20"/>
          <w:szCs w:val="20"/>
        </w:rPr>
        <w:t>The Convertible Note Hedges will be settled in cash or shares, or any combination thereof, in accordance with the settlement method of the 2022 Notes in excess of the par amount, and a</w:t>
      </w:r>
      <w:r>
        <w:rPr>
          <w:sz w:val="20"/>
          <w:szCs w:val="20"/>
        </w:rPr>
        <w:t>re expected to settle concurrently with the conversion of the 2022 Notes</w:t>
      </w:r>
      <w:r>
        <w:rPr>
          <w:sz w:val="20"/>
          <w:szCs w:val="20"/>
        </w:rPr>
        <w:t>.</w:t>
      </w:r>
      <w:r>
        <w:rPr>
          <w:sz w:val="20"/>
          <w:szCs w:val="20"/>
        </w:rPr>
        <w:t xml:space="preserve"> The total cost of the Convertible Note Hedges was </w:t>
      </w:r>
      <w:r>
        <w:rPr>
          <w:sz w:val="20"/>
          <w:szCs w:val="20"/>
        </w:rPr>
        <w:t>$</w:t>
      </w:r>
      <w:r>
        <w:rPr>
          <w:sz w:val="20"/>
          <w:szCs w:val="20"/>
        </w:rPr>
        <w:t>78.</w:t>
      </w:r>
      <w:r>
        <w:rPr>
          <w:sz w:val="20"/>
          <w:szCs w:val="20"/>
        </w:rPr>
        <w:t>9</w:t>
      </w:r>
      <w:r>
        <w:rPr>
          <w:sz w:val="20"/>
          <w:szCs w:val="20"/>
        </w:rPr>
        <w:t xml:space="preserve"> million. In addition, the Company sold warrants (the “Warrants”) to certain bank counterparties whereby the holders of the War</w:t>
      </w:r>
      <w:r>
        <w:rPr>
          <w:sz w:val="20"/>
          <w:szCs w:val="20"/>
        </w:rPr>
        <w:t>rants have the option to initially purchase (subject to adjustment for certain specified events) a total of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w:t>
      </w:r>
      <w:r>
        <w:rPr>
          <w:sz w:val="20"/>
          <w:szCs w:val="20"/>
        </w:rPr>
        <w:t>$</w:t>
      </w:r>
      <w:r>
        <w:rPr>
          <w:sz w:val="20"/>
          <w:szCs w:val="20"/>
        </w:rPr>
        <w:t>115.</w:t>
      </w:r>
      <w:r>
        <w:rPr>
          <w:sz w:val="20"/>
          <w:szCs w:val="20"/>
        </w:rPr>
        <w:t>8</w:t>
      </w:r>
      <w:r>
        <w:rPr>
          <w:sz w:val="20"/>
          <w:szCs w:val="20"/>
        </w:rPr>
        <w:t xml:space="preserve"> per share. The amount by which the settlement price exceeds the </w:t>
      </w:r>
      <w:r>
        <w:rPr>
          <w:sz w:val="20"/>
          <w:szCs w:val="20"/>
        </w:rPr>
        <w:t>strike price may be settled in shares or cash at the Company’s election.</w:t>
      </w:r>
      <w:r>
        <w:rPr>
          <w:sz w:val="20"/>
          <w:szCs w:val="20"/>
        </w:rPr>
        <w:t xml:space="preserve"> </w:t>
      </w:r>
      <w:r>
        <w:rPr>
          <w:sz w:val="20"/>
          <w:szCs w:val="20"/>
        </w:rPr>
        <w:t>The Warrants are expected to settle</w:t>
      </w:r>
      <w:r>
        <w:rPr>
          <w:sz w:val="20"/>
          <w:szCs w:val="20"/>
        </w:rPr>
        <w:t xml:space="preserve"> </w:t>
      </w:r>
      <w:r>
        <w:rPr>
          <w:sz w:val="20"/>
          <w:szCs w:val="20"/>
        </w:rPr>
        <w:t>thre</w:t>
      </w:r>
      <w:r>
        <w:rPr>
          <w:sz w:val="20"/>
          <w:szCs w:val="20"/>
        </w:rPr>
        <w:t>e</w:t>
      </w:r>
      <w:r>
        <w:rPr>
          <w:sz w:val="20"/>
          <w:szCs w:val="20"/>
        </w:rPr>
        <w:t xml:space="preserve"> business days from each trading day commencing on</w:t>
      </w:r>
      <w:r>
        <w:rPr>
          <w:sz w:val="20"/>
          <w:szCs w:val="20"/>
        </w:rPr>
        <w:t xml:space="preserve"> </w:t>
      </w:r>
      <w:r>
        <w:rPr>
          <w:sz w:val="20"/>
          <w:szCs w:val="20"/>
        </w:rPr>
        <w:t>September 1, 202</w:t>
      </w:r>
      <w:r>
        <w:rPr>
          <w:sz w:val="20"/>
          <w:szCs w:val="20"/>
        </w:rPr>
        <w:t>2</w:t>
      </w:r>
      <w:r>
        <w:rPr>
          <w:sz w:val="20"/>
          <w:szCs w:val="20"/>
        </w:rPr>
        <w:t xml:space="preserve"> and ending on the 79th trading day thereafter.</w:t>
      </w:r>
      <w:r>
        <w:rPr>
          <w:sz w:val="20"/>
          <w:szCs w:val="20"/>
        </w:rPr>
        <w:t xml:space="preserve"> </w:t>
      </w:r>
      <w:r>
        <w:rPr>
          <w:sz w:val="20"/>
          <w:szCs w:val="20"/>
        </w:rPr>
        <w:t xml:space="preserve">The Company received </w:t>
      </w:r>
      <w:r>
        <w:rPr>
          <w:sz w:val="20"/>
          <w:szCs w:val="20"/>
        </w:rPr>
        <w:t>$</w:t>
      </w:r>
      <w:r>
        <w:rPr>
          <w:sz w:val="20"/>
          <w:szCs w:val="20"/>
        </w:rPr>
        <w:t>58.</w:t>
      </w:r>
      <w:r>
        <w:rPr>
          <w:sz w:val="20"/>
          <w:szCs w:val="20"/>
        </w:rPr>
        <w:t>9</w:t>
      </w:r>
      <w:r>
        <w:rPr>
          <w:sz w:val="20"/>
          <w:szCs w:val="20"/>
        </w:rPr>
        <w:t xml:space="preserve"> million in cash proceeds, net of issuance costs of </w:t>
      </w:r>
      <w:r>
        <w:rPr>
          <w:sz w:val="20"/>
          <w:szCs w:val="20"/>
        </w:rPr>
        <w:t>$</w:t>
      </w:r>
      <w:r>
        <w:rPr>
          <w:sz w:val="20"/>
          <w:szCs w:val="20"/>
        </w:rPr>
        <w:t>20</w:t>
      </w:r>
      <w:r>
        <w:rPr>
          <w:sz w:val="20"/>
          <w:szCs w:val="20"/>
        </w:rPr>
        <w:t>0</w:t>
      </w:r>
      <w:r>
        <w:rPr>
          <w:sz w:val="20"/>
          <w:szCs w:val="20"/>
        </w:rPr>
        <w:t xml:space="preserve"> thousand, from the sale of these Warrants. The purchase of the Convertible Note Hedges and the sale of Warrants is intended to effectively increase the overall conversion price from </w:t>
      </w:r>
      <w:r>
        <w:rPr>
          <w:sz w:val="20"/>
          <w:szCs w:val="20"/>
        </w:rPr>
        <w:t>$</w:t>
      </w:r>
      <w:r>
        <w:rPr>
          <w:sz w:val="20"/>
          <w:szCs w:val="20"/>
        </w:rPr>
        <w:t>94.7</w:t>
      </w:r>
      <w:r>
        <w:rPr>
          <w:sz w:val="20"/>
          <w:szCs w:val="20"/>
        </w:rPr>
        <w:t>7</w:t>
      </w:r>
      <w:r>
        <w:rPr>
          <w:sz w:val="20"/>
          <w:szCs w:val="20"/>
        </w:rPr>
        <w:t xml:space="preserve"> to </w:t>
      </w:r>
      <w:r>
        <w:rPr>
          <w:sz w:val="20"/>
          <w:szCs w:val="20"/>
        </w:rPr>
        <w:t>$</w:t>
      </w:r>
      <w:r>
        <w:rPr>
          <w:sz w:val="20"/>
          <w:szCs w:val="20"/>
        </w:rPr>
        <w:t>115.8</w:t>
      </w:r>
      <w:r>
        <w:rPr>
          <w:sz w:val="20"/>
          <w:szCs w:val="20"/>
        </w:rPr>
        <w:t>3</w:t>
      </w:r>
      <w:r>
        <w:rPr>
          <w:sz w:val="20"/>
          <w:szCs w:val="20"/>
        </w:rPr>
        <w:t xml:space="preserve"> per share. As these transactions meet certain accounting criteria, the net </w:t>
      </w:r>
      <w:r>
        <w:rPr>
          <w:sz w:val="20"/>
          <w:szCs w:val="20"/>
        </w:rPr>
        <w:t>$</w:t>
      </w:r>
      <w:r>
        <w:rPr>
          <w:sz w:val="20"/>
          <w:szCs w:val="20"/>
        </w:rPr>
        <w:t>20.</w:t>
      </w:r>
      <w:r>
        <w:rPr>
          <w:sz w:val="20"/>
          <w:szCs w:val="20"/>
        </w:rPr>
        <w:t>0</w:t>
      </w:r>
      <w:r>
        <w:rPr>
          <w:sz w:val="20"/>
          <w:szCs w:val="20"/>
        </w:rPr>
        <w:t xml:space="preserve"> million paid for the Convertible Note Hedges and Warrants is recorded in stockholders’ equity and are not accounted for as separate derivative financial instruments</w:t>
      </w:r>
      <w:r>
        <w:rPr>
          <w:sz w:val="20"/>
          <w:szCs w:val="20"/>
        </w:rPr>
        <w:t>.</w:t>
      </w:r>
    </w:p>
    <w:p w:rsidR="00000000" w:rsidRDefault="00A309A2">
      <w:pPr>
        <w:pStyle w:val="a3"/>
        <w:spacing w:before="240" w:beforeAutospacing="0" w:after="0" w:afterAutospacing="0"/>
        <w:ind w:firstLine="555"/>
        <w:divId w:val="1861161000"/>
        <w:rPr>
          <w:sz w:val="20"/>
          <w:szCs w:val="20"/>
        </w:rPr>
      </w:pPr>
      <w:r>
        <w:rPr>
          <w:sz w:val="20"/>
          <w:szCs w:val="20"/>
        </w:rPr>
        <w:t xml:space="preserve">In June </w:t>
      </w:r>
      <w:r>
        <w:rPr>
          <w:sz w:val="20"/>
          <w:szCs w:val="20"/>
        </w:rPr>
        <w:t xml:space="preserve">2020, the Company used part of the net proceeds from the issuance of the 2025 Notes for the partial repurchase of the 2022 Notes, which consisted of a repurchase of </w:t>
      </w:r>
      <w:r>
        <w:rPr>
          <w:sz w:val="20"/>
          <w:szCs w:val="20"/>
        </w:rPr>
        <w:t>$</w:t>
      </w:r>
      <w:r>
        <w:rPr>
          <w:sz w:val="20"/>
          <w:szCs w:val="20"/>
        </w:rPr>
        <w:t>272.</w:t>
      </w:r>
      <w:r>
        <w:rPr>
          <w:sz w:val="20"/>
          <w:szCs w:val="20"/>
        </w:rPr>
        <w:t>1</w:t>
      </w:r>
      <w:r>
        <w:rPr>
          <w:sz w:val="20"/>
          <w:szCs w:val="20"/>
        </w:rPr>
        <w:t xml:space="preserve"> million aggregate principal amount of the 2022 Notes for an aggregate purchase price</w:t>
      </w:r>
      <w:r>
        <w:rPr>
          <w:sz w:val="20"/>
          <w:szCs w:val="20"/>
        </w:rPr>
        <w:t xml:space="preserve"> of approximately </w:t>
      </w:r>
      <w:r>
        <w:rPr>
          <w:sz w:val="20"/>
          <w:szCs w:val="20"/>
        </w:rPr>
        <w:t>$</w:t>
      </w:r>
      <w:r>
        <w:rPr>
          <w:sz w:val="20"/>
          <w:szCs w:val="20"/>
        </w:rPr>
        <w:t>283.</w:t>
      </w:r>
      <w:r>
        <w:rPr>
          <w:sz w:val="20"/>
          <w:szCs w:val="20"/>
        </w:rPr>
        <w:t>0</w:t>
      </w:r>
      <w:r>
        <w:rPr>
          <w:sz w:val="20"/>
          <w:szCs w:val="20"/>
        </w:rPr>
        <w:t xml:space="preserve"> in cash and approximately</w:t>
      </w:r>
      <w:r>
        <w:rPr>
          <w:sz w:val="20"/>
          <w:szCs w:val="20"/>
        </w:rPr>
        <w:t xml:space="preserve"> </w:t>
      </w:r>
      <w:r>
        <w:rPr>
          <w:sz w:val="20"/>
          <w:szCs w:val="20"/>
        </w:rPr>
        <w:t>1.</w:t>
      </w:r>
      <w:r>
        <w:rPr>
          <w:sz w:val="20"/>
          <w:szCs w:val="20"/>
        </w:rPr>
        <w:t>6</w:t>
      </w:r>
      <w:r>
        <w:rPr>
          <w:sz w:val="20"/>
          <w:szCs w:val="20"/>
        </w:rPr>
        <w:t xml:space="preserve"> million shares of its common stock at </w:t>
      </w:r>
      <w:r>
        <w:rPr>
          <w:sz w:val="20"/>
          <w:szCs w:val="20"/>
        </w:rPr>
        <w:t>$</w:t>
      </w:r>
      <w:r>
        <w:rPr>
          <w:sz w:val="20"/>
          <w:szCs w:val="20"/>
        </w:rPr>
        <w:t>207.1</w:t>
      </w:r>
      <w:r>
        <w:rPr>
          <w:sz w:val="20"/>
          <w:szCs w:val="20"/>
        </w:rPr>
        <w:t>7</w:t>
      </w:r>
      <w:r>
        <w:rPr>
          <w:sz w:val="20"/>
          <w:szCs w:val="20"/>
        </w:rPr>
        <w:t xml:space="preserve"> per share. Of the </w:t>
      </w:r>
      <w:r>
        <w:rPr>
          <w:sz w:val="20"/>
          <w:szCs w:val="20"/>
        </w:rPr>
        <w:t>$</w:t>
      </w:r>
      <w:r>
        <w:rPr>
          <w:sz w:val="20"/>
          <w:szCs w:val="20"/>
        </w:rPr>
        <w:t>613.</w:t>
      </w:r>
      <w:r>
        <w:rPr>
          <w:sz w:val="20"/>
          <w:szCs w:val="20"/>
        </w:rPr>
        <w:t>5</w:t>
      </w:r>
      <w:r>
        <w:rPr>
          <w:sz w:val="20"/>
          <w:szCs w:val="20"/>
        </w:rPr>
        <w:t xml:space="preserve"> million in aggregate consideration, </w:t>
      </w:r>
      <w:r>
        <w:rPr>
          <w:sz w:val="20"/>
          <w:szCs w:val="20"/>
        </w:rPr>
        <w:t>$</w:t>
      </w:r>
      <w:r>
        <w:rPr>
          <w:sz w:val="20"/>
          <w:szCs w:val="20"/>
        </w:rPr>
        <w:t>248.</w:t>
      </w:r>
      <w:r>
        <w:rPr>
          <w:sz w:val="20"/>
          <w:szCs w:val="20"/>
        </w:rPr>
        <w:t>7</w:t>
      </w:r>
      <w:r>
        <w:rPr>
          <w:sz w:val="20"/>
          <w:szCs w:val="20"/>
        </w:rPr>
        <w:t xml:space="preserve"> million was allocated to the fair value of the debt component of the repurchase, and </w:t>
      </w:r>
      <w:r>
        <w:rPr>
          <w:sz w:val="20"/>
          <w:szCs w:val="20"/>
        </w:rPr>
        <w:t>$</w:t>
      </w:r>
      <w:r>
        <w:rPr>
          <w:sz w:val="20"/>
          <w:szCs w:val="20"/>
        </w:rPr>
        <w:t>3</w:t>
      </w:r>
      <w:r>
        <w:rPr>
          <w:sz w:val="20"/>
          <w:szCs w:val="20"/>
        </w:rPr>
        <w:t>64.</w:t>
      </w:r>
      <w:r>
        <w:rPr>
          <w:sz w:val="20"/>
          <w:szCs w:val="20"/>
        </w:rPr>
        <w:t>8</w:t>
      </w:r>
      <w:r>
        <w:rPr>
          <w:sz w:val="20"/>
          <w:szCs w:val="20"/>
        </w:rPr>
        <w:t xml:space="preserve"> million was allocated to the equity component (the associated Conversion Option of the 2022 Notes) of the repurchases, utilizing a discount rate of</w:t>
      </w:r>
      <w:r>
        <w:rPr>
          <w:sz w:val="20"/>
          <w:szCs w:val="20"/>
        </w:rPr>
        <w:t xml:space="preserve"> </w:t>
      </w:r>
      <w:r>
        <w:rPr>
          <w:sz w:val="20"/>
          <w:szCs w:val="20"/>
        </w:rPr>
        <w:t>4.</w:t>
      </w:r>
      <w:r>
        <w:rPr>
          <w:sz w:val="20"/>
          <w:szCs w:val="20"/>
        </w:rPr>
        <w:t>9</w:t>
      </w:r>
      <w:r>
        <w:rPr>
          <w:sz w:val="20"/>
          <w:szCs w:val="20"/>
        </w:rPr>
        <w:t>% to determine the fair value of the liability component. As of the partial repurchase date, the car</w:t>
      </w:r>
      <w:r>
        <w:rPr>
          <w:sz w:val="20"/>
          <w:szCs w:val="20"/>
        </w:rPr>
        <w:t xml:space="preserve">rying value of the 2022 Notes subject to the 2022 Notes partial repurchase, net of unamortized debt discount and issuance costs, was </w:t>
      </w:r>
      <w:r>
        <w:rPr>
          <w:sz w:val="20"/>
          <w:szCs w:val="20"/>
        </w:rPr>
        <w:t>$</w:t>
      </w:r>
      <w:r>
        <w:rPr>
          <w:sz w:val="20"/>
          <w:szCs w:val="20"/>
        </w:rPr>
        <w:t>238.</w:t>
      </w:r>
      <w:r>
        <w:rPr>
          <w:sz w:val="20"/>
          <w:szCs w:val="20"/>
        </w:rPr>
        <w:t>2</w:t>
      </w:r>
      <w:r>
        <w:rPr>
          <w:sz w:val="20"/>
          <w:szCs w:val="20"/>
        </w:rPr>
        <w:t xml:space="preserve"> million. The 2022 Notes partial repurchase and issuance of the 2025 Notes were deemed to have substantially differen</w:t>
      </w:r>
      <w:r>
        <w:rPr>
          <w:sz w:val="20"/>
          <w:szCs w:val="20"/>
        </w:rPr>
        <w:t>t terms due to the significant difference between the value of the conversion option immediately prior to and after the exchange, and accordingly, the 2022 Notes partial repurchase was accounted for as a debt extinguishment. The 2022 Notes partial repurcha</w:t>
      </w:r>
      <w:r>
        <w:rPr>
          <w:sz w:val="20"/>
          <w:szCs w:val="20"/>
        </w:rPr>
        <w:t xml:space="preserve">se resulted in a </w:t>
      </w:r>
      <w:r>
        <w:rPr>
          <w:sz w:val="20"/>
          <w:szCs w:val="20"/>
        </w:rPr>
        <w:t>$</w:t>
      </w:r>
      <w:r>
        <w:rPr>
          <w:sz w:val="20"/>
          <w:szCs w:val="20"/>
        </w:rPr>
        <w:t>10.</w:t>
      </w:r>
      <w:r>
        <w:rPr>
          <w:sz w:val="20"/>
          <w:szCs w:val="20"/>
        </w:rPr>
        <w:t>5</w:t>
      </w:r>
      <w:r>
        <w:rPr>
          <w:sz w:val="20"/>
          <w:szCs w:val="20"/>
        </w:rPr>
        <w:t xml:space="preserve"> million loss on early extinguishment of debt, which is recorded within interest expense on the Company’s statements of operations in 2020. In connection with the partial repurchase of the 2022 Notes, the consideration allocated to th</w:t>
      </w:r>
      <w:r>
        <w:rPr>
          <w:sz w:val="20"/>
          <w:szCs w:val="20"/>
        </w:rPr>
        <w:t xml:space="preserve">e equity component of </w:t>
      </w:r>
      <w:r>
        <w:rPr>
          <w:sz w:val="20"/>
          <w:szCs w:val="20"/>
        </w:rPr>
        <w:t>$</w:t>
      </w:r>
      <w:r>
        <w:rPr>
          <w:sz w:val="20"/>
          <w:szCs w:val="20"/>
        </w:rPr>
        <w:t>364.</w:t>
      </w:r>
      <w:r>
        <w:rPr>
          <w:sz w:val="20"/>
          <w:szCs w:val="20"/>
        </w:rPr>
        <w:t>8</w:t>
      </w:r>
      <w:r>
        <w:rPr>
          <w:sz w:val="20"/>
          <w:szCs w:val="20"/>
        </w:rPr>
        <w:t xml:space="preserve"> million was recorded as a reduction to additional paid-in capital on the Company’s consolidated balance sheet. The Company also reversed a corresponding portion of the associated deferred tax liability and increased the Company</w:t>
      </w:r>
      <w:r>
        <w:rPr>
          <w:sz w:val="20"/>
          <w:szCs w:val="20"/>
        </w:rPr>
        <w:t>’s valuation allowance on its US deferred tax assets, resulting in no net deferred tax impact</w:t>
      </w:r>
      <w:r>
        <w:rPr>
          <w:sz w:val="20"/>
          <w:szCs w:val="20"/>
        </w:rPr>
        <w:t>.</w:t>
      </w:r>
      <w:r>
        <w:rPr>
          <w:sz w:val="20"/>
          <w:szCs w:val="20"/>
        </w:rPr>
        <w:t xml:space="preserve"> </w:t>
      </w:r>
    </w:p>
    <w:p w:rsidR="00000000" w:rsidRDefault="00A309A2">
      <w:pPr>
        <w:pStyle w:val="a3"/>
        <w:spacing w:before="240" w:beforeAutospacing="0" w:after="0" w:afterAutospacing="0"/>
        <w:jc w:val="center"/>
        <w:divId w:val="1861161000"/>
        <w:rPr>
          <w:sz w:val="20"/>
          <w:szCs w:val="20"/>
        </w:rPr>
      </w:pPr>
      <w:r>
        <w:rPr>
          <w:sz w:val="20"/>
          <w:szCs w:val="20"/>
        </w:rPr>
        <w:t>8</w:t>
      </w:r>
      <w:r>
        <w:rPr>
          <w:sz w:val="20"/>
          <w:szCs w:val="20"/>
        </w:rPr>
        <w:t>4</w:t>
      </w:r>
    </w:p>
    <w:p w:rsidR="00000000" w:rsidRDefault="00A309A2">
      <w:pPr>
        <w:divId w:val="1861161000"/>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A309A2">
      <w:pPr>
        <w:pStyle w:val="a3"/>
        <w:spacing w:before="0" w:beforeAutospacing="0" w:after="0" w:afterAutospacing="0"/>
        <w:divId w:val="1861161000"/>
        <w:rPr>
          <w:sz w:val="20"/>
          <w:szCs w:val="20"/>
        </w:rPr>
      </w:pPr>
      <w:r>
        <w:rPr>
          <w:sz w:val="20"/>
          <w:szCs w:val="20"/>
        </w:rPr>
        <w:t> </w:t>
      </w:r>
    </w:p>
    <w:p w:rsidR="00000000" w:rsidRDefault="00A309A2">
      <w:pPr>
        <w:pStyle w:val="a3"/>
        <w:spacing w:before="240" w:beforeAutospacing="0" w:after="0" w:afterAutospacing="0"/>
        <w:ind w:firstLine="555"/>
        <w:divId w:val="1861161000"/>
        <w:rPr>
          <w:sz w:val="20"/>
          <w:szCs w:val="20"/>
        </w:rPr>
      </w:pPr>
      <w:r>
        <w:rPr>
          <w:sz w:val="20"/>
          <w:szCs w:val="20"/>
        </w:rPr>
        <w:t>In connection with the partial repurchase of the 2022 Notes, the Company terminated Convertible Note Hedges corresponding to approximately</w:t>
      </w:r>
      <w:r>
        <w:rPr>
          <w:sz w:val="20"/>
          <w:szCs w:val="20"/>
        </w:rPr>
        <w:t xml:space="preserve"> </w:t>
      </w:r>
      <w:r>
        <w:rPr>
          <w:sz w:val="20"/>
          <w:szCs w:val="20"/>
        </w:rPr>
        <w:t>2.</w:t>
      </w:r>
      <w:r>
        <w:rPr>
          <w:sz w:val="20"/>
          <w:szCs w:val="20"/>
        </w:rPr>
        <w:t>9</w:t>
      </w:r>
      <w:r>
        <w:rPr>
          <w:sz w:val="20"/>
          <w:szCs w:val="20"/>
        </w:rPr>
        <w:t xml:space="preserve"> million shares of the Company’s common stock in exchange for cash consideration of </w:t>
      </w:r>
      <w:r>
        <w:rPr>
          <w:sz w:val="20"/>
          <w:szCs w:val="20"/>
        </w:rPr>
        <w:t>$</w:t>
      </w:r>
      <w:r>
        <w:rPr>
          <w:sz w:val="20"/>
          <w:szCs w:val="20"/>
        </w:rPr>
        <w:t>362.</w:t>
      </w:r>
      <w:r>
        <w:rPr>
          <w:sz w:val="20"/>
          <w:szCs w:val="20"/>
        </w:rPr>
        <w:t>5</w:t>
      </w:r>
      <w:r>
        <w:rPr>
          <w:sz w:val="20"/>
          <w:szCs w:val="20"/>
        </w:rPr>
        <w:t xml:space="preserve"> million, and certain co</w:t>
      </w:r>
      <w:r>
        <w:rPr>
          <w:sz w:val="20"/>
          <w:szCs w:val="20"/>
        </w:rPr>
        <w:t>unterparties terminated Warrants corresponding to approximately</w:t>
      </w:r>
      <w:r>
        <w:rPr>
          <w:sz w:val="20"/>
          <w:szCs w:val="20"/>
        </w:rPr>
        <w:t xml:space="preserve"> </w:t>
      </w:r>
      <w:r>
        <w:rPr>
          <w:sz w:val="20"/>
          <w:szCs w:val="20"/>
        </w:rPr>
        <w:t>2.</w:t>
      </w:r>
      <w:r>
        <w:rPr>
          <w:sz w:val="20"/>
          <w:szCs w:val="20"/>
        </w:rPr>
        <w:t>9</w:t>
      </w:r>
      <w:r>
        <w:rPr>
          <w:sz w:val="20"/>
          <w:szCs w:val="20"/>
        </w:rPr>
        <w:t xml:space="preserve"> million shares of the Company’s common stock in exchange for cash consideration of </w:t>
      </w:r>
      <w:r>
        <w:rPr>
          <w:sz w:val="20"/>
          <w:szCs w:val="20"/>
        </w:rPr>
        <w:t>$</w:t>
      </w:r>
      <w:r>
        <w:rPr>
          <w:sz w:val="20"/>
          <w:szCs w:val="20"/>
        </w:rPr>
        <w:t>327.</w:t>
      </w:r>
      <w:r>
        <w:rPr>
          <w:sz w:val="20"/>
          <w:szCs w:val="20"/>
        </w:rPr>
        <w:t>6</w:t>
      </w:r>
      <w:r>
        <w:rPr>
          <w:sz w:val="20"/>
          <w:szCs w:val="20"/>
        </w:rPr>
        <w:t xml:space="preserve"> million. The net proceeds of </w:t>
      </w:r>
      <w:r>
        <w:rPr>
          <w:sz w:val="20"/>
          <w:szCs w:val="20"/>
        </w:rPr>
        <w:t>$</w:t>
      </w:r>
      <w:r>
        <w:rPr>
          <w:sz w:val="20"/>
          <w:szCs w:val="20"/>
        </w:rPr>
        <w:t>34.</w:t>
      </w:r>
      <w:r>
        <w:rPr>
          <w:sz w:val="20"/>
          <w:szCs w:val="20"/>
        </w:rPr>
        <w:t>9</w:t>
      </w:r>
      <w:r>
        <w:rPr>
          <w:sz w:val="20"/>
          <w:szCs w:val="20"/>
        </w:rPr>
        <w:t xml:space="preserve"> million received from these transactions were recorded as an in</w:t>
      </w:r>
      <w:r>
        <w:rPr>
          <w:sz w:val="20"/>
          <w:szCs w:val="20"/>
        </w:rPr>
        <w:t>crease to additional paid-in capital. In the year ended December 31, 2021,</w:t>
      </w:r>
      <w:r>
        <w:rPr>
          <w:sz w:val="20"/>
          <w:szCs w:val="20"/>
        </w:rPr>
        <w:t xml:space="preserve"> </w:t>
      </w:r>
      <w:r>
        <w:rPr>
          <w:sz w:val="20"/>
          <w:szCs w:val="20"/>
        </w:rPr>
        <w:t xml:space="preserve">the Company exercised and net-share-settled a portion of the Convertible Note Hedges, corresponding to approximately </w:t>
      </w:r>
      <w:r>
        <w:rPr>
          <w:sz w:val="20"/>
          <w:szCs w:val="20"/>
        </w:rPr>
        <w:t>$</w:t>
      </w:r>
      <w:r>
        <w:rPr>
          <w:sz w:val="20"/>
          <w:szCs w:val="20"/>
        </w:rPr>
        <w:t>106.</w:t>
      </w:r>
      <w:r>
        <w:rPr>
          <w:sz w:val="20"/>
          <w:szCs w:val="20"/>
        </w:rPr>
        <w:t>5</w:t>
      </w:r>
      <w:r>
        <w:rPr>
          <w:sz w:val="20"/>
          <w:szCs w:val="20"/>
        </w:rPr>
        <w:t xml:space="preserve"> million in principa</w:t>
      </w:r>
      <w:r>
        <w:rPr>
          <w:sz w:val="20"/>
          <w:szCs w:val="20"/>
        </w:rPr>
        <w:t>l</w:t>
      </w:r>
      <w:r>
        <w:rPr>
          <w:sz w:val="20"/>
          <w:szCs w:val="20"/>
        </w:rPr>
        <w:t xml:space="preserve"> </w:t>
      </w:r>
      <w:r>
        <w:rPr>
          <w:sz w:val="20"/>
          <w:szCs w:val="20"/>
        </w:rPr>
        <w:t>amount of 2022 Notes and received ap</w:t>
      </w:r>
      <w:r>
        <w:rPr>
          <w:sz w:val="20"/>
          <w:szCs w:val="20"/>
        </w:rPr>
        <w:t>proximately</w:t>
      </w:r>
      <w:r>
        <w:rPr>
          <w:sz w:val="20"/>
          <w:szCs w:val="20"/>
        </w:rPr>
        <w:t xml:space="preserve"> </w:t>
      </w:r>
      <w:r>
        <w:rPr>
          <w:sz w:val="20"/>
          <w:szCs w:val="20"/>
        </w:rPr>
        <w:t>0.</w:t>
      </w:r>
      <w:r>
        <w:rPr>
          <w:sz w:val="20"/>
          <w:szCs w:val="20"/>
        </w:rPr>
        <w:t>9</w:t>
      </w:r>
      <w:r>
        <w:rPr>
          <w:sz w:val="20"/>
          <w:szCs w:val="20"/>
        </w:rPr>
        <w:t xml:space="preserve"> million shares of common stock and a </w:t>
      </w:r>
      <w:r>
        <w:rPr>
          <w:sz w:val="20"/>
          <w:szCs w:val="20"/>
        </w:rPr>
        <w:t>$</w:t>
      </w:r>
      <w:r>
        <w:rPr>
          <w:sz w:val="20"/>
          <w:szCs w:val="20"/>
        </w:rPr>
        <w:t>9.</w:t>
      </w:r>
      <w:r>
        <w:rPr>
          <w:sz w:val="20"/>
          <w:szCs w:val="20"/>
        </w:rPr>
        <w:t>0</w:t>
      </w:r>
      <w:r>
        <w:rPr>
          <w:sz w:val="20"/>
          <w:szCs w:val="20"/>
        </w:rPr>
        <w:t xml:space="preserve"> million cash payment.</w:t>
      </w:r>
      <w:r>
        <w:rPr>
          <w:sz w:val="20"/>
          <w:szCs w:val="20"/>
        </w:rPr>
        <w:t xml:space="preserve"> </w:t>
      </w:r>
      <w:r>
        <w:rPr>
          <w:sz w:val="20"/>
          <w:szCs w:val="20"/>
        </w:rPr>
        <w:t>As of December 31, 202</w:t>
      </w:r>
      <w:r>
        <w:rPr>
          <w:sz w:val="20"/>
          <w:szCs w:val="20"/>
        </w:rPr>
        <w:t>1</w:t>
      </w:r>
      <w:r>
        <w:rPr>
          <w:sz w:val="20"/>
          <w:szCs w:val="20"/>
        </w:rPr>
        <w:t>, Convertible Note Hedges giving the Company the option to purchase approximately</w:t>
      </w:r>
      <w:r>
        <w:rPr>
          <w:sz w:val="20"/>
          <w:szCs w:val="20"/>
        </w:rPr>
        <w:t xml:space="preserve"> </w:t>
      </w:r>
      <w:r>
        <w:rPr>
          <w:sz w:val="20"/>
          <w:szCs w:val="20"/>
        </w:rPr>
        <w:t>0.</w:t>
      </w:r>
      <w:r>
        <w:rPr>
          <w:sz w:val="20"/>
          <w:szCs w:val="20"/>
        </w:rPr>
        <w:t>2</w:t>
      </w:r>
      <w:r>
        <w:rPr>
          <w:sz w:val="20"/>
          <w:szCs w:val="20"/>
        </w:rPr>
        <w:t xml:space="preserve"> million shares of the Company’s common stock and Warrants giving ce</w:t>
      </w:r>
      <w:r>
        <w:rPr>
          <w:sz w:val="20"/>
          <w:szCs w:val="20"/>
        </w:rPr>
        <w:t>rtain counterparties the option to acquire up to</w:t>
      </w:r>
      <w:r>
        <w:rPr>
          <w:sz w:val="20"/>
          <w:szCs w:val="20"/>
        </w:rPr>
        <w:t xml:space="preserve"> </w:t>
      </w:r>
      <w:r>
        <w:rPr>
          <w:sz w:val="20"/>
          <w:szCs w:val="20"/>
        </w:rPr>
        <w:t>1.</w:t>
      </w:r>
      <w:r>
        <w:rPr>
          <w:sz w:val="20"/>
          <w:szCs w:val="20"/>
        </w:rPr>
        <w:t>3</w:t>
      </w:r>
      <w:r>
        <w:rPr>
          <w:sz w:val="20"/>
          <w:szCs w:val="20"/>
        </w:rPr>
        <w:t xml:space="preserve"> million shares of the Company’s common stock remain outstanding</w:t>
      </w:r>
      <w:r>
        <w:rPr>
          <w:sz w:val="20"/>
          <w:szCs w:val="20"/>
        </w:rPr>
        <w:t>.</w:t>
      </w:r>
    </w:p>
    <w:p w:rsidR="00000000" w:rsidRDefault="00A309A2">
      <w:pPr>
        <w:pStyle w:val="a3"/>
        <w:spacing w:before="240" w:beforeAutospacing="0" w:after="0" w:afterAutospacing="0"/>
        <w:ind w:firstLine="555"/>
        <w:divId w:val="1861161000"/>
        <w:rPr>
          <w:sz w:val="20"/>
          <w:szCs w:val="20"/>
        </w:rPr>
      </w:pPr>
      <w:r>
        <w:rPr>
          <w:sz w:val="20"/>
          <w:szCs w:val="20"/>
        </w:rPr>
        <w:t>The 2022 Notes are classified as short-term debt and the equity component of the 2022 Notes is classified as additional paid-in capital. A</w:t>
      </w:r>
      <w:r>
        <w:rPr>
          <w:sz w:val="20"/>
          <w:szCs w:val="20"/>
        </w:rPr>
        <w:t>s of December 31, 2021,</w:t>
      </w:r>
      <w:r>
        <w:rPr>
          <w:sz w:val="20"/>
          <w:szCs w:val="20"/>
        </w:rPr>
        <w:t xml:space="preserve"> </w:t>
      </w:r>
      <w:r>
        <w:rPr>
          <w:sz w:val="20"/>
          <w:szCs w:val="20"/>
        </w:rPr>
        <w:t>$</w:t>
      </w:r>
      <w:r>
        <w:rPr>
          <w:sz w:val="20"/>
          <w:szCs w:val="20"/>
        </w:rPr>
        <w:t>19.</w:t>
      </w:r>
      <w:r>
        <w:rPr>
          <w:sz w:val="20"/>
          <w:szCs w:val="20"/>
        </w:rPr>
        <w:t>4</w:t>
      </w:r>
      <w:r>
        <w:rPr>
          <w:sz w:val="20"/>
          <w:szCs w:val="20"/>
        </w:rPr>
        <w:t xml:space="preserve"> million of principal remains outstanding on the 2022 Notes</w:t>
      </w:r>
      <w:r>
        <w:rPr>
          <w:sz w:val="20"/>
          <w:szCs w:val="20"/>
        </w:rPr>
        <w:t>.</w:t>
      </w:r>
      <w:r>
        <w:rPr>
          <w:sz w:val="20"/>
          <w:szCs w:val="20"/>
        </w:rPr>
        <w:t xml:space="preserve"> </w:t>
      </w:r>
    </w:p>
    <w:p w:rsidR="00000000" w:rsidRDefault="00A309A2">
      <w:pPr>
        <w:pStyle w:val="a3"/>
        <w:spacing w:before="240" w:beforeAutospacing="0" w:after="0" w:afterAutospacing="0"/>
        <w:ind w:firstLine="555"/>
        <w:divId w:val="985358484"/>
        <w:rPr>
          <w:sz w:val="20"/>
          <w:szCs w:val="20"/>
        </w:rPr>
      </w:pPr>
      <w:r>
        <w:rPr>
          <w:sz w:val="20"/>
          <w:szCs w:val="20"/>
        </w:rPr>
        <w:t>The net carrying amount of the liability component of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06"/>
        <w:gridCol w:w="110"/>
        <w:gridCol w:w="160"/>
        <w:gridCol w:w="1095"/>
        <w:gridCol w:w="127"/>
        <w:gridCol w:w="110"/>
        <w:gridCol w:w="160"/>
        <w:gridCol w:w="1135"/>
        <w:gridCol w:w="142"/>
      </w:tblGrid>
      <w:tr w:rsidR="00000000">
        <w:trPr>
          <w:divId w:val="985358484"/>
          <w:tblCellSpacing w:w="15" w:type="dxa"/>
        </w:trPr>
        <w:tc>
          <w:tcPr>
            <w:tcW w:w="2820" w:type="pct"/>
            <w:vAlign w:val="center"/>
            <w:hideMark/>
          </w:tcPr>
          <w:p w:rsidR="00000000" w:rsidRDefault="00A309A2">
            <w:pPr>
              <w:rPr>
                <w:sz w:val="20"/>
                <w:szCs w:val="20"/>
              </w:rPr>
            </w:pPr>
          </w:p>
        </w:tc>
        <w:tc>
          <w:tcPr>
            <w:tcW w:w="78"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855"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77"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886"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r>
      <w:tr w:rsidR="00000000">
        <w:trPr>
          <w:divId w:val="985358484"/>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85358484"/>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85358484"/>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Principa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19,38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125,83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85358484"/>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Unamortized debt discoun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10,39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985358484"/>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Unamortized issuance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985358484"/>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Net carrying amoun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18,87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114,66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ind w:firstLine="816"/>
        <w:divId w:val="1861161000"/>
        <w:rPr>
          <w:sz w:val="20"/>
          <w:szCs w:val="20"/>
        </w:rPr>
      </w:pPr>
      <w:r>
        <w:rPr>
          <w:sz w:val="20"/>
          <w:szCs w:val="20"/>
        </w:rPr>
        <w:t> </w:t>
      </w:r>
    </w:p>
    <w:p w:rsidR="00000000" w:rsidRDefault="00A309A2">
      <w:pPr>
        <w:pStyle w:val="a3"/>
        <w:spacing w:before="40" w:beforeAutospacing="0" w:after="0" w:afterAutospacing="0"/>
        <w:ind w:firstLine="555"/>
        <w:divId w:val="269240356"/>
        <w:rPr>
          <w:sz w:val="20"/>
          <w:szCs w:val="20"/>
        </w:rPr>
      </w:pPr>
      <w:r>
        <w:rPr>
          <w:sz w:val="20"/>
          <w:szCs w:val="20"/>
        </w:rPr>
        <w:t>The net carrying amount of the equity component of the 2022 Notes is as follows</w:t>
      </w:r>
      <w:r>
        <w:rPr>
          <w:sz w:val="20"/>
          <w:szCs w:val="20"/>
        </w:rPr>
        <w:t>:</w:t>
      </w:r>
    </w:p>
    <w:p w:rsidR="00000000" w:rsidRDefault="00A309A2">
      <w:pPr>
        <w:pStyle w:val="a3"/>
        <w:spacing w:before="0" w:beforeAutospacing="0" w:after="0" w:afterAutospacing="0"/>
        <w:ind w:firstLine="816"/>
        <w:divId w:val="26924035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02"/>
        <w:gridCol w:w="110"/>
        <w:gridCol w:w="161"/>
        <w:gridCol w:w="1103"/>
        <w:gridCol w:w="127"/>
        <w:gridCol w:w="110"/>
        <w:gridCol w:w="160"/>
        <w:gridCol w:w="1130"/>
        <w:gridCol w:w="142"/>
      </w:tblGrid>
      <w:tr w:rsidR="00000000">
        <w:trPr>
          <w:divId w:val="269240356"/>
          <w:tblCellSpacing w:w="15" w:type="dxa"/>
        </w:trPr>
        <w:tc>
          <w:tcPr>
            <w:tcW w:w="2816" w:type="pct"/>
            <w:vAlign w:val="center"/>
            <w:hideMark/>
          </w:tcPr>
          <w:p w:rsidR="00000000" w:rsidRDefault="00A309A2">
            <w:pPr>
              <w:rPr>
                <w:sz w:val="20"/>
                <w:szCs w:val="20"/>
              </w:rPr>
            </w:pPr>
          </w:p>
        </w:tc>
        <w:tc>
          <w:tcPr>
            <w:tcW w:w="79"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860"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78" w:type="pct"/>
            <w:vAlign w:val="center"/>
            <w:hideMark/>
          </w:tcPr>
          <w:p w:rsidR="00000000" w:rsidRDefault="00A309A2">
            <w:pPr>
              <w:rPr>
                <w:rFonts w:eastAsia="Times New Roman"/>
                <w:sz w:val="20"/>
                <w:szCs w:val="20"/>
              </w:rPr>
            </w:pPr>
          </w:p>
        </w:tc>
        <w:tc>
          <w:tcPr>
            <w:tcW w:w="84" w:type="pct"/>
            <w:vAlign w:val="center"/>
            <w:hideMark/>
          </w:tcPr>
          <w:p w:rsidR="00000000" w:rsidRDefault="00A309A2">
            <w:pPr>
              <w:rPr>
                <w:rFonts w:eastAsia="Times New Roman"/>
                <w:sz w:val="20"/>
                <w:szCs w:val="20"/>
              </w:rPr>
            </w:pPr>
          </w:p>
        </w:tc>
        <w:tc>
          <w:tcPr>
            <w:tcW w:w="882"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r>
      <w:tr w:rsidR="00000000">
        <w:trPr>
          <w:divId w:val="269240356"/>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As of December 31,</w:t>
            </w:r>
            <w:r>
              <w:rPr>
                <w:b/>
                <w:bCs/>
                <w:sz w:val="16"/>
                <w:szCs w:val="16"/>
              </w:rPr>
              <w:b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269240356"/>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26924035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Debt discount for conversion optio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5,13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33,34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26924035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Issuance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89</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269240356"/>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Net carrying amoun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4,99</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32,45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861161000"/>
        <w:rPr>
          <w:sz w:val="20"/>
          <w:szCs w:val="20"/>
        </w:rPr>
      </w:pPr>
      <w:r>
        <w:rPr>
          <w:sz w:val="20"/>
          <w:szCs w:val="20"/>
        </w:rPr>
        <w:t> </w:t>
      </w:r>
    </w:p>
    <w:p w:rsidR="00000000" w:rsidRDefault="00A309A2">
      <w:pPr>
        <w:pStyle w:val="a3"/>
        <w:spacing w:before="40" w:beforeAutospacing="0" w:after="0" w:afterAutospacing="0"/>
        <w:ind w:firstLine="555"/>
        <w:divId w:val="1289386512"/>
        <w:rPr>
          <w:sz w:val="20"/>
          <w:szCs w:val="20"/>
        </w:rPr>
      </w:pPr>
      <w:r>
        <w:rPr>
          <w:sz w:val="20"/>
          <w:szCs w:val="20"/>
        </w:rPr>
        <w:t>Interest expense related to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985"/>
        <w:gridCol w:w="110"/>
        <w:gridCol w:w="160"/>
        <w:gridCol w:w="849"/>
        <w:gridCol w:w="110"/>
        <w:gridCol w:w="110"/>
        <w:gridCol w:w="160"/>
        <w:gridCol w:w="891"/>
        <w:gridCol w:w="110"/>
        <w:gridCol w:w="110"/>
        <w:gridCol w:w="160"/>
        <w:gridCol w:w="765"/>
        <w:gridCol w:w="125"/>
      </w:tblGrid>
      <w:tr w:rsidR="00000000">
        <w:trPr>
          <w:divId w:val="1289386512"/>
          <w:tblCellSpacing w:w="15" w:type="dxa"/>
        </w:trPr>
        <w:tc>
          <w:tcPr>
            <w:tcW w:w="2377" w:type="pct"/>
            <w:vAlign w:val="center"/>
            <w:hideMark/>
          </w:tcPr>
          <w:p w:rsidR="00000000" w:rsidRDefault="00A309A2">
            <w:pPr>
              <w:rPr>
                <w:sz w:val="20"/>
                <w:szCs w:val="20"/>
              </w:rPr>
            </w:pPr>
          </w:p>
        </w:tc>
        <w:tc>
          <w:tcPr>
            <w:tcW w:w="66"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692"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66"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726"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67"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624" w:type="pct"/>
            <w:vAlign w:val="center"/>
            <w:hideMark/>
          </w:tcPr>
          <w:p w:rsidR="00000000" w:rsidRDefault="00A309A2">
            <w:pPr>
              <w:rPr>
                <w:rFonts w:eastAsia="Times New Roman"/>
                <w:sz w:val="20"/>
                <w:szCs w:val="20"/>
              </w:rPr>
            </w:pPr>
          </w:p>
        </w:tc>
        <w:tc>
          <w:tcPr>
            <w:tcW w:w="43" w:type="pct"/>
            <w:vAlign w:val="center"/>
            <w:hideMark/>
          </w:tcPr>
          <w:p w:rsidR="00000000" w:rsidRDefault="00A309A2">
            <w:pPr>
              <w:rPr>
                <w:rFonts w:eastAsia="Times New Roman"/>
                <w:sz w:val="20"/>
                <w:szCs w:val="20"/>
              </w:rPr>
            </w:pPr>
          </w:p>
        </w:tc>
      </w:tr>
      <w:tr w:rsidR="00000000">
        <w:trPr>
          <w:divId w:val="128938651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28938651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289386512"/>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28938651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61</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28938651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13,15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20,27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28938651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27</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28938651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4,06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14,74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22,79</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861161000"/>
        <w:rPr>
          <w:sz w:val="20"/>
          <w:szCs w:val="20"/>
        </w:rPr>
      </w:pPr>
      <w:r>
        <w:rPr>
          <w:sz w:val="12"/>
          <w:szCs w:val="12"/>
        </w:rPr>
        <w:t> </w:t>
      </w:r>
    </w:p>
    <w:p w:rsidR="00000000" w:rsidRDefault="00A309A2">
      <w:pPr>
        <w:pStyle w:val="a3"/>
        <w:spacing w:before="0" w:beforeAutospacing="0" w:after="0" w:afterAutospacing="0"/>
        <w:divId w:val="1861161000"/>
        <w:rPr>
          <w:sz w:val="20"/>
          <w:szCs w:val="20"/>
        </w:rPr>
      </w:pPr>
      <w:r>
        <w:rPr>
          <w:sz w:val="12"/>
          <w:szCs w:val="12"/>
        </w:rPr>
        <w:t> </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8</w:t>
      </w:r>
      <w:r>
        <w:rPr>
          <w:sz w:val="20"/>
          <w:szCs w:val="20"/>
        </w:rPr>
        <w:t>5</w:t>
      </w:r>
    </w:p>
    <w:p w:rsidR="00000000" w:rsidRDefault="00A309A2">
      <w:pPr>
        <w:rPr>
          <w:rFonts w:eastAsia="Times New Roman"/>
        </w:rPr>
      </w:pPr>
      <w:r>
        <w:rPr>
          <w:rFonts w:eastAsia="Times New Roman"/>
        </w:rPr>
        <w:pict>
          <v:rect id="_x0000_i111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divId w:val="574366535"/>
        <w:rPr>
          <w:sz w:val="20"/>
          <w:szCs w:val="20"/>
        </w:rPr>
      </w:pPr>
      <w:r>
        <w:rPr>
          <w:b/>
          <w:bCs/>
          <w:sz w:val="20"/>
          <w:szCs w:val="20"/>
        </w:rPr>
        <w:t>10. Segment Information and Geographic Dat</w:t>
      </w:r>
      <w:r>
        <w:rPr>
          <w:b/>
          <w:bCs/>
          <w:sz w:val="20"/>
          <w:szCs w:val="20"/>
        </w:rPr>
        <w:t>a</w:t>
      </w:r>
    </w:p>
    <w:p w:rsidR="00000000" w:rsidRDefault="00A309A2">
      <w:pPr>
        <w:pStyle w:val="a3"/>
        <w:spacing w:before="120" w:beforeAutospacing="0" w:after="0" w:afterAutospacing="0"/>
        <w:ind w:firstLine="555"/>
        <w:divId w:val="574366535"/>
        <w:rPr>
          <w:sz w:val="20"/>
          <w:szCs w:val="20"/>
        </w:rPr>
      </w:pPr>
      <w:r>
        <w:rPr>
          <w:sz w:val="20"/>
          <w:szCs w:val="20"/>
        </w:rPr>
        <w:t>As more fully described in the Company’s Summary of Significant Accounting Policies, the Company operates as</w:t>
      </w:r>
      <w:r>
        <w:rPr>
          <w:sz w:val="20"/>
          <w:szCs w:val="20"/>
        </w:rPr>
        <w:t xml:space="preserve"> </w:t>
      </w:r>
      <w:r>
        <w:rPr>
          <w:sz w:val="20"/>
          <w:szCs w:val="20"/>
        </w:rPr>
        <w:t>on</w:t>
      </w:r>
      <w:r>
        <w:rPr>
          <w:sz w:val="20"/>
          <w:szCs w:val="20"/>
        </w:rPr>
        <w:t>e</w:t>
      </w:r>
      <w:r>
        <w:rPr>
          <w:sz w:val="20"/>
          <w:szCs w:val="20"/>
        </w:rPr>
        <w:t xml:space="preserve"> operating segment. Revenue and long-lived assets by geographi</w:t>
      </w:r>
      <w:r>
        <w:rPr>
          <w:sz w:val="20"/>
          <w:szCs w:val="20"/>
        </w:rPr>
        <w:t>c region, based on the physical location of the operations recording the revenue or the long-lived assets, respectively, are as follows</w:t>
      </w:r>
      <w:r>
        <w:rPr>
          <w:sz w:val="20"/>
          <w:szCs w:val="20"/>
        </w:rPr>
        <w:t>:</w:t>
      </w:r>
    </w:p>
    <w:p w:rsidR="00000000" w:rsidRDefault="00A309A2">
      <w:pPr>
        <w:pStyle w:val="a3"/>
        <w:spacing w:before="240" w:beforeAutospacing="0" w:after="0" w:afterAutospacing="0"/>
        <w:ind w:firstLine="555"/>
        <w:divId w:val="902302033"/>
        <w:rPr>
          <w:sz w:val="20"/>
          <w:szCs w:val="20"/>
        </w:rPr>
      </w:pPr>
      <w:r>
        <w:rPr>
          <w:sz w:val="20"/>
          <w:szCs w:val="20"/>
        </w:rPr>
        <w:t>Revenues by geographical region</w:t>
      </w:r>
      <w:r>
        <w:rPr>
          <w:sz w:val="20"/>
          <w:szCs w:val="20"/>
        </w:rPr>
        <w:t>:</w:t>
      </w:r>
    </w:p>
    <w:p w:rsidR="00000000" w:rsidRDefault="00A309A2">
      <w:pPr>
        <w:pStyle w:val="a3"/>
        <w:spacing w:before="0" w:beforeAutospacing="0" w:after="0" w:afterAutospacing="0"/>
        <w:divId w:val="90230203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59"/>
        <w:gridCol w:w="110"/>
        <w:gridCol w:w="160"/>
        <w:gridCol w:w="860"/>
        <w:gridCol w:w="227"/>
        <w:gridCol w:w="110"/>
        <w:gridCol w:w="160"/>
        <w:gridCol w:w="710"/>
        <w:gridCol w:w="227"/>
        <w:gridCol w:w="110"/>
        <w:gridCol w:w="160"/>
        <w:gridCol w:w="710"/>
        <w:gridCol w:w="242"/>
      </w:tblGrid>
      <w:tr w:rsidR="00000000">
        <w:trPr>
          <w:divId w:val="902302033"/>
          <w:tblCellSpacing w:w="15" w:type="dxa"/>
        </w:trPr>
        <w:tc>
          <w:tcPr>
            <w:tcW w:w="2452" w:type="pct"/>
            <w:vAlign w:val="center"/>
            <w:hideMark/>
          </w:tcPr>
          <w:p w:rsidR="00000000" w:rsidRDefault="00A309A2">
            <w:pPr>
              <w:rPr>
                <w:sz w:val="20"/>
                <w:szCs w:val="20"/>
              </w:rPr>
            </w:pPr>
          </w:p>
        </w:tc>
        <w:tc>
          <w:tcPr>
            <w:tcW w:w="56"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679" w:type="pct"/>
            <w:vAlign w:val="center"/>
            <w:hideMark/>
          </w:tcPr>
          <w:p w:rsidR="00000000" w:rsidRDefault="00A309A2">
            <w:pPr>
              <w:rPr>
                <w:rFonts w:eastAsia="Times New Roman"/>
                <w:sz w:val="20"/>
                <w:szCs w:val="20"/>
              </w:rPr>
            </w:pPr>
          </w:p>
        </w:tc>
        <w:tc>
          <w:tcPr>
            <w:tcW w:w="138"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17" w:type="pct"/>
            <w:vAlign w:val="center"/>
            <w:hideMark/>
          </w:tcPr>
          <w:p w:rsidR="00000000" w:rsidRDefault="00A309A2">
            <w:pPr>
              <w:rPr>
                <w:rFonts w:eastAsia="Times New Roman"/>
                <w:sz w:val="20"/>
                <w:szCs w:val="20"/>
              </w:rPr>
            </w:pPr>
          </w:p>
        </w:tc>
        <w:tc>
          <w:tcPr>
            <w:tcW w:w="138"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17" w:type="pct"/>
            <w:vAlign w:val="center"/>
            <w:hideMark/>
          </w:tcPr>
          <w:p w:rsidR="00000000" w:rsidRDefault="00A309A2">
            <w:pPr>
              <w:rPr>
                <w:rFonts w:eastAsia="Times New Roman"/>
                <w:sz w:val="20"/>
                <w:szCs w:val="20"/>
              </w:rPr>
            </w:pPr>
          </w:p>
        </w:tc>
        <w:tc>
          <w:tcPr>
            <w:tcW w:w="138" w:type="pct"/>
            <w:vAlign w:val="center"/>
            <w:hideMark/>
          </w:tcPr>
          <w:p w:rsidR="00000000" w:rsidRDefault="00A309A2">
            <w:pPr>
              <w:rPr>
                <w:rFonts w:eastAsia="Times New Roman"/>
                <w:sz w:val="20"/>
                <w:szCs w:val="20"/>
              </w:rPr>
            </w:pPr>
          </w:p>
        </w:tc>
      </w:tr>
      <w:tr w:rsidR="00000000">
        <w:trPr>
          <w:divId w:val="902302033"/>
          <w:trHeight w:val="160"/>
          <w:tblCellSpacing w:w="15" w:type="dxa"/>
        </w:trPr>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02302033"/>
          <w:trHeight w:val="160"/>
          <w:tblCellSpacing w:w="15" w:type="dxa"/>
        </w:trPr>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02302033"/>
          <w:trHeight w:val="160"/>
          <w:tblCellSpacing w:w="15" w:type="dxa"/>
        </w:trPr>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90230203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797,98</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568,36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456,56</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0230203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390,37</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243,81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168,45</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0230203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112,29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70,85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49,84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02302033"/>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1,300,65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883,02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674,86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902302033"/>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revenues generated outside of the</w:t>
            </w:r>
            <w:r>
              <w:rPr>
                <w:sz w:val="20"/>
                <w:szCs w:val="20"/>
              </w:rPr>
              <w:br/>
              <w:t>   America</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divId w:val="574366535"/>
        <w:rPr>
          <w:sz w:val="20"/>
          <w:szCs w:val="20"/>
        </w:rPr>
      </w:pPr>
      <w:r>
        <w:t> </w:t>
      </w:r>
    </w:p>
    <w:p w:rsidR="00000000" w:rsidRDefault="00A309A2">
      <w:pPr>
        <w:pStyle w:val="a3"/>
        <w:spacing w:before="0" w:beforeAutospacing="0" w:after="0" w:afterAutospacing="0"/>
        <w:ind w:firstLine="555"/>
        <w:divId w:val="574366535"/>
        <w:rPr>
          <w:sz w:val="20"/>
          <w:szCs w:val="20"/>
        </w:rPr>
      </w:pPr>
      <w:r>
        <w:rPr>
          <w:sz w:val="20"/>
          <w:szCs w:val="20"/>
        </w:rPr>
        <w:t>Revenue derived from customers outside the United States (international) was approximately</w:t>
      </w:r>
      <w:r>
        <w:rPr>
          <w:sz w:val="20"/>
          <w:szCs w:val="20"/>
        </w:rPr>
        <w:t xml:space="preserve"> </w:t>
      </w:r>
      <w:r>
        <w:rPr>
          <w:sz w:val="20"/>
          <w:szCs w:val="20"/>
        </w:rPr>
        <w:t>4</w:t>
      </w:r>
      <w:r>
        <w:rPr>
          <w:sz w:val="20"/>
          <w:szCs w:val="20"/>
        </w:rPr>
        <w:t>6</w:t>
      </w:r>
      <w:r>
        <w:rPr>
          <w:sz w:val="20"/>
          <w:szCs w:val="20"/>
        </w:rPr>
        <w:t>%</w:t>
      </w:r>
      <w:r>
        <w:rPr>
          <w:sz w:val="20"/>
          <w:szCs w:val="20"/>
        </w:rPr>
        <w:t xml:space="preserve"> of total revenue in 2021,</w:t>
      </w:r>
      <w:r>
        <w:rPr>
          <w:sz w:val="20"/>
          <w:szCs w:val="20"/>
        </w:rPr>
        <w:t xml:space="preserve"> </w:t>
      </w:r>
      <w:r>
        <w:rPr>
          <w:sz w:val="20"/>
          <w:szCs w:val="20"/>
        </w:rPr>
        <w:t>4</w:t>
      </w:r>
      <w:r>
        <w:rPr>
          <w:sz w:val="20"/>
          <w:szCs w:val="20"/>
        </w:rPr>
        <w:t>3</w:t>
      </w:r>
      <w:r>
        <w:rPr>
          <w:sz w:val="20"/>
          <w:szCs w:val="20"/>
        </w:rPr>
        <w:t>%</w:t>
      </w:r>
      <w:r>
        <w:rPr>
          <w:sz w:val="20"/>
          <w:szCs w:val="20"/>
        </w:rPr>
        <w:t xml:space="preserve"> of total revenue in 2020 and</w:t>
      </w:r>
      <w:r>
        <w:rPr>
          <w:sz w:val="20"/>
          <w:szCs w:val="20"/>
        </w:rPr>
        <w:t xml:space="preserve"> </w:t>
      </w:r>
      <w:r>
        <w:rPr>
          <w:sz w:val="20"/>
          <w:szCs w:val="20"/>
        </w:rPr>
        <w:t>4</w:t>
      </w:r>
      <w:r>
        <w:rPr>
          <w:sz w:val="20"/>
          <w:szCs w:val="20"/>
        </w:rPr>
        <w:t>0</w:t>
      </w:r>
      <w:r>
        <w:rPr>
          <w:sz w:val="20"/>
          <w:szCs w:val="20"/>
        </w:rPr>
        <w:t>%</w:t>
      </w:r>
      <w:r>
        <w:rPr>
          <w:sz w:val="20"/>
          <w:szCs w:val="20"/>
        </w:rPr>
        <w:t xml:space="preserve"> of total revenue in 2019</w:t>
      </w:r>
      <w:r>
        <w:rPr>
          <w:sz w:val="20"/>
          <w:szCs w:val="20"/>
        </w:rPr>
        <w:t>.</w:t>
      </w:r>
      <w:r>
        <w:rPr>
          <w:sz w:val="20"/>
          <w:szCs w:val="20"/>
        </w:rPr>
        <w:t xml:space="preserve"> </w:t>
      </w:r>
    </w:p>
    <w:p w:rsidR="00000000" w:rsidRDefault="00A309A2">
      <w:pPr>
        <w:pStyle w:val="a3"/>
        <w:spacing w:before="0" w:beforeAutospacing="0" w:after="0" w:afterAutospacing="0"/>
        <w:divId w:val="574366535"/>
        <w:rPr>
          <w:sz w:val="20"/>
          <w:szCs w:val="20"/>
        </w:rPr>
      </w:pPr>
      <w:r>
        <w:rPr>
          <w:sz w:val="20"/>
          <w:szCs w:val="20"/>
        </w:rPr>
        <w:t> </w:t>
      </w:r>
    </w:p>
    <w:p w:rsidR="00000000" w:rsidRDefault="00A309A2">
      <w:pPr>
        <w:pStyle w:val="a3"/>
        <w:spacing w:before="40" w:beforeAutospacing="0" w:after="0" w:afterAutospacing="0"/>
        <w:ind w:firstLine="555"/>
        <w:divId w:val="1895853541"/>
        <w:rPr>
          <w:sz w:val="20"/>
          <w:szCs w:val="20"/>
        </w:rPr>
      </w:pPr>
      <w:r>
        <w:rPr>
          <w:sz w:val="20"/>
          <w:szCs w:val="20"/>
        </w:rPr>
        <w:t>Total long-lived assets by geographical region</w:t>
      </w:r>
      <w:r>
        <w:rPr>
          <w:sz w:val="20"/>
          <w:szCs w:val="20"/>
        </w:rPr>
        <w:t>:</w:t>
      </w:r>
    </w:p>
    <w:p w:rsidR="00000000" w:rsidRDefault="00A309A2">
      <w:pPr>
        <w:pStyle w:val="a3"/>
        <w:spacing w:before="0" w:beforeAutospacing="0" w:after="0" w:afterAutospacing="0"/>
        <w:divId w:val="189585354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68"/>
        <w:gridCol w:w="110"/>
        <w:gridCol w:w="160"/>
        <w:gridCol w:w="861"/>
        <w:gridCol w:w="227"/>
        <w:gridCol w:w="110"/>
        <w:gridCol w:w="160"/>
        <w:gridCol w:w="776"/>
        <w:gridCol w:w="242"/>
      </w:tblGrid>
      <w:tr w:rsidR="00000000">
        <w:trPr>
          <w:divId w:val="1895853541"/>
          <w:tblCellSpacing w:w="15" w:type="dxa"/>
        </w:trPr>
        <w:tc>
          <w:tcPr>
            <w:tcW w:w="2856" w:type="pct"/>
            <w:vAlign w:val="center"/>
            <w:hideMark/>
          </w:tcPr>
          <w:p w:rsidR="00000000" w:rsidRDefault="00A309A2">
            <w:pPr>
              <w:rPr>
                <w:sz w:val="20"/>
                <w:szCs w:val="20"/>
              </w:rPr>
            </w:pPr>
          </w:p>
        </w:tc>
        <w:tc>
          <w:tcPr>
            <w:tcW w:w="64" w:type="pct"/>
            <w:vAlign w:val="center"/>
            <w:hideMark/>
          </w:tcPr>
          <w:p w:rsidR="00000000" w:rsidRDefault="00A309A2">
            <w:pPr>
              <w:rPr>
                <w:rFonts w:eastAsia="Times New Roman"/>
                <w:sz w:val="20"/>
                <w:szCs w:val="20"/>
              </w:rPr>
            </w:pPr>
          </w:p>
        </w:tc>
        <w:tc>
          <w:tcPr>
            <w:tcW w:w="100" w:type="pct"/>
            <w:vAlign w:val="center"/>
            <w:hideMark/>
          </w:tcPr>
          <w:p w:rsidR="00000000" w:rsidRDefault="00A309A2">
            <w:pPr>
              <w:rPr>
                <w:rFonts w:eastAsia="Times New Roman"/>
                <w:sz w:val="20"/>
                <w:szCs w:val="20"/>
              </w:rPr>
            </w:pPr>
          </w:p>
        </w:tc>
        <w:tc>
          <w:tcPr>
            <w:tcW w:w="779" w:type="pct"/>
            <w:vAlign w:val="center"/>
            <w:hideMark/>
          </w:tcPr>
          <w:p w:rsidR="00000000" w:rsidRDefault="00A309A2">
            <w:pPr>
              <w:rPr>
                <w:rFonts w:eastAsia="Times New Roman"/>
                <w:sz w:val="20"/>
                <w:szCs w:val="20"/>
              </w:rPr>
            </w:pPr>
          </w:p>
        </w:tc>
        <w:tc>
          <w:tcPr>
            <w:tcW w:w="166" w:type="pct"/>
            <w:vAlign w:val="center"/>
            <w:hideMark/>
          </w:tcPr>
          <w:p w:rsidR="00000000" w:rsidRDefault="00A309A2">
            <w:pPr>
              <w:rPr>
                <w:rFonts w:eastAsia="Times New Roman"/>
                <w:sz w:val="20"/>
                <w:szCs w:val="20"/>
              </w:rPr>
            </w:pPr>
          </w:p>
        </w:tc>
        <w:tc>
          <w:tcPr>
            <w:tcW w:w="64" w:type="pct"/>
            <w:vAlign w:val="center"/>
            <w:hideMark/>
          </w:tcPr>
          <w:p w:rsidR="00000000" w:rsidRDefault="00A309A2">
            <w:pPr>
              <w:rPr>
                <w:rFonts w:eastAsia="Times New Roman"/>
                <w:sz w:val="20"/>
                <w:szCs w:val="20"/>
              </w:rPr>
            </w:pPr>
          </w:p>
        </w:tc>
        <w:tc>
          <w:tcPr>
            <w:tcW w:w="100" w:type="pct"/>
            <w:vAlign w:val="center"/>
            <w:hideMark/>
          </w:tcPr>
          <w:p w:rsidR="00000000" w:rsidRDefault="00A309A2">
            <w:pPr>
              <w:rPr>
                <w:rFonts w:eastAsia="Times New Roman"/>
                <w:sz w:val="20"/>
                <w:szCs w:val="20"/>
              </w:rPr>
            </w:pPr>
          </w:p>
        </w:tc>
        <w:tc>
          <w:tcPr>
            <w:tcW w:w="702" w:type="pct"/>
            <w:vAlign w:val="center"/>
            <w:hideMark/>
          </w:tcPr>
          <w:p w:rsidR="00000000" w:rsidRDefault="00A309A2">
            <w:pPr>
              <w:rPr>
                <w:rFonts w:eastAsia="Times New Roman"/>
                <w:sz w:val="20"/>
                <w:szCs w:val="20"/>
              </w:rPr>
            </w:pPr>
          </w:p>
        </w:tc>
        <w:tc>
          <w:tcPr>
            <w:tcW w:w="166" w:type="pct"/>
            <w:vAlign w:val="center"/>
            <w:hideMark/>
          </w:tcPr>
          <w:p w:rsidR="00000000" w:rsidRDefault="00A309A2">
            <w:pPr>
              <w:rPr>
                <w:rFonts w:eastAsia="Times New Roman"/>
                <w:sz w:val="20"/>
                <w:szCs w:val="20"/>
              </w:rPr>
            </w:pPr>
          </w:p>
        </w:tc>
      </w:tr>
      <w:tr w:rsidR="00000000">
        <w:trPr>
          <w:divId w:val="189585354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As of </w:t>
            </w:r>
            <w:r>
              <w:rPr>
                <w:b/>
                <w:bCs/>
                <w:sz w:val="16"/>
                <w:szCs w:val="16"/>
              </w:rPr>
              <w:br/>
              <w:t>December 31,</w:t>
            </w:r>
            <w:r>
              <w:rPr>
                <w:b/>
                <w:bCs/>
                <w:sz w:val="16"/>
                <w:szCs w:val="16"/>
              </w:rPr>
              <w:b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 xml:space="preserve">As of </w:t>
            </w:r>
            <w:r>
              <w:rPr>
                <w:b/>
                <w:bCs/>
                <w:sz w:val="16"/>
                <w:szCs w:val="16"/>
              </w:rPr>
              <w:br/>
              <w:t>December 31,</w:t>
            </w:r>
            <w:r>
              <w:rPr>
                <w:b/>
                <w:bCs/>
                <w:sz w:val="16"/>
                <w:szCs w:val="16"/>
              </w:rPr>
              <w:b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89585354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89585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226,84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206,78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9585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139,84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159,33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9585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10,26</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10,88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95853541"/>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Total long lived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376,96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377,01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9585354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Percentage of long lived assets held outside of the</w:t>
            </w:r>
            <w:r>
              <w:rPr>
                <w:sz w:val="20"/>
                <w:szCs w:val="20"/>
              </w:rPr>
              <w:br/>
              <w:t>   America</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rPr>
          <w:sz w:val="20"/>
          <w:szCs w:val="20"/>
        </w:rPr>
      </w:pPr>
      <w:r>
        <w:t> </w:t>
      </w:r>
    </w:p>
    <w:p w:rsidR="00000000" w:rsidRDefault="00A309A2">
      <w:pPr>
        <w:pStyle w:val="a3"/>
        <w:spacing w:before="0" w:beforeAutospacing="0" w:after="0" w:afterAutospacing="0"/>
        <w:divId w:val="2126538798"/>
        <w:rPr>
          <w:sz w:val="20"/>
          <w:szCs w:val="20"/>
        </w:rPr>
      </w:pPr>
      <w:r>
        <w:rPr>
          <w:b/>
          <w:bCs/>
          <w:sz w:val="20"/>
          <w:szCs w:val="20"/>
        </w:rPr>
        <w:t>11. Commitments and Contingencie</w:t>
      </w:r>
      <w:r>
        <w:rPr>
          <w:b/>
          <w:bCs/>
          <w:sz w:val="20"/>
          <w:szCs w:val="20"/>
        </w:rPr>
        <w:t>s</w:t>
      </w:r>
      <w:r>
        <w:rPr>
          <w:b/>
          <w:bCs/>
          <w:sz w:val="20"/>
          <w:szCs w:val="20"/>
        </w:rPr>
        <w:t xml:space="preserve"> </w:t>
      </w:r>
    </w:p>
    <w:p w:rsidR="00000000" w:rsidRDefault="00A309A2">
      <w:pPr>
        <w:pStyle w:val="a3"/>
        <w:spacing w:before="200" w:beforeAutospacing="0" w:after="0" w:afterAutospacing="0"/>
        <w:ind w:firstLine="555"/>
        <w:divId w:val="2126538798"/>
        <w:rPr>
          <w:sz w:val="20"/>
          <w:szCs w:val="20"/>
        </w:rPr>
      </w:pPr>
      <w:r>
        <w:rPr>
          <w:sz w:val="20"/>
          <w:szCs w:val="20"/>
        </w:rPr>
        <w:t>The Company leases its office facilities under non-cancelable operating leases that expire at various dates through February 2035. Certain leases contain optional termination dates. The table below only includes payments up to the optional termination date</w:t>
      </w:r>
      <w:r>
        <w:rPr>
          <w:sz w:val="20"/>
          <w:szCs w:val="20"/>
        </w:rPr>
        <w:t xml:space="preserve">. If the Company were to extend leases beyond the optional termination date the future commitments would increase by approximately </w:t>
      </w:r>
      <w:r>
        <w:rPr>
          <w:sz w:val="20"/>
          <w:szCs w:val="20"/>
        </w:rPr>
        <w:t>$</w:t>
      </w:r>
      <w:r>
        <w:rPr>
          <w:sz w:val="20"/>
          <w:szCs w:val="20"/>
        </w:rPr>
        <w:t>83.</w:t>
      </w:r>
      <w:r>
        <w:rPr>
          <w:sz w:val="20"/>
          <w:szCs w:val="20"/>
        </w:rPr>
        <w:t>3</w:t>
      </w:r>
      <w:r>
        <w:rPr>
          <w:sz w:val="20"/>
          <w:szCs w:val="20"/>
        </w:rPr>
        <w:t xml:space="preserve"> million</w:t>
      </w:r>
      <w:r>
        <w:rPr>
          <w:sz w:val="20"/>
          <w:szCs w:val="20"/>
        </w:rPr>
        <w:t>.</w:t>
      </w:r>
    </w:p>
    <w:p w:rsidR="00000000" w:rsidRDefault="00A309A2">
      <w:pPr>
        <w:pStyle w:val="a3"/>
        <w:spacing w:before="200" w:beforeAutospacing="0" w:after="0" w:afterAutospacing="0"/>
        <w:ind w:firstLine="555"/>
        <w:divId w:val="2126538798"/>
        <w:rPr>
          <w:sz w:val="20"/>
          <w:szCs w:val="20"/>
        </w:rPr>
      </w:pPr>
      <w:r>
        <w:rPr>
          <w:sz w:val="20"/>
          <w:szCs w:val="20"/>
        </w:rPr>
        <w:t>Included in the table below are operating lease commitments for leases that have not yet commenced of approxim</w:t>
      </w:r>
      <w:r>
        <w:rPr>
          <w:sz w:val="20"/>
          <w:szCs w:val="20"/>
        </w:rPr>
        <w:t xml:space="preserve">ately </w:t>
      </w:r>
      <w:r>
        <w:rPr>
          <w:sz w:val="20"/>
          <w:szCs w:val="20"/>
        </w:rPr>
        <w:t>$</w:t>
      </w:r>
      <w:r>
        <w:rPr>
          <w:sz w:val="20"/>
          <w:szCs w:val="20"/>
        </w:rPr>
        <w:t>2.</w:t>
      </w:r>
      <w:r>
        <w:rPr>
          <w:sz w:val="20"/>
          <w:szCs w:val="20"/>
        </w:rPr>
        <w:t>4</w:t>
      </w:r>
      <w:r>
        <w:rPr>
          <w:sz w:val="20"/>
          <w:szCs w:val="20"/>
        </w:rPr>
        <w:t xml:space="preserve"> million for facilities with lease terms of approximately</w:t>
      </w:r>
      <w:r>
        <w:rPr>
          <w:sz w:val="20"/>
          <w:szCs w:val="20"/>
        </w:rPr>
        <w:t xml:space="preserve"> </w:t>
      </w:r>
      <w:r>
        <w:rPr>
          <w:sz w:val="20"/>
          <w:szCs w:val="20"/>
        </w:rPr>
        <w:t>tw</w:t>
      </w:r>
      <w:r>
        <w:rPr>
          <w:sz w:val="20"/>
          <w:szCs w:val="20"/>
        </w:rPr>
        <w:t>o</w:t>
      </w:r>
      <w:r>
        <w:rPr>
          <w:sz w:val="20"/>
          <w:szCs w:val="20"/>
        </w:rPr>
        <w:t xml:space="preserve"> to</w:t>
      </w:r>
      <w:r>
        <w:rPr>
          <w:sz w:val="20"/>
          <w:szCs w:val="20"/>
        </w:rPr>
        <w:t xml:space="preserve"> </w:t>
      </w:r>
      <w:r>
        <w:rPr>
          <w:sz w:val="20"/>
          <w:szCs w:val="20"/>
        </w:rPr>
        <w:t>five year</w:t>
      </w:r>
      <w:r>
        <w:rPr>
          <w:sz w:val="20"/>
          <w:szCs w:val="20"/>
        </w:rPr>
        <w:t>s</w:t>
      </w:r>
      <w:r>
        <w:rPr>
          <w:sz w:val="20"/>
          <w:szCs w:val="20"/>
        </w:rPr>
        <w:t>.</w:t>
      </w:r>
      <w:r>
        <w:rPr>
          <w:sz w:val="20"/>
          <w:szCs w:val="20"/>
        </w:rPr>
        <w:t xml:space="preserve"> </w:t>
      </w:r>
    </w:p>
    <w:p w:rsidR="00000000" w:rsidRDefault="00A309A2">
      <w:pPr>
        <w:pStyle w:val="a3"/>
        <w:spacing w:before="200" w:beforeAutospacing="0" w:after="0" w:afterAutospacing="0"/>
        <w:ind w:firstLine="555"/>
        <w:divId w:val="848756928"/>
        <w:rPr>
          <w:sz w:val="20"/>
          <w:szCs w:val="20"/>
        </w:rPr>
      </w:pPr>
      <w:r>
        <w:rPr>
          <w:sz w:val="20"/>
          <w:szCs w:val="20"/>
        </w:rPr>
        <w:t>Future minimum payments under all operating lease agreements as of December 31,</w:t>
      </w:r>
      <w:r>
        <w:rPr>
          <w:sz w:val="20"/>
          <w:szCs w:val="20"/>
        </w:rPr>
        <w:t xml:space="preserve"> </w:t>
      </w:r>
      <w:r>
        <w:rPr>
          <w:sz w:val="20"/>
          <w:szCs w:val="20"/>
        </w:rPr>
        <w:t>2021,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413"/>
        <w:gridCol w:w="112"/>
        <w:gridCol w:w="160"/>
        <w:gridCol w:w="1004"/>
        <w:gridCol w:w="125"/>
      </w:tblGrid>
      <w:tr w:rsidR="00000000">
        <w:trPr>
          <w:divId w:val="848756928"/>
          <w:tblCellSpacing w:w="15" w:type="dxa"/>
        </w:trPr>
        <w:tc>
          <w:tcPr>
            <w:tcW w:w="3889" w:type="pct"/>
            <w:vAlign w:val="center"/>
            <w:hideMark/>
          </w:tcPr>
          <w:p w:rsidR="00000000" w:rsidRDefault="00A309A2">
            <w:pPr>
              <w:rPr>
                <w:sz w:val="20"/>
                <w:szCs w:val="20"/>
              </w:rPr>
            </w:pPr>
          </w:p>
        </w:tc>
        <w:tc>
          <w:tcPr>
            <w:tcW w:w="86" w:type="pct"/>
            <w:vAlign w:val="center"/>
            <w:hideMark/>
          </w:tcPr>
          <w:p w:rsidR="00000000" w:rsidRDefault="00A309A2">
            <w:pPr>
              <w:rPr>
                <w:rFonts w:eastAsia="Times New Roman"/>
                <w:sz w:val="20"/>
                <w:szCs w:val="20"/>
              </w:rPr>
            </w:pPr>
          </w:p>
        </w:tc>
        <w:tc>
          <w:tcPr>
            <w:tcW w:w="102" w:type="pct"/>
            <w:vAlign w:val="center"/>
            <w:hideMark/>
          </w:tcPr>
          <w:p w:rsidR="00000000" w:rsidRDefault="00A309A2">
            <w:pPr>
              <w:rPr>
                <w:rFonts w:eastAsia="Times New Roman"/>
                <w:sz w:val="20"/>
                <w:szCs w:val="20"/>
              </w:rPr>
            </w:pPr>
          </w:p>
        </w:tc>
        <w:tc>
          <w:tcPr>
            <w:tcW w:w="877" w:type="pct"/>
            <w:vAlign w:val="center"/>
            <w:hideMark/>
          </w:tcPr>
          <w:p w:rsidR="00000000" w:rsidRDefault="00A309A2">
            <w:pPr>
              <w:rPr>
                <w:rFonts w:eastAsia="Times New Roman"/>
                <w:sz w:val="20"/>
                <w:szCs w:val="20"/>
              </w:rPr>
            </w:pPr>
          </w:p>
        </w:tc>
        <w:tc>
          <w:tcPr>
            <w:tcW w:w="43" w:type="pct"/>
            <w:vAlign w:val="center"/>
            <w:hideMark/>
          </w:tcPr>
          <w:p w:rsidR="00000000" w:rsidRDefault="00A309A2">
            <w:pPr>
              <w:rPr>
                <w:rFonts w:eastAsia="Times New Roman"/>
                <w:sz w:val="20"/>
                <w:szCs w:val="20"/>
              </w:rPr>
            </w:pPr>
          </w:p>
        </w:tc>
      </w:tr>
      <w:tr w:rsidR="00000000">
        <w:trPr>
          <w:divId w:val="848756928"/>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Operatin</w:t>
            </w:r>
            <w:r>
              <w:rPr>
                <w:b/>
                <w:bCs/>
                <w:sz w:val="16"/>
                <w:szCs w:val="16"/>
              </w:rPr>
              <w:t>g</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48756928"/>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48756928"/>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2</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45,15</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48756928"/>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43,90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48756928"/>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41,46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48756928"/>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41,45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48756928"/>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6</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41,36</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48756928"/>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172,64</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48756928"/>
          <w:trHeight w:val="200"/>
          <w:tblCellSpacing w:w="15" w:type="dxa"/>
        </w:trPr>
        <w:tc>
          <w:tcPr>
            <w:tcW w:w="0" w:type="auto"/>
            <w:hideMark/>
          </w:tcPr>
          <w:p w:rsidR="00000000" w:rsidRDefault="00A309A2">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385,99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848756928"/>
        <w:rPr>
          <w:sz w:val="20"/>
          <w:szCs w:val="20"/>
        </w:rPr>
      </w:pPr>
      <w:r>
        <w:rPr>
          <w:sz w:val="20"/>
          <w:szCs w:val="20"/>
        </w:rPr>
        <w:t> </w:t>
      </w:r>
    </w:p>
    <w:p w:rsidR="00000000" w:rsidRDefault="00A309A2">
      <w:pPr>
        <w:pStyle w:val="a3"/>
        <w:spacing w:before="240" w:beforeAutospacing="0" w:after="0" w:afterAutospacing="0"/>
        <w:jc w:val="center"/>
        <w:divId w:val="848756928"/>
        <w:rPr>
          <w:sz w:val="20"/>
          <w:szCs w:val="20"/>
        </w:rPr>
      </w:pPr>
      <w:r>
        <w:rPr>
          <w:sz w:val="20"/>
          <w:szCs w:val="20"/>
        </w:rPr>
        <w:t>8</w:t>
      </w:r>
      <w:r>
        <w:rPr>
          <w:sz w:val="20"/>
          <w:szCs w:val="20"/>
        </w:rPr>
        <w:t>6</w:t>
      </w:r>
    </w:p>
    <w:p w:rsidR="00000000" w:rsidRDefault="00A309A2">
      <w:pPr>
        <w:divId w:val="848756928"/>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A309A2">
      <w:pPr>
        <w:pStyle w:val="a3"/>
        <w:spacing w:before="0" w:beforeAutospacing="0" w:after="0" w:afterAutospacing="0"/>
        <w:divId w:val="848756928"/>
        <w:rPr>
          <w:sz w:val="20"/>
          <w:szCs w:val="20"/>
        </w:rPr>
      </w:pPr>
      <w:r>
        <w:rPr>
          <w:sz w:val="20"/>
          <w:szCs w:val="20"/>
        </w:rPr>
        <w:t> </w:t>
      </w:r>
    </w:p>
    <w:p w:rsidR="00000000" w:rsidRDefault="00A309A2">
      <w:pPr>
        <w:pStyle w:val="a3"/>
        <w:spacing w:before="200" w:beforeAutospacing="0" w:after="0" w:afterAutospacing="0"/>
        <w:ind w:firstLine="555"/>
        <w:divId w:val="2126538798"/>
        <w:rPr>
          <w:sz w:val="20"/>
          <w:szCs w:val="20"/>
        </w:rPr>
      </w:pPr>
      <w:r>
        <w:rPr>
          <w:sz w:val="20"/>
          <w:szCs w:val="20"/>
        </w:rPr>
        <w:t>In January 2022, the Company extended a lease for facilities with lease terms of approximately</w:t>
      </w:r>
      <w:r>
        <w:rPr>
          <w:sz w:val="20"/>
          <w:szCs w:val="20"/>
        </w:rPr>
        <w:t xml:space="preserve"> </w:t>
      </w:r>
      <w:r>
        <w:rPr>
          <w:sz w:val="20"/>
          <w:szCs w:val="20"/>
        </w:rPr>
        <w:t>5 year</w:t>
      </w:r>
      <w:r>
        <w:rPr>
          <w:sz w:val="20"/>
          <w:szCs w:val="20"/>
        </w:rPr>
        <w:t>s</w:t>
      </w:r>
      <w:r>
        <w:rPr>
          <w:sz w:val="20"/>
          <w:szCs w:val="20"/>
        </w:rPr>
        <w:t xml:space="preserve">. The lease commences on or near April 2022 and the Company will pay an aggregate of approximately </w:t>
      </w:r>
      <w:r>
        <w:rPr>
          <w:sz w:val="20"/>
          <w:szCs w:val="20"/>
        </w:rPr>
        <w:t>$</w:t>
      </w:r>
      <w:r>
        <w:rPr>
          <w:sz w:val="20"/>
          <w:szCs w:val="20"/>
        </w:rPr>
        <w:t>3.</w:t>
      </w:r>
      <w:r>
        <w:rPr>
          <w:sz w:val="20"/>
          <w:szCs w:val="20"/>
        </w:rPr>
        <w:t>4</w:t>
      </w:r>
      <w:r>
        <w:rPr>
          <w:sz w:val="20"/>
          <w:szCs w:val="20"/>
        </w:rPr>
        <w:t xml:space="preserve"> million in i</w:t>
      </w:r>
      <w:r>
        <w:rPr>
          <w:sz w:val="20"/>
          <w:szCs w:val="20"/>
        </w:rPr>
        <w:t>ncremental rent over the lease term</w:t>
      </w:r>
      <w:r>
        <w:rPr>
          <w:sz w:val="20"/>
          <w:szCs w:val="20"/>
        </w:rPr>
        <w:t>.</w:t>
      </w:r>
    </w:p>
    <w:p w:rsidR="00000000" w:rsidRDefault="00A309A2">
      <w:pPr>
        <w:pStyle w:val="a3"/>
        <w:spacing w:before="200" w:beforeAutospacing="0" w:after="0" w:afterAutospacing="0"/>
        <w:ind w:firstLine="555"/>
        <w:divId w:val="2126538798"/>
        <w:rPr>
          <w:sz w:val="20"/>
          <w:szCs w:val="20"/>
        </w:rPr>
      </w:pPr>
      <w:r>
        <w:rPr>
          <w:sz w:val="20"/>
          <w:szCs w:val="20"/>
        </w:rPr>
        <w:t>The Company has entered into certain non-cancelable arrangements (“Vendor Commitments”), which require the future purchase of goods or services.</w:t>
      </w:r>
      <w:r>
        <w:rPr>
          <w:sz w:val="20"/>
          <w:szCs w:val="20"/>
        </w:rPr>
        <w:t xml:space="preserve"> </w:t>
      </w:r>
      <w:r>
        <w:rPr>
          <w:sz w:val="20"/>
          <w:szCs w:val="20"/>
        </w:rPr>
        <w:t>Future minimum payments under all Vendor Commitments as of December 31,</w:t>
      </w:r>
      <w:r>
        <w:rPr>
          <w:sz w:val="20"/>
          <w:szCs w:val="20"/>
        </w:rPr>
        <w:t xml:space="preserve"> </w:t>
      </w:r>
      <w:r>
        <w:rPr>
          <w:sz w:val="20"/>
          <w:szCs w:val="20"/>
        </w:rPr>
        <w:t>20</w:t>
      </w:r>
      <w:r>
        <w:rPr>
          <w:sz w:val="20"/>
          <w:szCs w:val="20"/>
        </w:rPr>
        <w:t>21,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41"/>
        <w:gridCol w:w="110"/>
        <w:gridCol w:w="160"/>
        <w:gridCol w:w="870"/>
        <w:gridCol w:w="110"/>
        <w:gridCol w:w="110"/>
        <w:gridCol w:w="161"/>
        <w:gridCol w:w="827"/>
        <w:gridCol w:w="125"/>
      </w:tblGrid>
      <w:tr w:rsidR="00000000">
        <w:trPr>
          <w:divId w:val="1593124977"/>
          <w:tblCellSpacing w:w="15" w:type="dxa"/>
        </w:trPr>
        <w:tc>
          <w:tcPr>
            <w:tcW w:w="3022" w:type="pct"/>
            <w:vAlign w:val="center"/>
            <w:hideMark/>
          </w:tcPr>
          <w:p w:rsidR="00000000" w:rsidRDefault="00A309A2">
            <w:pPr>
              <w:rPr>
                <w:sz w:val="20"/>
                <w:szCs w:val="20"/>
              </w:rPr>
            </w:pPr>
          </w:p>
        </w:tc>
        <w:tc>
          <w:tcPr>
            <w:tcW w:w="71" w:type="pct"/>
            <w:vAlign w:val="center"/>
            <w:hideMark/>
          </w:tcPr>
          <w:p w:rsidR="00000000" w:rsidRDefault="00A309A2">
            <w:pPr>
              <w:rPr>
                <w:rFonts w:eastAsia="Times New Roman"/>
                <w:sz w:val="20"/>
                <w:szCs w:val="20"/>
              </w:rPr>
            </w:pPr>
          </w:p>
        </w:tc>
        <w:tc>
          <w:tcPr>
            <w:tcW w:w="99" w:type="pct"/>
            <w:vAlign w:val="center"/>
            <w:hideMark/>
          </w:tcPr>
          <w:p w:rsidR="00000000" w:rsidRDefault="00A309A2">
            <w:pPr>
              <w:rPr>
                <w:rFonts w:eastAsia="Times New Roman"/>
                <w:sz w:val="20"/>
                <w:szCs w:val="20"/>
              </w:rPr>
            </w:pPr>
          </w:p>
        </w:tc>
        <w:tc>
          <w:tcPr>
            <w:tcW w:w="797"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71" w:type="pct"/>
            <w:vAlign w:val="center"/>
            <w:hideMark/>
          </w:tcPr>
          <w:p w:rsidR="00000000" w:rsidRDefault="00A309A2">
            <w:pPr>
              <w:rPr>
                <w:rFonts w:eastAsia="Times New Roman"/>
                <w:sz w:val="20"/>
                <w:szCs w:val="20"/>
              </w:rPr>
            </w:pPr>
          </w:p>
        </w:tc>
        <w:tc>
          <w:tcPr>
            <w:tcW w:w="99" w:type="pct"/>
            <w:vAlign w:val="center"/>
            <w:hideMark/>
          </w:tcPr>
          <w:p w:rsidR="00000000" w:rsidRDefault="00A309A2">
            <w:pPr>
              <w:rPr>
                <w:rFonts w:eastAsia="Times New Roman"/>
                <w:sz w:val="20"/>
                <w:szCs w:val="20"/>
              </w:rPr>
            </w:pPr>
          </w:p>
        </w:tc>
        <w:tc>
          <w:tcPr>
            <w:tcW w:w="758"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r>
      <w:tr w:rsidR="00000000">
        <w:trPr>
          <w:divId w:val="159312497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Product</w:t>
            </w:r>
            <w:r>
              <w:rPr>
                <w:b/>
                <w:bCs/>
                <w:sz w:val="16"/>
                <w:szCs w:val="16"/>
              </w:rPr>
              <w:br/>
              <w:t>related</w:t>
            </w:r>
            <w:r>
              <w:rPr>
                <w:b/>
                <w:bCs/>
                <w:sz w:val="16"/>
                <w:szCs w:val="16"/>
              </w:rPr>
              <w:br/>
              <w:t>obligation</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INBOUND</w:t>
            </w:r>
            <w:r>
              <w:rPr>
                <w:b/>
                <w:bCs/>
                <w:sz w:val="16"/>
                <w:szCs w:val="16"/>
              </w:rPr>
              <w:br/>
              <w:t>event</w:t>
            </w:r>
            <w:r>
              <w:rPr>
                <w:b/>
                <w:bCs/>
                <w:sz w:val="16"/>
                <w:szCs w:val="16"/>
              </w:rPr>
              <w:br/>
              <w:t>obligation</w:t>
            </w:r>
            <w:r>
              <w:rPr>
                <w:b/>
                <w:bCs/>
                <w:sz w:val="16"/>
                <w:szCs w:val="16"/>
              </w:rPr>
              <w:t>s</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9312497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593124977"/>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2</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140,21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1,50</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93124977"/>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155,52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93124977"/>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176,09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93124977"/>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196,12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93124977"/>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202</w:t>
            </w:r>
            <w:r>
              <w:rPr>
                <w:sz w:val="20"/>
                <w:szCs w:val="20"/>
              </w:rPr>
              <w:t>6</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220,00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93124977"/>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187,50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593124977"/>
          <w:trHeight w:val="200"/>
          <w:tblCellSpacing w:w="15" w:type="dxa"/>
        </w:trPr>
        <w:tc>
          <w:tcPr>
            <w:tcW w:w="0" w:type="auto"/>
            <w:hideMark/>
          </w:tcPr>
          <w:p w:rsidR="00000000" w:rsidRDefault="00A309A2">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1,075,45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2,48</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2126538798"/>
        <w:rPr>
          <w:sz w:val="20"/>
          <w:szCs w:val="20"/>
        </w:rPr>
      </w:pPr>
      <w:r>
        <w:rPr>
          <w:sz w:val="20"/>
          <w:szCs w:val="20"/>
        </w:rPr>
        <w:t> </w:t>
      </w:r>
    </w:p>
    <w:p w:rsidR="00000000" w:rsidRDefault="00A309A2">
      <w:pPr>
        <w:pStyle w:val="a3"/>
        <w:spacing w:before="160" w:beforeAutospacing="0" w:after="0" w:afterAutospacing="0"/>
        <w:divId w:val="2126538798"/>
        <w:rPr>
          <w:sz w:val="20"/>
          <w:szCs w:val="20"/>
        </w:rPr>
      </w:pPr>
      <w:r>
        <w:rPr>
          <w:b/>
          <w:bCs/>
          <w:i/>
          <w:iCs/>
          <w:sz w:val="20"/>
          <w:szCs w:val="20"/>
        </w:rPr>
        <w:t>Legal Contingencie</w:t>
      </w:r>
      <w:r>
        <w:rPr>
          <w:b/>
          <w:bCs/>
          <w:i/>
          <w:iCs/>
          <w:sz w:val="20"/>
          <w:szCs w:val="20"/>
        </w:rPr>
        <w:t>s</w:t>
      </w:r>
    </w:p>
    <w:p w:rsidR="00000000" w:rsidRDefault="00A309A2">
      <w:pPr>
        <w:pStyle w:val="a3"/>
        <w:spacing w:before="120" w:beforeAutospacing="0" w:after="0" w:afterAutospacing="0"/>
        <w:ind w:firstLine="555"/>
        <w:divId w:val="2126538798"/>
        <w:rPr>
          <w:sz w:val="20"/>
          <w:szCs w:val="20"/>
        </w:rPr>
      </w:pPr>
      <w:r>
        <w:rPr>
          <w:sz w:val="20"/>
          <w:szCs w:val="20"/>
        </w:rPr>
        <w:t xml:space="preserve">From time to time the Company may become involved in legal proceedings or be subject to claims arising in the ordinary course of its business. Although the results of litigation and claims cannot be predicted with certainty, the Company currently believes </w:t>
      </w:r>
      <w:r>
        <w:rPr>
          <w:sz w:val="20"/>
          <w:szCs w:val="20"/>
        </w:rPr>
        <w:t>that the final outcome of these ordinary course matters will not have a material adverse effect on its business, operating results, financial condition or cash flows. Regardless of the outcome, litigation can have an adverse impact on the Company because o</w:t>
      </w:r>
      <w:r>
        <w:rPr>
          <w:sz w:val="20"/>
          <w:szCs w:val="20"/>
        </w:rPr>
        <w:t>f defense and settlement costs, diversion of management resources and other factors</w:t>
      </w:r>
      <w:r>
        <w:rPr>
          <w:sz w:val="20"/>
          <w:szCs w:val="20"/>
        </w:rPr>
        <w:t>.</w:t>
      </w:r>
    </w:p>
    <w:p w:rsidR="00000000" w:rsidRDefault="00A309A2">
      <w:pPr>
        <w:pStyle w:val="a3"/>
        <w:spacing w:before="200" w:beforeAutospacing="0" w:after="0" w:afterAutospacing="0"/>
        <w:divId w:val="1527064753"/>
        <w:rPr>
          <w:sz w:val="20"/>
          <w:szCs w:val="20"/>
        </w:rPr>
      </w:pPr>
      <w:r>
        <w:rPr>
          <w:b/>
          <w:bCs/>
          <w:sz w:val="20"/>
          <w:szCs w:val="20"/>
        </w:rPr>
        <w:t>12. Equity method investmen</w:t>
      </w:r>
      <w:r>
        <w:rPr>
          <w:b/>
          <w:bCs/>
          <w:sz w:val="20"/>
          <w:szCs w:val="20"/>
        </w:rPr>
        <w:t>t</w:t>
      </w:r>
    </w:p>
    <w:p w:rsidR="00000000" w:rsidRDefault="00A309A2">
      <w:pPr>
        <w:pStyle w:val="a3"/>
        <w:spacing w:before="120" w:beforeAutospacing="0" w:after="0" w:afterAutospacing="0"/>
        <w:ind w:firstLine="555"/>
        <w:divId w:val="1527064753"/>
        <w:rPr>
          <w:sz w:val="20"/>
          <w:szCs w:val="20"/>
        </w:rPr>
      </w:pPr>
      <w:r>
        <w:rPr>
          <w:sz w:val="20"/>
          <w:szCs w:val="20"/>
        </w:rPr>
        <w:t>During the year ended December 31, 202</w:t>
      </w:r>
      <w:r>
        <w:rPr>
          <w:sz w:val="20"/>
          <w:szCs w:val="20"/>
        </w:rPr>
        <w:t>1</w:t>
      </w:r>
      <w:r>
        <w:rPr>
          <w:sz w:val="20"/>
          <w:szCs w:val="20"/>
        </w:rPr>
        <w:t xml:space="preserve">, the Company made contributions of </w:t>
      </w:r>
      <w:r>
        <w:rPr>
          <w:sz w:val="20"/>
          <w:szCs w:val="20"/>
        </w:rPr>
        <w:t>$</w:t>
      </w:r>
      <w:r>
        <w:rPr>
          <w:sz w:val="20"/>
          <w:szCs w:val="20"/>
        </w:rPr>
        <w:t>3.</w:t>
      </w:r>
      <w:r>
        <w:rPr>
          <w:sz w:val="20"/>
          <w:szCs w:val="20"/>
        </w:rPr>
        <w:t>1</w:t>
      </w:r>
      <w:r>
        <w:rPr>
          <w:sz w:val="20"/>
          <w:szCs w:val="20"/>
        </w:rPr>
        <w:t xml:space="preserve"> million in cash to the Black Economic Development Fund (the “F</w:t>
      </w:r>
      <w:r>
        <w:rPr>
          <w:sz w:val="20"/>
          <w:szCs w:val="20"/>
        </w:rPr>
        <w:t>und”) managed by the Local Initiatives Support Corporation for an aggregate of</w:t>
      </w:r>
      <w:r>
        <w:rPr>
          <w:sz w:val="20"/>
          <w:szCs w:val="20"/>
        </w:rPr>
        <w:t xml:space="preserve"> </w:t>
      </w:r>
      <w:r>
        <w:rPr>
          <w:sz w:val="20"/>
          <w:szCs w:val="20"/>
        </w:rPr>
        <w:t>5.</w:t>
      </w:r>
      <w:r>
        <w:rPr>
          <w:sz w:val="20"/>
          <w:szCs w:val="20"/>
        </w:rPr>
        <w:t>0</w:t>
      </w:r>
      <w:r>
        <w:rPr>
          <w:sz w:val="20"/>
          <w:szCs w:val="20"/>
        </w:rPr>
        <w:t xml:space="preserve">% ownership interest and income </w:t>
      </w:r>
      <w:r>
        <w:rPr>
          <w:sz w:val="20"/>
          <w:szCs w:val="20"/>
        </w:rPr>
        <w:t>s</w:t>
      </w:r>
      <w:r>
        <w:rPr>
          <w:sz w:val="20"/>
          <w:szCs w:val="20"/>
        </w:rPr>
        <w:t>hare in the Fund</w:t>
      </w:r>
      <w:r>
        <w:rPr>
          <w:sz w:val="20"/>
          <w:szCs w:val="20"/>
        </w:rPr>
        <w:t>.</w:t>
      </w:r>
      <w:r>
        <w:rPr>
          <w:sz w:val="20"/>
          <w:szCs w:val="20"/>
        </w:rPr>
        <w:t xml:space="preserve"> </w:t>
      </w:r>
    </w:p>
    <w:p w:rsidR="00000000" w:rsidRDefault="00A309A2">
      <w:pPr>
        <w:pStyle w:val="a3"/>
        <w:spacing w:before="120" w:beforeAutospacing="0" w:after="0" w:afterAutospacing="0"/>
        <w:ind w:firstLine="555"/>
        <w:divId w:val="1527064753"/>
        <w:rPr>
          <w:sz w:val="20"/>
          <w:szCs w:val="20"/>
        </w:rPr>
      </w:pPr>
      <w:r>
        <w:rPr>
          <w:sz w:val="20"/>
          <w:szCs w:val="20"/>
        </w:rPr>
        <w:t xml:space="preserve">The Company has commitments to contribute additional capital of </w:t>
      </w:r>
      <w:r>
        <w:rPr>
          <w:sz w:val="20"/>
          <w:szCs w:val="20"/>
        </w:rPr>
        <w:t>$</w:t>
      </w:r>
      <w:r>
        <w:rPr>
          <w:sz w:val="20"/>
          <w:szCs w:val="20"/>
        </w:rPr>
        <w:t>9.</w:t>
      </w:r>
      <w:r>
        <w:rPr>
          <w:sz w:val="20"/>
          <w:szCs w:val="20"/>
        </w:rPr>
        <w:t>4</w:t>
      </w:r>
      <w:r>
        <w:rPr>
          <w:sz w:val="20"/>
          <w:szCs w:val="20"/>
        </w:rPr>
        <w:t xml:space="preserve"> million to the Fund by December 2023. Given the level</w:t>
      </w:r>
      <w:r>
        <w:rPr>
          <w:sz w:val="20"/>
          <w:szCs w:val="20"/>
        </w:rPr>
        <w:t xml:space="preserve"> of ownership interest in the Fund, which is a limited liability company, and the fact that the Fund maintains specific ownership accounts for investors, the Company accounts for this investment using the equity method of accounting. The Fund is included i</w:t>
      </w:r>
      <w:r>
        <w:rPr>
          <w:sz w:val="20"/>
          <w:szCs w:val="20"/>
        </w:rPr>
        <w:t>n other assets on the consolidated balance sheets and the Company's share of the Fund’s net earnings and impairment charges on investments are reported in the consolidated statements of operations as other income (expense), net of tax</w:t>
      </w:r>
      <w:r>
        <w:rPr>
          <w:sz w:val="20"/>
          <w:szCs w:val="20"/>
        </w:rPr>
        <w:t>.</w:t>
      </w:r>
      <w:r>
        <w:rPr>
          <w:sz w:val="20"/>
          <w:szCs w:val="20"/>
        </w:rPr>
        <w:t xml:space="preserve"> </w:t>
      </w:r>
    </w:p>
    <w:p w:rsidR="00000000" w:rsidRDefault="00A309A2">
      <w:pPr>
        <w:pStyle w:val="a3"/>
        <w:spacing w:before="120" w:beforeAutospacing="0" w:after="0" w:afterAutospacing="0"/>
        <w:ind w:firstLine="555"/>
        <w:rPr>
          <w:sz w:val="20"/>
          <w:szCs w:val="20"/>
        </w:rPr>
      </w:pPr>
      <w:r>
        <w:rPr>
          <w:sz w:val="20"/>
          <w:szCs w:val="20"/>
        </w:rPr>
        <w:t>The Company's propo</w:t>
      </w:r>
      <w:r>
        <w:rPr>
          <w:sz w:val="20"/>
          <w:szCs w:val="20"/>
        </w:rPr>
        <w:t>rtionate share of the Fund's net loss for the year ended December 31, 2021 was recorded as other expense, net of tax, in the consolidated statements of operations. As of December 31, 202</w:t>
      </w:r>
      <w:r>
        <w:rPr>
          <w:sz w:val="20"/>
          <w:szCs w:val="20"/>
        </w:rPr>
        <w:t>1</w:t>
      </w:r>
      <w:r>
        <w:rPr>
          <w:sz w:val="20"/>
          <w:szCs w:val="20"/>
        </w:rPr>
        <w:t xml:space="preserve">, the carrying amount of the Company’s investment in the Fund was </w:t>
      </w:r>
      <w:r>
        <w:rPr>
          <w:sz w:val="20"/>
          <w:szCs w:val="20"/>
        </w:rPr>
        <w:t>$</w:t>
      </w:r>
      <w:r>
        <w:rPr>
          <w:sz w:val="20"/>
          <w:szCs w:val="20"/>
        </w:rPr>
        <w:t>2.</w:t>
      </w:r>
      <w:r>
        <w:rPr>
          <w:sz w:val="20"/>
          <w:szCs w:val="20"/>
        </w:rPr>
        <w:t>7</w:t>
      </w:r>
      <w:r>
        <w:rPr>
          <w:sz w:val="20"/>
          <w:szCs w:val="20"/>
        </w:rPr>
        <w:t xml:space="preserve"> million</w:t>
      </w:r>
      <w:r>
        <w:rPr>
          <w:sz w:val="20"/>
          <w:szCs w:val="20"/>
        </w:rPr>
        <w:t>.</w:t>
      </w:r>
      <w:r>
        <w:rPr>
          <w:sz w:val="20"/>
          <w:szCs w:val="20"/>
        </w:rPr>
        <w:t xml:space="preserve"> </w:t>
      </w:r>
    </w:p>
    <w:p w:rsidR="00000000" w:rsidRDefault="00A309A2">
      <w:pPr>
        <w:pStyle w:val="a3"/>
        <w:spacing w:before="120" w:beforeAutospacing="0" w:after="0" w:afterAutospacing="0"/>
        <w:divId w:val="611743889"/>
        <w:rPr>
          <w:sz w:val="20"/>
          <w:szCs w:val="20"/>
        </w:rPr>
      </w:pPr>
      <w:r>
        <w:rPr>
          <w:b/>
          <w:bCs/>
          <w:sz w:val="20"/>
          <w:szCs w:val="20"/>
        </w:rPr>
        <w:t>13. Changes in Accumulated Other Comprehensive Los</w:t>
      </w:r>
      <w:r>
        <w:rPr>
          <w:b/>
          <w:bCs/>
          <w:sz w:val="20"/>
          <w:szCs w:val="20"/>
        </w:rPr>
        <w:t>s</w:t>
      </w:r>
    </w:p>
    <w:p w:rsidR="00000000" w:rsidRDefault="00A309A2">
      <w:pPr>
        <w:pStyle w:val="a3"/>
        <w:spacing w:before="120" w:beforeAutospacing="0" w:after="0" w:afterAutospacing="0"/>
        <w:ind w:firstLine="555"/>
        <w:divId w:val="1152022697"/>
        <w:rPr>
          <w:sz w:val="20"/>
          <w:szCs w:val="20"/>
        </w:rPr>
      </w:pPr>
      <w:r>
        <w:rPr>
          <w:sz w:val="20"/>
          <w:szCs w:val="20"/>
        </w:rPr>
        <w:t>The following table summarizes the changes in accumulated other comprehensive loss, which is reported as a component of stockholders’ equity, for the years ended December 31,</w:t>
      </w:r>
      <w:r>
        <w:rPr>
          <w:sz w:val="20"/>
          <w:szCs w:val="20"/>
        </w:rPr>
        <w:t xml:space="preserve"> </w:t>
      </w:r>
      <w:r>
        <w:rPr>
          <w:sz w:val="20"/>
          <w:szCs w:val="20"/>
        </w:rPr>
        <w:t>2021 and 2020</w:t>
      </w:r>
      <w:r>
        <w:rPr>
          <w:sz w:val="20"/>
          <w:szCs w:val="20"/>
        </w:rPr>
        <w:t>:</w:t>
      </w:r>
      <w:r>
        <w:rPr>
          <w:sz w:val="20"/>
          <w:szCs w:val="20"/>
        </w:rPr>
        <w:t xml:space="preserve"> </w:t>
      </w:r>
    </w:p>
    <w:p w:rsidR="00000000" w:rsidRDefault="00A309A2">
      <w:pPr>
        <w:pStyle w:val="a3"/>
        <w:spacing w:before="0" w:beforeAutospacing="0" w:after="0" w:afterAutospacing="0"/>
        <w:divId w:val="1152022697"/>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08"/>
        <w:gridCol w:w="105"/>
        <w:gridCol w:w="151"/>
        <w:gridCol w:w="802"/>
        <w:gridCol w:w="120"/>
        <w:gridCol w:w="105"/>
        <w:gridCol w:w="151"/>
        <w:gridCol w:w="976"/>
        <w:gridCol w:w="120"/>
        <w:gridCol w:w="105"/>
        <w:gridCol w:w="150"/>
        <w:gridCol w:w="747"/>
        <w:gridCol w:w="135"/>
      </w:tblGrid>
      <w:tr w:rsidR="00000000">
        <w:trPr>
          <w:divId w:val="1152022697"/>
          <w:tblCellSpacing w:w="15" w:type="dxa"/>
        </w:trPr>
        <w:tc>
          <w:tcPr>
            <w:tcW w:w="2683" w:type="pct"/>
            <w:vAlign w:val="center"/>
            <w:hideMark/>
          </w:tcPr>
          <w:p w:rsidR="00000000" w:rsidRDefault="00A309A2">
            <w:pPr>
              <w:rPr>
                <w:sz w:val="20"/>
                <w:szCs w:val="20"/>
              </w:rPr>
            </w:pPr>
          </w:p>
        </w:tc>
        <w:tc>
          <w:tcPr>
            <w:tcW w:w="59"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559"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9"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722"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9"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538"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r>
      <w:tr w:rsidR="00000000">
        <w:trPr>
          <w:divId w:val="1152022697"/>
          <w:trHeight w:val="160"/>
          <w:tblCellSpacing w:w="15" w:type="dxa"/>
        </w:trPr>
        <w:tc>
          <w:tcPr>
            <w:tcW w:w="0" w:type="auto"/>
            <w:vAlign w:val="bottom"/>
            <w:hideMark/>
          </w:tcPr>
          <w:p w:rsidR="00000000" w:rsidRDefault="00A309A2">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center"/>
              <w:rPr>
                <w:sz w:val="17"/>
                <w:szCs w:val="17"/>
              </w:rPr>
            </w:pPr>
            <w:r>
              <w:rPr>
                <w:b/>
                <w:bCs/>
                <w:sz w:val="17"/>
                <w:szCs w:val="17"/>
              </w:rPr>
              <w:t>Cumulative</w:t>
            </w:r>
            <w:r>
              <w:rPr>
                <w:b/>
                <w:bCs/>
                <w:sz w:val="17"/>
                <w:szCs w:val="17"/>
              </w:rPr>
              <w:br/>
              <w:t>Translation</w:t>
            </w:r>
            <w:r>
              <w:rPr>
                <w:b/>
                <w:bCs/>
                <w:sz w:val="17"/>
                <w:szCs w:val="17"/>
              </w:rPr>
              <w:br/>
              <w:t>Adjustmen</w:t>
            </w:r>
            <w:r>
              <w:rPr>
                <w:b/>
                <w:bCs/>
                <w:sz w:val="17"/>
                <w:szCs w:val="17"/>
              </w:rPr>
              <w:t>t</w:t>
            </w:r>
          </w:p>
        </w:tc>
        <w:tc>
          <w:tcPr>
            <w:tcW w:w="0" w:type="auto"/>
            <w:vAlign w:val="bottom"/>
            <w:hideMark/>
          </w:tcPr>
          <w:p w:rsidR="00000000" w:rsidRDefault="00A309A2">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center"/>
              <w:rPr>
                <w:sz w:val="17"/>
                <w:szCs w:val="17"/>
              </w:rPr>
            </w:pPr>
            <w:r>
              <w:rPr>
                <w:b/>
                <w:bCs/>
                <w:sz w:val="17"/>
                <w:szCs w:val="17"/>
              </w:rPr>
              <w:t>Unrealized Gain</w:t>
            </w:r>
            <w:r>
              <w:rPr>
                <w:b/>
                <w:bCs/>
                <w:sz w:val="17"/>
                <w:szCs w:val="17"/>
              </w:rPr>
              <w:br/>
              <w:t>(Loss) on</w:t>
            </w:r>
            <w:r>
              <w:rPr>
                <w:b/>
                <w:bCs/>
                <w:sz w:val="17"/>
                <w:szCs w:val="17"/>
              </w:rPr>
              <w:br/>
              <w:t>Investment</w:t>
            </w:r>
            <w:r>
              <w:rPr>
                <w:b/>
                <w:bCs/>
                <w:sz w:val="17"/>
                <w:szCs w:val="17"/>
              </w:rPr>
              <w:t>s</w:t>
            </w:r>
          </w:p>
        </w:tc>
        <w:tc>
          <w:tcPr>
            <w:tcW w:w="0" w:type="auto"/>
            <w:vAlign w:val="bottom"/>
            <w:hideMark/>
          </w:tcPr>
          <w:p w:rsidR="00000000" w:rsidRDefault="00A309A2">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A309A2">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A309A2">
            <w:pPr>
              <w:pStyle w:val="a3"/>
              <w:spacing w:before="0" w:beforeAutospacing="0" w:after="0" w:afterAutospacing="0"/>
              <w:jc w:val="center"/>
              <w:rPr>
                <w:sz w:val="17"/>
                <w:szCs w:val="17"/>
              </w:rPr>
            </w:pPr>
            <w:r>
              <w:rPr>
                <w:b/>
                <w:bCs/>
                <w:sz w:val="17"/>
                <w:szCs w:val="17"/>
              </w:rPr>
              <w:t>Tota</w:t>
            </w:r>
            <w:r>
              <w:rPr>
                <w:b/>
                <w:bCs/>
                <w:sz w:val="17"/>
                <w:szCs w:val="17"/>
              </w:rPr>
              <w:t>l</w:t>
            </w:r>
          </w:p>
        </w:tc>
        <w:tc>
          <w:tcPr>
            <w:tcW w:w="0" w:type="auto"/>
            <w:vAlign w:val="bottom"/>
            <w:hideMark/>
          </w:tcPr>
          <w:p w:rsidR="00000000" w:rsidRDefault="00A309A2">
            <w:pPr>
              <w:pStyle w:val="a3"/>
              <w:spacing w:before="0" w:beforeAutospacing="0" w:after="0" w:afterAutospacing="0"/>
              <w:jc w:val="center"/>
              <w:rPr>
                <w:sz w:val="17"/>
                <w:szCs w:val="17"/>
              </w:rPr>
            </w:pPr>
            <w:r>
              <w:rPr>
                <w:sz w:val="17"/>
                <w:szCs w:val="17"/>
              </w:rPr>
              <w:t> </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A309A2">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A309A2">
            <w:pPr>
              <w:pStyle w:val="a3"/>
              <w:spacing w:before="0" w:beforeAutospacing="0" w:after="0" w:afterAutospacing="0"/>
              <w:jc w:val="center"/>
              <w:rPr>
                <w:sz w:val="18"/>
                <w:szCs w:val="18"/>
              </w:rPr>
            </w:pPr>
            <w:r>
              <w:rPr>
                <w:sz w:val="18"/>
                <w:szCs w:val="18"/>
              </w:rPr>
              <w:t> </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rPr>
                <w:sz w:val="18"/>
                <w:szCs w:val="18"/>
              </w:rPr>
            </w:pPr>
            <w:r>
              <w:rPr>
                <w:sz w:val="18"/>
                <w:szCs w:val="18"/>
              </w:rPr>
              <w:t>Beginning balance at January 1, 202</w:t>
            </w:r>
            <w:r>
              <w:rPr>
                <w:sz w:val="18"/>
                <w:szCs w:val="18"/>
              </w:rPr>
              <w:t>0</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61</w:t>
            </w:r>
            <w:r>
              <w:rPr>
                <w:sz w:val="18"/>
                <w:szCs w:val="18"/>
              </w:rPr>
              <w:t>0</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27</w:t>
            </w:r>
            <w:r>
              <w:rPr>
                <w:sz w:val="18"/>
                <w:szCs w:val="18"/>
              </w:rPr>
              <w:t>4</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33</w:t>
            </w:r>
            <w:r>
              <w:rPr>
                <w:sz w:val="18"/>
                <w:szCs w:val="18"/>
              </w:rPr>
              <w:t>6</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ind w:left="200"/>
              <w:rPr>
                <w:sz w:val="18"/>
                <w:szCs w:val="18"/>
              </w:rPr>
            </w:pPr>
            <w:r>
              <w:rPr>
                <w:sz w:val="18"/>
                <w:szCs w:val="18"/>
              </w:rPr>
              <w:t>Other comprehensive income before reclassification</w:t>
            </w:r>
            <w:r>
              <w:rPr>
                <w:sz w:val="18"/>
                <w:szCs w:val="18"/>
              </w:rPr>
              <w:t>s</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4,79</w:t>
            </w:r>
            <w:r>
              <w:rPr>
                <w:sz w:val="18"/>
                <w:szCs w:val="18"/>
              </w:rPr>
              <w:t>0</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14</w:t>
            </w:r>
            <w:r>
              <w:rPr>
                <w:sz w:val="18"/>
                <w:szCs w:val="18"/>
              </w:rPr>
              <w:t>9</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4,93</w:t>
            </w:r>
            <w:r>
              <w:rPr>
                <w:sz w:val="18"/>
                <w:szCs w:val="18"/>
              </w:rPr>
              <w:t>9</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ind w:left="200"/>
              <w:rPr>
                <w:sz w:val="18"/>
                <w:szCs w:val="18"/>
              </w:rPr>
            </w:pPr>
            <w:r>
              <w:rPr>
                <w:sz w:val="18"/>
                <w:szCs w:val="18"/>
              </w:rPr>
              <w:t>Amounts reclassified from accumulated other comprehensive los</w:t>
            </w:r>
            <w:r>
              <w:rPr>
                <w:sz w:val="18"/>
                <w:szCs w:val="18"/>
              </w:rPr>
              <w:t>s</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rPr>
                <w:sz w:val="18"/>
                <w:szCs w:val="18"/>
              </w:rPr>
            </w:pPr>
            <w:r>
              <w:rPr>
                <w:sz w:val="18"/>
                <w:szCs w:val="18"/>
              </w:rPr>
              <w:t>Ending balance at December 31, 202</w:t>
            </w:r>
            <w:r>
              <w:rPr>
                <w:sz w:val="18"/>
                <w:szCs w:val="18"/>
              </w:rPr>
              <w:t>0</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4,18</w:t>
            </w:r>
            <w:r>
              <w:rPr>
                <w:sz w:val="18"/>
                <w:szCs w:val="18"/>
              </w:rPr>
              <w:t>0</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42</w:t>
            </w:r>
            <w:r>
              <w:rPr>
                <w:sz w:val="18"/>
                <w:szCs w:val="18"/>
              </w:rPr>
              <w:t>3</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4,60</w:t>
            </w:r>
            <w:r>
              <w:rPr>
                <w:sz w:val="18"/>
                <w:szCs w:val="18"/>
              </w:rPr>
              <w:t>3</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ind w:left="200"/>
              <w:rPr>
                <w:sz w:val="18"/>
                <w:szCs w:val="18"/>
              </w:rPr>
            </w:pPr>
            <w:r>
              <w:rPr>
                <w:sz w:val="18"/>
                <w:szCs w:val="18"/>
              </w:rPr>
              <w:t>Other comprehensive loss before reclassification</w:t>
            </w:r>
            <w:r>
              <w:rPr>
                <w:sz w:val="18"/>
                <w:szCs w:val="18"/>
              </w:rPr>
              <w:t>s</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4,71</w:t>
            </w:r>
            <w:r>
              <w:rPr>
                <w:sz w:val="18"/>
                <w:szCs w:val="18"/>
              </w:rPr>
              <w:t>2</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1,23</w:t>
            </w:r>
            <w:r>
              <w:rPr>
                <w:sz w:val="18"/>
                <w:szCs w:val="18"/>
              </w:rPr>
              <w:t>0</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5,94</w:t>
            </w:r>
            <w:r>
              <w:rPr>
                <w:sz w:val="18"/>
                <w:szCs w:val="18"/>
              </w:rPr>
              <w:t>2</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ind w:left="200"/>
              <w:rPr>
                <w:sz w:val="18"/>
                <w:szCs w:val="18"/>
              </w:rPr>
            </w:pPr>
            <w:r>
              <w:rPr>
                <w:sz w:val="18"/>
                <w:szCs w:val="18"/>
              </w:rPr>
              <w:t>Amounts reclassified from accumulated other comprehensive los</w:t>
            </w:r>
            <w:r>
              <w:rPr>
                <w:sz w:val="18"/>
                <w:szCs w:val="18"/>
              </w:rPr>
              <w:t>s</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r>
      <w:tr w:rsidR="00000000">
        <w:trPr>
          <w:divId w:val="1152022697"/>
          <w:trHeight w:val="180"/>
          <w:tblCellSpacing w:w="15" w:type="dxa"/>
        </w:trPr>
        <w:tc>
          <w:tcPr>
            <w:tcW w:w="0" w:type="auto"/>
            <w:vAlign w:val="bottom"/>
            <w:hideMark/>
          </w:tcPr>
          <w:p w:rsidR="00000000" w:rsidRDefault="00A309A2">
            <w:pPr>
              <w:pStyle w:val="a3"/>
              <w:spacing w:before="0" w:beforeAutospacing="0" w:after="0" w:afterAutospacing="0"/>
              <w:rPr>
                <w:sz w:val="18"/>
                <w:szCs w:val="18"/>
              </w:rPr>
            </w:pPr>
            <w:r>
              <w:rPr>
                <w:sz w:val="18"/>
                <w:szCs w:val="18"/>
              </w:rPr>
              <w:t>Ending balance at December 31, 202</w:t>
            </w:r>
            <w:r>
              <w:rPr>
                <w:sz w:val="18"/>
                <w:szCs w:val="18"/>
              </w:rPr>
              <w:t>1</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53</w:t>
            </w:r>
            <w:r>
              <w:rPr>
                <w:sz w:val="18"/>
                <w:szCs w:val="18"/>
              </w:rPr>
              <w:t>2</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80</w:t>
            </w:r>
            <w:r>
              <w:rPr>
                <w:sz w:val="18"/>
                <w:szCs w:val="18"/>
              </w:rPr>
              <w:t>7</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 </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c>
          <w:tcPr>
            <w:tcW w:w="0" w:type="auto"/>
            <w:vAlign w:val="bottom"/>
            <w:hideMark/>
          </w:tcPr>
          <w:p w:rsidR="00000000" w:rsidRDefault="00A309A2">
            <w:pPr>
              <w:pStyle w:val="a3"/>
              <w:spacing w:before="0" w:beforeAutospacing="0" w:after="0" w:afterAutospacing="0"/>
              <w:jc w:val="right"/>
              <w:rPr>
                <w:sz w:val="20"/>
                <w:szCs w:val="20"/>
              </w:rPr>
            </w:pPr>
            <w:r>
              <w:rPr>
                <w:sz w:val="18"/>
                <w:szCs w:val="18"/>
              </w:rPr>
              <w:t>(</w:t>
            </w:r>
            <w:r>
              <w:rPr>
                <w:sz w:val="18"/>
                <w:szCs w:val="18"/>
              </w:rPr>
              <w:t>1,33</w:t>
            </w:r>
            <w:r>
              <w:rPr>
                <w:sz w:val="18"/>
                <w:szCs w:val="18"/>
              </w:rPr>
              <w:t>9</w:t>
            </w:r>
          </w:p>
        </w:tc>
        <w:tc>
          <w:tcPr>
            <w:tcW w:w="0" w:type="auto"/>
            <w:vAlign w:val="bottom"/>
            <w:hideMark/>
          </w:tcPr>
          <w:p w:rsidR="00000000" w:rsidRDefault="00A309A2">
            <w:pPr>
              <w:pStyle w:val="a3"/>
              <w:spacing w:before="0" w:beforeAutospacing="0" w:after="0" w:afterAutospacing="0"/>
              <w:rPr>
                <w:sz w:val="18"/>
                <w:szCs w:val="18"/>
              </w:rPr>
            </w:pPr>
            <w:r>
              <w:rPr>
                <w:sz w:val="18"/>
                <w:szCs w:val="18"/>
              </w:rPr>
              <w:t>)</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8</w:t>
      </w:r>
      <w:r>
        <w:rPr>
          <w:sz w:val="20"/>
          <w:szCs w:val="20"/>
        </w:rPr>
        <w:t>7</w:t>
      </w:r>
    </w:p>
    <w:p w:rsidR="00000000" w:rsidRDefault="00A309A2">
      <w:pPr>
        <w:rPr>
          <w:rFonts w:eastAsia="Times New Roman"/>
        </w:rPr>
      </w:pPr>
      <w:r>
        <w:rPr>
          <w:rFonts w:eastAsia="Times New Roman"/>
        </w:rPr>
        <w:pict>
          <v:rect id="_x0000_i111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divId w:val="1136264579"/>
        <w:rPr>
          <w:sz w:val="20"/>
          <w:szCs w:val="20"/>
        </w:rPr>
      </w:pPr>
      <w:r>
        <w:rPr>
          <w:b/>
          <w:bCs/>
          <w:sz w:val="20"/>
          <w:szCs w:val="20"/>
        </w:rPr>
        <w:t>14. Stockholders’ Equity and Stock-Based Compensatio</w:t>
      </w:r>
      <w:r>
        <w:rPr>
          <w:b/>
          <w:bCs/>
          <w:sz w:val="20"/>
          <w:szCs w:val="20"/>
        </w:rPr>
        <w:t>n</w:t>
      </w:r>
    </w:p>
    <w:p w:rsidR="00000000" w:rsidRDefault="00A309A2">
      <w:pPr>
        <w:pStyle w:val="a3"/>
        <w:spacing w:before="120" w:beforeAutospacing="0" w:after="0" w:afterAutospacing="0"/>
        <w:ind w:firstLine="555"/>
        <w:divId w:val="1136264579"/>
        <w:rPr>
          <w:sz w:val="20"/>
          <w:szCs w:val="20"/>
        </w:rPr>
      </w:pPr>
      <w:r>
        <w:rPr>
          <w:b/>
          <w:bCs/>
          <w:sz w:val="20"/>
          <w:szCs w:val="20"/>
        </w:rPr>
        <w:t>Common Stock Reserve</w:t>
      </w:r>
      <w:r>
        <w:rPr>
          <w:b/>
          <w:bCs/>
          <w:sz w:val="20"/>
          <w:szCs w:val="20"/>
        </w:rPr>
        <w:t>d</w:t>
      </w:r>
      <w:r>
        <w:rPr>
          <w:sz w:val="20"/>
          <w:szCs w:val="20"/>
        </w:rPr>
        <w:t xml:space="preserve"> — As of December 31, 2021 and 202</w:t>
      </w:r>
      <w:r>
        <w:rPr>
          <w:sz w:val="20"/>
          <w:szCs w:val="20"/>
        </w:rPr>
        <w:t>0</w:t>
      </w:r>
      <w:r>
        <w:rPr>
          <w:sz w:val="20"/>
          <w:szCs w:val="20"/>
        </w:rPr>
        <w:t>, the Company has authorized</w:t>
      </w:r>
      <w:r>
        <w:rPr>
          <w:sz w:val="20"/>
          <w:szCs w:val="20"/>
        </w:rPr>
        <w:t xml:space="preserve"> </w:t>
      </w:r>
      <w:r>
        <w:rPr>
          <w:sz w:val="20"/>
          <w:szCs w:val="20"/>
        </w:rPr>
        <w:t>50</w:t>
      </w:r>
      <w:r>
        <w:rPr>
          <w:sz w:val="20"/>
          <w:szCs w:val="20"/>
        </w:rPr>
        <w:t>0</w:t>
      </w:r>
      <w:r>
        <w:rPr>
          <w:sz w:val="20"/>
          <w:szCs w:val="20"/>
        </w:rPr>
        <w:t xml:space="preserve"> million shares of common stock.</w:t>
      </w:r>
      <w:r>
        <w:rPr>
          <w:sz w:val="20"/>
          <w:szCs w:val="20"/>
        </w:rPr>
        <w:t xml:space="preserve"> </w:t>
      </w:r>
      <w:r>
        <w:rPr>
          <w:sz w:val="20"/>
          <w:szCs w:val="20"/>
        </w:rPr>
        <w:t>The number of shares of common stock re</w:t>
      </w:r>
      <w:r>
        <w:rPr>
          <w:sz w:val="20"/>
          <w:szCs w:val="20"/>
        </w:rPr>
        <w:t>served for the vesting of restricted stock units (“RSUs”), and exercise of common stock options are as follows (in thousands)</w:t>
      </w:r>
      <w:r>
        <w:rPr>
          <w:sz w:val="20"/>
          <w:szCs w:val="20"/>
        </w:rPr>
        <w:t>:</w:t>
      </w:r>
    </w:p>
    <w:p w:rsidR="00000000" w:rsidRDefault="00A309A2">
      <w:pPr>
        <w:pStyle w:val="a3"/>
        <w:spacing w:before="0" w:beforeAutospacing="0" w:after="0" w:afterAutospacing="0"/>
        <w:divId w:val="2629372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805"/>
        <w:gridCol w:w="110"/>
        <w:gridCol w:w="111"/>
        <w:gridCol w:w="1165"/>
        <w:gridCol w:w="110"/>
        <w:gridCol w:w="110"/>
        <w:gridCol w:w="111"/>
        <w:gridCol w:w="1167"/>
        <w:gridCol w:w="125"/>
      </w:tblGrid>
      <w:tr w:rsidR="00000000">
        <w:trPr>
          <w:divId w:val="26293726"/>
          <w:tblCellSpacing w:w="15" w:type="dxa"/>
        </w:trPr>
        <w:tc>
          <w:tcPr>
            <w:tcW w:w="2520" w:type="pct"/>
            <w:vAlign w:val="center"/>
            <w:hideMark/>
          </w:tcPr>
          <w:p w:rsidR="00000000" w:rsidRDefault="00A309A2">
            <w:pPr>
              <w:rPr>
                <w:sz w:val="20"/>
                <w:szCs w:val="20"/>
              </w:rPr>
            </w:pPr>
          </w:p>
        </w:tc>
        <w:tc>
          <w:tcPr>
            <w:tcW w:w="82"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1056"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1056" w:type="pct"/>
            <w:vAlign w:val="center"/>
            <w:hideMark/>
          </w:tcPr>
          <w:p w:rsidR="00000000" w:rsidRDefault="00A309A2">
            <w:pPr>
              <w:rPr>
                <w:rFonts w:eastAsia="Times New Roman"/>
                <w:sz w:val="20"/>
                <w:szCs w:val="20"/>
              </w:rPr>
            </w:pPr>
          </w:p>
        </w:tc>
        <w:tc>
          <w:tcPr>
            <w:tcW w:w="48" w:type="pct"/>
            <w:vAlign w:val="center"/>
            <w:hideMark/>
          </w:tcPr>
          <w:p w:rsidR="00000000" w:rsidRDefault="00A309A2">
            <w:pPr>
              <w:rPr>
                <w:rFonts w:eastAsia="Times New Roman"/>
                <w:sz w:val="20"/>
                <w:szCs w:val="20"/>
              </w:rPr>
            </w:pPr>
          </w:p>
        </w:tc>
      </w:tr>
      <w:tr w:rsidR="00000000">
        <w:trPr>
          <w:divId w:val="2629372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2629372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2629372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Common stock option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2629372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136264579"/>
        <w:rPr>
          <w:sz w:val="20"/>
          <w:szCs w:val="20"/>
        </w:rPr>
      </w:pPr>
      <w:r>
        <w:t> </w:t>
      </w:r>
    </w:p>
    <w:p w:rsidR="00000000" w:rsidRDefault="00A309A2">
      <w:pPr>
        <w:pStyle w:val="a3"/>
        <w:spacing w:before="0" w:beforeAutospacing="0" w:after="0" w:afterAutospacing="0"/>
        <w:ind w:firstLine="555"/>
        <w:divId w:val="1136264579"/>
        <w:rPr>
          <w:sz w:val="20"/>
          <w:szCs w:val="20"/>
        </w:rPr>
      </w:pPr>
      <w:r>
        <w:rPr>
          <w:sz w:val="20"/>
          <w:szCs w:val="20"/>
        </w:rPr>
        <w:t>For shares reserved for issuance for the Conversion Options, Warrants and Capped Call Options of the Notes, see Note 9</w:t>
      </w:r>
      <w:r>
        <w:rPr>
          <w:sz w:val="20"/>
          <w:szCs w:val="20"/>
        </w:rPr>
        <w:t>.</w:t>
      </w:r>
      <w:r>
        <w:rPr>
          <w:sz w:val="20"/>
          <w:szCs w:val="20"/>
        </w:rPr>
        <w:t xml:space="preserve"> </w:t>
      </w:r>
    </w:p>
    <w:p w:rsidR="00000000" w:rsidRDefault="00A309A2">
      <w:pPr>
        <w:pStyle w:val="a3"/>
        <w:spacing w:before="0" w:beforeAutospacing="0" w:after="0" w:afterAutospacing="0"/>
        <w:divId w:val="1136264579"/>
        <w:rPr>
          <w:sz w:val="20"/>
          <w:szCs w:val="20"/>
        </w:rPr>
      </w:pPr>
      <w:r>
        <w:t> </w:t>
      </w:r>
    </w:p>
    <w:p w:rsidR="00000000" w:rsidRDefault="00A309A2">
      <w:pPr>
        <w:pStyle w:val="a3"/>
        <w:spacing w:before="0" w:beforeAutospacing="0" w:after="0" w:afterAutospacing="0"/>
        <w:ind w:firstLine="555"/>
        <w:divId w:val="1136264579"/>
        <w:rPr>
          <w:sz w:val="20"/>
          <w:szCs w:val="20"/>
        </w:rPr>
      </w:pPr>
      <w:r>
        <w:rPr>
          <w:b/>
          <w:bCs/>
          <w:sz w:val="20"/>
          <w:szCs w:val="20"/>
        </w:rPr>
        <w:t>Equity Incentive Pla</w:t>
      </w:r>
      <w:r>
        <w:rPr>
          <w:b/>
          <w:bCs/>
          <w:sz w:val="20"/>
          <w:szCs w:val="20"/>
        </w:rPr>
        <w:t>n</w:t>
      </w:r>
      <w:r>
        <w:rPr>
          <w:sz w:val="20"/>
          <w:szCs w:val="20"/>
        </w:rPr>
        <w:t xml:space="preserve"> —The Company’s 2007 Equity Incentive Plan (the “2007 Plan”) was terminated in connection with the IPO, and acco</w:t>
      </w:r>
      <w:r>
        <w:rPr>
          <w:sz w:val="20"/>
          <w:szCs w:val="20"/>
        </w:rPr>
        <w:t>rdingly,</w:t>
      </w:r>
      <w:r>
        <w:rPr>
          <w:sz w:val="20"/>
          <w:szCs w:val="20"/>
        </w:rPr>
        <w:t xml:space="preserve"> </w:t>
      </w:r>
      <w:r>
        <w:rPr>
          <w:sz w:val="20"/>
          <w:szCs w:val="20"/>
        </w:rPr>
        <w:t>n</w:t>
      </w:r>
      <w:r>
        <w:rPr>
          <w:sz w:val="20"/>
          <w:szCs w:val="20"/>
        </w:rPr>
        <w:t>o</w:t>
      </w:r>
      <w:r>
        <w:rPr>
          <w:sz w:val="20"/>
          <w:szCs w:val="20"/>
        </w:rPr>
        <w:t xml:space="preserve"> shares are available for issuance under the 2007 Plan. The 2007 Plan will continue to govern outstanding awards granted thereunder, the 2007 Plan provided for the grant of qualified incentive stock options and nonqualified stock options or othe</w:t>
      </w:r>
      <w:r>
        <w:rPr>
          <w:sz w:val="20"/>
          <w:szCs w:val="20"/>
        </w:rPr>
        <w:t>r awards such as RSUs to the Company’s employees, officers, directors and outside consultants. The term of each option is fixed by the Company’s compensation committee and may not exceed</w:t>
      </w:r>
      <w:r>
        <w:rPr>
          <w:sz w:val="20"/>
          <w:szCs w:val="20"/>
        </w:rPr>
        <w:t xml:space="preserve"> </w:t>
      </w:r>
      <w:r>
        <w:rPr>
          <w:sz w:val="20"/>
          <w:szCs w:val="20"/>
        </w:rPr>
        <w:t>10 year</w:t>
      </w:r>
      <w:r>
        <w:rPr>
          <w:sz w:val="20"/>
          <w:szCs w:val="20"/>
        </w:rPr>
        <w:t>s</w:t>
      </w:r>
      <w:r>
        <w:rPr>
          <w:sz w:val="20"/>
          <w:szCs w:val="20"/>
        </w:rPr>
        <w:t xml:space="preserve"> from the date of grant. As of December 31,</w:t>
      </w:r>
      <w:r>
        <w:rPr>
          <w:sz w:val="20"/>
          <w:szCs w:val="20"/>
        </w:rPr>
        <w:t xml:space="preserve"> </w:t>
      </w:r>
      <w:r>
        <w:rPr>
          <w:sz w:val="20"/>
          <w:szCs w:val="20"/>
        </w:rPr>
        <w:t>2021,</w:t>
      </w:r>
      <w:r>
        <w:rPr>
          <w:sz w:val="20"/>
          <w:szCs w:val="20"/>
        </w:rPr>
        <w:t xml:space="preserve"> </w:t>
      </w:r>
      <w:r>
        <w:rPr>
          <w:sz w:val="20"/>
          <w:szCs w:val="20"/>
        </w:rPr>
        <w:t>16</w:t>
      </w:r>
      <w:r>
        <w:rPr>
          <w:sz w:val="20"/>
          <w:szCs w:val="20"/>
        </w:rPr>
        <w:t>5</w:t>
      </w:r>
      <w:r>
        <w:rPr>
          <w:sz w:val="20"/>
          <w:szCs w:val="20"/>
        </w:rPr>
        <w:t xml:space="preserve"> thousan</w:t>
      </w:r>
      <w:r>
        <w:rPr>
          <w:sz w:val="20"/>
          <w:szCs w:val="20"/>
        </w:rPr>
        <w:t>d</w:t>
      </w:r>
      <w:r>
        <w:rPr>
          <w:sz w:val="20"/>
          <w:szCs w:val="20"/>
        </w:rPr>
        <w:t xml:space="preserve"> options to purchase common stock and</w:t>
      </w:r>
      <w:r>
        <w:rPr>
          <w:sz w:val="20"/>
          <w:szCs w:val="20"/>
        </w:rPr>
        <w:t xml:space="preserve"> </w:t>
      </w:r>
      <w:r>
        <w:rPr>
          <w:sz w:val="20"/>
          <w:szCs w:val="20"/>
        </w:rPr>
        <w:t>n</w:t>
      </w:r>
      <w:r>
        <w:rPr>
          <w:sz w:val="20"/>
          <w:szCs w:val="20"/>
        </w:rPr>
        <w:t>o</w:t>
      </w:r>
      <w:r>
        <w:rPr>
          <w:sz w:val="20"/>
          <w:szCs w:val="20"/>
        </w:rPr>
        <w:t xml:space="preserve"> RSUs remained outstanding under the 2007 Plan</w:t>
      </w:r>
      <w:r>
        <w:rPr>
          <w:sz w:val="20"/>
          <w:szCs w:val="20"/>
        </w:rPr>
        <w:t>.</w:t>
      </w:r>
    </w:p>
    <w:p w:rsidR="00000000" w:rsidRDefault="00A309A2">
      <w:pPr>
        <w:pStyle w:val="a3"/>
        <w:spacing w:before="240" w:beforeAutospacing="0" w:after="0" w:afterAutospacing="0"/>
        <w:ind w:firstLine="555"/>
        <w:divId w:val="1136264579"/>
        <w:rPr>
          <w:sz w:val="20"/>
          <w:szCs w:val="20"/>
        </w:rPr>
      </w:pPr>
      <w:r>
        <w:rPr>
          <w:sz w:val="20"/>
          <w:szCs w:val="20"/>
        </w:rPr>
        <w:t>On September 25, 2014, the Company’s board of directors adopted and the Company’s stockholders approved the 2014 Stock Option and Incentive Plan (the “2014 Plan”). The</w:t>
      </w:r>
      <w:r>
        <w:rPr>
          <w:sz w:val="20"/>
          <w:szCs w:val="20"/>
        </w:rPr>
        <w:t xml:space="preserve"> 2014 Plan became effective upon the closing of the Company’s IPO in the fourth quarter of 2014. The Company initially reserved</w:t>
      </w:r>
      <w:r>
        <w:rPr>
          <w:sz w:val="20"/>
          <w:szCs w:val="20"/>
        </w:rPr>
        <w:t xml:space="preserve"> </w:t>
      </w:r>
      <w:r>
        <w:rPr>
          <w:sz w:val="20"/>
          <w:szCs w:val="20"/>
        </w:rPr>
        <w:t>1,973,55</w:t>
      </w:r>
      <w:r>
        <w:rPr>
          <w:sz w:val="20"/>
          <w:szCs w:val="20"/>
        </w:rPr>
        <w:t>1</w:t>
      </w:r>
      <w:r>
        <w:rPr>
          <w:sz w:val="20"/>
          <w:szCs w:val="20"/>
        </w:rPr>
        <w:t xml:space="preserve"> shares of its common stock, or the Initial Limit, for the issuance of awards under the 2014 Plan. The 2014 Plan provid</w:t>
      </w:r>
      <w:r>
        <w:rPr>
          <w:sz w:val="20"/>
          <w:szCs w:val="20"/>
        </w:rPr>
        <w:t>es that the number of shares reserved and available for issuance under the plan automatically increases each January 1, by</w:t>
      </w:r>
      <w:r>
        <w:rPr>
          <w:sz w:val="20"/>
          <w:szCs w:val="20"/>
        </w:rPr>
        <w:t xml:space="preserve"> </w:t>
      </w:r>
      <w:r>
        <w:rPr>
          <w:sz w:val="20"/>
          <w:szCs w:val="20"/>
        </w:rPr>
        <w:t>5</w:t>
      </w:r>
      <w:r>
        <w:rPr>
          <w:sz w:val="20"/>
          <w:szCs w:val="20"/>
        </w:rPr>
        <w:t>% of the outstanding number of shares of the Company’s common stock on the immediately preceding December 31 or such lesser number o</w:t>
      </w:r>
      <w:r>
        <w:rPr>
          <w:sz w:val="20"/>
          <w:szCs w:val="20"/>
        </w:rPr>
        <w:t>f shares as determined by the compensation committee. This number is subject to adjustment in the event of a stock split, stock dividend or other change in the Company’s capitalization. The term of each option is fixed by the Company’s compensation committ</w:t>
      </w:r>
      <w:r>
        <w:rPr>
          <w:sz w:val="20"/>
          <w:szCs w:val="20"/>
        </w:rPr>
        <w:t>ee and may not exceed</w:t>
      </w:r>
      <w:r>
        <w:rPr>
          <w:sz w:val="20"/>
          <w:szCs w:val="20"/>
        </w:rPr>
        <w:t xml:space="preserve"> </w:t>
      </w:r>
      <w:r>
        <w:rPr>
          <w:sz w:val="20"/>
          <w:szCs w:val="20"/>
        </w:rPr>
        <w:t>10 year</w:t>
      </w:r>
      <w:r>
        <w:rPr>
          <w:sz w:val="20"/>
          <w:szCs w:val="20"/>
        </w:rPr>
        <w:t>s</w:t>
      </w:r>
      <w:r>
        <w:rPr>
          <w:sz w:val="20"/>
          <w:szCs w:val="20"/>
        </w:rPr>
        <w:t xml:space="preserve"> from the date of grant. As of December 31,</w:t>
      </w:r>
      <w:r>
        <w:rPr>
          <w:sz w:val="20"/>
          <w:szCs w:val="20"/>
        </w:rPr>
        <w:t xml:space="preserve"> </w:t>
      </w:r>
      <w:r>
        <w:rPr>
          <w:sz w:val="20"/>
          <w:szCs w:val="20"/>
        </w:rPr>
        <w:t>2021,</w:t>
      </w:r>
      <w:r>
        <w:rPr>
          <w:sz w:val="20"/>
          <w:szCs w:val="20"/>
        </w:rPr>
        <w:t xml:space="preserve"> </w:t>
      </w:r>
      <w:r>
        <w:rPr>
          <w:sz w:val="20"/>
          <w:szCs w:val="20"/>
        </w:rPr>
        <w:t>41</w:t>
      </w:r>
      <w:r>
        <w:rPr>
          <w:sz w:val="20"/>
          <w:szCs w:val="20"/>
        </w:rPr>
        <w:t>9</w:t>
      </w:r>
      <w:r>
        <w:rPr>
          <w:sz w:val="20"/>
          <w:szCs w:val="20"/>
        </w:rPr>
        <w:t xml:space="preserve"> thousan</w:t>
      </w:r>
      <w:r>
        <w:rPr>
          <w:sz w:val="20"/>
          <w:szCs w:val="20"/>
        </w:rPr>
        <w:t>d</w:t>
      </w:r>
      <w:r>
        <w:rPr>
          <w:sz w:val="20"/>
          <w:szCs w:val="20"/>
        </w:rPr>
        <w:t xml:space="preserve"> options to purchase common stock and</w:t>
      </w:r>
      <w:r>
        <w:rPr>
          <w:sz w:val="20"/>
          <w:szCs w:val="20"/>
        </w:rPr>
        <w:t xml:space="preserve"> </w:t>
      </w:r>
      <w:r>
        <w:rPr>
          <w:sz w:val="20"/>
          <w:szCs w:val="20"/>
        </w:rPr>
        <w:t>1.</w:t>
      </w:r>
      <w:r>
        <w:rPr>
          <w:sz w:val="20"/>
          <w:szCs w:val="20"/>
        </w:rPr>
        <w:t>2</w:t>
      </w:r>
      <w:r>
        <w:rPr>
          <w:sz w:val="20"/>
          <w:szCs w:val="20"/>
        </w:rPr>
        <w:t xml:space="preserve"> millio</w:t>
      </w:r>
      <w:r>
        <w:rPr>
          <w:sz w:val="20"/>
          <w:szCs w:val="20"/>
        </w:rPr>
        <w:t>n</w:t>
      </w:r>
      <w:r>
        <w:rPr>
          <w:sz w:val="20"/>
          <w:szCs w:val="20"/>
        </w:rPr>
        <w:t xml:space="preserve"> RSUs remained outstanding under the 2014 Plan</w:t>
      </w:r>
      <w:r>
        <w:rPr>
          <w:sz w:val="20"/>
          <w:szCs w:val="20"/>
        </w:rPr>
        <w:t>.</w:t>
      </w:r>
    </w:p>
    <w:p w:rsidR="00000000" w:rsidRDefault="00A309A2">
      <w:pPr>
        <w:pStyle w:val="a3"/>
        <w:spacing w:before="240" w:beforeAutospacing="0" w:after="0" w:afterAutospacing="0"/>
        <w:ind w:firstLine="555"/>
        <w:divId w:val="1136264579"/>
        <w:rPr>
          <w:sz w:val="20"/>
          <w:szCs w:val="20"/>
        </w:rPr>
      </w:pPr>
      <w:r>
        <w:rPr>
          <w:b/>
          <w:bCs/>
          <w:sz w:val="20"/>
          <w:szCs w:val="20"/>
        </w:rPr>
        <w:t>Stock Compensation Expens</w:t>
      </w:r>
      <w:r>
        <w:rPr>
          <w:b/>
          <w:bCs/>
          <w:sz w:val="20"/>
          <w:szCs w:val="20"/>
        </w:rPr>
        <w:t>e</w:t>
      </w:r>
      <w:r>
        <w:rPr>
          <w:sz w:val="20"/>
          <w:szCs w:val="20"/>
        </w:rPr>
        <w:t xml:space="preserve"> —The Company’</w:t>
      </w:r>
      <w:r>
        <w:rPr>
          <w:sz w:val="20"/>
          <w:szCs w:val="20"/>
        </w:rPr>
        <w:t>s equity compensation expense is comprised of awards of options to purchase common stock, RSUs, and stock issued under the Company’s employee stock purchase plan (“ESPP”)</w:t>
      </w:r>
      <w:r>
        <w:rPr>
          <w:sz w:val="20"/>
          <w:szCs w:val="20"/>
        </w:rPr>
        <w:t>.</w:t>
      </w:r>
    </w:p>
    <w:p w:rsidR="00000000" w:rsidRDefault="00A309A2">
      <w:pPr>
        <w:pStyle w:val="a3"/>
        <w:spacing w:before="240" w:beforeAutospacing="0" w:after="0" w:afterAutospacing="0"/>
        <w:ind w:firstLine="555"/>
        <w:divId w:val="540635949"/>
        <w:rPr>
          <w:sz w:val="20"/>
          <w:szCs w:val="20"/>
        </w:rPr>
      </w:pPr>
      <w:r>
        <w:rPr>
          <w:sz w:val="20"/>
          <w:szCs w:val="20"/>
        </w:rPr>
        <w:t>The following two tables show stock compensation expense by award type and where the</w:t>
      </w:r>
      <w:r>
        <w:rPr>
          <w:sz w:val="20"/>
          <w:szCs w:val="20"/>
        </w:rPr>
        <w:t xml:space="preserve"> stock compensation expense is recorded in the Company’s consolidated statements of operations</w:t>
      </w:r>
      <w:r>
        <w:rPr>
          <w:sz w:val="20"/>
          <w:szCs w:val="20"/>
        </w:rPr>
        <w:t>:</w:t>
      </w:r>
    </w:p>
    <w:p w:rsidR="00000000" w:rsidRDefault="00A309A2">
      <w:pPr>
        <w:pStyle w:val="a3"/>
        <w:spacing w:before="0" w:beforeAutospacing="0" w:after="0" w:afterAutospacing="0"/>
        <w:divId w:val="18641266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18"/>
        <w:gridCol w:w="110"/>
        <w:gridCol w:w="160"/>
        <w:gridCol w:w="710"/>
        <w:gridCol w:w="110"/>
        <w:gridCol w:w="110"/>
        <w:gridCol w:w="160"/>
        <w:gridCol w:w="710"/>
        <w:gridCol w:w="110"/>
        <w:gridCol w:w="110"/>
        <w:gridCol w:w="160"/>
        <w:gridCol w:w="652"/>
        <w:gridCol w:w="125"/>
      </w:tblGrid>
      <w:tr w:rsidR="00000000">
        <w:trPr>
          <w:divId w:val="186412666"/>
          <w:tblCellSpacing w:w="15" w:type="dxa"/>
        </w:trPr>
        <w:tc>
          <w:tcPr>
            <w:tcW w:w="2748" w:type="pct"/>
            <w:vAlign w:val="center"/>
            <w:hideMark/>
          </w:tcPr>
          <w:p w:rsidR="00000000" w:rsidRDefault="00A309A2">
            <w:pPr>
              <w:rPr>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77" w:type="pct"/>
            <w:vAlign w:val="center"/>
            <w:hideMark/>
          </w:tcPr>
          <w:p w:rsidR="00000000" w:rsidRDefault="00A309A2">
            <w:pPr>
              <w:rPr>
                <w:rFonts w:eastAsia="Times New Roman"/>
                <w:sz w:val="20"/>
                <w:szCs w:val="20"/>
              </w:rPr>
            </w:pPr>
          </w:p>
        </w:tc>
        <w:tc>
          <w:tcPr>
            <w:tcW w:w="41"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77" w:type="pct"/>
            <w:vAlign w:val="center"/>
            <w:hideMark/>
          </w:tcPr>
          <w:p w:rsidR="00000000" w:rsidRDefault="00A309A2">
            <w:pPr>
              <w:rPr>
                <w:rFonts w:eastAsia="Times New Roman"/>
                <w:sz w:val="20"/>
                <w:szCs w:val="20"/>
              </w:rPr>
            </w:pPr>
          </w:p>
        </w:tc>
        <w:tc>
          <w:tcPr>
            <w:tcW w:w="41"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r>
      <w:tr w:rsidR="00000000">
        <w:trPr>
          <w:divId w:val="18641266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8641266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8641266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8641266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6,25</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6,37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5,07</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641266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9,12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6,85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641266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151,38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108,26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87,81</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6412666"/>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Total stock-based compensatio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166,76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121,48</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97,75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77903458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18"/>
        <w:gridCol w:w="110"/>
        <w:gridCol w:w="160"/>
        <w:gridCol w:w="710"/>
        <w:gridCol w:w="110"/>
        <w:gridCol w:w="110"/>
        <w:gridCol w:w="160"/>
        <w:gridCol w:w="710"/>
        <w:gridCol w:w="110"/>
        <w:gridCol w:w="110"/>
        <w:gridCol w:w="160"/>
        <w:gridCol w:w="652"/>
        <w:gridCol w:w="125"/>
      </w:tblGrid>
      <w:tr w:rsidR="00000000">
        <w:trPr>
          <w:divId w:val="779034585"/>
          <w:tblCellSpacing w:w="15" w:type="dxa"/>
        </w:trPr>
        <w:tc>
          <w:tcPr>
            <w:tcW w:w="2748" w:type="pct"/>
            <w:vAlign w:val="center"/>
            <w:hideMark/>
          </w:tcPr>
          <w:p w:rsidR="00000000" w:rsidRDefault="00A309A2">
            <w:pPr>
              <w:rPr>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77" w:type="pct"/>
            <w:vAlign w:val="center"/>
            <w:hideMark/>
          </w:tcPr>
          <w:p w:rsidR="00000000" w:rsidRDefault="00A309A2">
            <w:pPr>
              <w:rPr>
                <w:rFonts w:eastAsia="Times New Roman"/>
                <w:sz w:val="20"/>
                <w:szCs w:val="20"/>
              </w:rPr>
            </w:pPr>
          </w:p>
        </w:tc>
        <w:tc>
          <w:tcPr>
            <w:tcW w:w="41"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77" w:type="pct"/>
            <w:vAlign w:val="center"/>
            <w:hideMark/>
          </w:tcPr>
          <w:p w:rsidR="00000000" w:rsidRDefault="00A309A2">
            <w:pPr>
              <w:rPr>
                <w:rFonts w:eastAsia="Times New Roman"/>
                <w:sz w:val="20"/>
                <w:szCs w:val="20"/>
              </w:rPr>
            </w:pPr>
          </w:p>
        </w:tc>
        <w:tc>
          <w:tcPr>
            <w:tcW w:w="41"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r>
      <w:tr w:rsidR="00000000">
        <w:trPr>
          <w:divId w:val="779034585"/>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79034585"/>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7903458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Cost of revenue, subscriptio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6,29</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4,40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3,12</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903458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Cost of revenue, servic</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3,09</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903458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61,61</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39,36</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33,74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903458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67,41</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50,55</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36,59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903458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28,34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24,62</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21,45</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9034585"/>
          <w:trHeight w:val="200"/>
          <w:tblCellSpacing w:w="15" w:type="dxa"/>
        </w:trPr>
        <w:tc>
          <w:tcPr>
            <w:tcW w:w="0" w:type="auto"/>
            <w:vAlign w:val="bottom"/>
            <w:hideMark/>
          </w:tcPr>
          <w:p w:rsidR="00000000" w:rsidRDefault="00A309A2">
            <w:pPr>
              <w:pStyle w:val="a3"/>
              <w:spacing w:before="0" w:beforeAutospacing="0" w:after="0" w:afterAutospacing="0"/>
              <w:ind w:left="300"/>
              <w:rPr>
                <w:sz w:val="20"/>
                <w:szCs w:val="20"/>
              </w:rPr>
            </w:pPr>
            <w:r>
              <w:rPr>
                <w:sz w:val="20"/>
                <w:szCs w:val="20"/>
              </w:rPr>
              <w:t>Total stock-based compensatio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166,76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121,48</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97,75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136264579"/>
        <w:rPr>
          <w:sz w:val="20"/>
          <w:szCs w:val="20"/>
        </w:rPr>
      </w:pPr>
      <w:r>
        <w:t> </w:t>
      </w:r>
    </w:p>
    <w:p w:rsidR="00000000" w:rsidRDefault="00A309A2">
      <w:pPr>
        <w:pStyle w:val="a3"/>
        <w:spacing w:before="0" w:beforeAutospacing="0" w:after="0" w:afterAutospacing="0"/>
        <w:ind w:firstLine="555"/>
        <w:divId w:val="1136264579"/>
        <w:rPr>
          <w:sz w:val="20"/>
          <w:szCs w:val="20"/>
        </w:rPr>
      </w:pPr>
      <w:r>
        <w:rPr>
          <w:sz w:val="20"/>
          <w:szCs w:val="20"/>
        </w:rPr>
        <w:t>Excluded from stock-based compensation expense is</w:t>
      </w:r>
      <w:r>
        <w:rPr>
          <w:sz w:val="20"/>
          <w:szCs w:val="20"/>
        </w:rPr>
        <w:t xml:space="preserve"> </w:t>
      </w:r>
      <w:r>
        <w:rPr>
          <w:sz w:val="20"/>
          <w:szCs w:val="20"/>
        </w:rPr>
        <w:t>$</w:t>
      </w:r>
      <w:r>
        <w:rPr>
          <w:sz w:val="20"/>
          <w:szCs w:val="20"/>
        </w:rPr>
        <w:t>6.</w:t>
      </w:r>
      <w:r>
        <w:rPr>
          <w:sz w:val="20"/>
          <w:szCs w:val="20"/>
        </w:rPr>
        <w:t>0</w:t>
      </w:r>
      <w:r>
        <w:rPr>
          <w:sz w:val="20"/>
          <w:szCs w:val="20"/>
        </w:rPr>
        <w:t xml:space="preserve"> </w:t>
      </w:r>
      <w:r>
        <w:rPr>
          <w:sz w:val="20"/>
          <w:szCs w:val="20"/>
        </w:rPr>
        <w:t>million of capitalized software development costs in 2021,</w:t>
      </w:r>
      <w:r>
        <w:rPr>
          <w:sz w:val="20"/>
          <w:szCs w:val="20"/>
        </w:rPr>
        <w:t xml:space="preserve"> </w:t>
      </w:r>
      <w:r>
        <w:rPr>
          <w:sz w:val="20"/>
          <w:szCs w:val="20"/>
        </w:rPr>
        <w:t>$</w:t>
      </w:r>
      <w:r>
        <w:rPr>
          <w:sz w:val="20"/>
          <w:szCs w:val="20"/>
        </w:rPr>
        <w:t>3.</w:t>
      </w:r>
      <w:r>
        <w:rPr>
          <w:sz w:val="20"/>
          <w:szCs w:val="20"/>
        </w:rPr>
        <w:t>6</w:t>
      </w:r>
      <w:r>
        <w:rPr>
          <w:sz w:val="20"/>
          <w:szCs w:val="20"/>
        </w:rPr>
        <w:t xml:space="preserve"> million in 2020, and</w:t>
      </w:r>
      <w:r>
        <w:rPr>
          <w:sz w:val="20"/>
          <w:szCs w:val="20"/>
        </w:rPr>
        <w:t xml:space="preserve"> </w:t>
      </w:r>
      <w:r>
        <w:rPr>
          <w:sz w:val="20"/>
          <w:szCs w:val="20"/>
        </w:rPr>
        <w:t>$</w:t>
      </w:r>
      <w:r>
        <w:rPr>
          <w:sz w:val="20"/>
          <w:szCs w:val="20"/>
        </w:rPr>
        <w:t>2.</w:t>
      </w:r>
      <w:r>
        <w:rPr>
          <w:sz w:val="20"/>
          <w:szCs w:val="20"/>
        </w:rPr>
        <w:t>4</w:t>
      </w:r>
      <w:r>
        <w:rPr>
          <w:sz w:val="20"/>
          <w:szCs w:val="20"/>
        </w:rPr>
        <w:t xml:space="preserve"> million in 2019</w:t>
      </w:r>
      <w:r>
        <w:rPr>
          <w:sz w:val="20"/>
          <w:szCs w:val="20"/>
        </w:rPr>
        <w:t>.</w:t>
      </w:r>
    </w:p>
    <w:p w:rsidR="00000000" w:rsidRDefault="00A309A2">
      <w:pPr>
        <w:pStyle w:val="a3"/>
        <w:spacing w:before="240" w:beforeAutospacing="0" w:after="0" w:afterAutospacing="0"/>
        <w:jc w:val="center"/>
        <w:divId w:val="1136264579"/>
        <w:rPr>
          <w:sz w:val="20"/>
          <w:szCs w:val="20"/>
        </w:rPr>
      </w:pPr>
      <w:r>
        <w:rPr>
          <w:sz w:val="20"/>
          <w:szCs w:val="20"/>
        </w:rPr>
        <w:t>8</w:t>
      </w:r>
      <w:r>
        <w:rPr>
          <w:sz w:val="20"/>
          <w:szCs w:val="20"/>
        </w:rPr>
        <w:t>8</w:t>
      </w:r>
    </w:p>
    <w:p w:rsidR="00000000" w:rsidRDefault="00A309A2">
      <w:pPr>
        <w:divId w:val="1136264579"/>
        <w:rPr>
          <w:rFonts w:eastAsia="Times New Roman"/>
        </w:rPr>
      </w:pPr>
      <w:r>
        <w:rPr>
          <w:rFonts w:eastAsia="Times New Roman"/>
        </w:rPr>
        <w:pict>
          <v:rect id="_x0000_i1115" style="width:0;height:1.5pt" o:hralign="center" o:hrstd="t" o:hr="t" fillcolor="#a0a0a0" stroked="f"/>
        </w:pict>
      </w:r>
    </w:p>
    <w:p w:rsidR="00000000" w:rsidRDefault="00A309A2">
      <w:pPr>
        <w:pStyle w:val="a3"/>
        <w:spacing w:before="0" w:beforeAutospacing="0" w:after="0" w:afterAutospacing="0"/>
        <w:divId w:val="1136264579"/>
        <w:rPr>
          <w:sz w:val="20"/>
          <w:szCs w:val="20"/>
        </w:rPr>
      </w:pPr>
      <w:r>
        <w:rPr>
          <w:sz w:val="20"/>
          <w:szCs w:val="20"/>
        </w:rPr>
        <w:t> </w:t>
      </w:r>
    </w:p>
    <w:p w:rsidR="00000000" w:rsidRDefault="00A309A2">
      <w:pPr>
        <w:pStyle w:val="a3"/>
        <w:spacing w:before="240" w:beforeAutospacing="0" w:after="0" w:afterAutospacing="0"/>
        <w:ind w:firstLine="555"/>
        <w:divId w:val="1742485730"/>
        <w:rPr>
          <w:sz w:val="20"/>
          <w:szCs w:val="20"/>
        </w:rPr>
      </w:pPr>
      <w:r>
        <w:rPr>
          <w:b/>
          <w:bCs/>
          <w:sz w:val="20"/>
          <w:szCs w:val="20"/>
        </w:rPr>
        <w:t>Stock Option</w:t>
      </w:r>
      <w:r>
        <w:rPr>
          <w:b/>
          <w:bCs/>
          <w:sz w:val="20"/>
          <w:szCs w:val="20"/>
        </w:rPr>
        <w:t>s</w:t>
      </w:r>
      <w:r>
        <w:rPr>
          <w:sz w:val="20"/>
          <w:szCs w:val="20"/>
        </w:rPr>
        <w:t xml:space="preserve"> —The fair value of employee options is estimated on the date of each grant using the Black-Sch</w:t>
      </w:r>
      <w:r>
        <w:rPr>
          <w:sz w:val="20"/>
          <w:szCs w:val="20"/>
        </w:rPr>
        <w:t>oles option-pricing model with the following assumptions</w:t>
      </w:r>
      <w:r>
        <w:rPr>
          <w:sz w:val="20"/>
          <w:szCs w:val="20"/>
        </w:rPr>
        <w:t>:</w:t>
      </w:r>
    </w:p>
    <w:p w:rsidR="00000000" w:rsidRDefault="00A309A2">
      <w:pPr>
        <w:pStyle w:val="a3"/>
        <w:spacing w:before="0" w:beforeAutospacing="0" w:after="0" w:afterAutospacing="0"/>
        <w:divId w:val="174248573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554"/>
        <w:gridCol w:w="110"/>
        <w:gridCol w:w="113"/>
        <w:gridCol w:w="692"/>
        <w:gridCol w:w="110"/>
        <w:gridCol w:w="110"/>
        <w:gridCol w:w="113"/>
        <w:gridCol w:w="692"/>
        <w:gridCol w:w="110"/>
        <w:gridCol w:w="110"/>
        <w:gridCol w:w="113"/>
        <w:gridCol w:w="693"/>
        <w:gridCol w:w="125"/>
      </w:tblGrid>
      <w:tr w:rsidR="00000000">
        <w:trPr>
          <w:divId w:val="1742485730"/>
          <w:tblCellSpacing w:w="15" w:type="dxa"/>
        </w:trPr>
        <w:tc>
          <w:tcPr>
            <w:tcW w:w="2855" w:type="pct"/>
            <w:vAlign w:val="center"/>
            <w:hideMark/>
          </w:tcPr>
          <w:p w:rsidR="00000000" w:rsidRDefault="00A309A2">
            <w:pPr>
              <w:rPr>
                <w:sz w:val="20"/>
                <w:szCs w:val="20"/>
              </w:rPr>
            </w:pPr>
          </w:p>
        </w:tc>
        <w:tc>
          <w:tcPr>
            <w:tcW w:w="62"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69"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c>
          <w:tcPr>
            <w:tcW w:w="62"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69"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c>
          <w:tcPr>
            <w:tcW w:w="62"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570" w:type="pct"/>
            <w:vAlign w:val="center"/>
            <w:hideMark/>
          </w:tcPr>
          <w:p w:rsidR="00000000" w:rsidRDefault="00A309A2">
            <w:pPr>
              <w:rPr>
                <w:rFonts w:eastAsia="Times New Roman"/>
                <w:sz w:val="20"/>
                <w:szCs w:val="20"/>
              </w:rPr>
            </w:pPr>
          </w:p>
        </w:tc>
        <w:tc>
          <w:tcPr>
            <w:tcW w:w="40" w:type="pct"/>
            <w:vAlign w:val="center"/>
            <w:hideMark/>
          </w:tcPr>
          <w:p w:rsidR="00000000" w:rsidRDefault="00A309A2">
            <w:pPr>
              <w:rPr>
                <w:rFonts w:eastAsia="Times New Roman"/>
                <w:sz w:val="20"/>
                <w:szCs w:val="20"/>
              </w:rPr>
            </w:pPr>
          </w:p>
        </w:tc>
      </w:tr>
      <w:tr w:rsidR="00000000">
        <w:trPr>
          <w:divId w:val="1742485730"/>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742485730"/>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742485730"/>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Risk-free interest rate (%</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0.5</w:t>
            </w:r>
            <w:r>
              <w:rPr>
                <w:sz w:val="20"/>
                <w:szCs w:val="20"/>
              </w:rPr>
              <w:t>3</w:t>
            </w:r>
            <w:r>
              <w:rPr>
                <w:sz w:val="20"/>
                <w:szCs w:val="20"/>
              </w:rPr>
              <w:t>-</w:t>
            </w:r>
            <w:r>
              <w:rPr>
                <w:sz w:val="20"/>
                <w:szCs w:val="20"/>
              </w:rPr>
              <w:t>1.3</w:t>
            </w:r>
            <w:r>
              <w:rPr>
                <w:sz w:val="20"/>
                <w:szCs w:val="20"/>
              </w:rPr>
              <w:t>6</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0.4</w:t>
            </w:r>
            <w:r>
              <w:rPr>
                <w:sz w:val="20"/>
                <w:szCs w:val="20"/>
              </w:rPr>
              <w:t>7</w:t>
            </w:r>
            <w:r>
              <w:rPr>
                <w:sz w:val="20"/>
                <w:szCs w:val="20"/>
              </w:rPr>
              <w:t>-</w:t>
            </w:r>
            <w:r>
              <w:rPr>
                <w:sz w:val="20"/>
                <w:szCs w:val="20"/>
              </w:rPr>
              <w:t>1.6</w:t>
            </w:r>
            <w:r>
              <w:rPr>
                <w:sz w:val="20"/>
                <w:szCs w:val="20"/>
              </w:rPr>
              <w:t>6</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1.9</w:t>
            </w:r>
            <w:r>
              <w:rPr>
                <w:sz w:val="20"/>
                <w:szCs w:val="20"/>
              </w:rPr>
              <w:t>5</w:t>
            </w:r>
            <w:r>
              <w:rPr>
                <w:sz w:val="20"/>
                <w:szCs w:val="20"/>
              </w:rPr>
              <w:t>-</w:t>
            </w:r>
            <w:r>
              <w:rPr>
                <w:sz w:val="20"/>
                <w:szCs w:val="20"/>
              </w:rPr>
              <w:t>2.5</w:t>
            </w:r>
            <w:r>
              <w:rPr>
                <w:sz w:val="20"/>
                <w:szCs w:val="20"/>
              </w:rPr>
              <w:t>5</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742485730"/>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Expected term (years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5.</w:t>
            </w:r>
            <w:r>
              <w:rPr>
                <w:sz w:val="20"/>
                <w:szCs w:val="20"/>
              </w:rPr>
              <w:t>2</w:t>
            </w:r>
            <w:r>
              <w:rPr>
                <w:sz w:val="20"/>
                <w:szCs w:val="20"/>
              </w:rPr>
              <w:t>-</w:t>
            </w:r>
            <w:r>
              <w:rPr>
                <w:sz w:val="20"/>
                <w:szCs w:val="20"/>
              </w:rPr>
              <w:t>6.</w:t>
            </w:r>
            <w:r>
              <w:rPr>
                <w:sz w:val="20"/>
                <w:szCs w:val="20"/>
              </w:rPr>
              <w:t>4</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5.5</w:t>
            </w:r>
            <w:r>
              <w:rPr>
                <w:sz w:val="20"/>
                <w:szCs w:val="20"/>
              </w:rPr>
              <w:t>0</w:t>
            </w:r>
            <w:r>
              <w:rPr>
                <w:sz w:val="20"/>
                <w:szCs w:val="20"/>
              </w:rPr>
              <w:t>-</w:t>
            </w:r>
            <w:r>
              <w:rPr>
                <w:sz w:val="20"/>
                <w:szCs w:val="20"/>
              </w:rPr>
              <w:t>6.2</w:t>
            </w:r>
            <w:r>
              <w:rPr>
                <w:sz w:val="20"/>
                <w:szCs w:val="20"/>
              </w:rPr>
              <w:t>4</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5.5</w:t>
            </w:r>
            <w:r>
              <w:rPr>
                <w:sz w:val="20"/>
                <w:szCs w:val="20"/>
              </w:rPr>
              <w:t>0</w:t>
            </w:r>
            <w:r>
              <w:rPr>
                <w:sz w:val="20"/>
                <w:szCs w:val="20"/>
              </w:rPr>
              <w:t>-</w:t>
            </w:r>
            <w:r>
              <w:rPr>
                <w:sz w:val="20"/>
                <w:szCs w:val="20"/>
              </w:rPr>
              <w:t>6.0</w:t>
            </w:r>
            <w:r>
              <w:rPr>
                <w:sz w:val="20"/>
                <w:szCs w:val="20"/>
              </w:rPr>
              <w:t>2</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742485730"/>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Volatility (%</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42.9</w:t>
            </w:r>
            <w:r>
              <w:rPr>
                <w:sz w:val="20"/>
                <w:szCs w:val="20"/>
              </w:rPr>
              <w:t>7</w:t>
            </w:r>
            <w:r>
              <w:rPr>
                <w:sz w:val="20"/>
                <w:szCs w:val="20"/>
              </w:rPr>
              <w:t>-</w:t>
            </w:r>
            <w:r>
              <w:rPr>
                <w:sz w:val="20"/>
                <w:szCs w:val="20"/>
              </w:rPr>
              <w:t>44.7</w:t>
            </w:r>
            <w:r>
              <w:rPr>
                <w:sz w:val="20"/>
                <w:szCs w:val="20"/>
              </w:rPr>
              <w:t>0</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38.1</w:t>
            </w:r>
            <w:r>
              <w:rPr>
                <w:sz w:val="20"/>
                <w:szCs w:val="20"/>
              </w:rPr>
              <w:t>5</w:t>
            </w:r>
            <w:r>
              <w:rPr>
                <w:sz w:val="20"/>
                <w:szCs w:val="20"/>
              </w:rPr>
              <w:t>-</w:t>
            </w:r>
            <w:r>
              <w:rPr>
                <w:sz w:val="20"/>
                <w:szCs w:val="20"/>
              </w:rPr>
              <w:t>40.6</w:t>
            </w:r>
            <w:r>
              <w:rPr>
                <w:sz w:val="20"/>
                <w:szCs w:val="20"/>
              </w:rPr>
              <w:t>3</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39.4</w:t>
            </w:r>
            <w:r>
              <w:rPr>
                <w:sz w:val="20"/>
                <w:szCs w:val="20"/>
              </w:rPr>
              <w:t>6</w:t>
            </w:r>
            <w:r>
              <w:rPr>
                <w:sz w:val="20"/>
                <w:szCs w:val="20"/>
              </w:rPr>
              <w:t>-</w:t>
            </w:r>
            <w:r>
              <w:rPr>
                <w:sz w:val="20"/>
                <w:szCs w:val="20"/>
              </w:rPr>
              <w:t>41.4</w:t>
            </w:r>
            <w:r>
              <w:rPr>
                <w:sz w:val="20"/>
                <w:szCs w:val="20"/>
              </w:rPr>
              <w:t>1</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742485730"/>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Expected dividend</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136264579"/>
        <w:rPr>
          <w:sz w:val="20"/>
          <w:szCs w:val="20"/>
        </w:rPr>
      </w:pPr>
      <w:r>
        <w:t> </w:t>
      </w:r>
    </w:p>
    <w:p w:rsidR="00000000" w:rsidRDefault="00A309A2">
      <w:pPr>
        <w:pStyle w:val="a3"/>
        <w:spacing w:before="0" w:beforeAutospacing="0" w:after="0" w:afterAutospacing="0"/>
        <w:ind w:firstLine="555"/>
        <w:divId w:val="1136264579"/>
        <w:rPr>
          <w:sz w:val="20"/>
          <w:szCs w:val="20"/>
        </w:rPr>
      </w:pPr>
      <w:r>
        <w:rPr>
          <w:sz w:val="20"/>
          <w:szCs w:val="20"/>
        </w:rPr>
        <w:t>The weighted-average grant-date fair value of options granted was</w:t>
      </w:r>
      <w:r>
        <w:rPr>
          <w:sz w:val="20"/>
          <w:szCs w:val="20"/>
        </w:rPr>
        <w:t xml:space="preserve"> </w:t>
      </w:r>
      <w:r>
        <w:rPr>
          <w:sz w:val="20"/>
          <w:szCs w:val="20"/>
        </w:rPr>
        <w:t>$</w:t>
      </w:r>
      <w:r>
        <w:rPr>
          <w:sz w:val="20"/>
          <w:szCs w:val="20"/>
        </w:rPr>
        <w:t>221.8</w:t>
      </w:r>
      <w:r>
        <w:rPr>
          <w:sz w:val="20"/>
          <w:szCs w:val="20"/>
        </w:rPr>
        <w:t>6</w:t>
      </w:r>
      <w:r>
        <w:rPr>
          <w:sz w:val="20"/>
          <w:szCs w:val="20"/>
        </w:rPr>
        <w:t xml:space="preserve"> per share in</w:t>
      </w:r>
      <w:r>
        <w:rPr>
          <w:sz w:val="20"/>
          <w:szCs w:val="20"/>
        </w:rPr>
        <w:t xml:space="preserve"> </w:t>
      </w:r>
      <w:r>
        <w:rPr>
          <w:sz w:val="20"/>
          <w:szCs w:val="20"/>
        </w:rPr>
        <w:t>2021,</w:t>
      </w:r>
      <w:r>
        <w:rPr>
          <w:sz w:val="20"/>
          <w:szCs w:val="20"/>
        </w:rPr>
        <w:t xml:space="preserve"> </w:t>
      </w:r>
      <w:r>
        <w:rPr>
          <w:sz w:val="20"/>
          <w:szCs w:val="20"/>
        </w:rPr>
        <w:t>$</w:t>
      </w:r>
      <w:r>
        <w:rPr>
          <w:sz w:val="20"/>
          <w:szCs w:val="20"/>
        </w:rPr>
        <w:t>70.9</w:t>
      </w:r>
      <w:r>
        <w:rPr>
          <w:sz w:val="20"/>
          <w:szCs w:val="20"/>
        </w:rPr>
        <w:t>8</w:t>
      </w:r>
      <w:r>
        <w:rPr>
          <w:sz w:val="20"/>
          <w:szCs w:val="20"/>
        </w:rPr>
        <w:t xml:space="preserve"> per share in</w:t>
      </w:r>
      <w:r>
        <w:rPr>
          <w:sz w:val="20"/>
          <w:szCs w:val="20"/>
        </w:rPr>
        <w:t xml:space="preserve"> </w:t>
      </w:r>
      <w:r>
        <w:rPr>
          <w:sz w:val="20"/>
          <w:szCs w:val="20"/>
        </w:rPr>
        <w:t>2020, and</w:t>
      </w:r>
      <w:r>
        <w:rPr>
          <w:sz w:val="20"/>
          <w:szCs w:val="20"/>
        </w:rPr>
        <w:t xml:space="preserve"> </w:t>
      </w:r>
      <w:r>
        <w:rPr>
          <w:sz w:val="20"/>
          <w:szCs w:val="20"/>
        </w:rPr>
        <w:t>$</w:t>
      </w:r>
      <w:r>
        <w:rPr>
          <w:sz w:val="20"/>
          <w:szCs w:val="20"/>
        </w:rPr>
        <w:t>69.4</w:t>
      </w:r>
      <w:r>
        <w:rPr>
          <w:sz w:val="20"/>
          <w:szCs w:val="20"/>
        </w:rPr>
        <w:t>4</w:t>
      </w:r>
      <w:r>
        <w:rPr>
          <w:sz w:val="20"/>
          <w:szCs w:val="20"/>
        </w:rPr>
        <w:t xml:space="preserve"> per share in</w:t>
      </w:r>
      <w:r>
        <w:rPr>
          <w:sz w:val="20"/>
          <w:szCs w:val="20"/>
        </w:rPr>
        <w:t xml:space="preserve"> </w:t>
      </w:r>
      <w:r>
        <w:rPr>
          <w:sz w:val="20"/>
          <w:szCs w:val="20"/>
        </w:rPr>
        <w:t>2019</w:t>
      </w:r>
      <w:r>
        <w:rPr>
          <w:sz w:val="20"/>
          <w:szCs w:val="20"/>
        </w:rPr>
        <w:t>.</w:t>
      </w:r>
    </w:p>
    <w:p w:rsidR="00000000" w:rsidRDefault="00A309A2">
      <w:pPr>
        <w:pStyle w:val="a3"/>
        <w:spacing w:before="240" w:beforeAutospacing="0" w:after="0" w:afterAutospacing="0"/>
        <w:ind w:firstLine="555"/>
        <w:divId w:val="1136264579"/>
        <w:rPr>
          <w:sz w:val="20"/>
          <w:szCs w:val="20"/>
        </w:rPr>
      </w:pPr>
      <w:r>
        <w:rPr>
          <w:sz w:val="20"/>
          <w:szCs w:val="20"/>
        </w:rPr>
        <w:t>The interest rate was based on the U.S. Treasury bond rate at the date of grant with a maturity approximate</w:t>
      </w:r>
      <w:r>
        <w:rPr>
          <w:sz w:val="20"/>
          <w:szCs w:val="20"/>
        </w:rPr>
        <w:t>ly equal to the expected term. The expected term of options granted to employees was calculated using the simplified method, which represents the average of the contractual term of the option and the weighted-average vesting period of the option. The expec</w:t>
      </w:r>
      <w:r>
        <w:rPr>
          <w:sz w:val="20"/>
          <w:szCs w:val="20"/>
        </w:rPr>
        <w:t>ted volatility for the Company’s common stock was based on an average of the historical volatility of a peer group of similar public companies. The assumed dividend yield is based upon the Company’s expectation of not paying dividends in the foreseeable fu</w:t>
      </w:r>
      <w:r>
        <w:rPr>
          <w:sz w:val="20"/>
          <w:szCs w:val="20"/>
        </w:rPr>
        <w:t>ture. Forfeitures of share-based awards prior to vesting results in a reversal of previously recorded stock-compensation expense associated with such forfeited awards. The fair value of the Company’s common stock is the closing price of the stock on the da</w:t>
      </w:r>
      <w:r>
        <w:rPr>
          <w:sz w:val="20"/>
          <w:szCs w:val="20"/>
        </w:rPr>
        <w:t>te of grant</w:t>
      </w:r>
      <w:r>
        <w:rPr>
          <w:sz w:val="20"/>
          <w:szCs w:val="20"/>
        </w:rPr>
        <w:t>.</w:t>
      </w:r>
    </w:p>
    <w:p w:rsidR="00000000" w:rsidRDefault="00A309A2">
      <w:pPr>
        <w:pStyle w:val="a3"/>
        <w:spacing w:before="240" w:beforeAutospacing="0" w:after="0" w:afterAutospacing="0"/>
        <w:ind w:firstLine="555"/>
        <w:divId w:val="1837332768"/>
        <w:rPr>
          <w:sz w:val="20"/>
          <w:szCs w:val="20"/>
        </w:rPr>
      </w:pPr>
      <w:r>
        <w:rPr>
          <w:sz w:val="20"/>
          <w:szCs w:val="20"/>
        </w:rPr>
        <w:t>The stock option activity for the year ended December 31,</w:t>
      </w:r>
      <w:r>
        <w:rPr>
          <w:sz w:val="20"/>
          <w:szCs w:val="20"/>
        </w:rPr>
        <w:t xml:space="preserve"> </w:t>
      </w:r>
      <w:r>
        <w:rPr>
          <w:sz w:val="20"/>
          <w:szCs w:val="20"/>
        </w:rPr>
        <w:t>2021 is as follows</w:t>
      </w:r>
      <w:r>
        <w:rPr>
          <w:sz w:val="20"/>
          <w:szCs w:val="20"/>
        </w:rPr>
        <w:t>:</w:t>
      </w:r>
    </w:p>
    <w:p w:rsidR="00000000" w:rsidRDefault="00A309A2">
      <w:pPr>
        <w:pStyle w:val="a3"/>
        <w:spacing w:before="0" w:beforeAutospacing="0" w:after="0" w:afterAutospacing="0"/>
        <w:divId w:val="1837332768"/>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92"/>
        <w:gridCol w:w="110"/>
        <w:gridCol w:w="111"/>
        <w:gridCol w:w="705"/>
        <w:gridCol w:w="127"/>
        <w:gridCol w:w="110"/>
        <w:gridCol w:w="160"/>
        <w:gridCol w:w="610"/>
        <w:gridCol w:w="110"/>
        <w:gridCol w:w="110"/>
        <w:gridCol w:w="111"/>
        <w:gridCol w:w="704"/>
        <w:gridCol w:w="110"/>
        <w:gridCol w:w="110"/>
        <w:gridCol w:w="160"/>
        <w:gridCol w:w="710"/>
        <w:gridCol w:w="125"/>
      </w:tblGrid>
      <w:tr w:rsidR="00000000">
        <w:trPr>
          <w:divId w:val="1837332768"/>
          <w:tblCellSpacing w:w="15" w:type="dxa"/>
        </w:trPr>
        <w:tc>
          <w:tcPr>
            <w:tcW w:w="2470"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477"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66"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477"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c>
          <w:tcPr>
            <w:tcW w:w="51" w:type="pct"/>
            <w:vAlign w:val="center"/>
            <w:hideMark/>
          </w:tcPr>
          <w:p w:rsidR="00000000" w:rsidRDefault="00A309A2">
            <w:pPr>
              <w:rPr>
                <w:rFonts w:eastAsia="Times New Roman"/>
                <w:sz w:val="20"/>
                <w:szCs w:val="20"/>
              </w:rPr>
            </w:pPr>
          </w:p>
        </w:tc>
        <w:tc>
          <w:tcPr>
            <w:tcW w:w="70" w:type="pct"/>
            <w:vAlign w:val="center"/>
            <w:hideMark/>
          </w:tcPr>
          <w:p w:rsidR="00000000" w:rsidRDefault="00A309A2">
            <w:pPr>
              <w:rPr>
                <w:rFonts w:eastAsia="Times New Roman"/>
                <w:sz w:val="20"/>
                <w:szCs w:val="20"/>
              </w:rPr>
            </w:pPr>
          </w:p>
        </w:tc>
        <w:tc>
          <w:tcPr>
            <w:tcW w:w="475" w:type="pct"/>
            <w:vAlign w:val="center"/>
            <w:hideMark/>
          </w:tcPr>
          <w:p w:rsidR="00000000" w:rsidRDefault="00A309A2">
            <w:pPr>
              <w:rPr>
                <w:rFonts w:eastAsia="Times New Roman"/>
                <w:sz w:val="20"/>
                <w:szCs w:val="20"/>
              </w:rPr>
            </w:pPr>
          </w:p>
        </w:tc>
        <w:tc>
          <w:tcPr>
            <w:tcW w:w="45" w:type="pct"/>
            <w:vAlign w:val="center"/>
            <w:hideMark/>
          </w:tcPr>
          <w:p w:rsidR="00000000" w:rsidRDefault="00A309A2">
            <w:pPr>
              <w:rPr>
                <w:rFonts w:eastAsia="Times New Roman"/>
                <w:sz w:val="20"/>
                <w:szCs w:val="20"/>
              </w:rPr>
            </w:pPr>
          </w:p>
        </w:tc>
      </w:tr>
      <w:tr w:rsidR="00000000">
        <w:trPr>
          <w:divId w:val="1837332768"/>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Options (in</w:t>
            </w:r>
            <w:r>
              <w:rPr>
                <w:b/>
                <w:bCs/>
                <w:sz w:val="16"/>
                <w:szCs w:val="16"/>
              </w:rPr>
              <w:br/>
              <w:t>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w:t>
            </w:r>
            <w:r>
              <w:rPr>
                <w:b/>
                <w:bCs/>
                <w:sz w:val="16"/>
                <w:szCs w:val="16"/>
              </w:rPr>
              <w:br/>
              <w:t>Pric</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Life (in years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Aggregate</w:t>
            </w:r>
            <w:r>
              <w:rPr>
                <w:b/>
                <w:bCs/>
                <w:sz w:val="16"/>
                <w:szCs w:val="16"/>
              </w:rPr>
              <w:br/>
            </w:r>
            <w:r>
              <w:rPr>
                <w:b/>
                <w:bCs/>
                <w:sz w:val="16"/>
                <w:szCs w:val="16"/>
              </w:rPr>
              <w:t>Intrinsic</w:t>
            </w:r>
            <w:r>
              <w:rPr>
                <w:b/>
                <w:bCs/>
                <w:sz w:val="16"/>
                <w:szCs w:val="16"/>
              </w:rPr>
              <w:br/>
              <w:t>Value</w:t>
            </w:r>
            <w:r>
              <w:rPr>
                <w:b/>
                <w:bCs/>
                <w:sz w:val="16"/>
                <w:szCs w:val="16"/>
              </w:rPr>
              <w:b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837332768"/>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Outstanding—January 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57.9</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345,14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37332768"/>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6</w:t>
            </w:r>
            <w:r>
              <w:rPr>
                <w:sz w:val="20"/>
                <w:szCs w:val="20"/>
              </w:rPr>
              <w:t>3</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480.0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837332768"/>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45</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35.5</w:t>
            </w:r>
            <w:r>
              <w:rPr>
                <w:sz w:val="20"/>
                <w:szCs w:val="20"/>
              </w:rPr>
              <w:t>7</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837332768"/>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Forfeited/expire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174.0</w:t>
            </w:r>
            <w:r>
              <w:rPr>
                <w:sz w:val="20"/>
                <w:szCs w:val="20"/>
              </w:rPr>
              <w:t>3</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1837332768"/>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Outstanding—December 31,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320,88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37332768"/>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Options vested or expected to vest—December 31,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112.8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320,88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37332768"/>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Options exercisable—December 31,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45</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60.1</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274,15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136264579"/>
        <w:rPr>
          <w:sz w:val="20"/>
          <w:szCs w:val="20"/>
        </w:rPr>
      </w:pPr>
      <w:r>
        <w:rPr>
          <w:sz w:val="20"/>
          <w:szCs w:val="20"/>
        </w:rPr>
        <w:t> </w:t>
      </w:r>
    </w:p>
    <w:p w:rsidR="00000000" w:rsidRDefault="00A309A2">
      <w:pPr>
        <w:pStyle w:val="a3"/>
        <w:spacing w:before="240" w:beforeAutospacing="0" w:after="0" w:afterAutospacing="0"/>
        <w:jc w:val="center"/>
        <w:divId w:val="1136264579"/>
        <w:rPr>
          <w:sz w:val="20"/>
          <w:szCs w:val="20"/>
        </w:rPr>
      </w:pPr>
      <w:r>
        <w:rPr>
          <w:sz w:val="20"/>
          <w:szCs w:val="20"/>
        </w:rPr>
        <w:t>8</w:t>
      </w:r>
      <w:r>
        <w:rPr>
          <w:sz w:val="20"/>
          <w:szCs w:val="20"/>
        </w:rPr>
        <w:t>9</w:t>
      </w:r>
    </w:p>
    <w:p w:rsidR="00000000" w:rsidRDefault="00A309A2">
      <w:pPr>
        <w:divId w:val="1136264579"/>
        <w:rPr>
          <w:rFonts w:eastAsia="Times New Roman"/>
        </w:rPr>
      </w:pPr>
      <w:r>
        <w:rPr>
          <w:rFonts w:eastAsia="Times New Roman"/>
        </w:rPr>
        <w:pict>
          <v:rect id="_x0000_i1116" style="width:0;height:1.5pt" o:hralign="center" o:hrstd="t" o:hr="t" fillcolor="#a0a0a0" stroked="f"/>
        </w:pict>
      </w:r>
    </w:p>
    <w:p w:rsidR="00000000" w:rsidRDefault="00A309A2">
      <w:pPr>
        <w:pStyle w:val="a3"/>
        <w:spacing w:before="0" w:beforeAutospacing="0" w:after="0" w:afterAutospacing="0"/>
        <w:divId w:val="1136264579"/>
        <w:rPr>
          <w:sz w:val="20"/>
          <w:szCs w:val="20"/>
        </w:rPr>
      </w:pPr>
      <w:r>
        <w:rPr>
          <w:sz w:val="20"/>
          <w:szCs w:val="20"/>
        </w:rPr>
        <w:t> </w:t>
      </w:r>
    </w:p>
    <w:p w:rsidR="00000000" w:rsidRDefault="00A309A2">
      <w:pPr>
        <w:pStyle w:val="a3"/>
        <w:spacing w:before="0" w:beforeAutospacing="0" w:after="0" w:afterAutospacing="0"/>
        <w:ind w:firstLine="555"/>
        <w:divId w:val="1136264579"/>
        <w:rPr>
          <w:sz w:val="20"/>
          <w:szCs w:val="20"/>
        </w:rPr>
      </w:pPr>
      <w:r>
        <w:rPr>
          <w:sz w:val="20"/>
          <w:szCs w:val="20"/>
        </w:rPr>
        <w:t>Total unrecognized compensation cost related to the nonvested options</w:t>
      </w:r>
      <w:r>
        <w:rPr>
          <w:sz w:val="20"/>
          <w:szCs w:val="20"/>
        </w:rPr>
        <w:t xml:space="preserve"> </w:t>
      </w:r>
      <w:r>
        <w:rPr>
          <w:sz w:val="20"/>
          <w:szCs w:val="20"/>
        </w:rPr>
        <w:t>was</w:t>
      </w:r>
      <w:r>
        <w:rPr>
          <w:sz w:val="20"/>
          <w:szCs w:val="20"/>
        </w:rPr>
        <w:t xml:space="preserve"> </w:t>
      </w:r>
      <w:r>
        <w:rPr>
          <w:sz w:val="20"/>
          <w:szCs w:val="20"/>
        </w:rPr>
        <w:t>$</w:t>
      </w:r>
      <w:r>
        <w:rPr>
          <w:sz w:val="20"/>
          <w:szCs w:val="20"/>
        </w:rPr>
        <w:t>14.</w:t>
      </w:r>
      <w:r>
        <w:rPr>
          <w:sz w:val="20"/>
          <w:szCs w:val="20"/>
        </w:rPr>
        <w:t>7</w:t>
      </w:r>
      <w:r>
        <w:rPr>
          <w:sz w:val="20"/>
          <w:szCs w:val="20"/>
        </w:rPr>
        <w:t xml:space="preserve"> million at Decembe</w:t>
      </w:r>
      <w:r>
        <w:rPr>
          <w:sz w:val="20"/>
          <w:szCs w:val="20"/>
        </w:rPr>
        <w:t>r</w:t>
      </w:r>
      <w:r>
        <w:rPr>
          <w:sz w:val="20"/>
          <w:szCs w:val="20"/>
        </w:rPr>
        <w:t xml:space="preserve"> </w:t>
      </w:r>
      <w:r>
        <w:rPr>
          <w:sz w:val="20"/>
          <w:szCs w:val="20"/>
        </w:rPr>
        <w:t>31, 2021. That cost is expected to be recognized over a weighted-average period of</w:t>
      </w:r>
      <w:r>
        <w:rPr>
          <w:sz w:val="20"/>
          <w:szCs w:val="20"/>
        </w:rPr>
        <w:t xml:space="preserve"> </w:t>
      </w:r>
      <w:r>
        <w:rPr>
          <w:sz w:val="20"/>
          <w:szCs w:val="20"/>
        </w:rPr>
        <w:t>3.</w:t>
      </w:r>
      <w:r>
        <w:rPr>
          <w:sz w:val="20"/>
          <w:szCs w:val="20"/>
        </w:rPr>
        <w:t>0</w:t>
      </w:r>
      <w:r>
        <w:rPr>
          <w:sz w:val="20"/>
          <w:szCs w:val="20"/>
        </w:rPr>
        <w:t xml:space="preserve"> years as of December 31, 2021</w:t>
      </w:r>
      <w:r>
        <w:rPr>
          <w:sz w:val="20"/>
          <w:szCs w:val="20"/>
        </w:rPr>
        <w:t>.</w:t>
      </w:r>
      <w:r>
        <w:rPr>
          <w:sz w:val="20"/>
          <w:szCs w:val="20"/>
        </w:rPr>
        <w:t xml:space="preserve"> </w:t>
      </w:r>
    </w:p>
    <w:p w:rsidR="00000000" w:rsidRDefault="00A309A2">
      <w:pPr>
        <w:pStyle w:val="a3"/>
        <w:spacing w:before="240" w:beforeAutospacing="0" w:after="0" w:afterAutospacing="0"/>
        <w:ind w:firstLine="555"/>
        <w:divId w:val="1136264579"/>
        <w:rPr>
          <w:sz w:val="20"/>
          <w:szCs w:val="20"/>
        </w:rPr>
      </w:pPr>
      <w:r>
        <w:rPr>
          <w:b/>
          <w:bCs/>
          <w:sz w:val="20"/>
          <w:szCs w:val="20"/>
        </w:rPr>
        <w:t>Restricted Stock Unit</w:t>
      </w:r>
      <w:r>
        <w:rPr>
          <w:b/>
          <w:bCs/>
          <w:sz w:val="20"/>
          <w:szCs w:val="20"/>
        </w:rPr>
        <w:t>s</w:t>
      </w:r>
      <w:r>
        <w:rPr>
          <w:sz w:val="20"/>
          <w:szCs w:val="20"/>
        </w:rPr>
        <w:t xml:space="preserve"> —RSUs vest upon achievement of a service condition.</w:t>
      </w:r>
      <w:r>
        <w:rPr>
          <w:sz w:val="20"/>
          <w:szCs w:val="20"/>
        </w:rPr>
        <w:t xml:space="preserve"> </w:t>
      </w:r>
      <w:r>
        <w:rPr>
          <w:sz w:val="20"/>
          <w:szCs w:val="20"/>
        </w:rPr>
        <w:t>The service condition is a time-based condition met over a period of four years, with</w:t>
      </w:r>
      <w:r>
        <w:rPr>
          <w:sz w:val="20"/>
          <w:szCs w:val="20"/>
        </w:rPr>
        <w:t xml:space="preserve"> </w:t>
      </w:r>
      <w:r>
        <w:rPr>
          <w:sz w:val="20"/>
          <w:szCs w:val="20"/>
        </w:rPr>
        <w:t>2</w:t>
      </w:r>
      <w:r>
        <w:rPr>
          <w:sz w:val="20"/>
          <w:szCs w:val="20"/>
        </w:rPr>
        <w:t>5</w:t>
      </w:r>
      <w:r>
        <w:rPr>
          <w:sz w:val="20"/>
          <w:szCs w:val="20"/>
        </w:rPr>
        <w:t>% met after</w:t>
      </w:r>
      <w:r>
        <w:rPr>
          <w:sz w:val="20"/>
          <w:szCs w:val="20"/>
        </w:rPr>
        <w:t xml:space="preserve"> </w:t>
      </w:r>
      <w:r>
        <w:rPr>
          <w:sz w:val="20"/>
          <w:szCs w:val="20"/>
        </w:rPr>
        <w:t>one yea</w:t>
      </w:r>
      <w:r>
        <w:rPr>
          <w:sz w:val="20"/>
          <w:szCs w:val="20"/>
        </w:rPr>
        <w:t>r</w:t>
      </w:r>
      <w:r>
        <w:rPr>
          <w:sz w:val="20"/>
          <w:szCs w:val="20"/>
        </w:rPr>
        <w:t>, and then in equal monthly or quarterly installments over the succeeding three years, or over a period of</w:t>
      </w:r>
      <w:r>
        <w:rPr>
          <w:sz w:val="20"/>
          <w:szCs w:val="20"/>
        </w:rPr>
        <w:t xml:space="preserve"> </w:t>
      </w:r>
      <w:r>
        <w:rPr>
          <w:sz w:val="20"/>
          <w:szCs w:val="20"/>
        </w:rPr>
        <w:t>four year</w:t>
      </w:r>
      <w:r>
        <w:rPr>
          <w:sz w:val="20"/>
          <w:szCs w:val="20"/>
        </w:rPr>
        <w:t>s</w:t>
      </w:r>
      <w:r>
        <w:rPr>
          <w:sz w:val="20"/>
          <w:szCs w:val="20"/>
        </w:rPr>
        <w:t>, with equal quarterly installm</w:t>
      </w:r>
      <w:r>
        <w:rPr>
          <w:sz w:val="20"/>
          <w:szCs w:val="20"/>
        </w:rPr>
        <w:t>ents over those four years</w:t>
      </w:r>
      <w:r>
        <w:rPr>
          <w:sz w:val="20"/>
          <w:szCs w:val="20"/>
        </w:rPr>
        <w:t>.</w:t>
      </w:r>
      <w:r>
        <w:rPr>
          <w:sz w:val="20"/>
          <w:szCs w:val="20"/>
        </w:rPr>
        <w:t xml:space="preserve"> As so</w:t>
      </w:r>
      <w:r>
        <w:rPr>
          <w:sz w:val="20"/>
          <w:szCs w:val="20"/>
        </w:rPr>
        <w:t>o</w:t>
      </w:r>
      <w:r>
        <w:rPr>
          <w:sz w:val="20"/>
          <w:szCs w:val="20"/>
        </w:rPr>
        <w:t>n as practicable following each vesting date, the Company will issue to the holder of the RSUs the number of shares of common stock equal to the aggregate number of RSUs that have vested. Notwithstanding the foregoing, the</w:t>
      </w:r>
      <w:r>
        <w:rPr>
          <w:sz w:val="20"/>
          <w:szCs w:val="20"/>
        </w:rPr>
        <w:t xml:space="preserve"> Company may, in its sole discretion, in lieu of issuing shares of common stock to the holder of the RSUs, pay the holder an amount in cash equal to the fair market value of such shares of common stock. The total stock-based compensation expense expected t</w:t>
      </w:r>
      <w:r>
        <w:rPr>
          <w:sz w:val="20"/>
          <w:szCs w:val="20"/>
        </w:rPr>
        <w:t>o be recorded over the remaining life of outstanding RSUs</w:t>
      </w:r>
      <w:r>
        <w:rPr>
          <w:sz w:val="20"/>
          <w:szCs w:val="20"/>
        </w:rPr>
        <w:t xml:space="preserve"> </w:t>
      </w:r>
      <w:r>
        <w:rPr>
          <w:sz w:val="20"/>
          <w:szCs w:val="20"/>
        </w:rPr>
        <w:t>is approximately</w:t>
      </w:r>
      <w:r>
        <w:rPr>
          <w:sz w:val="20"/>
          <w:szCs w:val="20"/>
        </w:rPr>
        <w:t xml:space="preserve"> </w:t>
      </w:r>
      <w:r>
        <w:rPr>
          <w:sz w:val="20"/>
          <w:szCs w:val="20"/>
        </w:rPr>
        <w:t>$</w:t>
      </w:r>
      <w:r>
        <w:rPr>
          <w:sz w:val="20"/>
          <w:szCs w:val="20"/>
        </w:rPr>
        <w:t>351.</w:t>
      </w:r>
      <w:r>
        <w:rPr>
          <w:sz w:val="20"/>
          <w:szCs w:val="20"/>
        </w:rPr>
        <w:t>0</w:t>
      </w:r>
      <w:r>
        <w:rPr>
          <w:sz w:val="20"/>
          <w:szCs w:val="20"/>
        </w:rPr>
        <w:t xml:space="preserve"> million at Decembe</w:t>
      </w:r>
      <w:r>
        <w:rPr>
          <w:sz w:val="20"/>
          <w:szCs w:val="20"/>
        </w:rPr>
        <w:t>r</w:t>
      </w:r>
      <w:r>
        <w:rPr>
          <w:sz w:val="20"/>
          <w:szCs w:val="20"/>
        </w:rPr>
        <w:t xml:space="preserve"> 31, 2021. That cost is expected to be recognized over a weighted-average period of</w:t>
      </w:r>
      <w:r>
        <w:rPr>
          <w:sz w:val="20"/>
          <w:szCs w:val="20"/>
        </w:rPr>
        <w:t xml:space="preserve"> </w:t>
      </w:r>
      <w:r>
        <w:rPr>
          <w:sz w:val="20"/>
          <w:szCs w:val="20"/>
        </w:rPr>
        <w:t>2.</w:t>
      </w:r>
      <w:r>
        <w:rPr>
          <w:sz w:val="20"/>
          <w:szCs w:val="20"/>
        </w:rPr>
        <w:t>9</w:t>
      </w:r>
      <w:r>
        <w:rPr>
          <w:sz w:val="20"/>
          <w:szCs w:val="20"/>
        </w:rPr>
        <w:t xml:space="preserve"> years. As of December 31, 2021, there are</w:t>
      </w:r>
      <w:r>
        <w:rPr>
          <w:sz w:val="20"/>
          <w:szCs w:val="20"/>
        </w:rPr>
        <w:t xml:space="preserve"> </w:t>
      </w:r>
      <w:r>
        <w:rPr>
          <w:sz w:val="20"/>
          <w:szCs w:val="20"/>
        </w:rPr>
        <w:t>1.</w:t>
      </w:r>
      <w:r>
        <w:rPr>
          <w:sz w:val="20"/>
          <w:szCs w:val="20"/>
        </w:rPr>
        <w:t>2</w:t>
      </w:r>
      <w:r>
        <w:rPr>
          <w:sz w:val="20"/>
          <w:szCs w:val="20"/>
        </w:rPr>
        <w:t xml:space="preserve"> million RSUs expected</w:t>
      </w:r>
      <w:r>
        <w:rPr>
          <w:sz w:val="20"/>
          <w:szCs w:val="20"/>
        </w:rPr>
        <w:t xml:space="preserve"> to vest with an aggregate intrinsic value of</w:t>
      </w:r>
      <w:r>
        <w:rPr>
          <w:sz w:val="20"/>
          <w:szCs w:val="20"/>
        </w:rPr>
        <w:t xml:space="preserve"> </w:t>
      </w:r>
      <w:r>
        <w:rPr>
          <w:sz w:val="20"/>
          <w:szCs w:val="20"/>
        </w:rPr>
        <w:t>$</w:t>
      </w:r>
      <w:r>
        <w:rPr>
          <w:sz w:val="20"/>
          <w:szCs w:val="20"/>
        </w:rPr>
        <w:t>816.</w:t>
      </w:r>
      <w:r>
        <w:rPr>
          <w:sz w:val="20"/>
          <w:szCs w:val="20"/>
        </w:rPr>
        <w:t>0</w:t>
      </w:r>
      <w:r>
        <w:rPr>
          <w:sz w:val="20"/>
          <w:szCs w:val="20"/>
        </w:rPr>
        <w:t xml:space="preserve"> million. The total fair value of RSUs vested was approximately</w:t>
      </w:r>
      <w:r>
        <w:rPr>
          <w:sz w:val="20"/>
          <w:szCs w:val="20"/>
        </w:rPr>
        <w:t xml:space="preserve"> </w:t>
      </w:r>
      <w:r>
        <w:rPr>
          <w:sz w:val="20"/>
          <w:szCs w:val="20"/>
        </w:rPr>
        <w:t>$</w:t>
      </w:r>
      <w:r>
        <w:rPr>
          <w:sz w:val="20"/>
          <w:szCs w:val="20"/>
        </w:rPr>
        <w:t>134.</w:t>
      </w:r>
      <w:r>
        <w:rPr>
          <w:sz w:val="20"/>
          <w:szCs w:val="20"/>
        </w:rPr>
        <w:t>5</w:t>
      </w:r>
      <w:r>
        <w:rPr>
          <w:sz w:val="20"/>
          <w:szCs w:val="20"/>
        </w:rPr>
        <w:t xml:space="preserve"> million in 2021,</w:t>
      </w:r>
      <w:r>
        <w:rPr>
          <w:sz w:val="20"/>
          <w:szCs w:val="20"/>
        </w:rPr>
        <w:t xml:space="preserve"> </w:t>
      </w:r>
      <w:r>
        <w:rPr>
          <w:sz w:val="20"/>
          <w:szCs w:val="20"/>
        </w:rPr>
        <w:t>$</w:t>
      </w:r>
      <w:r>
        <w:rPr>
          <w:sz w:val="20"/>
          <w:szCs w:val="20"/>
        </w:rPr>
        <w:t>101.</w:t>
      </w:r>
      <w:r>
        <w:rPr>
          <w:sz w:val="20"/>
          <w:szCs w:val="20"/>
        </w:rPr>
        <w:t>2</w:t>
      </w:r>
      <w:r>
        <w:rPr>
          <w:sz w:val="20"/>
          <w:szCs w:val="20"/>
        </w:rPr>
        <w:t xml:space="preserve"> million in 2020, and</w:t>
      </w:r>
      <w:r>
        <w:rPr>
          <w:sz w:val="20"/>
          <w:szCs w:val="20"/>
        </w:rPr>
        <w:t xml:space="preserve"> </w:t>
      </w:r>
      <w:r>
        <w:rPr>
          <w:sz w:val="20"/>
          <w:szCs w:val="20"/>
        </w:rPr>
        <w:t>$</w:t>
      </w:r>
      <w:r>
        <w:rPr>
          <w:sz w:val="20"/>
          <w:szCs w:val="20"/>
        </w:rPr>
        <w:t>85.</w:t>
      </w:r>
      <w:r>
        <w:rPr>
          <w:sz w:val="20"/>
          <w:szCs w:val="20"/>
        </w:rPr>
        <w:t>2</w:t>
      </w:r>
      <w:r>
        <w:rPr>
          <w:sz w:val="20"/>
          <w:szCs w:val="20"/>
        </w:rPr>
        <w:t xml:space="preserve"> million in 2019</w:t>
      </w:r>
      <w:r>
        <w:rPr>
          <w:sz w:val="20"/>
          <w:szCs w:val="20"/>
        </w:rPr>
        <w:t>.</w:t>
      </w:r>
      <w:r>
        <w:rPr>
          <w:sz w:val="20"/>
          <w:szCs w:val="20"/>
        </w:rPr>
        <w:t xml:space="preserve"> </w:t>
      </w:r>
    </w:p>
    <w:p w:rsidR="00000000" w:rsidRDefault="00A309A2">
      <w:pPr>
        <w:pStyle w:val="a3"/>
        <w:spacing w:before="240" w:beforeAutospacing="0" w:after="0" w:afterAutospacing="0"/>
        <w:ind w:firstLine="555"/>
        <w:divId w:val="813448906"/>
        <w:rPr>
          <w:sz w:val="20"/>
          <w:szCs w:val="20"/>
        </w:rPr>
      </w:pPr>
      <w:r>
        <w:rPr>
          <w:sz w:val="20"/>
          <w:szCs w:val="20"/>
        </w:rPr>
        <w:t xml:space="preserve">The following table summarizes the activity related to RSUs for </w:t>
      </w:r>
      <w:r>
        <w:rPr>
          <w:sz w:val="20"/>
          <w:szCs w:val="20"/>
        </w:rPr>
        <w:t>the year ended December 31,</w:t>
      </w:r>
      <w:r>
        <w:rPr>
          <w:sz w:val="20"/>
          <w:szCs w:val="20"/>
        </w:rPr>
        <w:t xml:space="preserve"> </w:t>
      </w:r>
      <w:r>
        <w:rPr>
          <w:sz w:val="20"/>
          <w:szCs w:val="20"/>
        </w:rPr>
        <w:t>2021</w:t>
      </w:r>
      <w:r>
        <w:rPr>
          <w:sz w:val="20"/>
          <w:szCs w:val="20"/>
        </w:rPr>
        <w:t>:</w:t>
      </w:r>
    </w:p>
    <w:p w:rsidR="00000000" w:rsidRDefault="00A309A2">
      <w:pPr>
        <w:pStyle w:val="a3"/>
        <w:spacing w:before="0" w:beforeAutospacing="0" w:after="0" w:afterAutospacing="0"/>
        <w:divId w:val="81344890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33"/>
        <w:gridCol w:w="110"/>
        <w:gridCol w:w="111"/>
        <w:gridCol w:w="838"/>
        <w:gridCol w:w="127"/>
        <w:gridCol w:w="110"/>
        <w:gridCol w:w="160"/>
        <w:gridCol w:w="1131"/>
        <w:gridCol w:w="125"/>
      </w:tblGrid>
      <w:tr w:rsidR="00000000">
        <w:trPr>
          <w:divId w:val="813448906"/>
          <w:tblCellSpacing w:w="15" w:type="dxa"/>
        </w:trPr>
        <w:tc>
          <w:tcPr>
            <w:tcW w:w="3083" w:type="pct"/>
            <w:vAlign w:val="center"/>
            <w:hideMark/>
          </w:tcPr>
          <w:p w:rsidR="00000000" w:rsidRDefault="00A309A2">
            <w:pPr>
              <w:rPr>
                <w:sz w:val="20"/>
                <w:szCs w:val="20"/>
              </w:rPr>
            </w:pPr>
          </w:p>
        </w:tc>
        <w:tc>
          <w:tcPr>
            <w:tcW w:w="62"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658" w:type="pct"/>
            <w:vAlign w:val="center"/>
            <w:hideMark/>
          </w:tcPr>
          <w:p w:rsidR="00000000" w:rsidRDefault="00A309A2">
            <w:pPr>
              <w:rPr>
                <w:rFonts w:eastAsia="Times New Roman"/>
                <w:sz w:val="20"/>
                <w:szCs w:val="20"/>
              </w:rPr>
            </w:pPr>
          </w:p>
        </w:tc>
        <w:tc>
          <w:tcPr>
            <w:tcW w:w="60"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86" w:type="pct"/>
            <w:vAlign w:val="center"/>
            <w:hideMark/>
          </w:tcPr>
          <w:p w:rsidR="00000000" w:rsidRDefault="00A309A2">
            <w:pPr>
              <w:rPr>
                <w:rFonts w:eastAsia="Times New Roman"/>
                <w:sz w:val="20"/>
                <w:szCs w:val="20"/>
              </w:rPr>
            </w:pPr>
          </w:p>
        </w:tc>
        <w:tc>
          <w:tcPr>
            <w:tcW w:w="889"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r>
      <w:tr w:rsidR="00000000">
        <w:trPr>
          <w:divId w:val="81344890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RSUs Outstandin</w:t>
            </w:r>
            <w:r>
              <w:rPr>
                <w:b/>
                <w:bCs/>
                <w:sz w:val="16"/>
                <w:szCs w:val="16"/>
              </w:rPr>
              <w:t>g</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13448906"/>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Shares</w:t>
            </w:r>
            <w:r>
              <w:rPr>
                <w:b/>
                <w:bCs/>
                <w:sz w:val="16"/>
                <w:szCs w:val="16"/>
              </w:rPr>
              <w:b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Grant Date</w:t>
            </w:r>
            <w:r>
              <w:rPr>
                <w:b/>
                <w:bCs/>
                <w:sz w:val="16"/>
                <w:szCs w:val="16"/>
              </w:rPr>
              <w:br/>
              <w:t>Fair Value</w:t>
            </w:r>
            <w:r>
              <w:rPr>
                <w:b/>
                <w:bCs/>
                <w:sz w:val="16"/>
                <w:szCs w:val="16"/>
              </w:rPr>
              <w:br/>
              <w:t>Per Shar</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81344890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Unvested and outstanding at January 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153.9</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13448906"/>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Grante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513.9</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13448906"/>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Veste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174.0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13448906"/>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Cancele</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206.8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813448906"/>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Unvested and outstanding at December 31, 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317.4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1136264579"/>
        <w:rPr>
          <w:sz w:val="20"/>
          <w:szCs w:val="20"/>
        </w:rPr>
      </w:pPr>
      <w:r>
        <w:t> </w:t>
      </w:r>
    </w:p>
    <w:p w:rsidR="00000000" w:rsidRDefault="00A309A2">
      <w:pPr>
        <w:pStyle w:val="a3"/>
        <w:spacing w:before="0" w:beforeAutospacing="0" w:after="0" w:afterAutospacing="0"/>
        <w:ind w:firstLine="555"/>
        <w:divId w:val="1136264579"/>
        <w:rPr>
          <w:sz w:val="20"/>
          <w:szCs w:val="20"/>
        </w:rPr>
      </w:pPr>
      <w:r>
        <w:rPr>
          <w:b/>
          <w:bCs/>
          <w:sz w:val="20"/>
          <w:szCs w:val="20"/>
        </w:rPr>
        <w:t>Employee Stock Purchase Plan (“ESPP”</w:t>
      </w:r>
      <w:r>
        <w:rPr>
          <w:b/>
          <w:bCs/>
          <w:sz w:val="20"/>
          <w:szCs w:val="20"/>
        </w:rPr>
        <w:t>)</w:t>
      </w:r>
      <w:r>
        <w:rPr>
          <w:sz w:val="20"/>
          <w:szCs w:val="20"/>
        </w:rPr>
        <w:t xml:space="preserve">— </w:t>
      </w:r>
      <w:r>
        <w:rPr>
          <w:sz w:val="20"/>
          <w:szCs w:val="20"/>
        </w:rPr>
        <w:t>The ESPP authorizes the issuance of up to a total of</w:t>
      </w:r>
      <w:r>
        <w:rPr>
          <w:sz w:val="20"/>
          <w:szCs w:val="20"/>
        </w:rPr>
        <w:t xml:space="preserve"> </w:t>
      </w:r>
      <w:r>
        <w:rPr>
          <w:sz w:val="20"/>
          <w:szCs w:val="20"/>
        </w:rPr>
        <w:t>2,389,44</w:t>
      </w:r>
      <w:r>
        <w:rPr>
          <w:sz w:val="20"/>
          <w:szCs w:val="20"/>
        </w:rPr>
        <w:t>5</w:t>
      </w:r>
      <w:r>
        <w:rPr>
          <w:sz w:val="20"/>
          <w:szCs w:val="20"/>
        </w:rPr>
        <w:t xml:space="preserve"> shares of common stock to participating employees and allows eligible employees to purchase shares of common stock at a</w:t>
      </w:r>
      <w:r>
        <w:rPr>
          <w:sz w:val="20"/>
          <w:szCs w:val="20"/>
        </w:rPr>
        <w:t xml:space="preserve"> </w:t>
      </w:r>
      <w:r>
        <w:rPr>
          <w:sz w:val="20"/>
          <w:szCs w:val="20"/>
        </w:rPr>
        <w:t>1</w:t>
      </w:r>
      <w:r>
        <w:rPr>
          <w:sz w:val="20"/>
          <w:szCs w:val="20"/>
        </w:rPr>
        <w:t>5</w:t>
      </w:r>
      <w:r>
        <w:rPr>
          <w:sz w:val="20"/>
          <w:szCs w:val="20"/>
        </w:rPr>
        <w:t>% discount from the fair market value of the stock as determined on spe</w:t>
      </w:r>
      <w:r>
        <w:rPr>
          <w:sz w:val="20"/>
          <w:szCs w:val="20"/>
        </w:rPr>
        <w:t>cific dates at six-month intervals. The offering periods for the ESPP commence on June 1 and December 1 of each year</w:t>
      </w:r>
      <w:r>
        <w:rPr>
          <w:sz w:val="20"/>
          <w:szCs w:val="20"/>
        </w:rPr>
        <w:t>.</w:t>
      </w:r>
    </w:p>
    <w:p w:rsidR="00000000" w:rsidRDefault="00A309A2">
      <w:pPr>
        <w:pStyle w:val="a3"/>
        <w:spacing w:before="240" w:beforeAutospacing="0" w:after="0" w:afterAutospacing="0"/>
        <w:ind w:firstLine="555"/>
        <w:divId w:val="241374401"/>
        <w:rPr>
          <w:sz w:val="20"/>
          <w:szCs w:val="20"/>
        </w:rPr>
      </w:pPr>
      <w:r>
        <w:rPr>
          <w:sz w:val="20"/>
          <w:szCs w:val="20"/>
        </w:rPr>
        <w:t>The fair value of employee options is estimated using the Black-Scholes option-pricing model with the following assumptions: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817"/>
        <w:gridCol w:w="110"/>
        <w:gridCol w:w="111"/>
        <w:gridCol w:w="940"/>
        <w:gridCol w:w="110"/>
        <w:gridCol w:w="110"/>
        <w:gridCol w:w="111"/>
        <w:gridCol w:w="940"/>
        <w:gridCol w:w="110"/>
        <w:gridCol w:w="110"/>
        <w:gridCol w:w="111"/>
        <w:gridCol w:w="940"/>
        <w:gridCol w:w="125"/>
      </w:tblGrid>
      <w:tr w:rsidR="00000000">
        <w:trPr>
          <w:divId w:val="241374401"/>
          <w:tblCellSpacing w:w="15" w:type="dxa"/>
        </w:trPr>
        <w:tc>
          <w:tcPr>
            <w:tcW w:w="2274" w:type="pct"/>
            <w:vAlign w:val="center"/>
            <w:hideMark/>
          </w:tcPr>
          <w:p w:rsidR="00000000" w:rsidRDefault="00A309A2">
            <w:pPr>
              <w:rPr>
                <w:sz w:val="20"/>
                <w:szCs w:val="20"/>
              </w:rPr>
            </w:pPr>
          </w:p>
        </w:tc>
        <w:tc>
          <w:tcPr>
            <w:tcW w:w="58" w:type="pct"/>
            <w:vAlign w:val="center"/>
            <w:hideMark/>
          </w:tcPr>
          <w:p w:rsidR="00000000" w:rsidRDefault="00A309A2">
            <w:pPr>
              <w:rPr>
                <w:rFonts w:eastAsia="Times New Roman"/>
                <w:sz w:val="20"/>
                <w:szCs w:val="20"/>
              </w:rPr>
            </w:pPr>
          </w:p>
        </w:tc>
        <w:tc>
          <w:tcPr>
            <w:tcW w:w="38" w:type="pct"/>
            <w:vAlign w:val="center"/>
            <w:hideMark/>
          </w:tcPr>
          <w:p w:rsidR="00000000" w:rsidRDefault="00A309A2">
            <w:pPr>
              <w:rPr>
                <w:rFonts w:eastAsia="Times New Roman"/>
                <w:sz w:val="20"/>
                <w:szCs w:val="20"/>
              </w:rPr>
            </w:pPr>
          </w:p>
        </w:tc>
        <w:tc>
          <w:tcPr>
            <w:tcW w:w="779"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58" w:type="pct"/>
            <w:vAlign w:val="center"/>
            <w:hideMark/>
          </w:tcPr>
          <w:p w:rsidR="00000000" w:rsidRDefault="00A309A2">
            <w:pPr>
              <w:rPr>
                <w:rFonts w:eastAsia="Times New Roman"/>
                <w:sz w:val="20"/>
                <w:szCs w:val="20"/>
              </w:rPr>
            </w:pPr>
          </w:p>
        </w:tc>
        <w:tc>
          <w:tcPr>
            <w:tcW w:w="38" w:type="pct"/>
            <w:vAlign w:val="center"/>
            <w:hideMark/>
          </w:tcPr>
          <w:p w:rsidR="00000000" w:rsidRDefault="00A309A2">
            <w:pPr>
              <w:rPr>
                <w:rFonts w:eastAsia="Times New Roman"/>
                <w:sz w:val="20"/>
                <w:szCs w:val="20"/>
              </w:rPr>
            </w:pPr>
          </w:p>
        </w:tc>
        <w:tc>
          <w:tcPr>
            <w:tcW w:w="779"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c>
          <w:tcPr>
            <w:tcW w:w="43" w:type="pct"/>
            <w:vAlign w:val="center"/>
            <w:hideMark/>
          </w:tcPr>
          <w:p w:rsidR="00000000" w:rsidRDefault="00A309A2">
            <w:pPr>
              <w:rPr>
                <w:rFonts w:eastAsia="Times New Roman"/>
                <w:sz w:val="20"/>
                <w:szCs w:val="20"/>
              </w:rPr>
            </w:pPr>
          </w:p>
        </w:tc>
        <w:tc>
          <w:tcPr>
            <w:tcW w:w="38" w:type="pct"/>
            <w:vAlign w:val="center"/>
            <w:hideMark/>
          </w:tcPr>
          <w:p w:rsidR="00000000" w:rsidRDefault="00A309A2">
            <w:pPr>
              <w:rPr>
                <w:rFonts w:eastAsia="Times New Roman"/>
                <w:sz w:val="20"/>
                <w:szCs w:val="20"/>
              </w:rPr>
            </w:pPr>
          </w:p>
        </w:tc>
        <w:tc>
          <w:tcPr>
            <w:tcW w:w="779" w:type="pct"/>
            <w:vAlign w:val="center"/>
            <w:hideMark/>
          </w:tcPr>
          <w:p w:rsidR="00000000" w:rsidRDefault="00A309A2">
            <w:pPr>
              <w:rPr>
                <w:rFonts w:eastAsia="Times New Roman"/>
                <w:sz w:val="20"/>
                <w:szCs w:val="20"/>
              </w:rPr>
            </w:pPr>
          </w:p>
        </w:tc>
        <w:tc>
          <w:tcPr>
            <w:tcW w:w="37" w:type="pct"/>
            <w:vAlign w:val="center"/>
            <w:hideMark/>
          </w:tcPr>
          <w:p w:rsidR="00000000" w:rsidRDefault="00A309A2">
            <w:pPr>
              <w:rPr>
                <w:rFonts w:eastAsia="Times New Roman"/>
                <w:sz w:val="20"/>
                <w:szCs w:val="20"/>
              </w:rPr>
            </w:pPr>
          </w:p>
        </w:tc>
      </w:tr>
      <w:tr w:rsidR="00000000">
        <w:trPr>
          <w:divId w:val="24137440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241374401"/>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24137440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Risk-free interest rate (%</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0.0</w:t>
            </w:r>
            <w:r>
              <w:rPr>
                <w:sz w:val="20"/>
                <w:szCs w:val="20"/>
              </w:rPr>
              <w:t>4</w:t>
            </w:r>
            <w:r>
              <w:rPr>
                <w:sz w:val="20"/>
                <w:szCs w:val="20"/>
              </w:rPr>
              <w:t>-</w:t>
            </w:r>
            <w:r>
              <w:rPr>
                <w:sz w:val="20"/>
                <w:szCs w:val="20"/>
              </w:rPr>
              <w:t>0.1</w:t>
            </w:r>
            <w:r>
              <w:rPr>
                <w:sz w:val="20"/>
                <w:szCs w:val="20"/>
              </w:rPr>
              <w:t>0</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0.1</w:t>
            </w:r>
            <w:r>
              <w:rPr>
                <w:sz w:val="20"/>
                <w:szCs w:val="20"/>
              </w:rPr>
              <w:t>4</w:t>
            </w:r>
            <w:r>
              <w:rPr>
                <w:sz w:val="20"/>
                <w:szCs w:val="20"/>
              </w:rPr>
              <w:t>-</w:t>
            </w:r>
            <w:r>
              <w:rPr>
                <w:sz w:val="20"/>
                <w:szCs w:val="20"/>
              </w:rPr>
              <w:t>1.6</w:t>
            </w:r>
            <w:r>
              <w:rPr>
                <w:sz w:val="20"/>
                <w:szCs w:val="20"/>
              </w:rPr>
              <w:t>0</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2.5</w:t>
            </w:r>
            <w:r>
              <w:rPr>
                <w:sz w:val="20"/>
                <w:szCs w:val="20"/>
              </w:rPr>
              <w:t>6</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24137440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Expected term (years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0.5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0.5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0.5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24137440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Volatility (%</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42.7</w:t>
            </w:r>
            <w:r>
              <w:rPr>
                <w:sz w:val="20"/>
                <w:szCs w:val="20"/>
              </w:rPr>
              <w:t>3</w:t>
            </w:r>
            <w:r>
              <w:rPr>
                <w:sz w:val="20"/>
                <w:szCs w:val="20"/>
              </w:rPr>
              <w:t>-</w:t>
            </w:r>
            <w:r>
              <w:rPr>
                <w:sz w:val="20"/>
                <w:szCs w:val="20"/>
              </w:rPr>
              <w:t>45.6</w:t>
            </w:r>
            <w:r>
              <w:rPr>
                <w:sz w:val="20"/>
                <w:szCs w:val="20"/>
              </w:rPr>
              <w:t>7</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34.7</w:t>
            </w:r>
            <w:r>
              <w:rPr>
                <w:sz w:val="20"/>
                <w:szCs w:val="20"/>
              </w:rPr>
              <w:t>5</w:t>
            </w:r>
            <w:r>
              <w:rPr>
                <w:sz w:val="20"/>
                <w:szCs w:val="20"/>
              </w:rPr>
              <w:t>-</w:t>
            </w:r>
            <w:r>
              <w:rPr>
                <w:sz w:val="20"/>
                <w:szCs w:val="20"/>
              </w:rPr>
              <w:t>67.2</w:t>
            </w:r>
            <w:r>
              <w:rPr>
                <w:sz w:val="20"/>
                <w:szCs w:val="20"/>
              </w:rPr>
              <w:t>2</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41.3</w:t>
            </w:r>
            <w:r>
              <w:rPr>
                <w:sz w:val="20"/>
                <w:szCs w:val="20"/>
              </w:rPr>
              <w:t>2</w:t>
            </w:r>
            <w:r>
              <w:rPr>
                <w:sz w:val="20"/>
                <w:szCs w:val="20"/>
              </w:rPr>
              <w:t>-</w:t>
            </w:r>
            <w:r>
              <w:rPr>
                <w:sz w:val="20"/>
                <w:szCs w:val="20"/>
              </w:rPr>
              <w:t>45.0</w:t>
            </w:r>
            <w:r>
              <w:rPr>
                <w:sz w:val="20"/>
                <w:szCs w:val="20"/>
              </w:rPr>
              <w:t>7</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241374401"/>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Expected dividend</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240" w:beforeAutospacing="0" w:after="0" w:afterAutospacing="0"/>
        <w:ind w:firstLine="555"/>
        <w:divId w:val="1136264579"/>
        <w:rPr>
          <w:sz w:val="20"/>
          <w:szCs w:val="20"/>
        </w:rPr>
      </w:pPr>
      <w:r>
        <w:rPr>
          <w:sz w:val="20"/>
          <w:szCs w:val="20"/>
        </w:rPr>
        <w:t>The interest rate was based on the U.S. Treasury bond rate at the date of grant with a maturity approximately equal to the expected term. The expected term is based on the offering period. The expected volatility for the Company’s common stock was based on</w:t>
      </w:r>
      <w:r>
        <w:rPr>
          <w:sz w:val="20"/>
          <w:szCs w:val="20"/>
        </w:rPr>
        <w:t xml:space="preserve"> an average of the historical volatility of a peer group of similar public companies. The assumed dividend yield is based upon the Company’s expectation of not paying dividends in the foreseeable future. The fair value of the Company’s common stock is the </w:t>
      </w:r>
      <w:r>
        <w:rPr>
          <w:sz w:val="20"/>
          <w:szCs w:val="20"/>
        </w:rPr>
        <w:t>closing price of the stock on the date the offering period starts</w:t>
      </w:r>
      <w:r>
        <w:rPr>
          <w:sz w:val="20"/>
          <w:szCs w:val="20"/>
        </w:rPr>
        <w:t>.</w:t>
      </w:r>
    </w:p>
    <w:p w:rsidR="00000000" w:rsidRDefault="00A309A2">
      <w:pPr>
        <w:pStyle w:val="a3"/>
        <w:spacing w:before="0" w:beforeAutospacing="0" w:after="0" w:afterAutospacing="0"/>
        <w:ind w:firstLine="555"/>
        <w:divId w:val="1136264579"/>
        <w:rPr>
          <w:sz w:val="20"/>
          <w:szCs w:val="20"/>
        </w:rPr>
      </w:pPr>
      <w:r>
        <w:rPr>
          <w:sz w:val="20"/>
          <w:szCs w:val="20"/>
        </w:rPr>
        <w:t> </w:t>
      </w:r>
    </w:p>
    <w:p w:rsidR="00000000" w:rsidRDefault="00A309A2">
      <w:pPr>
        <w:pStyle w:val="a3"/>
        <w:spacing w:before="40" w:beforeAutospacing="0" w:after="0" w:afterAutospacing="0"/>
        <w:ind w:firstLine="555"/>
        <w:divId w:val="1866601955"/>
        <w:rPr>
          <w:sz w:val="20"/>
          <w:szCs w:val="20"/>
        </w:rPr>
      </w:pPr>
      <w:r>
        <w:rPr>
          <w:sz w:val="20"/>
          <w:szCs w:val="20"/>
        </w:rPr>
        <w:t>The following table summarizes the activity related to ESPP</w:t>
      </w:r>
      <w:r>
        <w:rPr>
          <w:sz w:val="20"/>
          <w:szCs w:val="20"/>
        </w:rPr>
        <w:t>:</w:t>
      </w:r>
    </w:p>
    <w:p w:rsidR="00000000" w:rsidRDefault="00A309A2">
      <w:pPr>
        <w:pStyle w:val="a3"/>
        <w:spacing w:before="0" w:beforeAutospacing="0" w:after="0" w:afterAutospacing="0"/>
        <w:divId w:val="186660195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705"/>
        <w:gridCol w:w="110"/>
        <w:gridCol w:w="111"/>
        <w:gridCol w:w="980"/>
        <w:gridCol w:w="110"/>
        <w:gridCol w:w="110"/>
        <w:gridCol w:w="160"/>
        <w:gridCol w:w="917"/>
        <w:gridCol w:w="110"/>
        <w:gridCol w:w="110"/>
        <w:gridCol w:w="161"/>
        <w:gridCol w:w="936"/>
        <w:gridCol w:w="125"/>
      </w:tblGrid>
      <w:tr w:rsidR="00000000">
        <w:trPr>
          <w:divId w:val="1866601955"/>
          <w:tblCellSpacing w:w="15" w:type="dxa"/>
        </w:trPr>
        <w:tc>
          <w:tcPr>
            <w:tcW w:w="2182" w:type="pct"/>
            <w:vAlign w:val="center"/>
            <w:hideMark/>
          </w:tcPr>
          <w:p w:rsidR="00000000" w:rsidRDefault="00A309A2">
            <w:pPr>
              <w:rPr>
                <w:sz w:val="20"/>
                <w:szCs w:val="20"/>
              </w:rPr>
            </w:pPr>
          </w:p>
        </w:tc>
        <w:tc>
          <w:tcPr>
            <w:tcW w:w="56" w:type="pct"/>
            <w:vAlign w:val="center"/>
            <w:hideMark/>
          </w:tcPr>
          <w:p w:rsidR="00000000" w:rsidRDefault="00A309A2">
            <w:pPr>
              <w:rPr>
                <w:rFonts w:eastAsia="Times New Roman"/>
                <w:sz w:val="20"/>
                <w:szCs w:val="20"/>
              </w:rPr>
            </w:pPr>
          </w:p>
        </w:tc>
        <w:tc>
          <w:tcPr>
            <w:tcW w:w="39" w:type="pct"/>
            <w:vAlign w:val="center"/>
            <w:hideMark/>
          </w:tcPr>
          <w:p w:rsidR="00000000" w:rsidRDefault="00A309A2">
            <w:pPr>
              <w:rPr>
                <w:rFonts w:eastAsia="Times New Roman"/>
                <w:sz w:val="20"/>
                <w:szCs w:val="20"/>
              </w:rPr>
            </w:pPr>
          </w:p>
        </w:tc>
        <w:tc>
          <w:tcPr>
            <w:tcW w:w="810" w:type="pct"/>
            <w:vAlign w:val="center"/>
            <w:hideMark/>
          </w:tcPr>
          <w:p w:rsidR="00000000" w:rsidRDefault="00A309A2">
            <w:pPr>
              <w:rPr>
                <w:rFonts w:eastAsia="Times New Roman"/>
                <w:sz w:val="20"/>
                <w:szCs w:val="20"/>
              </w:rPr>
            </w:pPr>
          </w:p>
        </w:tc>
        <w:tc>
          <w:tcPr>
            <w:tcW w:w="36"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760" w:type="pct"/>
            <w:vAlign w:val="center"/>
            <w:hideMark/>
          </w:tcPr>
          <w:p w:rsidR="00000000" w:rsidRDefault="00A309A2">
            <w:pPr>
              <w:rPr>
                <w:rFonts w:eastAsia="Times New Roman"/>
                <w:sz w:val="20"/>
                <w:szCs w:val="20"/>
              </w:rPr>
            </w:pPr>
          </w:p>
        </w:tc>
        <w:tc>
          <w:tcPr>
            <w:tcW w:w="36" w:type="pct"/>
            <w:vAlign w:val="center"/>
            <w:hideMark/>
          </w:tcPr>
          <w:p w:rsidR="00000000" w:rsidRDefault="00A309A2">
            <w:pPr>
              <w:rPr>
                <w:rFonts w:eastAsia="Times New Roman"/>
                <w:sz w:val="20"/>
                <w:szCs w:val="20"/>
              </w:rPr>
            </w:pPr>
          </w:p>
        </w:tc>
        <w:tc>
          <w:tcPr>
            <w:tcW w:w="42"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775" w:type="pct"/>
            <w:vAlign w:val="center"/>
            <w:hideMark/>
          </w:tcPr>
          <w:p w:rsidR="00000000" w:rsidRDefault="00A309A2">
            <w:pPr>
              <w:rPr>
                <w:rFonts w:eastAsia="Times New Roman"/>
                <w:sz w:val="20"/>
                <w:szCs w:val="20"/>
              </w:rPr>
            </w:pPr>
          </w:p>
        </w:tc>
        <w:tc>
          <w:tcPr>
            <w:tcW w:w="36" w:type="pct"/>
            <w:vAlign w:val="center"/>
            <w:hideMark/>
          </w:tcPr>
          <w:p w:rsidR="00000000" w:rsidRDefault="00A309A2">
            <w:pPr>
              <w:rPr>
                <w:rFonts w:eastAsia="Times New Roman"/>
                <w:sz w:val="20"/>
                <w:szCs w:val="20"/>
              </w:rPr>
            </w:pPr>
          </w:p>
        </w:tc>
      </w:tr>
      <w:tr w:rsidR="00000000">
        <w:trPr>
          <w:divId w:val="1866601955"/>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Shares Issued</w:t>
            </w:r>
            <w:r>
              <w:rPr>
                <w:b/>
                <w:bCs/>
                <w:sz w:val="16"/>
                <w:szCs w:val="16"/>
              </w:rPr>
              <w:br/>
              <w:t> (in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Purchase Pric</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Total Cash</w:t>
            </w:r>
            <w:r>
              <w:rPr>
                <w:b/>
                <w:bCs/>
                <w:sz w:val="16"/>
                <w:szCs w:val="16"/>
              </w:rPr>
              <w:br/>
              <w:t>Proceeds</w:t>
            </w:r>
            <w:r>
              <w:rPr>
                <w:b/>
                <w:bCs/>
                <w:sz w:val="16"/>
                <w:szCs w:val="16"/>
              </w:rPr>
              <w:br/>
            </w: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866601955"/>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202</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372.5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28,66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66601955"/>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202</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149.2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19,65</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866601955"/>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201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123.6</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14,38</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9</w:t>
      </w:r>
      <w:r>
        <w:rPr>
          <w:sz w:val="20"/>
          <w:szCs w:val="20"/>
        </w:rPr>
        <w:t>0</w:t>
      </w:r>
    </w:p>
    <w:p w:rsidR="00000000" w:rsidRDefault="00A309A2">
      <w:pPr>
        <w:rPr>
          <w:rFonts w:eastAsia="Times New Roman"/>
        </w:rPr>
      </w:pPr>
      <w:r>
        <w:rPr>
          <w:rFonts w:eastAsia="Times New Roman"/>
        </w:rPr>
        <w:pict>
          <v:rect id="_x0000_i111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180" w:beforeAutospacing="0" w:after="0" w:afterAutospacing="0"/>
        <w:divId w:val="235283500"/>
        <w:rPr>
          <w:sz w:val="20"/>
          <w:szCs w:val="20"/>
        </w:rPr>
      </w:pPr>
      <w:r>
        <w:rPr>
          <w:b/>
          <w:bCs/>
          <w:sz w:val="20"/>
          <w:szCs w:val="20"/>
        </w:rPr>
        <w:t>15. Income Taxe</w:t>
      </w:r>
      <w:r>
        <w:rPr>
          <w:b/>
          <w:bCs/>
          <w:sz w:val="20"/>
          <w:szCs w:val="20"/>
        </w:rPr>
        <w:t>s</w:t>
      </w:r>
    </w:p>
    <w:p w:rsidR="00000000" w:rsidRDefault="00A309A2">
      <w:pPr>
        <w:pStyle w:val="a3"/>
        <w:spacing w:before="120" w:beforeAutospacing="0" w:after="0" w:afterAutospacing="0"/>
        <w:ind w:firstLine="555"/>
        <w:divId w:val="74206702"/>
        <w:rPr>
          <w:sz w:val="20"/>
          <w:szCs w:val="20"/>
        </w:rPr>
      </w:pPr>
      <w:r>
        <w:rPr>
          <w:sz w:val="20"/>
          <w:szCs w:val="20"/>
        </w:rPr>
        <w:t>Loss before provision for income taxes was as follows</w:t>
      </w:r>
      <w:r>
        <w:rPr>
          <w:sz w:val="20"/>
          <w:szCs w:val="20"/>
        </w:rPr>
        <w:t>:</w:t>
      </w:r>
    </w:p>
    <w:p w:rsidR="00000000" w:rsidRDefault="00A309A2">
      <w:pPr>
        <w:pStyle w:val="a3"/>
        <w:spacing w:before="0" w:beforeAutospacing="0" w:after="0" w:afterAutospacing="0"/>
        <w:divId w:val="74206702"/>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38"/>
        <w:gridCol w:w="110"/>
        <w:gridCol w:w="160"/>
        <w:gridCol w:w="698"/>
        <w:gridCol w:w="127"/>
        <w:gridCol w:w="110"/>
        <w:gridCol w:w="160"/>
        <w:gridCol w:w="701"/>
        <w:gridCol w:w="127"/>
        <w:gridCol w:w="110"/>
        <w:gridCol w:w="160"/>
        <w:gridCol w:w="702"/>
        <w:gridCol w:w="142"/>
      </w:tblGrid>
      <w:tr w:rsidR="00000000">
        <w:trPr>
          <w:divId w:val="74206702"/>
          <w:tblCellSpacing w:w="15" w:type="dxa"/>
        </w:trPr>
        <w:tc>
          <w:tcPr>
            <w:tcW w:w="2683" w:type="pct"/>
            <w:vAlign w:val="center"/>
            <w:hideMark/>
          </w:tcPr>
          <w:p w:rsidR="00000000" w:rsidRDefault="00A309A2">
            <w:pPr>
              <w:rPr>
                <w:sz w:val="20"/>
                <w:szCs w:val="20"/>
              </w:rPr>
            </w:pPr>
          </w:p>
        </w:tc>
        <w:tc>
          <w:tcPr>
            <w:tcW w:w="5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577"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579"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580"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r>
      <w:tr w:rsidR="00000000">
        <w:trPr>
          <w:divId w:val="74206702"/>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4206702"/>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4206702"/>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42067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United State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89,00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96,55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63,20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42067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Foreig</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15,18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15,74</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12,42</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420670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73,81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80,81</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50,77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divId w:val="235283500"/>
        <w:rPr>
          <w:sz w:val="20"/>
          <w:szCs w:val="20"/>
        </w:rPr>
      </w:pPr>
      <w:r>
        <w:rPr>
          <w:sz w:val="20"/>
          <w:szCs w:val="20"/>
        </w:rPr>
        <w:t> </w:t>
      </w:r>
    </w:p>
    <w:p w:rsidR="00000000" w:rsidRDefault="00A309A2">
      <w:pPr>
        <w:pStyle w:val="a3"/>
        <w:spacing w:before="40" w:beforeAutospacing="0" w:after="0" w:afterAutospacing="0"/>
        <w:ind w:firstLine="555"/>
        <w:divId w:val="470364719"/>
        <w:rPr>
          <w:sz w:val="20"/>
          <w:szCs w:val="20"/>
        </w:rPr>
      </w:pPr>
      <w:r>
        <w:rPr>
          <w:sz w:val="20"/>
          <w:szCs w:val="20"/>
        </w:rPr>
        <w:t>The (provision) benefit for income taxes consists of the following</w:t>
      </w:r>
      <w:r>
        <w:rPr>
          <w:sz w:val="20"/>
          <w:szCs w:val="20"/>
        </w:rPr>
        <w:t>:</w:t>
      </w:r>
      <w:r>
        <w:rPr>
          <w:sz w:val="20"/>
          <w:szCs w:val="20"/>
        </w:rPr>
        <w:t xml:space="preserve"> </w:t>
      </w:r>
    </w:p>
    <w:p w:rsidR="00000000" w:rsidRDefault="00A309A2">
      <w:pPr>
        <w:pStyle w:val="a3"/>
        <w:spacing w:before="0" w:beforeAutospacing="0" w:after="0" w:afterAutospacing="0"/>
        <w:divId w:val="470364719"/>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03"/>
        <w:gridCol w:w="110"/>
        <w:gridCol w:w="160"/>
        <w:gridCol w:w="676"/>
        <w:gridCol w:w="127"/>
        <w:gridCol w:w="110"/>
        <w:gridCol w:w="160"/>
        <w:gridCol w:w="679"/>
        <w:gridCol w:w="127"/>
        <w:gridCol w:w="110"/>
        <w:gridCol w:w="160"/>
        <w:gridCol w:w="681"/>
        <w:gridCol w:w="142"/>
      </w:tblGrid>
      <w:tr w:rsidR="00000000">
        <w:trPr>
          <w:divId w:val="470364719"/>
          <w:tblCellSpacing w:w="15" w:type="dxa"/>
        </w:trPr>
        <w:tc>
          <w:tcPr>
            <w:tcW w:w="2735" w:type="pct"/>
            <w:vAlign w:val="center"/>
            <w:hideMark/>
          </w:tcPr>
          <w:p w:rsidR="00000000" w:rsidRDefault="00A309A2">
            <w:pPr>
              <w:rPr>
                <w:sz w:val="20"/>
                <w:szCs w:val="20"/>
              </w:rPr>
            </w:pPr>
          </w:p>
        </w:tc>
        <w:tc>
          <w:tcPr>
            <w:tcW w:w="5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560"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561"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563"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r>
      <w:tr w:rsidR="00000000">
        <w:trPr>
          <w:divId w:val="470364719"/>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470364719"/>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470364719"/>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Current income tax provisio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Federa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70</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40</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23</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Stat</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24</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Foreig</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5,60</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5,50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3,29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current income tax provisio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6,88</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6,40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3,77</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income tax benefit (expense</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Federa</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98</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Stat</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100"/>
              <w:rPr>
                <w:sz w:val="20"/>
                <w:szCs w:val="20"/>
              </w:rPr>
            </w:pPr>
            <w:r>
              <w:rPr>
                <w:sz w:val="20"/>
                <w:szCs w:val="20"/>
              </w:rPr>
              <w:t>Foreig</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1,88</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2,30</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63</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Total deferred income tax benefi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2,86</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2,18</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470364719"/>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Total income tax provisio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4,21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40" w:beforeAutospacing="0" w:after="0" w:afterAutospacing="0"/>
        <w:ind w:firstLine="555"/>
        <w:divId w:val="470364719"/>
        <w:rPr>
          <w:sz w:val="20"/>
          <w:szCs w:val="20"/>
        </w:rPr>
      </w:pPr>
      <w:r>
        <w:rPr>
          <w:sz w:val="20"/>
          <w:szCs w:val="20"/>
        </w:rPr>
        <w:t> </w:t>
      </w:r>
    </w:p>
    <w:p w:rsidR="00000000" w:rsidRDefault="00A309A2">
      <w:pPr>
        <w:pStyle w:val="a3"/>
        <w:spacing w:before="40" w:beforeAutospacing="0" w:after="0" w:afterAutospacing="0"/>
        <w:ind w:firstLine="555"/>
        <w:divId w:val="347027605"/>
        <w:rPr>
          <w:sz w:val="20"/>
          <w:szCs w:val="20"/>
        </w:rPr>
      </w:pPr>
      <w:r>
        <w:rPr>
          <w:sz w:val="20"/>
          <w:szCs w:val="20"/>
        </w:rPr>
        <w:t>The following reconciles the differences between income taxes computed at the federal statutory rate of</w:t>
      </w:r>
      <w:r>
        <w:rPr>
          <w:sz w:val="20"/>
          <w:szCs w:val="20"/>
        </w:rPr>
        <w:t xml:space="preserve"> </w:t>
      </w:r>
      <w:r>
        <w:rPr>
          <w:sz w:val="20"/>
          <w:szCs w:val="20"/>
        </w:rPr>
        <w:t>2</w:t>
      </w:r>
      <w:r>
        <w:rPr>
          <w:sz w:val="20"/>
          <w:szCs w:val="20"/>
        </w:rPr>
        <w:t>1</w:t>
      </w:r>
      <w:r>
        <w:rPr>
          <w:sz w:val="20"/>
          <w:szCs w:val="20"/>
        </w:rPr>
        <w:t>%</w:t>
      </w:r>
      <w:r>
        <w:rPr>
          <w:sz w:val="20"/>
          <w:szCs w:val="20"/>
        </w:rPr>
        <w:t xml:space="preserve"> for 2021, 2020 and 2019 and the provision for income taxes</w:t>
      </w:r>
      <w:r>
        <w:rPr>
          <w:sz w:val="20"/>
          <w:szCs w:val="20"/>
        </w:rPr>
        <w:t>:</w:t>
      </w:r>
    </w:p>
    <w:p w:rsidR="00000000" w:rsidRDefault="00A309A2">
      <w:pPr>
        <w:pStyle w:val="a3"/>
        <w:spacing w:before="0" w:beforeAutospacing="0" w:after="0" w:afterAutospacing="0"/>
        <w:divId w:val="347027605"/>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02"/>
        <w:gridCol w:w="110"/>
        <w:gridCol w:w="160"/>
        <w:gridCol w:w="777"/>
        <w:gridCol w:w="127"/>
        <w:gridCol w:w="110"/>
        <w:gridCol w:w="160"/>
        <w:gridCol w:w="677"/>
        <w:gridCol w:w="127"/>
        <w:gridCol w:w="110"/>
        <w:gridCol w:w="160"/>
        <w:gridCol w:w="683"/>
        <w:gridCol w:w="142"/>
      </w:tblGrid>
      <w:tr w:rsidR="00000000">
        <w:trPr>
          <w:divId w:val="347027605"/>
          <w:tblCellSpacing w:w="15" w:type="dxa"/>
        </w:trPr>
        <w:tc>
          <w:tcPr>
            <w:tcW w:w="2654" w:type="pct"/>
            <w:vAlign w:val="center"/>
            <w:hideMark/>
          </w:tcPr>
          <w:p w:rsidR="00000000" w:rsidRDefault="00A309A2">
            <w:pPr>
              <w:rPr>
                <w:sz w:val="20"/>
                <w:szCs w:val="20"/>
              </w:rPr>
            </w:pPr>
          </w:p>
        </w:tc>
        <w:tc>
          <w:tcPr>
            <w:tcW w:w="56"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600"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81"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56"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81"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r>
      <w:tr w:rsidR="00000000">
        <w:trPr>
          <w:divId w:val="347027605"/>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47027605"/>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47027605"/>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Expected income tax benefit at the federal statutory rat</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15,45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16,89</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10,66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State taxes net of federal benefi</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13,97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4,61</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3,70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79,80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25,19</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16,05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Executive compensation limitatio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9,00</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3,00</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7,24</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Difference in foreign tax rate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48</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69</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U.S. tax credit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15,99</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11,52</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24,17</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GILTI inclusio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1,64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Meals and entertainmen</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47</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1,20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Acquisitio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1,03</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Foreign withholding taxe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1,00</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53</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Change in valuation allowanc</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119,84</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62,18</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47,52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46</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2,91</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26</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347027605"/>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Income tax provisio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4,01</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4,21</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2,97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bl>
    <w:p w:rsidR="00000000" w:rsidRDefault="00A309A2">
      <w:pPr>
        <w:pStyle w:val="a3"/>
        <w:spacing w:before="0" w:beforeAutospacing="0" w:after="0" w:afterAutospacing="0"/>
        <w:divId w:val="235283500"/>
        <w:rPr>
          <w:sz w:val="20"/>
          <w:szCs w:val="20"/>
        </w:rPr>
      </w:pPr>
      <w:r>
        <w:rPr>
          <w:sz w:val="20"/>
          <w:szCs w:val="20"/>
        </w:rPr>
        <w:t> </w:t>
      </w:r>
    </w:p>
    <w:p w:rsidR="00000000" w:rsidRDefault="00A309A2">
      <w:pPr>
        <w:pStyle w:val="a3"/>
        <w:spacing w:before="240" w:beforeAutospacing="0" w:after="0" w:afterAutospacing="0"/>
        <w:jc w:val="center"/>
        <w:divId w:val="235283500"/>
        <w:rPr>
          <w:sz w:val="20"/>
          <w:szCs w:val="20"/>
        </w:rPr>
      </w:pPr>
      <w:r>
        <w:rPr>
          <w:sz w:val="20"/>
          <w:szCs w:val="20"/>
        </w:rPr>
        <w:t>9</w:t>
      </w:r>
      <w:r>
        <w:rPr>
          <w:sz w:val="20"/>
          <w:szCs w:val="20"/>
        </w:rPr>
        <w:t>1</w:t>
      </w:r>
    </w:p>
    <w:p w:rsidR="00000000" w:rsidRDefault="00A309A2">
      <w:pPr>
        <w:divId w:val="235283500"/>
        <w:rPr>
          <w:rFonts w:eastAsia="Times New Roman"/>
        </w:rPr>
      </w:pPr>
      <w:r>
        <w:rPr>
          <w:rFonts w:eastAsia="Times New Roman"/>
        </w:rPr>
        <w:pict>
          <v:rect id="_x0000_i1118" style="width:0;height:1.5pt" o:hralign="center" o:hrstd="t" o:hr="t" fillcolor="#a0a0a0" stroked="f"/>
        </w:pict>
      </w:r>
    </w:p>
    <w:p w:rsidR="00000000" w:rsidRDefault="00A309A2">
      <w:pPr>
        <w:pStyle w:val="a3"/>
        <w:spacing w:before="0" w:beforeAutospacing="0" w:after="0" w:afterAutospacing="0"/>
        <w:divId w:val="235283500"/>
        <w:rPr>
          <w:sz w:val="20"/>
          <w:szCs w:val="20"/>
        </w:rPr>
      </w:pPr>
      <w:r>
        <w:rPr>
          <w:sz w:val="20"/>
          <w:szCs w:val="20"/>
        </w:rPr>
        <w:t> </w:t>
      </w:r>
    </w:p>
    <w:p w:rsidR="00000000" w:rsidRDefault="00A309A2">
      <w:pPr>
        <w:pStyle w:val="a3"/>
        <w:spacing w:before="200" w:beforeAutospacing="0" w:after="0" w:afterAutospacing="0"/>
        <w:ind w:firstLine="555"/>
        <w:divId w:val="235283500"/>
        <w:rPr>
          <w:sz w:val="20"/>
          <w:szCs w:val="20"/>
        </w:rPr>
      </w:pPr>
      <w:r>
        <w:rPr>
          <w:b/>
          <w:bCs/>
          <w:sz w:val="20"/>
          <w:szCs w:val="20"/>
        </w:rPr>
        <w:t>Deferred Tax Assets and Liabilitie</w:t>
      </w:r>
      <w:r>
        <w:rPr>
          <w:b/>
          <w:bCs/>
          <w:sz w:val="20"/>
          <w:szCs w:val="20"/>
        </w:rPr>
        <w:t>s</w:t>
      </w:r>
      <w:r>
        <w:rPr>
          <w:sz w:val="20"/>
          <w:szCs w:val="20"/>
        </w:rPr>
        <w:t xml:space="preserve"> — </w:t>
      </w:r>
      <w:r>
        <w:rPr>
          <w:sz w:val="20"/>
          <w:szCs w:val="20"/>
        </w:rPr>
        <w:t>Deferred income taxes reflect the net effects of temporary differences between the carrying amounts of assets and liabilities for financial reporting purposes and the amounts used for income tax purposes.</w:t>
      </w:r>
      <w:r>
        <w:rPr>
          <w:sz w:val="20"/>
          <w:szCs w:val="20"/>
        </w:rPr>
        <w:t xml:space="preserve"> </w:t>
      </w:r>
      <w:r>
        <w:rPr>
          <w:sz w:val="20"/>
          <w:szCs w:val="20"/>
        </w:rPr>
        <w:t>Significant components of the Company’s deferred ta</w:t>
      </w:r>
      <w:r>
        <w:rPr>
          <w:sz w:val="20"/>
          <w:szCs w:val="20"/>
        </w:rPr>
        <w:t>x assets and liabilities were as follows</w:t>
      </w:r>
      <w:r>
        <w:rPr>
          <w:sz w:val="20"/>
          <w:szCs w:val="20"/>
        </w:rPr>
        <w:t>:</w:t>
      </w:r>
    </w:p>
    <w:p w:rsidR="00000000" w:rsidRDefault="00A309A2">
      <w:pPr>
        <w:pStyle w:val="a3"/>
        <w:spacing w:before="0" w:beforeAutospacing="0" w:after="0" w:afterAutospacing="0"/>
        <w:divId w:val="774011972"/>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096"/>
        <w:gridCol w:w="110"/>
        <w:gridCol w:w="160"/>
        <w:gridCol w:w="868"/>
        <w:gridCol w:w="127"/>
        <w:gridCol w:w="110"/>
        <w:gridCol w:w="160"/>
        <w:gridCol w:w="872"/>
        <w:gridCol w:w="142"/>
      </w:tblGrid>
      <w:tr w:rsidR="00000000">
        <w:trPr>
          <w:divId w:val="774011972"/>
          <w:tblCellSpacing w:w="15" w:type="dxa"/>
        </w:trPr>
        <w:tc>
          <w:tcPr>
            <w:tcW w:w="3216" w:type="pct"/>
            <w:vAlign w:val="center"/>
            <w:hideMark/>
          </w:tcPr>
          <w:p w:rsidR="00000000" w:rsidRDefault="00A309A2">
            <w:pPr>
              <w:rPr>
                <w:sz w:val="20"/>
                <w:szCs w:val="20"/>
              </w:rPr>
            </w:pPr>
          </w:p>
        </w:tc>
        <w:tc>
          <w:tcPr>
            <w:tcW w:w="6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687"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c>
          <w:tcPr>
            <w:tcW w:w="63" w:type="pct"/>
            <w:vAlign w:val="center"/>
            <w:hideMark/>
          </w:tcPr>
          <w:p w:rsidR="00000000" w:rsidRDefault="00A309A2">
            <w:pPr>
              <w:rPr>
                <w:rFonts w:eastAsia="Times New Roman"/>
                <w:sz w:val="20"/>
                <w:szCs w:val="20"/>
              </w:rPr>
            </w:pPr>
          </w:p>
        </w:tc>
        <w:tc>
          <w:tcPr>
            <w:tcW w:w="83" w:type="pct"/>
            <w:vAlign w:val="center"/>
            <w:hideMark/>
          </w:tcPr>
          <w:p w:rsidR="00000000" w:rsidRDefault="00A309A2">
            <w:pPr>
              <w:rPr>
                <w:rFonts w:eastAsia="Times New Roman"/>
                <w:sz w:val="20"/>
                <w:szCs w:val="20"/>
              </w:rPr>
            </w:pPr>
          </w:p>
        </w:tc>
        <w:tc>
          <w:tcPr>
            <w:tcW w:w="689"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r>
      <w:tr w:rsidR="00000000">
        <w:trPr>
          <w:divId w:val="774011972"/>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74011972"/>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74011972"/>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tax assets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Net operating loss carryforward</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295,43</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190,55</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Research and investment credit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jc w:val="right"/>
              <w:rPr>
                <w:sz w:val="20"/>
                <w:szCs w:val="20"/>
              </w:rPr>
            </w:pPr>
            <w:r>
              <w:rPr>
                <w:sz w:val="20"/>
                <w:szCs w:val="20"/>
              </w:rPr>
              <w:t>62,71</w:t>
            </w:r>
            <w:r>
              <w:rPr>
                <w:sz w:val="20"/>
                <w:szCs w:val="20"/>
              </w:rPr>
              <w:t>0</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jc w:val="right"/>
              <w:rPr>
                <w:sz w:val="20"/>
                <w:szCs w:val="20"/>
              </w:rPr>
            </w:pPr>
            <w:r>
              <w:rPr>
                <w:sz w:val="20"/>
                <w:szCs w:val="20"/>
              </w:rPr>
              <w:t>46,72</w:t>
            </w:r>
            <w:r>
              <w:rPr>
                <w:sz w:val="20"/>
                <w:szCs w:val="20"/>
              </w:rPr>
              <w:t>9</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Accruals and reserve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17,50</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15,27</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Depreciatio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jc w:val="right"/>
              <w:rPr>
                <w:sz w:val="20"/>
                <w:szCs w:val="20"/>
              </w:rPr>
            </w:pPr>
            <w:r>
              <w:rPr>
                <w:sz w:val="20"/>
                <w:szCs w:val="20"/>
              </w:rPr>
              <w:t>2,53</w:t>
            </w:r>
            <w:r>
              <w:rPr>
                <w:sz w:val="20"/>
                <w:szCs w:val="20"/>
              </w:rPr>
              <w:t>2</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center"/>
            <w:hideMark/>
          </w:tcPr>
          <w:p w:rsidR="00000000" w:rsidRDefault="00A309A2">
            <w:pPr>
              <w:pStyle w:val="a3"/>
              <w:spacing w:before="0" w:beforeAutospacing="0" w:after="0" w:afterAutospacing="0"/>
              <w:jc w:val="right"/>
              <w:rPr>
                <w:sz w:val="20"/>
                <w:szCs w:val="20"/>
              </w:rPr>
            </w:pPr>
            <w:r>
              <w:rPr>
                <w:sz w:val="20"/>
                <w:szCs w:val="20"/>
              </w:rPr>
              <w:t>2,22</w:t>
            </w:r>
            <w:r>
              <w:rPr>
                <w:sz w:val="20"/>
                <w:szCs w:val="20"/>
              </w:rPr>
              <w:t>3</w:t>
            </w:r>
          </w:p>
        </w:tc>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Intangible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16</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Stock-based compensatio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9,62</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7,35</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9,70</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8,65</w:t>
            </w:r>
            <w:r>
              <w:rPr>
                <w:sz w:val="20"/>
                <w:szCs w:val="20"/>
              </w:rPr>
              <w:t>0</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deferred tax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397,50</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270,95</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Deferred tax liabilities</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309A2">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 </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Intangible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2,47</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2,54</w:t>
            </w:r>
            <w:r>
              <w:rPr>
                <w:sz w:val="20"/>
                <w:szCs w:val="20"/>
              </w:rPr>
              <w:t>6</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Convertible deb</w:t>
            </w:r>
            <w:r>
              <w:rPr>
                <w:sz w:val="20"/>
                <w:szCs w:val="20"/>
              </w:rPr>
              <w:t>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16,91</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21,87</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Capitalized cost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27,66</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17,00</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200"/>
              <w:rPr>
                <w:sz w:val="20"/>
                <w:szCs w:val="20"/>
              </w:rPr>
            </w:pPr>
            <w:r>
              <w:rPr>
                <w:sz w:val="20"/>
                <w:szCs w:val="20"/>
              </w:rPr>
              <w:t>Depreciatio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23</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23</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ind w:left="400"/>
              <w:rPr>
                <w:sz w:val="20"/>
                <w:szCs w:val="20"/>
              </w:rPr>
            </w:pPr>
            <w:r>
              <w:rPr>
                <w:sz w:val="20"/>
                <w:szCs w:val="20"/>
              </w:rPr>
              <w:t>Total deferred tax liabilitie</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47,28</w:t>
            </w:r>
            <w:r>
              <w:rPr>
                <w:sz w:val="20"/>
                <w:szCs w:val="20"/>
              </w:rPr>
              <w:t>4</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41,65</w:t>
            </w:r>
            <w:r>
              <w:rPr>
                <w:sz w:val="20"/>
                <w:szCs w:val="20"/>
              </w:rPr>
              <w:t>9</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Valuation allowanc</w:t>
            </w:r>
            <w:r>
              <w:rPr>
                <w:sz w:val="20"/>
                <w:szCs w:val="20"/>
              </w:rPr>
              <w:t>e</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346,38</w:t>
            </w:r>
            <w:r>
              <w:rPr>
                <w:sz w:val="20"/>
                <w:szCs w:val="20"/>
              </w:rPr>
              <w:t>1</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227,06</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774011972"/>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Net deferred tax asset</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3,84</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2,23</w:t>
            </w:r>
            <w:r>
              <w:rPr>
                <w:sz w:val="20"/>
                <w:szCs w:val="20"/>
              </w:rPr>
              <w:t>2</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774011972"/>
        <w:rPr>
          <w:sz w:val="20"/>
          <w:szCs w:val="20"/>
        </w:rPr>
      </w:pPr>
      <w:r>
        <w:rPr>
          <w:sz w:val="20"/>
          <w:szCs w:val="20"/>
        </w:rPr>
        <w:t> </w:t>
      </w:r>
    </w:p>
    <w:p w:rsidR="00000000" w:rsidRDefault="00A309A2">
      <w:pPr>
        <w:pStyle w:val="a3"/>
        <w:spacing w:before="200" w:beforeAutospacing="0" w:after="0" w:afterAutospacing="0"/>
        <w:ind w:firstLine="555"/>
        <w:divId w:val="235283500"/>
        <w:rPr>
          <w:sz w:val="20"/>
          <w:szCs w:val="20"/>
        </w:rPr>
      </w:pPr>
      <w:r>
        <w:rPr>
          <w:sz w:val="20"/>
          <w:szCs w:val="20"/>
        </w:rPr>
        <w:t>The Company reviews all available evidence to evaluate the realizability of its deferred tax assets, including its recent history of accumulated losses over the most recent three years as well as its ability to generate income in future periods. The Compan</w:t>
      </w:r>
      <w:r>
        <w:rPr>
          <w:sz w:val="20"/>
          <w:szCs w:val="20"/>
        </w:rPr>
        <w:t>y has provided a valuation allowance against its U.S. net deferred tax assets as it is more likely than not that these assets will not be realized given the nature of the assets and the likelihood of future utilization</w:t>
      </w:r>
      <w:r>
        <w:rPr>
          <w:sz w:val="20"/>
          <w:szCs w:val="20"/>
        </w:rPr>
        <w:t>.</w:t>
      </w:r>
    </w:p>
    <w:p w:rsidR="00000000" w:rsidRDefault="00A309A2">
      <w:pPr>
        <w:pStyle w:val="a3"/>
        <w:spacing w:before="200" w:beforeAutospacing="0" w:after="0" w:afterAutospacing="0"/>
        <w:ind w:firstLine="555"/>
        <w:divId w:val="235283500"/>
        <w:rPr>
          <w:sz w:val="20"/>
          <w:szCs w:val="20"/>
        </w:rPr>
      </w:pPr>
      <w:r>
        <w:rPr>
          <w:sz w:val="20"/>
          <w:szCs w:val="20"/>
        </w:rPr>
        <w:t>The valuation allowance increased by</w:t>
      </w:r>
      <w:r>
        <w:rPr>
          <w:sz w:val="20"/>
          <w:szCs w:val="20"/>
        </w:rPr>
        <w:t xml:space="preserve"> </w:t>
      </w:r>
      <w:r>
        <w:rPr>
          <w:sz w:val="20"/>
          <w:szCs w:val="20"/>
        </w:rPr>
        <w:t>$</w:t>
      </w:r>
      <w:r>
        <w:rPr>
          <w:sz w:val="20"/>
          <w:szCs w:val="20"/>
        </w:rPr>
        <w:t>119.</w:t>
      </w:r>
      <w:r>
        <w:rPr>
          <w:sz w:val="20"/>
          <w:szCs w:val="20"/>
        </w:rPr>
        <w:t>3</w:t>
      </w:r>
      <w:r>
        <w:rPr>
          <w:sz w:val="20"/>
          <w:szCs w:val="20"/>
        </w:rPr>
        <w:t xml:space="preserve"> million in</w:t>
      </w:r>
      <w:r>
        <w:rPr>
          <w:sz w:val="20"/>
          <w:szCs w:val="20"/>
        </w:rPr>
        <w:t xml:space="preserve"> </w:t>
      </w:r>
      <w:r>
        <w:rPr>
          <w:sz w:val="20"/>
          <w:szCs w:val="20"/>
        </w:rPr>
        <w:t>2021,</w:t>
      </w:r>
      <w:r>
        <w:rPr>
          <w:sz w:val="20"/>
          <w:szCs w:val="20"/>
        </w:rPr>
        <w:t xml:space="preserve"> </w:t>
      </w:r>
      <w:r>
        <w:rPr>
          <w:sz w:val="20"/>
          <w:szCs w:val="20"/>
        </w:rPr>
        <w:t>$</w:t>
      </w:r>
      <w:r>
        <w:rPr>
          <w:sz w:val="20"/>
          <w:szCs w:val="20"/>
        </w:rPr>
        <w:t>47.</w:t>
      </w:r>
      <w:r>
        <w:rPr>
          <w:sz w:val="20"/>
          <w:szCs w:val="20"/>
        </w:rPr>
        <w:t>0</w:t>
      </w:r>
      <w:r>
        <w:rPr>
          <w:sz w:val="20"/>
          <w:szCs w:val="20"/>
        </w:rPr>
        <w:t xml:space="preserve"> million in</w:t>
      </w:r>
      <w:r>
        <w:rPr>
          <w:sz w:val="20"/>
          <w:szCs w:val="20"/>
        </w:rPr>
        <w:t xml:space="preserve"> </w:t>
      </w:r>
      <w:r>
        <w:rPr>
          <w:sz w:val="20"/>
          <w:szCs w:val="20"/>
        </w:rPr>
        <w:t>2020 and</w:t>
      </w:r>
      <w:r>
        <w:rPr>
          <w:sz w:val="20"/>
          <w:szCs w:val="20"/>
        </w:rPr>
        <w:t xml:space="preserve"> </w:t>
      </w:r>
      <w:r>
        <w:rPr>
          <w:sz w:val="20"/>
          <w:szCs w:val="20"/>
        </w:rPr>
        <w:t>$</w:t>
      </w:r>
      <w:r>
        <w:rPr>
          <w:sz w:val="20"/>
          <w:szCs w:val="20"/>
        </w:rPr>
        <w:t>47.</w:t>
      </w:r>
      <w:r>
        <w:rPr>
          <w:sz w:val="20"/>
          <w:szCs w:val="20"/>
        </w:rPr>
        <w:t>3</w:t>
      </w:r>
      <w:r>
        <w:rPr>
          <w:sz w:val="20"/>
          <w:szCs w:val="20"/>
        </w:rPr>
        <w:t xml:space="preserve"> million in</w:t>
      </w:r>
      <w:r>
        <w:rPr>
          <w:sz w:val="20"/>
          <w:szCs w:val="20"/>
        </w:rPr>
        <w:t xml:space="preserve"> </w:t>
      </w:r>
      <w:r>
        <w:rPr>
          <w:sz w:val="20"/>
          <w:szCs w:val="20"/>
        </w:rPr>
        <w:t>201</w:t>
      </w:r>
      <w:r>
        <w:rPr>
          <w:sz w:val="20"/>
          <w:szCs w:val="20"/>
        </w:rPr>
        <w:t>9</w:t>
      </w:r>
      <w:r>
        <w:rPr>
          <w:sz w:val="20"/>
          <w:szCs w:val="20"/>
        </w:rPr>
        <w:t>, primarily due to the increase in the U.S. net operating loss deferred tax asset.</w:t>
      </w:r>
      <w:r>
        <w:rPr>
          <w:sz w:val="20"/>
          <w:szCs w:val="20"/>
        </w:rPr>
        <w:t xml:space="preserve"> </w:t>
      </w:r>
      <w:r>
        <w:rPr>
          <w:sz w:val="20"/>
          <w:szCs w:val="20"/>
        </w:rPr>
        <w:t>The Company does not expect any significant changes in its valuat</w:t>
      </w:r>
      <w:r>
        <w:rPr>
          <w:sz w:val="20"/>
          <w:szCs w:val="20"/>
        </w:rPr>
        <w:t>ion allowance positions within the next 12 months</w:t>
      </w:r>
      <w:r>
        <w:rPr>
          <w:sz w:val="20"/>
          <w:szCs w:val="20"/>
        </w:rPr>
        <w:t>.</w:t>
      </w:r>
      <w:r>
        <w:rPr>
          <w:sz w:val="20"/>
          <w:szCs w:val="20"/>
        </w:rPr>
        <w:t xml:space="preserve"> </w:t>
      </w:r>
    </w:p>
    <w:p w:rsidR="00000000" w:rsidRDefault="00A309A2">
      <w:pPr>
        <w:pStyle w:val="a3"/>
        <w:spacing w:before="200" w:beforeAutospacing="0" w:after="0" w:afterAutospacing="0"/>
        <w:ind w:firstLine="555"/>
        <w:divId w:val="235283500"/>
        <w:rPr>
          <w:sz w:val="20"/>
          <w:szCs w:val="20"/>
        </w:rPr>
      </w:pPr>
      <w:r>
        <w:rPr>
          <w:sz w:val="20"/>
          <w:szCs w:val="20"/>
        </w:rPr>
        <w:t xml:space="preserve">The Company had federal and state net operating loss carryforwards of </w:t>
      </w:r>
      <w:r>
        <w:rPr>
          <w:sz w:val="20"/>
          <w:szCs w:val="20"/>
        </w:rPr>
        <w:t>$</w:t>
      </w:r>
      <w:r>
        <w:rPr>
          <w:sz w:val="20"/>
          <w:szCs w:val="20"/>
        </w:rPr>
        <w:t>1.</w:t>
      </w:r>
      <w:r>
        <w:rPr>
          <w:sz w:val="20"/>
          <w:szCs w:val="20"/>
        </w:rPr>
        <w:t>2</w:t>
      </w:r>
      <w:r>
        <w:rPr>
          <w:sz w:val="20"/>
          <w:szCs w:val="20"/>
        </w:rPr>
        <w:t xml:space="preserve"> billion and </w:t>
      </w:r>
      <w:r>
        <w:rPr>
          <w:sz w:val="20"/>
          <w:szCs w:val="20"/>
        </w:rPr>
        <w:t>$</w:t>
      </w:r>
      <w:r>
        <w:rPr>
          <w:sz w:val="20"/>
          <w:szCs w:val="20"/>
        </w:rPr>
        <w:t>737.</w:t>
      </w:r>
      <w:r>
        <w:rPr>
          <w:sz w:val="20"/>
          <w:szCs w:val="20"/>
        </w:rPr>
        <w:t>8</w:t>
      </w:r>
      <w:r>
        <w:rPr>
          <w:sz w:val="20"/>
          <w:szCs w:val="20"/>
        </w:rPr>
        <w:t xml:space="preserve"> million at December 31,</w:t>
      </w:r>
      <w:r>
        <w:rPr>
          <w:sz w:val="20"/>
          <w:szCs w:val="20"/>
        </w:rPr>
        <w:t xml:space="preserve"> </w:t>
      </w:r>
      <w:r>
        <w:rPr>
          <w:sz w:val="20"/>
          <w:szCs w:val="20"/>
        </w:rPr>
        <w:t>202</w:t>
      </w:r>
      <w:r>
        <w:rPr>
          <w:sz w:val="20"/>
          <w:szCs w:val="20"/>
        </w:rPr>
        <w:t>1</w:t>
      </w:r>
      <w:r>
        <w:rPr>
          <w:sz w:val="20"/>
          <w:szCs w:val="20"/>
        </w:rPr>
        <w:t xml:space="preserve"> and </w:t>
      </w:r>
      <w:r>
        <w:rPr>
          <w:sz w:val="20"/>
          <w:szCs w:val="20"/>
        </w:rPr>
        <w:t>$</w:t>
      </w:r>
      <w:r>
        <w:rPr>
          <w:sz w:val="20"/>
          <w:szCs w:val="20"/>
        </w:rPr>
        <w:t>760.</w:t>
      </w:r>
      <w:r>
        <w:rPr>
          <w:sz w:val="20"/>
          <w:szCs w:val="20"/>
        </w:rPr>
        <w:t>0</w:t>
      </w:r>
      <w:r>
        <w:rPr>
          <w:sz w:val="20"/>
          <w:szCs w:val="20"/>
        </w:rPr>
        <w:t xml:space="preserve"> million and </w:t>
      </w:r>
      <w:r>
        <w:rPr>
          <w:sz w:val="20"/>
          <w:szCs w:val="20"/>
        </w:rPr>
        <w:t>$</w:t>
      </w:r>
      <w:r>
        <w:rPr>
          <w:sz w:val="20"/>
          <w:szCs w:val="20"/>
        </w:rPr>
        <w:t>507.</w:t>
      </w:r>
      <w:r>
        <w:rPr>
          <w:sz w:val="20"/>
          <w:szCs w:val="20"/>
        </w:rPr>
        <w:t>7</w:t>
      </w:r>
      <w:r>
        <w:rPr>
          <w:sz w:val="20"/>
          <w:szCs w:val="20"/>
        </w:rPr>
        <w:t xml:space="preserve"> million at December 31,</w:t>
      </w:r>
      <w:r>
        <w:rPr>
          <w:sz w:val="20"/>
          <w:szCs w:val="20"/>
        </w:rPr>
        <w:t xml:space="preserve"> </w:t>
      </w:r>
      <w:r>
        <w:rPr>
          <w:sz w:val="20"/>
          <w:szCs w:val="20"/>
        </w:rPr>
        <w:t>202</w:t>
      </w:r>
      <w:r>
        <w:rPr>
          <w:sz w:val="20"/>
          <w:szCs w:val="20"/>
        </w:rPr>
        <w:t>0</w:t>
      </w:r>
      <w:r>
        <w:rPr>
          <w:sz w:val="20"/>
          <w:szCs w:val="20"/>
        </w:rPr>
        <w:t xml:space="preserve">. The Company also had </w:t>
      </w:r>
      <w:r>
        <w:rPr>
          <w:sz w:val="20"/>
          <w:szCs w:val="20"/>
        </w:rPr>
        <w:t xml:space="preserve">international net operating loss carryforwards of </w:t>
      </w:r>
      <w:r>
        <w:rPr>
          <w:sz w:val="20"/>
          <w:szCs w:val="20"/>
        </w:rPr>
        <w:t>$</w:t>
      </w:r>
      <w:r>
        <w:rPr>
          <w:sz w:val="20"/>
          <w:szCs w:val="20"/>
        </w:rPr>
        <w:t>8.</w:t>
      </w:r>
      <w:r>
        <w:rPr>
          <w:sz w:val="20"/>
          <w:szCs w:val="20"/>
        </w:rPr>
        <w:t>0</w:t>
      </w:r>
      <w:r>
        <w:rPr>
          <w:sz w:val="20"/>
          <w:szCs w:val="20"/>
        </w:rPr>
        <w:t xml:space="preserve"> million at December 31,</w:t>
      </w:r>
      <w:r>
        <w:rPr>
          <w:sz w:val="20"/>
          <w:szCs w:val="20"/>
        </w:rPr>
        <w:t xml:space="preserve"> </w:t>
      </w:r>
      <w:r>
        <w:rPr>
          <w:sz w:val="20"/>
          <w:szCs w:val="20"/>
        </w:rPr>
        <w:t>2021 and 202</w:t>
      </w:r>
      <w:r>
        <w:rPr>
          <w:sz w:val="20"/>
          <w:szCs w:val="20"/>
        </w:rPr>
        <w:t>0</w:t>
      </w:r>
      <w:r>
        <w:rPr>
          <w:sz w:val="20"/>
          <w:szCs w:val="20"/>
        </w:rPr>
        <w:t>. As a result of the Tax Cut and Jobs Act of 2017, enacted on 1/1/2018, all federal net operating losses, created after January 1, 2018, have an indefinite carryfor</w:t>
      </w:r>
      <w:r>
        <w:rPr>
          <w:sz w:val="20"/>
          <w:szCs w:val="20"/>
        </w:rPr>
        <w:t>ward period. All federal net operating losses, created before January 1, 2018, are subject to a</w:t>
      </w:r>
      <w:r>
        <w:rPr>
          <w:sz w:val="20"/>
          <w:szCs w:val="20"/>
        </w:rPr>
        <w:t xml:space="preserve"> </w:t>
      </w:r>
      <w:r>
        <w:rPr>
          <w:sz w:val="20"/>
          <w:szCs w:val="20"/>
        </w:rPr>
        <w:t>2</w:t>
      </w:r>
      <w:r>
        <w:rPr>
          <w:sz w:val="20"/>
          <w:szCs w:val="20"/>
        </w:rPr>
        <w:t>0</w:t>
      </w:r>
      <w:r>
        <w:rPr>
          <w:sz w:val="20"/>
          <w:szCs w:val="20"/>
        </w:rPr>
        <w:t xml:space="preserve"> year carryforward period and will begin to expire in</w:t>
      </w:r>
      <w:r>
        <w:rPr>
          <w:sz w:val="20"/>
          <w:szCs w:val="20"/>
        </w:rPr>
        <w:t xml:space="preserve"> </w:t>
      </w:r>
      <w:r>
        <w:rPr>
          <w:sz w:val="20"/>
          <w:szCs w:val="20"/>
        </w:rPr>
        <w:t>202</w:t>
      </w:r>
      <w:r>
        <w:rPr>
          <w:sz w:val="20"/>
          <w:szCs w:val="20"/>
        </w:rPr>
        <w:t>7</w:t>
      </w:r>
      <w:r>
        <w:rPr>
          <w:sz w:val="20"/>
          <w:szCs w:val="20"/>
        </w:rPr>
        <w:t>. State net operating losses will begin to expire in</w:t>
      </w:r>
      <w:r>
        <w:rPr>
          <w:sz w:val="20"/>
          <w:szCs w:val="20"/>
        </w:rPr>
        <w:t xml:space="preserve"> </w:t>
      </w:r>
      <w:r>
        <w:rPr>
          <w:sz w:val="20"/>
          <w:szCs w:val="20"/>
        </w:rPr>
        <w:t>202</w:t>
      </w:r>
      <w:r>
        <w:rPr>
          <w:sz w:val="20"/>
          <w:szCs w:val="20"/>
        </w:rPr>
        <w:t>3</w:t>
      </w:r>
      <w:r>
        <w:rPr>
          <w:sz w:val="20"/>
          <w:szCs w:val="20"/>
        </w:rPr>
        <w:t>. The Company has a federal interest expens</w:t>
      </w:r>
      <w:r>
        <w:rPr>
          <w:sz w:val="20"/>
          <w:szCs w:val="20"/>
        </w:rPr>
        <w:t xml:space="preserve">e carryforward of </w:t>
      </w:r>
      <w:r>
        <w:rPr>
          <w:sz w:val="20"/>
          <w:szCs w:val="20"/>
        </w:rPr>
        <w:t>$</w:t>
      </w:r>
      <w:r>
        <w:rPr>
          <w:sz w:val="20"/>
          <w:szCs w:val="20"/>
        </w:rPr>
        <w:t>39.</w:t>
      </w:r>
      <w:r>
        <w:rPr>
          <w:sz w:val="20"/>
          <w:szCs w:val="20"/>
        </w:rPr>
        <w:t>9</w:t>
      </w:r>
      <w:r>
        <w:rPr>
          <w:sz w:val="20"/>
          <w:szCs w:val="20"/>
        </w:rPr>
        <w:t xml:space="preserve"> million at December 31,</w:t>
      </w:r>
      <w:r>
        <w:rPr>
          <w:sz w:val="20"/>
          <w:szCs w:val="20"/>
        </w:rPr>
        <w:t xml:space="preserve"> </w:t>
      </w:r>
      <w:r>
        <w:rPr>
          <w:sz w:val="20"/>
          <w:szCs w:val="20"/>
        </w:rPr>
        <w:t>202</w:t>
      </w:r>
      <w:r>
        <w:rPr>
          <w:sz w:val="20"/>
          <w:szCs w:val="20"/>
        </w:rPr>
        <w:t>1</w:t>
      </w:r>
      <w:r>
        <w:rPr>
          <w:sz w:val="20"/>
          <w:szCs w:val="20"/>
        </w:rPr>
        <w:t xml:space="preserve">, and </w:t>
      </w:r>
      <w:r>
        <w:rPr>
          <w:sz w:val="20"/>
          <w:szCs w:val="20"/>
        </w:rPr>
        <w:t>$</w:t>
      </w:r>
      <w:r>
        <w:rPr>
          <w:sz w:val="20"/>
          <w:szCs w:val="20"/>
        </w:rPr>
        <w:t>35.</w:t>
      </w:r>
      <w:r>
        <w:rPr>
          <w:sz w:val="20"/>
          <w:szCs w:val="20"/>
        </w:rPr>
        <w:t>2</w:t>
      </w:r>
      <w:r>
        <w:rPr>
          <w:sz w:val="20"/>
          <w:szCs w:val="20"/>
        </w:rPr>
        <w:t xml:space="preserve"> million at December 31,</w:t>
      </w:r>
      <w:r>
        <w:rPr>
          <w:sz w:val="20"/>
          <w:szCs w:val="20"/>
        </w:rPr>
        <w:t xml:space="preserve"> </w:t>
      </w:r>
      <w:r>
        <w:rPr>
          <w:sz w:val="20"/>
          <w:szCs w:val="20"/>
        </w:rPr>
        <w:t>2020, which have an indefinite carryforward period</w:t>
      </w:r>
      <w:r>
        <w:rPr>
          <w:sz w:val="20"/>
          <w:szCs w:val="20"/>
        </w:rPr>
        <w:t>.</w:t>
      </w:r>
    </w:p>
    <w:p w:rsidR="00000000" w:rsidRDefault="00A309A2">
      <w:pPr>
        <w:pStyle w:val="a3"/>
        <w:spacing w:before="200" w:beforeAutospacing="0" w:after="0" w:afterAutospacing="0"/>
        <w:ind w:firstLine="555"/>
        <w:divId w:val="235283500"/>
        <w:rPr>
          <w:sz w:val="20"/>
          <w:szCs w:val="20"/>
        </w:rPr>
      </w:pPr>
      <w:r>
        <w:rPr>
          <w:sz w:val="20"/>
          <w:szCs w:val="20"/>
        </w:rPr>
        <w:t xml:space="preserve">The Company had federal research and development credit carryforwards of </w:t>
      </w:r>
      <w:r>
        <w:rPr>
          <w:sz w:val="20"/>
          <w:szCs w:val="20"/>
        </w:rPr>
        <w:t>$</w:t>
      </w:r>
      <w:r>
        <w:rPr>
          <w:sz w:val="20"/>
          <w:szCs w:val="20"/>
        </w:rPr>
        <w:t>44.</w:t>
      </w:r>
      <w:r>
        <w:rPr>
          <w:sz w:val="20"/>
          <w:szCs w:val="20"/>
        </w:rPr>
        <w:t>8</w:t>
      </w:r>
      <w:r>
        <w:rPr>
          <w:sz w:val="20"/>
          <w:szCs w:val="20"/>
        </w:rPr>
        <w:t xml:space="preserve"> million, net of UTP, at December 31,</w:t>
      </w:r>
      <w:r>
        <w:rPr>
          <w:sz w:val="20"/>
          <w:szCs w:val="20"/>
        </w:rPr>
        <w:t xml:space="preserve"> </w:t>
      </w:r>
      <w:r>
        <w:rPr>
          <w:sz w:val="20"/>
          <w:szCs w:val="20"/>
        </w:rPr>
        <w:t>202</w:t>
      </w:r>
      <w:r>
        <w:rPr>
          <w:sz w:val="20"/>
          <w:szCs w:val="20"/>
        </w:rPr>
        <w:t>1</w:t>
      </w:r>
      <w:r>
        <w:rPr>
          <w:sz w:val="20"/>
          <w:szCs w:val="20"/>
        </w:rPr>
        <w:t xml:space="preserve"> that begin to expire in</w:t>
      </w:r>
      <w:r>
        <w:rPr>
          <w:sz w:val="20"/>
          <w:szCs w:val="20"/>
        </w:rPr>
        <w:t xml:space="preserve"> </w:t>
      </w:r>
      <w:r>
        <w:rPr>
          <w:sz w:val="20"/>
          <w:szCs w:val="20"/>
        </w:rPr>
        <w:t>202</w:t>
      </w:r>
      <w:r>
        <w:rPr>
          <w:sz w:val="20"/>
          <w:szCs w:val="20"/>
        </w:rPr>
        <w:t>7</w:t>
      </w:r>
      <w:r>
        <w:rPr>
          <w:sz w:val="20"/>
          <w:szCs w:val="20"/>
        </w:rPr>
        <w:t xml:space="preserve">. The Company also has state research and investment tax credit carryforwards of </w:t>
      </w:r>
      <w:r>
        <w:rPr>
          <w:sz w:val="20"/>
          <w:szCs w:val="20"/>
        </w:rPr>
        <w:t>$</w:t>
      </w:r>
      <w:r>
        <w:rPr>
          <w:sz w:val="20"/>
          <w:szCs w:val="20"/>
        </w:rPr>
        <w:t>17.</w:t>
      </w:r>
      <w:r>
        <w:rPr>
          <w:sz w:val="20"/>
          <w:szCs w:val="20"/>
        </w:rPr>
        <w:t>9</w:t>
      </w:r>
      <w:r>
        <w:rPr>
          <w:sz w:val="20"/>
          <w:szCs w:val="20"/>
        </w:rPr>
        <w:t xml:space="preserve"> million, net of UTP, that begin to expire in</w:t>
      </w:r>
      <w:r>
        <w:rPr>
          <w:sz w:val="20"/>
          <w:szCs w:val="20"/>
        </w:rPr>
        <w:t xml:space="preserve"> </w:t>
      </w:r>
      <w:r>
        <w:rPr>
          <w:sz w:val="20"/>
          <w:szCs w:val="20"/>
        </w:rPr>
        <w:t>202</w:t>
      </w:r>
      <w:r>
        <w:rPr>
          <w:sz w:val="20"/>
          <w:szCs w:val="20"/>
        </w:rPr>
        <w:t>2</w:t>
      </w:r>
      <w:r>
        <w:rPr>
          <w:sz w:val="20"/>
          <w:szCs w:val="20"/>
        </w:rPr>
        <w:t>.</w:t>
      </w:r>
    </w:p>
    <w:p w:rsidR="00000000" w:rsidRDefault="00A309A2">
      <w:pPr>
        <w:pStyle w:val="a3"/>
        <w:spacing w:before="200" w:beforeAutospacing="0" w:after="0" w:afterAutospacing="0"/>
        <w:ind w:firstLine="555"/>
        <w:divId w:val="235283500"/>
        <w:rPr>
          <w:sz w:val="20"/>
          <w:szCs w:val="20"/>
        </w:rPr>
      </w:pPr>
      <w:r>
        <w:rPr>
          <w:sz w:val="20"/>
          <w:szCs w:val="20"/>
        </w:rPr>
        <w:t>Under Section 382 of the Internal Revenue Code of 1986, as amended, substantial chang</w:t>
      </w:r>
      <w:r>
        <w:rPr>
          <w:sz w:val="20"/>
          <w:szCs w:val="20"/>
        </w:rPr>
        <w:t>es in the Company's ownership may limit the amount of net operating loss carryforwards that could be utilized annually in the future to offset taxable income. Specifically, this limitation may arise in the event of a cumulative change in ownership of the C</w:t>
      </w:r>
      <w:r>
        <w:rPr>
          <w:sz w:val="20"/>
          <w:szCs w:val="20"/>
        </w:rPr>
        <w:t>ompany of more than 50% within a three-year period. Any such annual limitation may significantly reduce the utilization of net operating loss carryforwards before they expire</w:t>
      </w:r>
      <w:r>
        <w:rPr>
          <w:sz w:val="20"/>
          <w:szCs w:val="20"/>
        </w:rPr>
        <w:t>.</w:t>
      </w:r>
      <w:r>
        <w:rPr>
          <w:sz w:val="20"/>
          <w:szCs w:val="20"/>
        </w:rPr>
        <w:t xml:space="preserve"> </w:t>
      </w:r>
    </w:p>
    <w:p w:rsidR="00000000" w:rsidRDefault="00A309A2">
      <w:pPr>
        <w:pStyle w:val="a3"/>
        <w:spacing w:before="240" w:beforeAutospacing="0" w:after="0" w:afterAutospacing="0"/>
        <w:jc w:val="center"/>
        <w:divId w:val="235283500"/>
        <w:rPr>
          <w:sz w:val="20"/>
          <w:szCs w:val="20"/>
        </w:rPr>
      </w:pPr>
      <w:r>
        <w:rPr>
          <w:sz w:val="20"/>
          <w:szCs w:val="20"/>
        </w:rPr>
        <w:t>9</w:t>
      </w:r>
      <w:r>
        <w:rPr>
          <w:sz w:val="20"/>
          <w:szCs w:val="20"/>
        </w:rPr>
        <w:t>2</w:t>
      </w:r>
    </w:p>
    <w:p w:rsidR="00000000" w:rsidRDefault="00A309A2">
      <w:pPr>
        <w:divId w:val="235283500"/>
        <w:rPr>
          <w:rFonts w:eastAsia="Times New Roman"/>
        </w:rPr>
      </w:pPr>
      <w:r>
        <w:rPr>
          <w:rFonts w:eastAsia="Times New Roman"/>
        </w:rPr>
        <w:pict>
          <v:rect id="_x0000_i1119" style="width:0;height:1.5pt" o:hralign="center" o:hrstd="t" o:hr="t" fillcolor="#a0a0a0" stroked="f"/>
        </w:pict>
      </w:r>
    </w:p>
    <w:p w:rsidR="00000000" w:rsidRDefault="00A309A2">
      <w:pPr>
        <w:pStyle w:val="a3"/>
        <w:spacing w:before="0" w:beforeAutospacing="0" w:after="0" w:afterAutospacing="0"/>
        <w:divId w:val="235283500"/>
        <w:rPr>
          <w:sz w:val="20"/>
          <w:szCs w:val="20"/>
        </w:rPr>
      </w:pPr>
      <w:r>
        <w:rPr>
          <w:sz w:val="20"/>
          <w:szCs w:val="20"/>
        </w:rPr>
        <w:t> </w:t>
      </w:r>
    </w:p>
    <w:p w:rsidR="00000000" w:rsidRDefault="00A309A2">
      <w:pPr>
        <w:pStyle w:val="a3"/>
        <w:spacing w:before="200" w:beforeAutospacing="0" w:after="0" w:afterAutospacing="0"/>
        <w:ind w:firstLine="555"/>
        <w:divId w:val="235283500"/>
        <w:rPr>
          <w:sz w:val="20"/>
          <w:szCs w:val="20"/>
        </w:rPr>
      </w:pPr>
      <w:r>
        <w:rPr>
          <w:b/>
          <w:bCs/>
          <w:sz w:val="20"/>
          <w:szCs w:val="20"/>
        </w:rPr>
        <w:t>Uncertain Tax Position</w:t>
      </w:r>
      <w:r>
        <w:rPr>
          <w:b/>
          <w:bCs/>
          <w:sz w:val="20"/>
          <w:szCs w:val="20"/>
        </w:rPr>
        <w:t>s</w:t>
      </w:r>
      <w:r>
        <w:rPr>
          <w:sz w:val="20"/>
          <w:szCs w:val="20"/>
        </w:rPr>
        <w:t xml:space="preserve"> —The Company a</w:t>
      </w:r>
      <w:r>
        <w:rPr>
          <w:sz w:val="20"/>
          <w:szCs w:val="20"/>
        </w:rPr>
        <w:t>ccounts for uncertainty in income taxes using a two-step process. The Company first determines whether it is more likely than not that a tax position will be sustained upon examination by a tax authority, including resolutions of any related appeals or lit</w:t>
      </w:r>
      <w:r>
        <w:rPr>
          <w:sz w:val="20"/>
          <w:szCs w:val="20"/>
        </w:rPr>
        <w:t>igation processes, based on technical merit. If a tax position meets the more-likely-than-not recognition threshold it is then measured to determine the amount of benefit to recognize in the financial statements. The tax position is measured as the largest</w:t>
      </w:r>
      <w:r>
        <w:rPr>
          <w:sz w:val="20"/>
          <w:szCs w:val="20"/>
        </w:rPr>
        <w:t xml:space="preserve"> amount of benefit that is greater than</w:t>
      </w:r>
      <w:r>
        <w:rPr>
          <w:sz w:val="20"/>
          <w:szCs w:val="20"/>
        </w:rPr>
        <w:t xml:space="preserve"> </w:t>
      </w:r>
      <w:r>
        <w:rPr>
          <w:sz w:val="20"/>
          <w:szCs w:val="20"/>
        </w:rPr>
        <w:t>5</w:t>
      </w:r>
      <w:r>
        <w:rPr>
          <w:sz w:val="20"/>
          <w:szCs w:val="20"/>
        </w:rPr>
        <w:t>0</w:t>
      </w:r>
      <w:r>
        <w:rPr>
          <w:sz w:val="20"/>
          <w:szCs w:val="20"/>
        </w:rPr>
        <w:t>% likely of being realized upon ultimate settlement.</w:t>
      </w:r>
      <w:r>
        <w:rPr>
          <w:sz w:val="20"/>
          <w:szCs w:val="20"/>
        </w:rPr>
        <w:br/>
      </w:r>
      <w:r>
        <w:rPr>
          <w:sz w:val="20"/>
          <w:szCs w:val="20"/>
        </w:rPr>
        <w:t> </w:t>
      </w:r>
    </w:p>
    <w:p w:rsidR="00000000" w:rsidRDefault="00A309A2">
      <w:pPr>
        <w:pStyle w:val="a3"/>
        <w:spacing w:before="240" w:beforeAutospacing="0" w:after="0" w:afterAutospacing="0"/>
        <w:ind w:firstLine="555"/>
        <w:divId w:val="144859927"/>
        <w:rPr>
          <w:sz w:val="20"/>
          <w:szCs w:val="20"/>
        </w:rPr>
      </w:pPr>
      <w:r>
        <w:rPr>
          <w:sz w:val="20"/>
          <w:szCs w:val="20"/>
        </w:rPr>
        <w:t>The following summarizes activity related to unrecognized tax benefits</w:t>
      </w:r>
      <w:r>
        <w:rPr>
          <w:sz w:val="20"/>
          <w:szCs w:val="20"/>
        </w:rPr>
        <w:t>:</w:t>
      </w:r>
    </w:p>
    <w:p w:rsidR="00000000" w:rsidRDefault="00A309A2">
      <w:pPr>
        <w:pStyle w:val="a3"/>
        <w:spacing w:before="0" w:beforeAutospacing="0" w:after="0" w:afterAutospacing="0"/>
        <w:divId w:val="144859927"/>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78"/>
        <w:gridCol w:w="110"/>
        <w:gridCol w:w="160"/>
        <w:gridCol w:w="679"/>
        <w:gridCol w:w="110"/>
        <w:gridCol w:w="110"/>
        <w:gridCol w:w="160"/>
        <w:gridCol w:w="657"/>
        <w:gridCol w:w="110"/>
        <w:gridCol w:w="110"/>
        <w:gridCol w:w="160"/>
        <w:gridCol w:w="659"/>
        <w:gridCol w:w="142"/>
      </w:tblGrid>
      <w:tr w:rsidR="00000000">
        <w:trPr>
          <w:divId w:val="144859927"/>
          <w:tblCellSpacing w:w="15" w:type="dxa"/>
        </w:trPr>
        <w:tc>
          <w:tcPr>
            <w:tcW w:w="2796" w:type="pct"/>
            <w:vAlign w:val="center"/>
            <w:hideMark/>
          </w:tcPr>
          <w:p w:rsidR="00000000" w:rsidRDefault="00A309A2">
            <w:pPr>
              <w:rPr>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62" w:type="pct"/>
            <w:vAlign w:val="center"/>
            <w:hideMark/>
          </w:tcPr>
          <w:p w:rsidR="00000000" w:rsidRDefault="00A309A2">
            <w:pPr>
              <w:rPr>
                <w:rFonts w:eastAsia="Times New Roman"/>
                <w:sz w:val="20"/>
                <w:szCs w:val="20"/>
              </w:rPr>
            </w:pPr>
          </w:p>
        </w:tc>
        <w:tc>
          <w:tcPr>
            <w:tcW w:w="41" w:type="pct"/>
            <w:vAlign w:val="center"/>
            <w:hideMark/>
          </w:tcPr>
          <w:p w:rsidR="00000000" w:rsidRDefault="00A309A2">
            <w:pPr>
              <w:rPr>
                <w:rFonts w:eastAsia="Times New Roman"/>
                <w:sz w:val="20"/>
                <w:szCs w:val="20"/>
              </w:rPr>
            </w:pPr>
          </w:p>
        </w:tc>
        <w:tc>
          <w:tcPr>
            <w:tcW w:w="53"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44" w:type="pct"/>
            <w:vAlign w:val="center"/>
            <w:hideMark/>
          </w:tcPr>
          <w:p w:rsidR="00000000" w:rsidRDefault="00A309A2">
            <w:pPr>
              <w:rPr>
                <w:rFonts w:eastAsia="Times New Roman"/>
                <w:sz w:val="20"/>
                <w:szCs w:val="20"/>
              </w:rPr>
            </w:pPr>
          </w:p>
        </w:tc>
        <w:tc>
          <w:tcPr>
            <w:tcW w:w="44" w:type="pct"/>
            <w:vAlign w:val="center"/>
            <w:hideMark/>
          </w:tcPr>
          <w:p w:rsidR="00000000" w:rsidRDefault="00A309A2">
            <w:pPr>
              <w:rPr>
                <w:rFonts w:eastAsia="Times New Roman"/>
                <w:sz w:val="20"/>
                <w:szCs w:val="20"/>
              </w:rPr>
            </w:pPr>
          </w:p>
        </w:tc>
        <w:tc>
          <w:tcPr>
            <w:tcW w:w="52" w:type="pct"/>
            <w:vAlign w:val="center"/>
            <w:hideMark/>
          </w:tcPr>
          <w:p w:rsidR="00000000" w:rsidRDefault="00A309A2">
            <w:pPr>
              <w:rPr>
                <w:rFonts w:eastAsia="Times New Roman"/>
                <w:sz w:val="20"/>
                <w:szCs w:val="20"/>
              </w:rPr>
            </w:pPr>
          </w:p>
        </w:tc>
        <w:tc>
          <w:tcPr>
            <w:tcW w:w="82" w:type="pct"/>
            <w:vAlign w:val="center"/>
            <w:hideMark/>
          </w:tcPr>
          <w:p w:rsidR="00000000" w:rsidRDefault="00A309A2">
            <w:pPr>
              <w:rPr>
                <w:rFonts w:eastAsia="Times New Roman"/>
                <w:sz w:val="20"/>
                <w:szCs w:val="20"/>
              </w:rPr>
            </w:pPr>
          </w:p>
        </w:tc>
        <w:tc>
          <w:tcPr>
            <w:tcW w:w="546" w:type="pct"/>
            <w:vAlign w:val="center"/>
            <w:hideMark/>
          </w:tcPr>
          <w:p w:rsidR="00000000" w:rsidRDefault="00A309A2">
            <w:pPr>
              <w:rPr>
                <w:rFonts w:eastAsia="Times New Roman"/>
                <w:sz w:val="20"/>
                <w:szCs w:val="20"/>
              </w:rPr>
            </w:pPr>
          </w:p>
        </w:tc>
        <w:tc>
          <w:tcPr>
            <w:tcW w:w="55" w:type="pct"/>
            <w:vAlign w:val="center"/>
            <w:hideMark/>
          </w:tcPr>
          <w:p w:rsidR="00000000" w:rsidRDefault="00A309A2">
            <w:pPr>
              <w:rPr>
                <w:rFonts w:eastAsia="Times New Roman"/>
                <w:sz w:val="20"/>
                <w:szCs w:val="20"/>
              </w:rPr>
            </w:pPr>
          </w:p>
        </w:tc>
      </w:tr>
      <w:tr w:rsidR="00000000">
        <w:trPr>
          <w:divId w:val="144859927"/>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44859927"/>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309A2">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44859927"/>
          <w:trHeight w:val="160"/>
          <w:tblCellSpacing w:w="15" w:type="dxa"/>
        </w:trPr>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309A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r>
      <w:tr w:rsidR="00000000">
        <w:trPr>
          <w:divId w:val="14485992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Unrecognized benefit—beginning of the yea</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8,44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5,44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3,92</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4485992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increases—current period position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4,37</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3,00</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2,38</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r w:rsidR="00000000">
        <w:trPr>
          <w:divId w:val="14485992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Gross decrease—</w:t>
            </w:r>
            <w:r>
              <w:rPr>
                <w:sz w:val="20"/>
                <w:szCs w:val="20"/>
              </w:rPr>
              <w:t>prior period position</w:t>
            </w:r>
            <w:r>
              <w:rPr>
                <w:sz w:val="20"/>
                <w:szCs w:val="20"/>
              </w:rPr>
              <w:t>s</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w:t>
            </w:r>
            <w:r>
              <w:rPr>
                <w:sz w:val="20"/>
                <w:szCs w:val="20"/>
              </w:rPr>
              <w:t>86</w:t>
            </w:r>
            <w:r>
              <w:rPr>
                <w:sz w:val="20"/>
                <w:szCs w:val="20"/>
              </w:rPr>
              <w:t>7</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r>
      <w:tr w:rsidR="00000000">
        <w:trPr>
          <w:divId w:val="144859927"/>
          <w:trHeight w:val="200"/>
          <w:tblCellSpacing w:w="15" w:type="dxa"/>
        </w:trPr>
        <w:tc>
          <w:tcPr>
            <w:tcW w:w="0" w:type="auto"/>
            <w:vAlign w:val="bottom"/>
            <w:hideMark/>
          </w:tcPr>
          <w:p w:rsidR="00000000" w:rsidRDefault="00A309A2">
            <w:pPr>
              <w:pStyle w:val="a3"/>
              <w:spacing w:before="0" w:beforeAutospacing="0" w:after="0" w:afterAutospacing="0"/>
              <w:rPr>
                <w:sz w:val="20"/>
                <w:szCs w:val="20"/>
              </w:rPr>
            </w:pPr>
            <w:r>
              <w:rPr>
                <w:sz w:val="20"/>
                <w:szCs w:val="20"/>
              </w:rPr>
              <w:t>Unrecognized benefit—end of perio</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12,82</w:t>
            </w:r>
            <w:r>
              <w:rPr>
                <w:sz w:val="20"/>
                <w:szCs w:val="20"/>
              </w:rPr>
              <w:t>3</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8,44</w:t>
            </w:r>
            <w:r>
              <w:rPr>
                <w:sz w:val="20"/>
                <w:szCs w:val="20"/>
              </w:rPr>
              <w:t>8</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w:t>
            </w:r>
          </w:p>
        </w:tc>
        <w:tc>
          <w:tcPr>
            <w:tcW w:w="0" w:type="auto"/>
            <w:vAlign w:val="bottom"/>
            <w:hideMark/>
          </w:tcPr>
          <w:p w:rsidR="00000000" w:rsidRDefault="00A309A2">
            <w:pPr>
              <w:pStyle w:val="a3"/>
              <w:spacing w:before="0" w:beforeAutospacing="0" w:after="0" w:afterAutospacing="0"/>
              <w:jc w:val="right"/>
              <w:rPr>
                <w:sz w:val="20"/>
                <w:szCs w:val="20"/>
              </w:rPr>
            </w:pPr>
            <w:r>
              <w:rPr>
                <w:sz w:val="20"/>
                <w:szCs w:val="20"/>
              </w:rPr>
              <w:t>5,44</w:t>
            </w:r>
            <w:r>
              <w:rPr>
                <w:sz w:val="20"/>
                <w:szCs w:val="20"/>
              </w:rPr>
              <w:t>5</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divId w:val="235283500"/>
        <w:rPr>
          <w:sz w:val="20"/>
          <w:szCs w:val="20"/>
        </w:rPr>
      </w:pPr>
      <w:r>
        <w:rPr>
          <w:sz w:val="20"/>
          <w:szCs w:val="20"/>
        </w:rPr>
        <w:t> </w:t>
      </w:r>
    </w:p>
    <w:p w:rsidR="00000000" w:rsidRDefault="00A309A2">
      <w:pPr>
        <w:pStyle w:val="a3"/>
        <w:spacing w:before="40" w:beforeAutospacing="0" w:after="0" w:afterAutospacing="0"/>
        <w:ind w:firstLine="555"/>
        <w:divId w:val="235283500"/>
        <w:rPr>
          <w:sz w:val="20"/>
          <w:szCs w:val="20"/>
        </w:rPr>
      </w:pPr>
      <w:r>
        <w:rPr>
          <w:sz w:val="20"/>
          <w:szCs w:val="20"/>
        </w:rPr>
        <w:t>All of the gross unrecognized tax benefits represent a reduction to the research and development tax credit carryforward. The gross decrease to prior period positions is a result of the Company completing its documentation of credits generated between 2015</w:t>
      </w:r>
      <w:r>
        <w:rPr>
          <w:sz w:val="20"/>
          <w:szCs w:val="20"/>
        </w:rPr>
        <w:t xml:space="preserve"> and 2018</w:t>
      </w:r>
      <w:r>
        <w:rPr>
          <w:sz w:val="20"/>
          <w:szCs w:val="20"/>
        </w:rPr>
        <w:t>.</w:t>
      </w:r>
      <w:r>
        <w:rPr>
          <w:sz w:val="20"/>
          <w:szCs w:val="20"/>
        </w:rPr>
        <w:t xml:space="preserve"> </w:t>
      </w:r>
    </w:p>
    <w:p w:rsidR="00000000" w:rsidRDefault="00A309A2">
      <w:pPr>
        <w:pStyle w:val="a3"/>
        <w:spacing w:before="240" w:beforeAutospacing="0" w:after="0" w:afterAutospacing="0"/>
        <w:ind w:firstLine="555"/>
        <w:divId w:val="235283500"/>
        <w:rPr>
          <w:sz w:val="20"/>
          <w:szCs w:val="20"/>
        </w:rPr>
      </w:pPr>
      <w:r>
        <w:rPr>
          <w:sz w:val="20"/>
          <w:szCs w:val="20"/>
        </w:rPr>
        <w:t>All of the unrecognized tax benefits decrease deferred tax assets with a corresponding decrease to the valuation allowance.</w:t>
      </w:r>
      <w:r>
        <w:rPr>
          <w:sz w:val="20"/>
          <w:szCs w:val="20"/>
        </w:rPr>
        <w:t xml:space="preserve"> </w:t>
      </w:r>
      <w:r>
        <w:rPr>
          <w:sz w:val="20"/>
          <w:szCs w:val="20"/>
        </w:rPr>
        <w:t>Non</w:t>
      </w:r>
      <w:r>
        <w:rPr>
          <w:sz w:val="20"/>
          <w:szCs w:val="20"/>
        </w:rPr>
        <w:t>e</w:t>
      </w:r>
      <w:r>
        <w:rPr>
          <w:sz w:val="20"/>
          <w:szCs w:val="20"/>
        </w:rPr>
        <w:t xml:space="preserve"> of the unrecognized tax benefits would affect the Company’s effective tax rate if recognized in the future</w:t>
      </w:r>
      <w:r>
        <w:rPr>
          <w:sz w:val="20"/>
          <w:szCs w:val="20"/>
        </w:rPr>
        <w:t>.</w:t>
      </w:r>
      <w:r>
        <w:rPr>
          <w:sz w:val="20"/>
          <w:szCs w:val="20"/>
        </w:rPr>
        <w:t xml:space="preserve"> </w:t>
      </w:r>
    </w:p>
    <w:p w:rsidR="00000000" w:rsidRDefault="00A309A2">
      <w:pPr>
        <w:pStyle w:val="a3"/>
        <w:spacing w:before="240" w:beforeAutospacing="0" w:after="0" w:afterAutospacing="0"/>
        <w:ind w:firstLine="555"/>
        <w:divId w:val="235283500"/>
        <w:rPr>
          <w:sz w:val="20"/>
          <w:szCs w:val="20"/>
        </w:rPr>
      </w:pPr>
      <w:r>
        <w:rPr>
          <w:sz w:val="20"/>
          <w:szCs w:val="20"/>
        </w:rPr>
        <w:t>The Co</w:t>
      </w:r>
      <w:r>
        <w:rPr>
          <w:sz w:val="20"/>
          <w:szCs w:val="20"/>
        </w:rPr>
        <w:t>mpany has elected to recognize interest and penalties related to uncertain tax positions as a component of income tax expense.</w:t>
      </w:r>
      <w:r>
        <w:rPr>
          <w:sz w:val="20"/>
          <w:szCs w:val="20"/>
        </w:rPr>
        <w:t xml:space="preserve"> </w:t>
      </w:r>
      <w:r>
        <w:rPr>
          <w:sz w:val="20"/>
          <w:szCs w:val="20"/>
        </w:rPr>
        <w:t>N</w:t>
      </w:r>
      <w:r>
        <w:rPr>
          <w:sz w:val="20"/>
          <w:szCs w:val="20"/>
        </w:rPr>
        <w:t>o</w:t>
      </w:r>
      <w:r>
        <w:rPr>
          <w:sz w:val="20"/>
          <w:szCs w:val="20"/>
        </w:rPr>
        <w:t xml:space="preserve"> interest or penalties have been recorded through December 31,</w:t>
      </w:r>
      <w:r>
        <w:rPr>
          <w:sz w:val="20"/>
          <w:szCs w:val="20"/>
        </w:rPr>
        <w:t xml:space="preserve"> </w:t>
      </w:r>
      <w:r>
        <w:rPr>
          <w:sz w:val="20"/>
          <w:szCs w:val="20"/>
        </w:rPr>
        <w:t>2021 as the Company had no tax due because of significant NOL ca</w:t>
      </w:r>
      <w:r>
        <w:rPr>
          <w:sz w:val="20"/>
          <w:szCs w:val="20"/>
        </w:rPr>
        <w:t>rryforwards</w:t>
      </w:r>
      <w:r>
        <w:rPr>
          <w:sz w:val="20"/>
          <w:szCs w:val="20"/>
        </w:rPr>
        <w:t>.</w:t>
      </w:r>
    </w:p>
    <w:p w:rsidR="00000000" w:rsidRDefault="00A309A2">
      <w:pPr>
        <w:pStyle w:val="a3"/>
        <w:spacing w:before="240" w:beforeAutospacing="0" w:after="0" w:afterAutospacing="0"/>
        <w:ind w:firstLine="555"/>
        <w:divId w:val="235283500"/>
        <w:rPr>
          <w:sz w:val="20"/>
          <w:szCs w:val="20"/>
        </w:rPr>
      </w:pPr>
      <w:r>
        <w:rPr>
          <w:sz w:val="20"/>
          <w:szCs w:val="20"/>
        </w:rPr>
        <w:t>The Company does not expect any significant change in its unrecognized tax benefits within the next 12 months</w:t>
      </w:r>
      <w:r>
        <w:rPr>
          <w:sz w:val="20"/>
          <w:szCs w:val="20"/>
        </w:rPr>
        <w:t>.</w:t>
      </w:r>
    </w:p>
    <w:p w:rsidR="00000000" w:rsidRDefault="00A309A2">
      <w:pPr>
        <w:pStyle w:val="a3"/>
        <w:spacing w:before="240" w:beforeAutospacing="0" w:after="0" w:afterAutospacing="0"/>
        <w:ind w:firstLine="555"/>
        <w:divId w:val="235283500"/>
        <w:rPr>
          <w:sz w:val="20"/>
          <w:szCs w:val="20"/>
        </w:rPr>
      </w:pPr>
      <w:r>
        <w:rPr>
          <w:sz w:val="20"/>
          <w:szCs w:val="20"/>
        </w:rPr>
        <w:t>The Company files tax returns in the United States and various jurisdictions throughout the world where the Company has operations o</w:t>
      </w:r>
      <w:r>
        <w:rPr>
          <w:sz w:val="20"/>
          <w:szCs w:val="20"/>
        </w:rPr>
        <w:t>r established a taxable presence. All of the Company’s tax years remain open to examination in the United States, as carryforward attributes generated in past years may still be adjusted upon examination by the Internal Revenue Service or state tax authori</w:t>
      </w:r>
      <w:r>
        <w:rPr>
          <w:sz w:val="20"/>
          <w:szCs w:val="20"/>
        </w:rPr>
        <w:t>ties if they have or will be used in future periods. The Company is no longer subject to examination for years prior to 2017 in Ireland and continues to be routinely examined by various taxing authorities</w:t>
      </w:r>
      <w:r>
        <w:rPr>
          <w:sz w:val="20"/>
          <w:szCs w:val="20"/>
        </w:rPr>
        <w:t>.</w:t>
      </w:r>
      <w:r>
        <w:rPr>
          <w:sz w:val="20"/>
          <w:szCs w:val="20"/>
        </w:rPr>
        <w:t xml:space="preserve"> </w:t>
      </w:r>
    </w:p>
    <w:p w:rsidR="00000000" w:rsidRDefault="00A309A2">
      <w:pPr>
        <w:pStyle w:val="a3"/>
        <w:spacing w:before="0" w:beforeAutospacing="0" w:after="0" w:afterAutospacing="0"/>
        <w:divId w:val="235283500"/>
        <w:rPr>
          <w:sz w:val="20"/>
          <w:szCs w:val="20"/>
        </w:rPr>
      </w:pPr>
      <w:r>
        <w:rPr>
          <w:sz w:val="20"/>
          <w:szCs w:val="20"/>
        </w:rPr>
        <w:t> </w:t>
      </w:r>
    </w:p>
    <w:p w:rsidR="00000000" w:rsidRDefault="00A309A2">
      <w:pPr>
        <w:pStyle w:val="a3"/>
        <w:spacing w:before="0" w:beforeAutospacing="0" w:after="0" w:afterAutospacing="0"/>
        <w:divId w:val="1275481791"/>
        <w:rPr>
          <w:sz w:val="20"/>
          <w:szCs w:val="20"/>
        </w:rPr>
      </w:pPr>
      <w:r>
        <w:rPr>
          <w:b/>
          <w:bCs/>
          <w:sz w:val="20"/>
          <w:szCs w:val="20"/>
        </w:rPr>
        <w:t>16. Employee Benefit Pla</w:t>
      </w:r>
      <w:r>
        <w:rPr>
          <w:b/>
          <w:bCs/>
          <w:sz w:val="20"/>
          <w:szCs w:val="20"/>
        </w:rPr>
        <w:t>n</w:t>
      </w:r>
    </w:p>
    <w:p w:rsidR="00000000" w:rsidRDefault="00A309A2">
      <w:pPr>
        <w:pStyle w:val="a3"/>
        <w:spacing w:before="120" w:beforeAutospacing="0" w:after="0" w:afterAutospacing="0"/>
        <w:ind w:firstLine="555"/>
        <w:divId w:val="1275481791"/>
        <w:rPr>
          <w:sz w:val="20"/>
          <w:szCs w:val="20"/>
        </w:rPr>
      </w:pPr>
      <w:r>
        <w:rPr>
          <w:sz w:val="20"/>
          <w:szCs w:val="20"/>
        </w:rPr>
        <w:t>The Company maintains</w:t>
      </w:r>
      <w:r>
        <w:rPr>
          <w:sz w:val="20"/>
          <w:szCs w:val="20"/>
        </w:rPr>
        <w:t xml:space="preserve"> a defined contribution savings plan under Section 401(k) of the Internal Revenue Code. This plan covers certain employees who meet minimum age and service requirements and allows participants to defer a portion of their annual compensation on a pretax bas</w:t>
      </w:r>
      <w:r>
        <w:rPr>
          <w:sz w:val="20"/>
          <w:szCs w:val="20"/>
        </w:rPr>
        <w:t>is, subject to legal limitations. Total employer contributions were</w:t>
      </w:r>
      <w:r>
        <w:rPr>
          <w:sz w:val="20"/>
          <w:szCs w:val="20"/>
        </w:rPr>
        <w:t xml:space="preserve"> </w:t>
      </w:r>
      <w:r>
        <w:rPr>
          <w:sz w:val="20"/>
          <w:szCs w:val="20"/>
        </w:rPr>
        <w:t>$</w:t>
      </w:r>
      <w:r>
        <w:rPr>
          <w:sz w:val="20"/>
          <w:szCs w:val="20"/>
        </w:rPr>
        <w:t>8.</w:t>
      </w:r>
      <w:r>
        <w:rPr>
          <w:sz w:val="20"/>
          <w:szCs w:val="20"/>
        </w:rPr>
        <w:t>2</w:t>
      </w:r>
      <w:r>
        <w:rPr>
          <w:sz w:val="20"/>
          <w:szCs w:val="20"/>
        </w:rPr>
        <w:t xml:space="preserve"> million in 2021,</w:t>
      </w:r>
      <w:r>
        <w:rPr>
          <w:sz w:val="20"/>
          <w:szCs w:val="20"/>
        </w:rPr>
        <w:t xml:space="preserve"> </w:t>
      </w:r>
      <w:r>
        <w:rPr>
          <w:sz w:val="20"/>
          <w:szCs w:val="20"/>
        </w:rPr>
        <w:t>$</w:t>
      </w:r>
      <w:r>
        <w:rPr>
          <w:sz w:val="20"/>
          <w:szCs w:val="20"/>
        </w:rPr>
        <w:t>5.</w:t>
      </w:r>
      <w:r>
        <w:rPr>
          <w:sz w:val="20"/>
          <w:szCs w:val="20"/>
        </w:rPr>
        <w:t>9</w:t>
      </w:r>
      <w:r>
        <w:rPr>
          <w:sz w:val="20"/>
          <w:szCs w:val="20"/>
        </w:rPr>
        <w:t xml:space="preserve"> million in 2020, and</w:t>
      </w:r>
      <w:r>
        <w:rPr>
          <w:sz w:val="20"/>
          <w:szCs w:val="20"/>
        </w:rPr>
        <w:t xml:space="preserve"> </w:t>
      </w:r>
      <w:r>
        <w:rPr>
          <w:sz w:val="20"/>
          <w:szCs w:val="20"/>
        </w:rPr>
        <w:t>$</w:t>
      </w:r>
      <w:r>
        <w:rPr>
          <w:sz w:val="20"/>
          <w:szCs w:val="20"/>
        </w:rPr>
        <w:t>4.</w:t>
      </w:r>
      <w:r>
        <w:rPr>
          <w:sz w:val="20"/>
          <w:szCs w:val="20"/>
        </w:rPr>
        <w:t>8</w:t>
      </w:r>
      <w:r>
        <w:rPr>
          <w:sz w:val="20"/>
          <w:szCs w:val="20"/>
        </w:rPr>
        <w:t xml:space="preserve"> million in 201</w:t>
      </w:r>
      <w:r>
        <w:rPr>
          <w:sz w:val="20"/>
          <w:szCs w:val="20"/>
        </w:rPr>
        <w:t>9</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9</w:t>
      </w:r>
      <w:r>
        <w:rPr>
          <w:sz w:val="20"/>
          <w:szCs w:val="20"/>
        </w:rPr>
        <w:t>3</w:t>
      </w:r>
    </w:p>
    <w:p w:rsidR="00000000" w:rsidRDefault="00A309A2">
      <w:pPr>
        <w:rPr>
          <w:rFonts w:eastAsia="Times New Roman"/>
        </w:rPr>
      </w:pPr>
      <w:r>
        <w:rPr>
          <w:rFonts w:eastAsia="Times New Roman"/>
        </w:rPr>
        <w:pict>
          <v:rect id="_x0000_i1120"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hanging="1220"/>
        <w:rPr>
          <w:sz w:val="20"/>
          <w:szCs w:val="20"/>
        </w:rPr>
      </w:pPr>
      <w:r>
        <w:rPr>
          <w:b/>
          <w:bCs/>
          <w:sz w:val="20"/>
          <w:szCs w:val="20"/>
        </w:rPr>
        <w:t>ITEM 9. Changes in and Disagreements with Acco</w:t>
      </w:r>
      <w:r>
        <w:rPr>
          <w:b/>
          <w:bCs/>
          <w:sz w:val="20"/>
          <w:szCs w:val="20"/>
        </w:rPr>
        <w:t>u</w:t>
      </w:r>
      <w:r>
        <w:rPr>
          <w:b/>
          <w:bCs/>
          <w:sz w:val="20"/>
          <w:szCs w:val="20"/>
        </w:rPr>
        <w:t>ntants on Accounting and Financial Disclosur</w:t>
      </w:r>
      <w:r>
        <w:rPr>
          <w:b/>
          <w:bCs/>
          <w:sz w:val="20"/>
          <w:szCs w:val="20"/>
        </w:rPr>
        <w:t>e</w:t>
      </w:r>
    </w:p>
    <w:p w:rsidR="00000000" w:rsidRDefault="00A309A2">
      <w:pPr>
        <w:pStyle w:val="a3"/>
        <w:spacing w:before="120" w:beforeAutospacing="0" w:after="0" w:afterAutospacing="0"/>
        <w:ind w:firstLine="555"/>
        <w:rPr>
          <w:sz w:val="20"/>
          <w:szCs w:val="20"/>
        </w:rPr>
      </w:pPr>
      <w:r>
        <w:rPr>
          <w:sz w:val="20"/>
          <w:szCs w:val="20"/>
        </w:rPr>
        <w:t>None</w:t>
      </w:r>
      <w:r>
        <w:rPr>
          <w:sz w:val="20"/>
          <w:szCs w:val="20"/>
        </w:rPr>
        <w:t>.</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ITEM 9A. Contro</w:t>
      </w:r>
      <w:r>
        <w:rPr>
          <w:b/>
          <w:bCs/>
          <w:sz w:val="20"/>
          <w:szCs w:val="20"/>
        </w:rPr>
        <w:t>l</w:t>
      </w:r>
      <w:r>
        <w:rPr>
          <w:b/>
          <w:bCs/>
          <w:sz w:val="20"/>
          <w:szCs w:val="20"/>
        </w:rPr>
        <w:t>s and Procedure</w:t>
      </w:r>
      <w:r>
        <w:rPr>
          <w:b/>
          <w:bCs/>
          <w:sz w:val="20"/>
          <w:szCs w:val="20"/>
        </w:rPr>
        <w:t>s</w:t>
      </w:r>
    </w:p>
    <w:p w:rsidR="00000000" w:rsidRDefault="00A309A2">
      <w:pPr>
        <w:divId w:val="2138790207"/>
        <w:rPr>
          <w:rFonts w:eastAsia="Times New Roman"/>
        </w:rPr>
      </w:pPr>
      <w:r>
        <w:rPr>
          <w:rFonts w:eastAsia="Times New Roman"/>
          <w:b/>
          <w:bCs/>
          <w:sz w:val="20"/>
          <w:szCs w:val="20"/>
        </w:rPr>
        <w:t>(a</w:t>
      </w:r>
      <w:r>
        <w:rPr>
          <w:rFonts w:eastAsia="Times New Roman"/>
          <w:b/>
          <w:bCs/>
          <w:sz w:val="20"/>
          <w:szCs w:val="20"/>
        </w:rPr>
        <w:t>)</w:t>
      </w:r>
    </w:p>
    <w:p w:rsidR="00000000" w:rsidRDefault="00A309A2">
      <w:pPr>
        <w:divId w:val="622658777"/>
        <w:rPr>
          <w:rFonts w:eastAsia="Times New Roman"/>
        </w:rPr>
      </w:pPr>
      <w:r>
        <w:rPr>
          <w:rFonts w:eastAsia="Times New Roman"/>
          <w:b/>
          <w:bCs/>
          <w:sz w:val="20"/>
          <w:szCs w:val="20"/>
        </w:rPr>
        <w:t>Evaluation of Disclosure Controls and Procedure</w:t>
      </w:r>
      <w:r>
        <w:rPr>
          <w:rFonts w:eastAsia="Times New Roman"/>
          <w:b/>
          <w:bCs/>
          <w:sz w:val="20"/>
          <w:szCs w:val="20"/>
        </w:rPr>
        <w:t>s</w:t>
      </w:r>
    </w:p>
    <w:p w:rsidR="00000000" w:rsidRDefault="00A309A2">
      <w:pPr>
        <w:pStyle w:val="a3"/>
        <w:spacing w:before="0" w:beforeAutospacing="0" w:after="0" w:afterAutospacing="0"/>
        <w:rPr>
          <w:sz w:val="20"/>
          <w:szCs w:val="20"/>
        </w:rPr>
      </w:pPr>
      <w:r>
        <w:rPr>
          <w:sz w:val="12"/>
          <w:szCs w:val="12"/>
        </w:rPr>
        <w:t> </w:t>
      </w:r>
    </w:p>
    <w:p w:rsidR="00000000" w:rsidRDefault="00A309A2">
      <w:pPr>
        <w:pStyle w:val="a3"/>
        <w:spacing w:before="0" w:beforeAutospacing="0" w:after="0" w:afterAutospacing="0"/>
        <w:ind w:firstLine="555"/>
        <w:rPr>
          <w:sz w:val="20"/>
          <w:szCs w:val="20"/>
        </w:rPr>
      </w:pPr>
      <w:r>
        <w:rPr>
          <w:sz w:val="20"/>
          <w:szCs w:val="20"/>
        </w:rPr>
        <w:t>Our management, with the pa</w:t>
      </w:r>
      <w:r>
        <w:rPr>
          <w:sz w:val="20"/>
          <w:szCs w:val="20"/>
        </w:rPr>
        <w:t>rticipation of our Chief Executive Officer and Chief Financial Officer, has evaluated the effectiveness of our disclosure controls and procedures (as defined in Rules 13a-15(e) and 15d-15(e) under the Securities Exchange Act of 1934, as amended (the Exchan</w:t>
      </w:r>
      <w:r>
        <w:rPr>
          <w:sz w:val="20"/>
          <w:szCs w:val="20"/>
        </w:rPr>
        <w:t>ge Act)), as of the end of the period covered by this Annual Report on Form 10-K. Based on such evaluation, our Chief Executive Officer and Chief Financial Officer have concluded that as of December 31, 2021 , our disclosure controls and procedures were ef</w:t>
      </w:r>
      <w:r>
        <w:rPr>
          <w:sz w:val="20"/>
          <w:szCs w:val="20"/>
        </w:rPr>
        <w:t>fective at the reasonable assurance level</w:t>
      </w:r>
      <w:r>
        <w:rPr>
          <w:sz w:val="20"/>
          <w:szCs w:val="20"/>
        </w:rPr>
        <w:t>.</w:t>
      </w:r>
    </w:p>
    <w:p w:rsidR="00000000" w:rsidRDefault="00A309A2">
      <w:pPr>
        <w:divId w:val="864250555"/>
        <w:rPr>
          <w:rFonts w:eastAsia="Times New Roman"/>
        </w:rPr>
      </w:pPr>
      <w:r>
        <w:rPr>
          <w:rFonts w:eastAsia="Times New Roman"/>
          <w:b/>
          <w:bCs/>
          <w:sz w:val="20"/>
          <w:szCs w:val="20"/>
        </w:rPr>
        <w:t>(b</w:t>
      </w:r>
      <w:r>
        <w:rPr>
          <w:rFonts w:eastAsia="Times New Roman"/>
          <w:b/>
          <w:bCs/>
          <w:sz w:val="20"/>
          <w:szCs w:val="20"/>
        </w:rPr>
        <w:t>)</w:t>
      </w:r>
    </w:p>
    <w:p w:rsidR="00000000" w:rsidRDefault="00A309A2">
      <w:pPr>
        <w:divId w:val="1776779074"/>
        <w:rPr>
          <w:rFonts w:eastAsia="Times New Roman"/>
        </w:rPr>
      </w:pPr>
      <w:r>
        <w:rPr>
          <w:rFonts w:eastAsia="Times New Roman"/>
          <w:b/>
          <w:bCs/>
          <w:sz w:val="20"/>
          <w:szCs w:val="20"/>
        </w:rPr>
        <w:t>Management’s Report on Internal Control Over Financial Reportin</w:t>
      </w:r>
      <w:r>
        <w:rPr>
          <w:rFonts w:eastAsia="Times New Roman"/>
          <w:b/>
          <w:bCs/>
          <w:sz w:val="20"/>
          <w:szCs w:val="20"/>
        </w:rPr>
        <w:t>g</w:t>
      </w:r>
    </w:p>
    <w:p w:rsidR="00000000" w:rsidRDefault="00A309A2">
      <w:pPr>
        <w:pStyle w:val="a3"/>
        <w:spacing w:before="0" w:beforeAutospacing="0" w:after="0" w:afterAutospacing="0"/>
        <w:rPr>
          <w:sz w:val="20"/>
          <w:szCs w:val="20"/>
        </w:rPr>
      </w:pPr>
      <w:r>
        <w:rPr>
          <w:sz w:val="12"/>
          <w:szCs w:val="12"/>
        </w:rPr>
        <w:t> </w:t>
      </w:r>
    </w:p>
    <w:p w:rsidR="00000000" w:rsidRDefault="00A309A2">
      <w:pPr>
        <w:pStyle w:val="a3"/>
        <w:spacing w:before="0" w:beforeAutospacing="0" w:after="0" w:afterAutospacing="0"/>
        <w:ind w:firstLine="555"/>
        <w:rPr>
          <w:sz w:val="20"/>
          <w:szCs w:val="20"/>
        </w:rPr>
      </w:pPr>
      <w:r>
        <w:rPr>
          <w:sz w:val="20"/>
          <w:szCs w:val="20"/>
        </w:rPr>
        <w:t>Our management, with the participation of our Chief Executive Officer and Chief Financial Officer, is responsible for establishing and maintai</w:t>
      </w:r>
      <w:r>
        <w:rPr>
          <w:sz w:val="20"/>
          <w:szCs w:val="20"/>
        </w:rPr>
        <w:t xml:space="preserve">ning adequate internal control over financial reporting. Internal control over financial reporting is defined in Rules 13a-15(f) or 15d-15(f) promulgated under the Exchange Act as a process designed by, or under the supervision of, the company's principal </w:t>
      </w:r>
      <w:r>
        <w:rPr>
          <w:sz w:val="20"/>
          <w:szCs w:val="20"/>
        </w:rPr>
        <w:t>executive and principal financial officers and effected by the company’s board of directors, management and other personnel, to provide reasonable assurance regarding the reliability of financial reporting and the preparation of financial statements for ex</w:t>
      </w:r>
      <w:r>
        <w:rPr>
          <w:sz w:val="20"/>
          <w:szCs w:val="20"/>
        </w:rPr>
        <w:t>ternal purposes in accordance with generally accepted accounting principles and includes those policies and procedures that</w:t>
      </w:r>
      <w:r>
        <w:rPr>
          <w:sz w:val="20"/>
          <w:szCs w:val="20"/>
        </w:rPr>
        <w:t>:</w:t>
      </w:r>
    </w:p>
    <w:p w:rsidR="00000000" w:rsidRDefault="00A309A2">
      <w:pPr>
        <w:pStyle w:val="a3"/>
        <w:spacing w:before="0" w:beforeAutospacing="0" w:after="0" w:afterAutospacing="0"/>
        <w:rPr>
          <w:sz w:val="20"/>
          <w:szCs w:val="20"/>
        </w:rPr>
      </w:pPr>
      <w:r>
        <w:rPr>
          <w:sz w:val="6"/>
          <w:szCs w:val="6"/>
        </w:rPr>
        <w:t> </w:t>
      </w:r>
    </w:p>
    <w:p w:rsidR="00000000" w:rsidRDefault="00A309A2">
      <w:pPr>
        <w:pStyle w:val="a3"/>
        <w:spacing w:before="0" w:beforeAutospacing="0" w:after="0" w:afterAutospacing="0"/>
        <w:rPr>
          <w:sz w:val="20"/>
          <w:szCs w:val="20"/>
        </w:rPr>
      </w:pPr>
      <w:r>
        <w:rPr>
          <w:sz w:val="6"/>
          <w:szCs w:val="6"/>
        </w:rPr>
        <w:t> </w:t>
      </w:r>
    </w:p>
    <w:p w:rsidR="00000000" w:rsidRDefault="00A309A2">
      <w:pPr>
        <w:divId w:val="235895941"/>
        <w:rPr>
          <w:rFonts w:eastAsia="Times New Roman"/>
        </w:rPr>
      </w:pPr>
      <w:r>
        <w:rPr>
          <w:rFonts w:eastAsia="Times New Roman"/>
          <w:sz w:val="20"/>
          <w:szCs w:val="20"/>
        </w:rPr>
        <w:t>•</w:t>
      </w:r>
    </w:p>
    <w:p w:rsidR="00000000" w:rsidRDefault="00A309A2">
      <w:pPr>
        <w:divId w:val="940458256"/>
        <w:rPr>
          <w:rFonts w:eastAsia="Times New Roman"/>
        </w:rPr>
      </w:pPr>
      <w:r>
        <w:rPr>
          <w:rFonts w:eastAsia="Times New Roman"/>
          <w:sz w:val="20"/>
          <w:szCs w:val="20"/>
        </w:rPr>
        <w:t>pertain to the maintenance of records that in reasonable detail accurately and fairly reflect the transactions and dispositio</w:t>
      </w:r>
      <w:r>
        <w:rPr>
          <w:rFonts w:eastAsia="Times New Roman"/>
          <w:sz w:val="20"/>
          <w:szCs w:val="20"/>
        </w:rPr>
        <w:t>ns of the assets of the company</w:t>
      </w:r>
      <w:r>
        <w:rPr>
          <w:rFonts w:eastAsia="Times New Roman"/>
          <w:sz w:val="20"/>
          <w:szCs w:val="20"/>
        </w:rPr>
        <w:t>;</w:t>
      </w:r>
    </w:p>
    <w:p w:rsidR="00000000" w:rsidRDefault="00A309A2">
      <w:pPr>
        <w:pStyle w:val="a3"/>
        <w:spacing w:before="0" w:beforeAutospacing="0" w:after="0" w:afterAutospacing="0"/>
        <w:rPr>
          <w:sz w:val="20"/>
          <w:szCs w:val="20"/>
        </w:rPr>
      </w:pPr>
      <w:r>
        <w:rPr>
          <w:sz w:val="12"/>
          <w:szCs w:val="12"/>
        </w:rPr>
        <w:t> </w:t>
      </w:r>
    </w:p>
    <w:p w:rsidR="00000000" w:rsidRDefault="00A309A2">
      <w:pPr>
        <w:divId w:val="1648391618"/>
        <w:rPr>
          <w:rFonts w:eastAsia="Times New Roman"/>
        </w:rPr>
      </w:pPr>
      <w:r>
        <w:rPr>
          <w:rFonts w:eastAsia="Times New Roman"/>
          <w:sz w:val="20"/>
          <w:szCs w:val="20"/>
        </w:rPr>
        <w:t>•</w:t>
      </w:r>
    </w:p>
    <w:p w:rsidR="00000000" w:rsidRDefault="00A309A2">
      <w:pPr>
        <w:divId w:val="727922120"/>
        <w:rPr>
          <w:rFonts w:eastAsia="Times New Roman"/>
        </w:rPr>
      </w:pPr>
      <w:r>
        <w:rPr>
          <w:rFonts w:eastAsia="Times New Roman"/>
          <w:sz w:val="20"/>
          <w:szCs w:val="20"/>
        </w:rPr>
        <w:t>provide reasonable assurance that transactions are recorded as necessary to permit preparation of financial statements in accordance with generally accepted accounting principles, and that receipts and expenditures of the company are being made only in acc</w:t>
      </w:r>
      <w:r>
        <w:rPr>
          <w:rFonts w:eastAsia="Times New Roman"/>
          <w:sz w:val="20"/>
          <w:szCs w:val="20"/>
        </w:rPr>
        <w:t>ordance with authorizations of management and directors of the company; an</w:t>
      </w:r>
      <w:r>
        <w:rPr>
          <w:rFonts w:eastAsia="Times New Roman"/>
          <w:sz w:val="20"/>
          <w:szCs w:val="20"/>
        </w:rPr>
        <w:t>d</w:t>
      </w:r>
    </w:p>
    <w:p w:rsidR="00000000" w:rsidRDefault="00A309A2">
      <w:pPr>
        <w:pStyle w:val="a3"/>
        <w:spacing w:before="0" w:beforeAutospacing="0" w:after="0" w:afterAutospacing="0"/>
        <w:rPr>
          <w:sz w:val="20"/>
          <w:szCs w:val="20"/>
        </w:rPr>
      </w:pPr>
      <w:r>
        <w:rPr>
          <w:sz w:val="12"/>
          <w:szCs w:val="12"/>
        </w:rPr>
        <w:t> </w:t>
      </w:r>
    </w:p>
    <w:p w:rsidR="00000000" w:rsidRDefault="00A309A2">
      <w:pPr>
        <w:divId w:val="2092266575"/>
        <w:rPr>
          <w:rFonts w:eastAsia="Times New Roman"/>
        </w:rPr>
      </w:pPr>
      <w:r>
        <w:rPr>
          <w:rFonts w:eastAsia="Times New Roman"/>
          <w:sz w:val="20"/>
          <w:szCs w:val="20"/>
        </w:rPr>
        <w:t>•</w:t>
      </w:r>
    </w:p>
    <w:p w:rsidR="00000000" w:rsidRDefault="00A309A2">
      <w:pPr>
        <w:divId w:val="1003819826"/>
        <w:rPr>
          <w:rFonts w:eastAsia="Times New Roman"/>
        </w:rPr>
      </w:pPr>
      <w:r>
        <w:rPr>
          <w:rFonts w:eastAsia="Times New Roman"/>
          <w:sz w:val="20"/>
          <w:szCs w:val="20"/>
        </w:rPr>
        <w:t xml:space="preserve">provide reasonable assurance regarding prevention or timely detection of unauthorized acquisition, use or disposition of the company’s assets that could have a material effect </w:t>
      </w:r>
      <w:r>
        <w:rPr>
          <w:rFonts w:eastAsia="Times New Roman"/>
          <w:sz w:val="20"/>
          <w:szCs w:val="20"/>
        </w:rPr>
        <w:t>on the financial statements</w:t>
      </w:r>
      <w:r>
        <w:rPr>
          <w:rFonts w:eastAsia="Times New Roman"/>
          <w:sz w:val="20"/>
          <w:szCs w:val="20"/>
        </w:rPr>
        <w:t>.</w:t>
      </w:r>
    </w:p>
    <w:p w:rsidR="00000000" w:rsidRDefault="00A309A2">
      <w:pPr>
        <w:pStyle w:val="a3"/>
        <w:spacing w:before="0" w:beforeAutospacing="0" w:after="0" w:afterAutospacing="0"/>
        <w:rPr>
          <w:sz w:val="20"/>
          <w:szCs w:val="20"/>
        </w:rPr>
      </w:pPr>
      <w:r>
        <w:t> </w:t>
      </w:r>
    </w:p>
    <w:p w:rsidR="00000000" w:rsidRDefault="00A309A2">
      <w:pPr>
        <w:pStyle w:val="a3"/>
        <w:spacing w:before="0" w:beforeAutospacing="0" w:after="0" w:afterAutospacing="0"/>
        <w:ind w:firstLine="555"/>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w:t>
      </w:r>
      <w:r>
        <w:rPr>
          <w:sz w:val="20"/>
          <w:szCs w:val="20"/>
        </w:rPr>
        <w:t>ols may become inadequate because of changes in conditions, or that the degree of compliance with the policies or procedures may deteriorate</w:t>
      </w:r>
      <w:r>
        <w:rPr>
          <w:sz w:val="20"/>
          <w:szCs w:val="20"/>
        </w:rPr>
        <w:t>.</w:t>
      </w:r>
    </w:p>
    <w:p w:rsidR="00000000" w:rsidRDefault="00A309A2">
      <w:pPr>
        <w:pStyle w:val="a3"/>
        <w:spacing w:before="0" w:beforeAutospacing="0" w:after="0" w:afterAutospacing="0"/>
        <w:rPr>
          <w:sz w:val="20"/>
          <w:szCs w:val="20"/>
        </w:rPr>
      </w:pPr>
      <w:r>
        <w:t> </w:t>
      </w:r>
    </w:p>
    <w:p w:rsidR="00000000" w:rsidRDefault="00A309A2">
      <w:pPr>
        <w:pStyle w:val="a3"/>
        <w:spacing w:before="0" w:beforeAutospacing="0" w:after="0" w:afterAutospacing="0"/>
        <w:ind w:firstLine="555"/>
        <w:rPr>
          <w:sz w:val="20"/>
          <w:szCs w:val="20"/>
        </w:rPr>
      </w:pPr>
      <w:r>
        <w:rPr>
          <w:sz w:val="20"/>
          <w:szCs w:val="20"/>
        </w:rPr>
        <w:t>Our management assessed the effectiveness of the Company’</w:t>
      </w:r>
      <w:r>
        <w:rPr>
          <w:sz w:val="20"/>
          <w:szCs w:val="20"/>
        </w:rPr>
        <w:t>s internal control over financial reporting as of December 31, 2021. In making this assessment, our management used the criteria set forth by the Committee of Sponsoring Organizations of the Treadway Commission (“COSO”) in</w:t>
      </w:r>
      <w:r>
        <w:rPr>
          <w:sz w:val="20"/>
          <w:szCs w:val="20"/>
        </w:rPr>
        <w:t xml:space="preserve"> </w:t>
      </w:r>
      <w:r>
        <w:rPr>
          <w:i/>
          <w:iCs/>
          <w:sz w:val="20"/>
          <w:szCs w:val="20"/>
        </w:rPr>
        <w:t>Internal Control — Integrated Fra</w:t>
      </w:r>
      <w:r>
        <w:rPr>
          <w:i/>
          <w:iCs/>
          <w:sz w:val="20"/>
          <w:szCs w:val="20"/>
        </w:rPr>
        <w:t>mework</w:t>
      </w:r>
      <w:r>
        <w:rPr>
          <w:i/>
          <w:iCs/>
          <w:sz w:val="20"/>
          <w:szCs w:val="20"/>
        </w:rPr>
        <w:t xml:space="preserve"> </w:t>
      </w:r>
      <w:r>
        <w:rPr>
          <w:sz w:val="20"/>
          <w:szCs w:val="20"/>
        </w:rPr>
        <w:t>(2013)</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9</w:t>
      </w:r>
      <w:r>
        <w:rPr>
          <w:sz w:val="20"/>
          <w:szCs w:val="20"/>
        </w:rPr>
        <w:t>4</w:t>
      </w:r>
    </w:p>
    <w:p w:rsidR="00000000" w:rsidRDefault="00A309A2">
      <w:pPr>
        <w:rPr>
          <w:rFonts w:eastAsia="Times New Roman"/>
        </w:rPr>
      </w:pPr>
      <w:r>
        <w:rPr>
          <w:rFonts w:eastAsia="Times New Roman"/>
        </w:rPr>
        <w:pict>
          <v:rect id="_x0000_i1121"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firstLine="555"/>
        <w:rPr>
          <w:sz w:val="20"/>
          <w:szCs w:val="20"/>
        </w:rPr>
      </w:pPr>
      <w:r>
        <w:rPr>
          <w:sz w:val="20"/>
          <w:szCs w:val="20"/>
        </w:rPr>
        <w:t>Based on our assessment, management, with the participation of our Chief Executive Officer and Chief Financial Officer, concluded that, as of December 31, 2021, our internal control over financial r</w:t>
      </w:r>
      <w:r>
        <w:rPr>
          <w:sz w:val="20"/>
          <w:szCs w:val="20"/>
        </w:rPr>
        <w:t>eporting was effective based on those criteria</w:t>
      </w:r>
      <w:r>
        <w:rPr>
          <w:sz w:val="20"/>
          <w:szCs w:val="20"/>
        </w:rPr>
        <w:t>.</w:t>
      </w:r>
    </w:p>
    <w:p w:rsidR="00000000" w:rsidRDefault="00A309A2">
      <w:pPr>
        <w:pStyle w:val="a3"/>
        <w:spacing w:before="0" w:beforeAutospacing="0" w:after="0" w:afterAutospacing="0"/>
        <w:rPr>
          <w:sz w:val="20"/>
          <w:szCs w:val="20"/>
        </w:rPr>
      </w:pPr>
      <w:r>
        <w:t> </w:t>
      </w:r>
    </w:p>
    <w:p w:rsidR="00000000" w:rsidRDefault="00A309A2">
      <w:pPr>
        <w:pStyle w:val="a3"/>
        <w:spacing w:before="0" w:beforeAutospacing="0" w:after="0" w:afterAutospacing="0"/>
        <w:ind w:firstLine="555"/>
        <w:rPr>
          <w:sz w:val="20"/>
          <w:szCs w:val="20"/>
        </w:rPr>
      </w:pPr>
      <w:r>
        <w:rPr>
          <w:sz w:val="20"/>
          <w:szCs w:val="20"/>
        </w:rPr>
        <w:t>The effectiveness of the Company’s internal control over financial reporting as of December 31, 2021 has been audited by PricewaterhouseCoopers LLP, an independent registered public accounting firm, as stat</w:t>
      </w:r>
      <w:r>
        <w:rPr>
          <w:sz w:val="20"/>
          <w:szCs w:val="20"/>
        </w:rPr>
        <w:t>ed in its report, which is included under Item 8 of this annual report on Form 10-K</w:t>
      </w:r>
      <w:r>
        <w:rPr>
          <w:sz w:val="20"/>
          <w:szCs w:val="20"/>
        </w:rPr>
        <w:t>.</w:t>
      </w:r>
    </w:p>
    <w:p w:rsidR="00000000" w:rsidRDefault="00A309A2">
      <w:pPr>
        <w:pStyle w:val="a3"/>
        <w:spacing w:before="160" w:beforeAutospacing="0" w:after="0" w:afterAutospacing="0"/>
        <w:ind w:left="476" w:hanging="581"/>
        <w:rPr>
          <w:sz w:val="20"/>
          <w:szCs w:val="20"/>
        </w:rPr>
      </w:pPr>
      <w:r>
        <w:rPr>
          <w:b/>
          <w:bCs/>
          <w:sz w:val="20"/>
          <w:szCs w:val="20"/>
        </w:rPr>
        <w:t>(c) Inherent Limitations of Internal Control</w:t>
      </w:r>
      <w:r>
        <w:rPr>
          <w:b/>
          <w:bCs/>
          <w:sz w:val="20"/>
          <w:szCs w:val="20"/>
        </w:rPr>
        <w:t>s</w:t>
      </w:r>
    </w:p>
    <w:p w:rsidR="00000000" w:rsidRDefault="00A309A2">
      <w:pPr>
        <w:pStyle w:val="a3"/>
        <w:spacing w:before="120" w:beforeAutospacing="0" w:after="0" w:afterAutospacing="0"/>
        <w:ind w:firstLine="555"/>
        <w:rPr>
          <w:sz w:val="20"/>
          <w:szCs w:val="20"/>
        </w:rPr>
      </w:pPr>
      <w:r>
        <w:rPr>
          <w:sz w:val="20"/>
          <w:szCs w:val="20"/>
        </w:rPr>
        <w:t>Our management, including our Chief Executive Officer and Chief Financial Officer, does not expect that our disclosure contro</w:t>
      </w:r>
      <w:r>
        <w:rPr>
          <w:sz w:val="20"/>
          <w:szCs w:val="20"/>
        </w:rPr>
        <w:t>ls and procedures or our internal control over financial reporting will prevent all errors and all fraud. A control system, no matter how well conceived and operated, can provide only reasonable, not absolute, assurance that the objectives of the control s</w:t>
      </w:r>
      <w:r>
        <w:rPr>
          <w:sz w:val="20"/>
          <w:szCs w:val="20"/>
        </w:rPr>
        <w:t>ystem are met. Because of the inherent limitations in all control systems, no evaluation of controls can provide absolute assurance that all control issues and instances of fraud, if any, within the Company have been detected. These inherent limitations in</w:t>
      </w:r>
      <w:r>
        <w:rPr>
          <w:sz w:val="20"/>
          <w:szCs w:val="20"/>
        </w:rPr>
        <w:t xml:space="preserve">clude the realities that judgments in decision-making can be faulty, and that breakdowns can occur because of a simple error or mistake. Additionally, controls can be circumvented by the individual acts of some persons, by collusion of two or more people, </w:t>
      </w:r>
      <w:r>
        <w:rPr>
          <w:sz w:val="20"/>
          <w:szCs w:val="20"/>
        </w:rPr>
        <w:t>or by management override of the control. The design of any system of controls also is based in part upon certain assumptions about the likelihood of future events, and there can be no assurance that any design will succeed in achieving its stated goals un</w:t>
      </w:r>
      <w:r>
        <w:rPr>
          <w:sz w:val="20"/>
          <w:szCs w:val="20"/>
        </w:rPr>
        <w:t>der all potential future conditions. Over time, controls may become inadequate because of changes in conditions, or the degree of compliance with the policies or procedures may deteriorate. Because of the inherent limitations, misstatements due to error or</w:t>
      </w:r>
      <w:r>
        <w:rPr>
          <w:sz w:val="20"/>
          <w:szCs w:val="20"/>
        </w:rPr>
        <w:t xml:space="preserve"> fraud may occur and not be detected</w:t>
      </w:r>
      <w:r>
        <w:rPr>
          <w:sz w:val="20"/>
          <w:szCs w:val="20"/>
        </w:rPr>
        <w:t>.</w:t>
      </w:r>
    </w:p>
    <w:p w:rsidR="00000000" w:rsidRDefault="00A309A2">
      <w:pPr>
        <w:pStyle w:val="a3"/>
        <w:spacing w:before="160" w:beforeAutospacing="0" w:after="0" w:afterAutospacing="0"/>
        <w:ind w:left="476" w:hanging="581"/>
        <w:rPr>
          <w:sz w:val="20"/>
          <w:szCs w:val="20"/>
        </w:rPr>
      </w:pPr>
      <w:r>
        <w:rPr>
          <w:b/>
          <w:bCs/>
          <w:sz w:val="20"/>
          <w:szCs w:val="20"/>
        </w:rPr>
        <w:t>(d) Changes in Internal Control over Financial Reportin</w:t>
      </w:r>
      <w:r>
        <w:rPr>
          <w:b/>
          <w:bCs/>
          <w:sz w:val="20"/>
          <w:szCs w:val="20"/>
        </w:rPr>
        <w:t>g</w:t>
      </w:r>
    </w:p>
    <w:p w:rsidR="00000000" w:rsidRDefault="00A309A2">
      <w:pPr>
        <w:pStyle w:val="a3"/>
        <w:spacing w:before="120" w:beforeAutospacing="0" w:after="0" w:afterAutospacing="0"/>
        <w:ind w:firstLine="555"/>
        <w:rPr>
          <w:sz w:val="20"/>
          <w:szCs w:val="20"/>
        </w:rPr>
      </w:pPr>
      <w:r>
        <w:rPr>
          <w:sz w:val="20"/>
          <w:szCs w:val="20"/>
        </w:rPr>
        <w:t>No change in our internal control over financial reporting occurred during the quarter ended December 31, 2021 that has materially affected, or is reasonably lik</w:t>
      </w:r>
      <w:r>
        <w:rPr>
          <w:sz w:val="20"/>
          <w:szCs w:val="20"/>
        </w:rPr>
        <w:t>ely to materially affect, our internal control over financial reporting</w:t>
      </w:r>
      <w:r>
        <w:rPr>
          <w:sz w:val="20"/>
          <w:szCs w:val="20"/>
        </w:rPr>
        <w:t>.</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ITEM 9B. Oth</w:t>
      </w:r>
      <w:r>
        <w:rPr>
          <w:b/>
          <w:bCs/>
          <w:sz w:val="20"/>
          <w:szCs w:val="20"/>
        </w:rPr>
        <w:t>e</w:t>
      </w:r>
      <w:r>
        <w:rPr>
          <w:b/>
          <w:bCs/>
          <w:sz w:val="20"/>
          <w:szCs w:val="20"/>
        </w:rPr>
        <w:t>r Informatio</w:t>
      </w:r>
      <w:r>
        <w:rPr>
          <w:b/>
          <w:bCs/>
          <w:sz w:val="20"/>
          <w:szCs w:val="20"/>
        </w:rPr>
        <w:t>n</w:t>
      </w:r>
    </w:p>
    <w:p w:rsidR="00000000" w:rsidRDefault="00A309A2">
      <w:pPr>
        <w:pStyle w:val="a3"/>
        <w:spacing w:before="120" w:beforeAutospacing="0" w:after="0" w:afterAutospacing="0"/>
        <w:ind w:firstLine="555"/>
        <w:rPr>
          <w:sz w:val="20"/>
          <w:szCs w:val="20"/>
        </w:rPr>
      </w:pPr>
      <w:r>
        <w:rPr>
          <w:sz w:val="20"/>
          <w:szCs w:val="20"/>
        </w:rPr>
        <w:t>None</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ITEM 9</w:t>
      </w:r>
      <w:r>
        <w:rPr>
          <w:b/>
          <w:bCs/>
          <w:sz w:val="20"/>
          <w:szCs w:val="20"/>
        </w:rPr>
        <w:t>C</w:t>
      </w:r>
      <w:r>
        <w:rPr>
          <w:b/>
          <w:bCs/>
          <w:sz w:val="20"/>
          <w:szCs w:val="20"/>
        </w:rPr>
        <w:t xml:space="preserve">. </w:t>
      </w:r>
      <w:r>
        <w:rPr>
          <w:b/>
          <w:bCs/>
          <w:sz w:val="20"/>
          <w:szCs w:val="20"/>
        </w:rPr>
        <w:t>Disclosure Regarding Foreign Jurisdictions that Prevent Inspections</w:t>
      </w:r>
      <w:r>
        <w:rPr>
          <w:b/>
          <w:bCs/>
          <w:sz w:val="20"/>
          <w:szCs w:val="20"/>
        </w:rPr>
        <w:t>.</w:t>
      </w:r>
    </w:p>
    <w:p w:rsidR="00000000" w:rsidRDefault="00A309A2">
      <w:pPr>
        <w:pStyle w:val="a3"/>
        <w:spacing w:before="120" w:beforeAutospacing="0" w:after="0" w:afterAutospacing="0"/>
        <w:ind w:firstLine="555"/>
        <w:rPr>
          <w:sz w:val="20"/>
          <w:szCs w:val="20"/>
        </w:rPr>
      </w:pPr>
      <w:r>
        <w:rPr>
          <w:sz w:val="20"/>
          <w:szCs w:val="20"/>
        </w:rPr>
        <w:t>Not applicable</w:t>
      </w:r>
      <w:r>
        <w:rPr>
          <w:sz w:val="20"/>
          <w:szCs w:val="20"/>
        </w:rPr>
        <w:t>.</w:t>
      </w:r>
      <w:r>
        <w:rPr>
          <w:sz w:val="20"/>
          <w:szCs w:val="20"/>
        </w:rPr>
        <w:t xml:space="preserve"> </w:t>
      </w:r>
    </w:p>
    <w:p w:rsidR="00000000" w:rsidRDefault="00A309A2">
      <w:pPr>
        <w:pStyle w:val="a3"/>
        <w:spacing w:before="240" w:beforeAutospacing="0" w:after="0" w:afterAutospacing="0"/>
        <w:jc w:val="center"/>
        <w:rPr>
          <w:sz w:val="20"/>
          <w:szCs w:val="20"/>
        </w:rPr>
      </w:pPr>
      <w:r>
        <w:rPr>
          <w:sz w:val="20"/>
          <w:szCs w:val="20"/>
        </w:rPr>
        <w:t>9</w:t>
      </w:r>
      <w:r>
        <w:rPr>
          <w:sz w:val="20"/>
          <w:szCs w:val="20"/>
        </w:rPr>
        <w:t>5</w:t>
      </w:r>
    </w:p>
    <w:p w:rsidR="00000000" w:rsidRDefault="00A309A2">
      <w:pPr>
        <w:rPr>
          <w:rFonts w:eastAsia="Times New Roman"/>
        </w:rPr>
      </w:pPr>
      <w:r>
        <w:rPr>
          <w:rFonts w:eastAsia="Times New Roman"/>
        </w:rPr>
        <w:pict>
          <v:rect id="_x0000_i1122"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II</w:t>
      </w:r>
      <w:r>
        <w:rPr>
          <w:b/>
          <w:bCs/>
          <w:sz w:val="20"/>
          <w:szCs w:val="20"/>
        </w:rPr>
        <w:t>I</w:t>
      </w:r>
    </w:p>
    <w:p w:rsidR="00000000" w:rsidRDefault="00A309A2">
      <w:pPr>
        <w:pStyle w:val="a3"/>
        <w:spacing w:before="0" w:beforeAutospacing="0" w:after="0" w:afterAutospacing="0"/>
        <w:ind w:hanging="1220"/>
        <w:rPr>
          <w:sz w:val="20"/>
          <w:szCs w:val="20"/>
        </w:rPr>
      </w:pPr>
      <w:r>
        <w:rPr>
          <w:sz w:val="12"/>
          <w:szCs w:val="12"/>
        </w:rPr>
        <w:t> </w:t>
      </w:r>
    </w:p>
    <w:p w:rsidR="00000000" w:rsidRDefault="00A309A2">
      <w:pPr>
        <w:pStyle w:val="a3"/>
        <w:spacing w:before="0" w:beforeAutospacing="0" w:after="0" w:afterAutospacing="0"/>
        <w:ind w:hanging="1220"/>
        <w:rPr>
          <w:sz w:val="20"/>
          <w:szCs w:val="20"/>
        </w:rPr>
      </w:pPr>
      <w:r>
        <w:rPr>
          <w:sz w:val="12"/>
          <w:szCs w:val="12"/>
        </w:rPr>
        <w:t> </w:t>
      </w:r>
    </w:p>
    <w:p w:rsidR="00000000" w:rsidRDefault="00A309A2">
      <w:pPr>
        <w:pStyle w:val="a3"/>
        <w:spacing w:before="0" w:beforeAutospacing="0" w:after="0" w:afterAutospacing="0"/>
        <w:ind w:hanging="1220"/>
        <w:rPr>
          <w:sz w:val="20"/>
          <w:szCs w:val="20"/>
        </w:rPr>
      </w:pPr>
      <w:r>
        <w:rPr>
          <w:b/>
          <w:bCs/>
          <w:sz w:val="20"/>
          <w:szCs w:val="20"/>
        </w:rPr>
        <w:t>ITEM 10. Directors, Executive O</w:t>
      </w:r>
      <w:r>
        <w:rPr>
          <w:b/>
          <w:bCs/>
          <w:sz w:val="20"/>
          <w:szCs w:val="20"/>
        </w:rPr>
        <w:t>f</w:t>
      </w:r>
      <w:r>
        <w:rPr>
          <w:b/>
          <w:bCs/>
          <w:sz w:val="20"/>
          <w:szCs w:val="20"/>
        </w:rPr>
        <w:t>ficers and Corporate Governanc</w:t>
      </w:r>
      <w:r>
        <w:rPr>
          <w:b/>
          <w:bCs/>
          <w:sz w:val="20"/>
          <w:szCs w:val="20"/>
        </w:rPr>
        <w:t>e</w:t>
      </w:r>
    </w:p>
    <w:p w:rsidR="00000000" w:rsidRDefault="00A309A2">
      <w:pPr>
        <w:pStyle w:val="a3"/>
        <w:spacing w:before="120" w:beforeAutospacing="0" w:after="0" w:afterAutospacing="0"/>
        <w:ind w:firstLine="555"/>
        <w:rPr>
          <w:sz w:val="20"/>
          <w:szCs w:val="20"/>
        </w:rPr>
      </w:pPr>
      <w:r>
        <w:rPr>
          <w:sz w:val="20"/>
          <w:szCs w:val="20"/>
        </w:rPr>
        <w:t>The complete response to this Item regarding the ba</w:t>
      </w:r>
      <w:r>
        <w:rPr>
          <w:sz w:val="20"/>
          <w:szCs w:val="20"/>
        </w:rPr>
        <w:t>ckgrounds of our executive officers and directors and other information required by Items 401, 405 and 407 of Regulation S-K will be contained in our definitive proxy statement for our 2022 Annual Meeting of Stockholders</w:t>
      </w:r>
      <w:r>
        <w:rPr>
          <w:sz w:val="20"/>
          <w:szCs w:val="20"/>
        </w:rPr>
        <w:t>.</w:t>
      </w:r>
      <w:r>
        <w:rPr>
          <w:sz w:val="20"/>
          <w:szCs w:val="20"/>
        </w:rPr>
        <w:t xml:space="preserve"> </w:t>
      </w:r>
    </w:p>
    <w:p w:rsidR="00000000" w:rsidRDefault="00A309A2">
      <w:pPr>
        <w:pStyle w:val="a3"/>
        <w:spacing w:before="360" w:beforeAutospacing="0" w:after="0" w:afterAutospacing="0"/>
        <w:rPr>
          <w:sz w:val="20"/>
          <w:szCs w:val="20"/>
        </w:rPr>
      </w:pPr>
      <w:r>
        <w:rPr>
          <w:b/>
          <w:bCs/>
          <w:sz w:val="20"/>
          <w:szCs w:val="20"/>
        </w:rPr>
        <w:t>Code of Business Conduct and Ethi</w:t>
      </w:r>
      <w:r>
        <w:rPr>
          <w:b/>
          <w:bCs/>
          <w:sz w:val="20"/>
          <w:szCs w:val="20"/>
        </w:rPr>
        <w:t>c</w:t>
      </w:r>
      <w:r>
        <w:rPr>
          <w:b/>
          <w:bCs/>
          <w:sz w:val="20"/>
          <w:szCs w:val="20"/>
        </w:rPr>
        <w:t>s</w:t>
      </w:r>
    </w:p>
    <w:p w:rsidR="00000000" w:rsidRDefault="00A309A2">
      <w:pPr>
        <w:pStyle w:val="a3"/>
        <w:spacing w:before="120" w:beforeAutospacing="0" w:after="0" w:afterAutospacing="0"/>
        <w:ind w:firstLine="555"/>
        <w:rPr>
          <w:sz w:val="20"/>
          <w:szCs w:val="20"/>
        </w:rPr>
      </w:pPr>
      <w:r>
        <w:rPr>
          <w:sz w:val="20"/>
          <w:szCs w:val="20"/>
        </w:rPr>
        <w:t>We have adopted a code of business conduct and ethics that is applicable to all of our employees, officers and directors including our chief executive officer and senior financial officers, which is available on our website under “Investor Relations—Lea</w:t>
      </w:r>
      <w:r>
        <w:rPr>
          <w:sz w:val="20"/>
          <w:szCs w:val="20"/>
        </w:rPr>
        <w:t>dership &amp; Governance.</w:t>
      </w:r>
      <w:r>
        <w:rPr>
          <w:sz w:val="20"/>
          <w:szCs w:val="20"/>
        </w:rPr>
        <w:t>”</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w:t>
      </w:r>
      <w:r>
        <w:rPr>
          <w:b/>
          <w:bCs/>
          <w:sz w:val="20"/>
          <w:szCs w:val="20"/>
        </w:rPr>
        <w:t>M</w:t>
      </w:r>
      <w:r>
        <w:rPr>
          <w:b/>
          <w:bCs/>
          <w:sz w:val="20"/>
          <w:szCs w:val="20"/>
        </w:rPr>
        <w:t xml:space="preserve"> 11. Executive Compensatio</w:t>
      </w:r>
      <w:r>
        <w:rPr>
          <w:b/>
          <w:bCs/>
          <w:sz w:val="20"/>
          <w:szCs w:val="20"/>
        </w:rPr>
        <w:t>n</w:t>
      </w:r>
    </w:p>
    <w:p w:rsidR="00000000" w:rsidRDefault="00A309A2">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2022 Annual Meeting of Stockholders</w:t>
      </w:r>
      <w:r>
        <w:rPr>
          <w:sz w:val="20"/>
          <w:szCs w:val="20"/>
        </w:rPr>
        <w:t>.</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 xml:space="preserve">ITEM 12. </w:t>
      </w:r>
      <w:r>
        <w:rPr>
          <w:b/>
          <w:bCs/>
          <w:sz w:val="20"/>
          <w:szCs w:val="20"/>
        </w:rPr>
        <w:t>Security Ownership of Certain Beneficial O</w:t>
      </w:r>
      <w:r>
        <w:rPr>
          <w:b/>
          <w:bCs/>
          <w:sz w:val="20"/>
          <w:szCs w:val="20"/>
        </w:rPr>
        <w:t>w</w:t>
      </w:r>
      <w:r>
        <w:rPr>
          <w:b/>
          <w:bCs/>
          <w:sz w:val="20"/>
          <w:szCs w:val="20"/>
        </w:rPr>
        <w:t>ners and Management and Related Stockholder Matter</w:t>
      </w:r>
      <w:r>
        <w:rPr>
          <w:b/>
          <w:bCs/>
          <w:sz w:val="20"/>
          <w:szCs w:val="20"/>
        </w:rPr>
        <w:t>s</w:t>
      </w:r>
    </w:p>
    <w:p w:rsidR="00000000" w:rsidRDefault="00A309A2">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2022 Annual Meeting of Stockholders</w:t>
      </w:r>
      <w:r>
        <w:rPr>
          <w:sz w:val="20"/>
          <w:szCs w:val="20"/>
        </w:rPr>
        <w:t>.</w:t>
      </w:r>
      <w:r>
        <w:rPr>
          <w:sz w:val="20"/>
          <w:szCs w:val="20"/>
        </w:rPr>
        <w:t xml:space="preserve">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w:t>
      </w:r>
      <w:r>
        <w:rPr>
          <w:b/>
          <w:bCs/>
          <w:sz w:val="20"/>
          <w:szCs w:val="20"/>
        </w:rPr>
        <w:t>M 13. Certain Relationships and Relate</w:t>
      </w:r>
      <w:r>
        <w:rPr>
          <w:b/>
          <w:bCs/>
          <w:sz w:val="20"/>
          <w:szCs w:val="20"/>
        </w:rPr>
        <w:t>d</w:t>
      </w:r>
      <w:r>
        <w:rPr>
          <w:b/>
          <w:bCs/>
          <w:sz w:val="20"/>
          <w:szCs w:val="20"/>
        </w:rPr>
        <w:t xml:space="preserve"> Transactions, and Director Independenc</w:t>
      </w:r>
      <w:r>
        <w:rPr>
          <w:b/>
          <w:bCs/>
          <w:sz w:val="20"/>
          <w:szCs w:val="20"/>
        </w:rPr>
        <w:t>e</w:t>
      </w:r>
    </w:p>
    <w:p w:rsidR="00000000" w:rsidRDefault="00A309A2">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2022 Annual Meeting of Stockholders</w:t>
      </w:r>
      <w:r>
        <w:rPr>
          <w:sz w:val="20"/>
          <w:szCs w:val="20"/>
        </w:rPr>
        <w:t>.</w:t>
      </w:r>
      <w:r>
        <w:rPr>
          <w:sz w:val="20"/>
          <w:szCs w:val="20"/>
        </w:rPr>
        <w:t xml:space="preserve">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sz w:val="18"/>
          <w:szCs w:val="18"/>
        </w:rPr>
        <w:t> </w:t>
      </w:r>
    </w:p>
    <w:p w:rsidR="00000000" w:rsidRDefault="00A309A2">
      <w:pPr>
        <w:pStyle w:val="a3"/>
        <w:spacing w:before="0" w:beforeAutospacing="0" w:after="0" w:afterAutospacing="0"/>
        <w:ind w:hanging="1220"/>
        <w:rPr>
          <w:sz w:val="20"/>
          <w:szCs w:val="20"/>
        </w:rPr>
      </w:pPr>
      <w:r>
        <w:rPr>
          <w:b/>
          <w:bCs/>
          <w:sz w:val="20"/>
          <w:szCs w:val="20"/>
        </w:rPr>
        <w:t>ITEM 14. Principal</w:t>
      </w:r>
      <w:r>
        <w:rPr>
          <w:b/>
          <w:bCs/>
          <w:sz w:val="20"/>
          <w:szCs w:val="20"/>
        </w:rPr>
        <w:t xml:space="preserve"> Acco</w:t>
      </w:r>
      <w:r>
        <w:rPr>
          <w:b/>
          <w:bCs/>
          <w:sz w:val="20"/>
          <w:szCs w:val="20"/>
        </w:rPr>
        <w:t>u</w:t>
      </w:r>
      <w:r>
        <w:rPr>
          <w:b/>
          <w:bCs/>
          <w:sz w:val="20"/>
          <w:szCs w:val="20"/>
        </w:rPr>
        <w:t>ntant Fees and Service</w:t>
      </w:r>
      <w:r>
        <w:rPr>
          <w:b/>
          <w:bCs/>
          <w:sz w:val="20"/>
          <w:szCs w:val="20"/>
        </w:rPr>
        <w:t>s</w:t>
      </w:r>
    </w:p>
    <w:p w:rsidR="00000000" w:rsidRDefault="00A309A2">
      <w:pPr>
        <w:pStyle w:val="a3"/>
        <w:spacing w:before="120" w:beforeAutospacing="0" w:after="0" w:afterAutospacing="0"/>
        <w:ind w:firstLine="555"/>
        <w:rPr>
          <w:sz w:val="20"/>
          <w:szCs w:val="20"/>
        </w:rPr>
      </w:pPr>
      <w:r>
        <w:rPr>
          <w:sz w:val="20"/>
          <w:szCs w:val="20"/>
        </w:rPr>
        <w:t>The information required by this Item is incorporated by reference herein to our definitive proxy statement for our 2022 Annual Meeting of Stockholders</w:t>
      </w:r>
      <w:r>
        <w:rPr>
          <w:sz w:val="20"/>
          <w:szCs w:val="20"/>
        </w:rPr>
        <w:t>.</w:t>
      </w:r>
      <w:r>
        <w:rPr>
          <w:sz w:val="20"/>
          <w:szCs w:val="20"/>
        </w:rPr>
        <w:t xml:space="preserve">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9</w:t>
      </w:r>
      <w:r>
        <w:rPr>
          <w:sz w:val="20"/>
          <w:szCs w:val="20"/>
        </w:rPr>
        <w:t>6</w:t>
      </w:r>
    </w:p>
    <w:p w:rsidR="00000000" w:rsidRDefault="00A309A2">
      <w:pPr>
        <w:rPr>
          <w:rFonts w:eastAsia="Times New Roman"/>
        </w:rPr>
      </w:pPr>
      <w:r>
        <w:rPr>
          <w:rFonts w:eastAsia="Times New Roman"/>
        </w:rPr>
        <w:pict>
          <v:rect id="_x0000_i1123"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V</w:t>
      </w:r>
    </w:p>
    <w:p w:rsidR="00000000" w:rsidRDefault="00A309A2">
      <w:pPr>
        <w:pStyle w:val="a3"/>
        <w:spacing w:before="0" w:beforeAutospacing="0" w:after="0" w:afterAutospacing="0"/>
        <w:rPr>
          <w:sz w:val="20"/>
          <w:szCs w:val="20"/>
        </w:rPr>
      </w:pPr>
      <w:r>
        <w:rPr>
          <w:sz w:val="12"/>
          <w:szCs w:val="12"/>
        </w:rPr>
        <w:t> </w:t>
      </w:r>
    </w:p>
    <w:p w:rsidR="00000000" w:rsidRDefault="00A309A2">
      <w:pPr>
        <w:pStyle w:val="a3"/>
        <w:spacing w:before="0" w:beforeAutospacing="0" w:after="0" w:afterAutospacing="0"/>
        <w:rPr>
          <w:sz w:val="20"/>
          <w:szCs w:val="20"/>
        </w:rPr>
      </w:pPr>
      <w:r>
        <w:rPr>
          <w:sz w:val="12"/>
          <w:szCs w:val="12"/>
        </w:rPr>
        <w:t> </w:t>
      </w:r>
    </w:p>
    <w:p w:rsidR="00000000" w:rsidRDefault="00A309A2">
      <w:pPr>
        <w:pStyle w:val="a3"/>
        <w:spacing w:before="0" w:beforeAutospacing="0" w:after="0" w:afterAutospacing="0"/>
        <w:ind w:hanging="1220"/>
        <w:rPr>
          <w:sz w:val="20"/>
          <w:szCs w:val="20"/>
        </w:rPr>
      </w:pPr>
      <w:r>
        <w:rPr>
          <w:b/>
          <w:bCs/>
          <w:sz w:val="20"/>
          <w:szCs w:val="20"/>
        </w:rPr>
        <w:t>ITEM 15. Exhibit</w:t>
      </w:r>
      <w:r>
        <w:rPr>
          <w:b/>
          <w:bCs/>
          <w:sz w:val="20"/>
          <w:szCs w:val="20"/>
        </w:rPr>
        <w:t>s, Fina</w:t>
      </w:r>
      <w:r>
        <w:rPr>
          <w:b/>
          <w:bCs/>
          <w:sz w:val="20"/>
          <w:szCs w:val="20"/>
        </w:rPr>
        <w:t>n</w:t>
      </w:r>
      <w:r>
        <w:rPr>
          <w:b/>
          <w:bCs/>
          <w:sz w:val="20"/>
          <w:szCs w:val="20"/>
        </w:rPr>
        <w:t>cial Statement Schedule</w:t>
      </w:r>
      <w:r>
        <w:rPr>
          <w:b/>
          <w:bCs/>
          <w:sz w:val="20"/>
          <w:szCs w:val="20"/>
        </w:rPr>
        <w:t>s</w:t>
      </w:r>
    </w:p>
    <w:p w:rsidR="00000000" w:rsidRDefault="00A309A2">
      <w:pPr>
        <w:pStyle w:val="a3"/>
        <w:spacing w:before="120" w:beforeAutospacing="0" w:after="0" w:afterAutospacing="0"/>
        <w:ind w:hanging="581"/>
        <w:rPr>
          <w:sz w:val="20"/>
          <w:szCs w:val="20"/>
        </w:rPr>
      </w:pPr>
      <w:r>
        <w:rPr>
          <w:sz w:val="20"/>
          <w:szCs w:val="20"/>
        </w:rPr>
        <w:t>(a) Documents Filed as Part of this Annual Report on Form 10-</w:t>
      </w:r>
      <w:r>
        <w:rPr>
          <w:sz w:val="20"/>
          <w:szCs w:val="20"/>
        </w:rPr>
        <w:t>K</w:t>
      </w:r>
    </w:p>
    <w:p w:rsidR="00000000" w:rsidRDefault="00A309A2">
      <w:pPr>
        <w:pStyle w:val="a3"/>
        <w:spacing w:before="120" w:beforeAutospacing="0" w:after="0" w:afterAutospacing="0"/>
        <w:ind w:hanging="581"/>
        <w:rPr>
          <w:sz w:val="20"/>
          <w:szCs w:val="20"/>
        </w:rPr>
      </w:pPr>
      <w:r>
        <w:rPr>
          <w:sz w:val="20"/>
          <w:szCs w:val="20"/>
        </w:rPr>
        <w:t>1. Financial Statements (included in Item 8 of this Annual Report on Form 10-K)</w:t>
      </w:r>
      <w:r>
        <w:rPr>
          <w:sz w:val="20"/>
          <w:szCs w:val="20"/>
        </w:rPr>
        <w:t>:</w:t>
      </w:r>
    </w:p>
    <w:p w:rsidR="00000000" w:rsidRDefault="00A309A2">
      <w:pPr>
        <w:divId w:val="371661313"/>
        <w:rPr>
          <w:rFonts w:eastAsia="Times New Roman"/>
        </w:rPr>
      </w:pPr>
      <w:r>
        <w:rPr>
          <w:rFonts w:eastAsia="Times New Roman"/>
          <w:sz w:val="20"/>
          <w:szCs w:val="20"/>
        </w:rPr>
        <w:t>•</w:t>
      </w:r>
    </w:p>
    <w:p w:rsidR="00000000" w:rsidRDefault="00A309A2">
      <w:pPr>
        <w:divId w:val="773132179"/>
        <w:rPr>
          <w:rFonts w:eastAsia="Times New Roman"/>
        </w:rPr>
      </w:pPr>
      <w:r>
        <w:rPr>
          <w:rFonts w:eastAsia="Times New Roman"/>
          <w:sz w:val="20"/>
          <w:szCs w:val="20"/>
        </w:rPr>
        <w:t>Report of Independent Registered Public Accounting Fir</w:t>
      </w:r>
      <w:r>
        <w:rPr>
          <w:rFonts w:eastAsia="Times New Roman"/>
          <w:sz w:val="20"/>
          <w:szCs w:val="20"/>
        </w:rPr>
        <w:t>m</w:t>
      </w:r>
    </w:p>
    <w:p w:rsidR="00000000" w:rsidRDefault="00A309A2">
      <w:pPr>
        <w:divId w:val="1895005301"/>
        <w:rPr>
          <w:rFonts w:eastAsia="Times New Roman"/>
        </w:rPr>
      </w:pPr>
      <w:r>
        <w:rPr>
          <w:rFonts w:eastAsia="Times New Roman"/>
          <w:sz w:val="20"/>
          <w:szCs w:val="20"/>
        </w:rPr>
        <w:t>•</w:t>
      </w:r>
    </w:p>
    <w:p w:rsidR="00000000" w:rsidRDefault="00A309A2">
      <w:pPr>
        <w:divId w:val="669335075"/>
        <w:rPr>
          <w:rFonts w:eastAsia="Times New Roman"/>
        </w:rPr>
      </w:pPr>
      <w:r>
        <w:rPr>
          <w:rFonts w:eastAsia="Times New Roman"/>
          <w:sz w:val="20"/>
          <w:szCs w:val="20"/>
        </w:rPr>
        <w:t>Consolidated Balance Sheets as of December 31, 2021 and 2020</w:t>
      </w:r>
      <w:r>
        <w:rPr>
          <w:rFonts w:eastAsia="Times New Roman"/>
          <w:sz w:val="20"/>
          <w:szCs w:val="20"/>
        </w:rPr>
        <w:t xml:space="preserve"> </w:t>
      </w:r>
    </w:p>
    <w:p w:rsidR="00000000" w:rsidRDefault="00A309A2">
      <w:pPr>
        <w:divId w:val="1032652384"/>
        <w:rPr>
          <w:rFonts w:eastAsia="Times New Roman"/>
        </w:rPr>
      </w:pPr>
      <w:r>
        <w:rPr>
          <w:rFonts w:eastAsia="Times New Roman"/>
          <w:sz w:val="20"/>
          <w:szCs w:val="20"/>
        </w:rPr>
        <w:t>•</w:t>
      </w:r>
    </w:p>
    <w:p w:rsidR="00000000" w:rsidRDefault="00A309A2">
      <w:pPr>
        <w:divId w:val="884221883"/>
        <w:rPr>
          <w:rFonts w:eastAsia="Times New Roman"/>
        </w:rPr>
      </w:pPr>
      <w:r>
        <w:rPr>
          <w:rFonts w:eastAsia="Times New Roman"/>
          <w:sz w:val="20"/>
          <w:szCs w:val="20"/>
        </w:rPr>
        <w:t>Consolidated Statements of Operations for the years ended December 31, 2021, 2020 and 2019</w:t>
      </w:r>
      <w:r>
        <w:rPr>
          <w:rFonts w:eastAsia="Times New Roman"/>
          <w:sz w:val="20"/>
          <w:szCs w:val="20"/>
        </w:rPr>
        <w:t xml:space="preserve"> </w:t>
      </w:r>
    </w:p>
    <w:p w:rsidR="00000000" w:rsidRDefault="00A309A2">
      <w:pPr>
        <w:divId w:val="800463758"/>
        <w:rPr>
          <w:rFonts w:eastAsia="Times New Roman"/>
        </w:rPr>
      </w:pPr>
      <w:r>
        <w:rPr>
          <w:rFonts w:eastAsia="Times New Roman"/>
          <w:sz w:val="20"/>
          <w:szCs w:val="20"/>
        </w:rPr>
        <w:t>•</w:t>
      </w:r>
    </w:p>
    <w:p w:rsidR="00000000" w:rsidRDefault="00A309A2">
      <w:pPr>
        <w:divId w:val="609051659"/>
        <w:rPr>
          <w:rFonts w:eastAsia="Times New Roman"/>
        </w:rPr>
      </w:pPr>
      <w:r>
        <w:rPr>
          <w:rFonts w:eastAsia="Times New Roman"/>
          <w:sz w:val="20"/>
          <w:szCs w:val="20"/>
        </w:rPr>
        <w:t>Consolidated Statements of Comprehensive Loss for the years ended December 31, 2021, 2020 and 2019</w:t>
      </w:r>
      <w:r>
        <w:rPr>
          <w:rFonts w:eastAsia="Times New Roman"/>
          <w:sz w:val="20"/>
          <w:szCs w:val="20"/>
        </w:rPr>
        <w:t xml:space="preserve"> </w:t>
      </w:r>
    </w:p>
    <w:p w:rsidR="00000000" w:rsidRDefault="00A309A2">
      <w:pPr>
        <w:divId w:val="948774883"/>
        <w:rPr>
          <w:rFonts w:eastAsia="Times New Roman"/>
        </w:rPr>
      </w:pPr>
      <w:r>
        <w:rPr>
          <w:rFonts w:eastAsia="Times New Roman"/>
          <w:sz w:val="20"/>
          <w:szCs w:val="20"/>
        </w:rPr>
        <w:t>•</w:t>
      </w:r>
    </w:p>
    <w:p w:rsidR="00000000" w:rsidRDefault="00A309A2">
      <w:pPr>
        <w:divId w:val="718087976"/>
        <w:rPr>
          <w:rFonts w:eastAsia="Times New Roman"/>
        </w:rPr>
      </w:pPr>
      <w:r>
        <w:rPr>
          <w:rFonts w:eastAsia="Times New Roman"/>
          <w:sz w:val="20"/>
          <w:szCs w:val="20"/>
        </w:rPr>
        <w:t>Consolidated Statements of Cash Flows for the years ended De</w:t>
      </w:r>
      <w:r>
        <w:rPr>
          <w:rFonts w:eastAsia="Times New Roman"/>
          <w:sz w:val="20"/>
          <w:szCs w:val="20"/>
        </w:rPr>
        <w:t>cember 31, 2021, 2020 and 2019</w:t>
      </w:r>
      <w:r>
        <w:rPr>
          <w:rFonts w:eastAsia="Times New Roman"/>
          <w:sz w:val="20"/>
          <w:szCs w:val="20"/>
        </w:rPr>
        <w:t xml:space="preserve"> </w:t>
      </w:r>
    </w:p>
    <w:p w:rsidR="00000000" w:rsidRDefault="00A309A2">
      <w:pPr>
        <w:divId w:val="298921743"/>
        <w:rPr>
          <w:rFonts w:eastAsia="Times New Roman"/>
        </w:rPr>
      </w:pPr>
      <w:r>
        <w:rPr>
          <w:rFonts w:eastAsia="Times New Roman"/>
          <w:sz w:val="20"/>
          <w:szCs w:val="20"/>
        </w:rPr>
        <w:t>•</w:t>
      </w:r>
    </w:p>
    <w:p w:rsidR="00000000" w:rsidRDefault="00A309A2">
      <w:pPr>
        <w:divId w:val="1199315173"/>
        <w:rPr>
          <w:rFonts w:eastAsia="Times New Roman"/>
        </w:rPr>
      </w:pPr>
      <w:r>
        <w:rPr>
          <w:rFonts w:eastAsia="Times New Roman"/>
          <w:sz w:val="20"/>
          <w:szCs w:val="20"/>
        </w:rPr>
        <w:t>Consolidated Statements of Stockholders’ Equity for the years ended December 31, 2021, 2020 and 2019</w:t>
      </w:r>
      <w:r>
        <w:rPr>
          <w:rFonts w:eastAsia="Times New Roman"/>
          <w:sz w:val="20"/>
          <w:szCs w:val="20"/>
        </w:rPr>
        <w:t xml:space="preserve"> </w:t>
      </w:r>
    </w:p>
    <w:p w:rsidR="00000000" w:rsidRDefault="00A309A2">
      <w:pPr>
        <w:divId w:val="783384047"/>
        <w:rPr>
          <w:rFonts w:eastAsia="Times New Roman"/>
        </w:rPr>
      </w:pPr>
      <w:r>
        <w:rPr>
          <w:rFonts w:eastAsia="Times New Roman"/>
          <w:sz w:val="20"/>
          <w:szCs w:val="20"/>
        </w:rPr>
        <w:t>•</w:t>
      </w:r>
    </w:p>
    <w:p w:rsidR="00000000" w:rsidRDefault="00A309A2">
      <w:pPr>
        <w:divId w:val="1714308896"/>
        <w:rPr>
          <w:rFonts w:eastAsia="Times New Roman"/>
        </w:rPr>
      </w:pPr>
      <w:r>
        <w:rPr>
          <w:rFonts w:eastAsia="Times New Roman"/>
          <w:sz w:val="20"/>
          <w:szCs w:val="20"/>
        </w:rPr>
        <w:t>Notes to Consolidated Financial Statement</w:t>
      </w:r>
      <w:r>
        <w:rPr>
          <w:rFonts w:eastAsia="Times New Roman"/>
          <w:sz w:val="20"/>
          <w:szCs w:val="20"/>
        </w:rPr>
        <w:t>s</w:t>
      </w:r>
    </w:p>
    <w:p w:rsidR="00000000" w:rsidRDefault="00A309A2">
      <w:pPr>
        <w:pStyle w:val="a3"/>
        <w:spacing w:before="120" w:beforeAutospacing="0" w:after="0" w:afterAutospacing="0"/>
        <w:ind w:hanging="581"/>
        <w:rPr>
          <w:sz w:val="20"/>
          <w:szCs w:val="20"/>
        </w:rPr>
      </w:pPr>
      <w:r>
        <w:rPr>
          <w:sz w:val="20"/>
          <w:szCs w:val="20"/>
        </w:rPr>
        <w:t>2. Financial Statement Schedule</w:t>
      </w:r>
      <w:r>
        <w:rPr>
          <w:sz w:val="20"/>
          <w:szCs w:val="20"/>
        </w:rPr>
        <w:t>s</w:t>
      </w:r>
    </w:p>
    <w:p w:rsidR="00000000" w:rsidRDefault="00A309A2">
      <w:pPr>
        <w:pStyle w:val="a3"/>
        <w:spacing w:before="240" w:beforeAutospacing="0" w:after="0" w:afterAutospacing="0"/>
        <w:ind w:firstLine="555"/>
        <w:rPr>
          <w:sz w:val="20"/>
          <w:szCs w:val="20"/>
        </w:rPr>
      </w:pPr>
      <w:r>
        <w:rPr>
          <w:sz w:val="20"/>
          <w:szCs w:val="20"/>
        </w:rPr>
        <w:t>Financial statements schedules are omitted</w:t>
      </w:r>
      <w:r>
        <w:rPr>
          <w:sz w:val="20"/>
          <w:szCs w:val="20"/>
        </w:rPr>
        <w:t xml:space="preserve"> as they are either not required or the information is otherwise included in the consolidated financial statements</w:t>
      </w:r>
      <w:r>
        <w:rPr>
          <w:sz w:val="20"/>
          <w:szCs w:val="20"/>
        </w:rPr>
        <w:t>.</w:t>
      </w:r>
    </w:p>
    <w:p w:rsidR="00000000" w:rsidRDefault="00A309A2">
      <w:pPr>
        <w:pStyle w:val="a3"/>
        <w:spacing w:before="120" w:beforeAutospacing="0" w:after="0" w:afterAutospacing="0"/>
        <w:ind w:hanging="581"/>
        <w:rPr>
          <w:sz w:val="20"/>
          <w:szCs w:val="20"/>
        </w:rPr>
      </w:pPr>
      <w:r>
        <w:rPr>
          <w:sz w:val="20"/>
          <w:szCs w:val="20"/>
        </w:rPr>
        <w:t>3. The exhibits required by Item 601 of Regulation S-K are listed in the Exhibit List on the following page and are incorporated herein</w:t>
      </w:r>
      <w:r>
        <w:rPr>
          <w:sz w:val="20"/>
          <w:szCs w:val="20"/>
        </w:rPr>
        <w:t>.</w:t>
      </w:r>
    </w:p>
    <w:p w:rsidR="00000000" w:rsidRDefault="00A309A2">
      <w:pPr>
        <w:pStyle w:val="a3"/>
        <w:spacing w:before="0" w:beforeAutospacing="0" w:after="0" w:afterAutospacing="0"/>
        <w:rPr>
          <w:sz w:val="20"/>
          <w:szCs w:val="20"/>
        </w:rPr>
      </w:pPr>
      <w:r>
        <w:rPr>
          <w:sz w:val="18"/>
          <w:szCs w:val="18"/>
        </w:rPr>
        <w:t> </w:t>
      </w:r>
    </w:p>
    <w:p w:rsidR="00000000" w:rsidRDefault="00A309A2">
      <w:pPr>
        <w:pStyle w:val="a3"/>
        <w:spacing w:before="180" w:beforeAutospacing="0" w:after="0" w:afterAutospacing="0"/>
        <w:ind w:hanging="1220"/>
        <w:rPr>
          <w:sz w:val="20"/>
          <w:szCs w:val="20"/>
        </w:rPr>
      </w:pPr>
      <w:r>
        <w:rPr>
          <w:b/>
          <w:bCs/>
          <w:sz w:val="20"/>
          <w:szCs w:val="20"/>
        </w:rPr>
        <w:t>I</w:t>
      </w:r>
      <w:r>
        <w:rPr>
          <w:b/>
          <w:bCs/>
          <w:sz w:val="20"/>
          <w:szCs w:val="20"/>
        </w:rPr>
        <w:t>TEM 16. 1</w:t>
      </w:r>
      <w:r>
        <w:rPr>
          <w:b/>
          <w:bCs/>
          <w:sz w:val="20"/>
          <w:szCs w:val="20"/>
        </w:rPr>
        <w:t>0</w:t>
      </w:r>
      <w:r>
        <w:rPr>
          <w:b/>
          <w:bCs/>
          <w:sz w:val="20"/>
          <w:szCs w:val="20"/>
        </w:rPr>
        <w:t>-K Summar</w:t>
      </w:r>
      <w:r>
        <w:rPr>
          <w:b/>
          <w:bCs/>
          <w:sz w:val="20"/>
          <w:szCs w:val="20"/>
        </w:rPr>
        <w:t>y</w:t>
      </w:r>
    </w:p>
    <w:p w:rsidR="00000000" w:rsidRDefault="00A309A2">
      <w:pPr>
        <w:pStyle w:val="a3"/>
        <w:spacing w:before="0" w:beforeAutospacing="0" w:after="0" w:afterAutospacing="0"/>
        <w:ind w:hanging="1220"/>
        <w:rPr>
          <w:sz w:val="20"/>
          <w:szCs w:val="20"/>
        </w:rPr>
      </w:pPr>
      <w:r>
        <w:rPr>
          <w:sz w:val="12"/>
          <w:szCs w:val="12"/>
        </w:rPr>
        <w:t> </w:t>
      </w:r>
    </w:p>
    <w:p w:rsidR="00000000" w:rsidRDefault="00A309A2">
      <w:pPr>
        <w:pStyle w:val="a3"/>
        <w:spacing w:before="0" w:beforeAutospacing="0" w:after="0" w:afterAutospacing="0"/>
        <w:ind w:firstLine="555"/>
        <w:rPr>
          <w:sz w:val="20"/>
          <w:szCs w:val="20"/>
        </w:rPr>
      </w:pPr>
      <w:r>
        <w:rPr>
          <w:sz w:val="20"/>
          <w:szCs w:val="20"/>
        </w:rPr>
        <w:t>Not applicable</w:t>
      </w:r>
      <w:r>
        <w:rPr>
          <w:sz w:val="20"/>
          <w:szCs w:val="20"/>
        </w:rPr>
        <w:t>.</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9</w:t>
      </w:r>
      <w:r>
        <w:rPr>
          <w:sz w:val="20"/>
          <w:szCs w:val="20"/>
        </w:rPr>
        <w:t>7</w:t>
      </w:r>
    </w:p>
    <w:p w:rsidR="00000000" w:rsidRDefault="00A309A2">
      <w:pPr>
        <w:rPr>
          <w:rFonts w:eastAsia="Times New Roman"/>
        </w:rPr>
      </w:pPr>
      <w:r>
        <w:rPr>
          <w:rFonts w:eastAsia="Times New Roman"/>
        </w:rPr>
        <w:pict>
          <v:rect id="_x0000_i1124"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EXHIBIT LIS</w:t>
      </w:r>
      <w:r>
        <w:rPr>
          <w:b/>
          <w:bCs/>
          <w:sz w:val="20"/>
          <w:szCs w:val="20"/>
        </w:rPr>
        <w:t>T</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8"/>
        <w:gridCol w:w="109"/>
        <w:gridCol w:w="7239"/>
      </w:tblGrid>
      <w:tr w:rsidR="00000000">
        <w:trPr>
          <w:tblCellSpacing w:w="15" w:type="dxa"/>
        </w:trPr>
        <w:tc>
          <w:tcPr>
            <w:tcW w:w="507" w:type="pct"/>
            <w:vAlign w:val="center"/>
            <w:hideMark/>
          </w:tcPr>
          <w:p w:rsidR="00000000" w:rsidRDefault="00A309A2">
            <w:pPr>
              <w:rPr>
                <w:sz w:val="20"/>
                <w:szCs w:val="20"/>
              </w:rPr>
            </w:pPr>
          </w:p>
        </w:tc>
        <w:tc>
          <w:tcPr>
            <w:tcW w:w="56" w:type="pct"/>
            <w:vAlign w:val="center"/>
            <w:hideMark/>
          </w:tcPr>
          <w:p w:rsidR="00000000" w:rsidRDefault="00A309A2">
            <w:pPr>
              <w:rPr>
                <w:rFonts w:eastAsia="Times New Roman"/>
                <w:sz w:val="20"/>
                <w:szCs w:val="20"/>
              </w:rPr>
            </w:pPr>
          </w:p>
        </w:tc>
        <w:tc>
          <w:tcPr>
            <w:tcW w:w="4436"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jc w:val="center"/>
              <w:rPr>
                <w:sz w:val="16"/>
                <w:szCs w:val="16"/>
              </w:rPr>
            </w:pPr>
            <w:r>
              <w:rPr>
                <w:b/>
                <w:bCs/>
                <w:sz w:val="16"/>
                <w:szCs w:val="16"/>
              </w:rPr>
              <w:t>Exhibi</w:t>
            </w:r>
            <w:r>
              <w:rPr>
                <w:b/>
                <w:bCs/>
                <w:sz w:val="16"/>
                <w:szCs w:val="16"/>
              </w:rPr>
              <w:t>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tcBorders>
              <w:bottom w:val="single" w:sz="4" w:space="0" w:color="auto"/>
            </w:tcBorders>
            <w:tcMar>
              <w:top w:w="14" w:type="dxa"/>
              <w:left w:w="15" w:type="dxa"/>
              <w:bottom w:w="15" w:type="dxa"/>
              <w:right w:w="14" w:type="dxa"/>
            </w:tcMar>
            <w:vAlign w:val="center"/>
            <w:hideMark/>
          </w:tcPr>
          <w:p w:rsidR="00000000" w:rsidRDefault="00A309A2">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6"/>
                <w:szCs w:val="16"/>
              </w:rPr>
            </w:pPr>
            <w:r>
              <w:rPr>
                <w:sz w:val="16"/>
                <w:szCs w:val="16"/>
              </w:rPr>
              <w:t> </w:t>
            </w:r>
          </w:p>
        </w:tc>
        <w:tc>
          <w:tcPr>
            <w:tcW w:w="0" w:type="auto"/>
            <w:tcBorders>
              <w:bottom w:val="single" w:sz="4" w:space="0" w:color="auto"/>
            </w:tcBorders>
            <w:tcMar>
              <w:top w:w="14" w:type="dxa"/>
              <w:left w:w="15" w:type="dxa"/>
              <w:bottom w:w="15" w:type="dxa"/>
              <w:right w:w="14" w:type="dxa"/>
            </w:tcMar>
            <w:vAlign w:val="center"/>
            <w:hideMark/>
          </w:tcPr>
          <w:p w:rsidR="00000000" w:rsidRDefault="00A309A2">
            <w:pPr>
              <w:pStyle w:val="a3"/>
              <w:spacing w:before="0" w:beforeAutospacing="0" w:after="0" w:afterAutospacing="0"/>
              <w:jc w:val="center"/>
              <w:rPr>
                <w:sz w:val="16"/>
                <w:szCs w:val="16"/>
              </w:rPr>
            </w:pPr>
            <w:r>
              <w:rPr>
                <w:b/>
                <w:bCs/>
                <w:sz w:val="16"/>
                <w:szCs w:val="16"/>
              </w:rPr>
              <w:t>Description of exhibi</w:t>
            </w:r>
            <w:r>
              <w:rPr>
                <w:b/>
                <w:bCs/>
                <w:sz w:val="16"/>
                <w:szCs w:val="16"/>
              </w:rPr>
              <w:t>t</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3.1(1</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5" w:history="1">
              <w:r>
                <w:rPr>
                  <w:rStyle w:val="a4"/>
                  <w:sz w:val="20"/>
                  <w:szCs w:val="20"/>
                </w:rPr>
                <w:t>Seventh Amended and Restated Certificate of Incorporation (as amended and currently in effect</w:t>
              </w:r>
              <w:r>
                <w:rPr>
                  <w:rStyle w:val="a4"/>
                  <w:sz w:val="20"/>
                  <w:szCs w:val="20"/>
                </w:rPr>
                <w:t>)</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3.2(2</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6" w:history="1">
              <w:r>
                <w:rPr>
                  <w:rStyle w:val="a4"/>
                  <w:sz w:val="20"/>
                  <w:szCs w:val="20"/>
                </w:rPr>
                <w:t>Third Amended and Restated Bylaws (as currently in effect</w:t>
              </w:r>
              <w:r>
                <w:rPr>
                  <w:rStyle w:val="a4"/>
                  <w:sz w:val="20"/>
                  <w:szCs w:val="20"/>
                </w:rPr>
                <w:t>)</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4.1(3</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7" w:history="1">
              <w:r>
                <w:rPr>
                  <w:rStyle w:val="a4"/>
                  <w:sz w:val="20"/>
                  <w:szCs w:val="20"/>
                </w:rPr>
                <w:t>Form of Co</w:t>
              </w:r>
              <w:r>
                <w:rPr>
                  <w:rStyle w:val="a4"/>
                  <w:sz w:val="20"/>
                  <w:szCs w:val="20"/>
                </w:rPr>
                <w:t>mmon Stock Certificat</w:t>
              </w:r>
              <w:r>
                <w:rPr>
                  <w:rStyle w:val="a4"/>
                  <w:sz w:val="20"/>
                  <w:szCs w:val="20"/>
                </w:rPr>
                <w:t>e</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4.2(4</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8" w:history="1">
              <w:r>
                <w:rPr>
                  <w:rStyle w:val="a4"/>
                  <w:sz w:val="20"/>
                  <w:szCs w:val="20"/>
                </w:rPr>
                <w:t xml:space="preserve">Fourth Amended and Restated Investors’ </w:t>
              </w:r>
              <w:r>
                <w:rPr>
                  <w:rStyle w:val="a4"/>
                  <w:sz w:val="20"/>
                  <w:szCs w:val="20"/>
                </w:rPr>
                <w:t>Rights Agreement between the Registrant and the investors named therein dated October 25, 201</w:t>
              </w:r>
              <w:r>
                <w:rPr>
                  <w:rStyle w:val="a4"/>
                  <w:sz w:val="20"/>
                  <w:szCs w:val="20"/>
                </w:rPr>
                <w:t>2</w:t>
              </w:r>
            </w:hyperlink>
          </w:p>
        </w:tc>
      </w:tr>
      <w:tr w:rsidR="00000000">
        <w:trPr>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4.3(5</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9" w:history="1">
              <w:r>
                <w:rPr>
                  <w:rStyle w:val="a4"/>
                  <w:sz w:val="20"/>
                  <w:szCs w:val="20"/>
                </w:rPr>
                <w:t>Indenture, dated as of May 10, 2017, bet</w:t>
              </w:r>
              <w:r>
                <w:rPr>
                  <w:rStyle w:val="a4"/>
                  <w:sz w:val="20"/>
                  <w:szCs w:val="20"/>
                </w:rPr>
                <w:t>ween HubSpot, Inc., and Wilmington Trust, National Association, as truste</w:t>
              </w:r>
              <w:r>
                <w:rPr>
                  <w:rStyle w:val="a4"/>
                  <w:sz w:val="20"/>
                  <w:szCs w:val="20"/>
                </w:rPr>
                <w:t>e</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302"/>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4.4(5</w:t>
            </w:r>
            <w:r>
              <w:rPr>
                <w:sz w:val="20"/>
                <w:szCs w:val="20"/>
              </w:rPr>
              <w:t>)</w:t>
            </w:r>
          </w:p>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0" w:history="1">
              <w:r>
                <w:rPr>
                  <w:rStyle w:val="a4"/>
                  <w:sz w:val="20"/>
                  <w:szCs w:val="20"/>
                </w:rPr>
                <w:t>Form of 0.25% Convertible Senior Notes due 2022 (included i</w:t>
              </w:r>
              <w:r>
                <w:rPr>
                  <w:rStyle w:val="a4"/>
                  <w:sz w:val="20"/>
                  <w:szCs w:val="20"/>
                </w:rPr>
                <w:t>n Exhibit 4.3</w:t>
              </w:r>
              <w:r>
                <w:rPr>
                  <w:rStyle w:val="a4"/>
                  <w:sz w:val="20"/>
                  <w:szCs w:val="20"/>
                </w:rPr>
                <w:t>)</w:t>
              </w:r>
            </w:hyperlink>
          </w:p>
          <w:p w:rsidR="00000000" w:rsidRDefault="00A309A2">
            <w:pPr>
              <w:pStyle w:val="a3"/>
              <w:spacing w:before="0" w:beforeAutospacing="0" w:after="0" w:afterAutospacing="0"/>
              <w:rPr>
                <w:sz w:val="20"/>
                <w:szCs w:val="20"/>
              </w:rPr>
            </w:pPr>
            <w:r>
              <w:rPr>
                <w:sz w:val="20"/>
                <w:szCs w:val="20"/>
              </w:rPr>
              <w:t> </w:t>
            </w:r>
          </w:p>
        </w:tc>
      </w:tr>
      <w:tr w:rsidR="00000000">
        <w:trPr>
          <w:trHeight w:val="288"/>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4.5(6</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1" w:history="1">
              <w:r>
                <w:rPr>
                  <w:rStyle w:val="a4"/>
                  <w:sz w:val="20"/>
                  <w:szCs w:val="20"/>
                </w:rPr>
                <w:t>Indenture, dated as of June 4, 2020, between the Registrant, and Wilmington Trust, National Association, as truste</w:t>
              </w:r>
              <w:r>
                <w:rPr>
                  <w:rStyle w:val="a4"/>
                  <w:sz w:val="20"/>
                  <w:szCs w:val="20"/>
                </w:rPr>
                <w:t>e</w:t>
              </w:r>
            </w:hyperlink>
          </w:p>
        </w:tc>
      </w:tr>
      <w:tr w:rsidR="00000000">
        <w:trPr>
          <w:trHeight w:val="346"/>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4.6(6</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2" w:history="1">
              <w:r>
                <w:rPr>
                  <w:rStyle w:val="a4"/>
                  <w:sz w:val="20"/>
                  <w:szCs w:val="20"/>
                </w:rPr>
                <w:t>Form of 0.375% Convertible</w:t>
              </w:r>
              <w:r>
                <w:rPr>
                  <w:rStyle w:val="a4"/>
                  <w:sz w:val="20"/>
                  <w:szCs w:val="20"/>
                </w:rPr>
                <w:t xml:space="preserve"> Senior Notes due 2025 (included in Exhibit 4.5</w:t>
              </w:r>
              <w:r>
                <w:rPr>
                  <w:rStyle w:val="a4"/>
                  <w:sz w:val="20"/>
                  <w:szCs w:val="20"/>
                </w:rPr>
                <w:t>)</w:t>
              </w:r>
            </w:hyperlink>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4.7(7</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3" w:history="1">
              <w:r>
                <w:rPr>
                  <w:rStyle w:val="a4"/>
                  <w:sz w:val="20"/>
                  <w:szCs w:val="20"/>
                </w:rPr>
                <w:t>Description of the Registrant's Securities Registered Pursuant to Section 12 of the Securit</w:t>
              </w:r>
              <w:r>
                <w:rPr>
                  <w:rStyle w:val="a4"/>
                  <w:sz w:val="20"/>
                  <w:szCs w:val="20"/>
                </w:rPr>
                <w:t>ies Exchange Act of 1934, as amende</w:t>
              </w:r>
              <w:r>
                <w:rPr>
                  <w:rStyle w:val="a4"/>
                  <w:sz w:val="20"/>
                  <w:szCs w:val="20"/>
                </w:rPr>
                <w:t>d</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10.1(8</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4" w:history="1">
              <w:r>
                <w:rPr>
                  <w:rStyle w:val="a4"/>
                  <w:sz w:val="20"/>
                  <w:szCs w:val="20"/>
                </w:rPr>
                <w:t>Amended and Restated Lease between Jamestown Premier Davenport, LLC and HubSpot, Inc., executed De</w:t>
              </w:r>
              <w:r>
                <w:rPr>
                  <w:rStyle w:val="a4"/>
                  <w:sz w:val="20"/>
                  <w:szCs w:val="20"/>
                </w:rPr>
                <w:t>cember 14, 2015 and effective as of November 1, 2015; First Amendment to Amended and Restated Lease between Davenport Owner (DE) LLC and HubSpot, Inc., effective as of March 23, 2017; Second Amendment to Amended and Restated Lease between Davenport Owner (</w:t>
              </w:r>
              <w:r>
                <w:rPr>
                  <w:rStyle w:val="a4"/>
                  <w:sz w:val="20"/>
                  <w:szCs w:val="20"/>
                </w:rPr>
                <w:t>DE) LLC and HubSpot, Inc., effective as of August 31, 201</w:t>
              </w:r>
              <w:r>
                <w:rPr>
                  <w:rStyle w:val="a4"/>
                  <w:sz w:val="20"/>
                  <w:szCs w:val="20"/>
                </w:rPr>
                <w:t>8</w:t>
              </w:r>
            </w:hyperlink>
          </w:p>
        </w:tc>
      </w:tr>
      <w:tr w:rsidR="00000000">
        <w:trPr>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10.2(9</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5" w:history="1">
              <w:r>
                <w:rPr>
                  <w:rStyle w:val="a4"/>
                  <w:sz w:val="20"/>
                  <w:szCs w:val="20"/>
                </w:rPr>
                <w:t>Lease, dated February 22, 2016, among HubSpot Ireland Limited, HubSpot, Inc. and Hibermia REIT PLC and Agreement for Lease, dated November 6, 2015, among H</w:t>
              </w:r>
              <w:r>
                <w:rPr>
                  <w:rStyle w:val="a4"/>
                  <w:sz w:val="20"/>
                  <w:szCs w:val="20"/>
                </w:rPr>
                <w:t>ubSpot Ireland Limited, HubSpot, Inc. and Hibermia REIT PL</w:t>
              </w:r>
              <w:r>
                <w:rPr>
                  <w:rStyle w:val="a4"/>
                  <w:sz w:val="20"/>
                  <w:szCs w:val="20"/>
                </w:rPr>
                <w:t>C</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10.3(10</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6" w:history="1">
              <w:r>
                <w:rPr>
                  <w:rStyle w:val="a4"/>
                  <w:sz w:val="20"/>
                  <w:szCs w:val="20"/>
                </w:rPr>
                <w:t>Lease dated April 23, 2015 between Two Canal Park Massachusetts LLC (for</w:t>
              </w:r>
              <w:r>
                <w:rPr>
                  <w:rStyle w:val="a4"/>
                  <w:sz w:val="20"/>
                  <w:szCs w:val="20"/>
                </w:rPr>
                <w:t>merly BCSP Cambridge Two Property LLC) and HubSpot, Inc.; First Amendment to Lease dated August 10, 2016; Second Amendment to Lease dated March 12, 2018; Third Amendment to Lease dated December 2, 2019; Fourth Amendment to Lease dated January 6, 202</w:t>
              </w:r>
              <w:r>
                <w:rPr>
                  <w:rStyle w:val="a4"/>
                  <w:sz w:val="20"/>
                  <w:szCs w:val="20"/>
                </w:rPr>
                <w:t>0</w:t>
              </w:r>
            </w:hyperlink>
          </w:p>
        </w:tc>
      </w:tr>
      <w:tr w:rsidR="00000000">
        <w:trPr>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10.4(11</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7" w:history="1">
              <w:r>
                <w:rPr>
                  <w:rStyle w:val="a4"/>
                  <w:sz w:val="20"/>
                  <w:szCs w:val="20"/>
                </w:rPr>
                <w:t>Lease dated October 7, 2016 between One Canal Park Massachusetts LLC and HubSpot, Inc.; First Amendment to Lease dated February 14, 2017;</w:t>
              </w:r>
              <w:r>
                <w:rPr>
                  <w:rStyle w:val="a4"/>
                  <w:sz w:val="20"/>
                  <w:szCs w:val="20"/>
                </w:rPr>
                <w:t xml:space="preserve"> Second Amendment to Lease dated March 12, 2018.; Third Amendment to Lease dated May 2, 2018; Fourth Amendment to Lease dated April 19, 201</w:t>
              </w:r>
              <w:r>
                <w:rPr>
                  <w:rStyle w:val="a4"/>
                  <w:sz w:val="20"/>
                  <w:szCs w:val="20"/>
                </w:rPr>
                <w:t>9</w:t>
              </w:r>
            </w:hyperlink>
          </w:p>
        </w:tc>
      </w:tr>
      <w:tr w:rsidR="00000000">
        <w:trPr>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10.5(12</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8" w:history="1">
              <w:r>
                <w:rPr>
                  <w:rStyle w:val="a4"/>
                  <w:sz w:val="20"/>
                  <w:szCs w:val="20"/>
                </w:rPr>
                <w:t>Lease of 1 – 6 Sir John Rogerson's Quay, Windmill Quarter, Dublin 2, dated August 1, 2019, between Hibernia REIT Public Limited Company, as Landlord, HubSp</w:t>
              </w:r>
              <w:r>
                <w:rPr>
                  <w:rStyle w:val="a4"/>
                  <w:sz w:val="20"/>
                  <w:szCs w:val="20"/>
                </w:rPr>
                <w:t>ot Ireland Limited, as Tenant, SOBO Management Company Limited by Guarantee, as Management Company, and HubSpot, Inc., as Guaranto</w:t>
              </w:r>
              <w:r>
                <w:rPr>
                  <w:rStyle w:val="a4"/>
                  <w:sz w:val="20"/>
                  <w:szCs w:val="20"/>
                </w:rPr>
                <w:t>r</w:t>
              </w:r>
            </w:hyperlink>
          </w:p>
        </w:tc>
      </w:tr>
      <w:tr w:rsidR="00000000">
        <w:trPr>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10.6(13)</w:t>
            </w:r>
            <w:r>
              <w:rPr>
                <w:sz w:val="20"/>
                <w:szCs w:val="20"/>
              </w:rPr>
              <w:t>#</w:t>
            </w:r>
          </w:p>
        </w:tc>
        <w:tc>
          <w:tcPr>
            <w:tcW w:w="0" w:type="auto"/>
            <w:tcMar>
              <w:top w:w="14" w:type="dxa"/>
              <w:left w:w="15" w:type="dxa"/>
              <w:bottom w:w="15" w:type="dxa"/>
              <w:right w:w="14" w:type="dxa"/>
            </w:tcMar>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19" w:history="1">
              <w:r>
                <w:rPr>
                  <w:rStyle w:val="a4"/>
                  <w:sz w:val="20"/>
                  <w:szCs w:val="20"/>
                </w:rPr>
                <w:t>Form of Indemnification Agreement between the Registrant and each of its Executive Officers and Director</w:t>
              </w:r>
              <w:r>
                <w:rPr>
                  <w:rStyle w:val="a4"/>
                  <w:sz w:val="20"/>
                  <w:szCs w:val="20"/>
                </w:rPr>
                <w:t>s</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10.7(14)</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0" w:history="1">
              <w:r>
                <w:rPr>
                  <w:rStyle w:val="a4"/>
                  <w:sz w:val="20"/>
                  <w:szCs w:val="20"/>
                </w:rPr>
                <w:t>2007 Equity Incentive Plan and forms of restricted stock agreement and option agreements thereunde</w:t>
              </w:r>
              <w:r>
                <w:rPr>
                  <w:rStyle w:val="a4"/>
                  <w:sz w:val="20"/>
                  <w:szCs w:val="20"/>
                </w:rPr>
                <w:t>r</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10.8**</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1" w:history="1">
              <w:r>
                <w:rPr>
                  <w:rStyle w:val="a4"/>
                  <w:sz w:val="20"/>
                  <w:szCs w:val="20"/>
                </w:rPr>
                <w:t>2014 Stock Option and Grant Plan, Amendment No.1 thereto, and forms of restricted stock and option agreements thereunde</w:t>
              </w:r>
              <w:r>
                <w:rPr>
                  <w:rStyle w:val="a4"/>
                  <w:sz w:val="20"/>
                  <w:szCs w:val="20"/>
                </w:rPr>
                <w:t>r</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10.9(15)</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2" w:history="1">
              <w:r>
                <w:rPr>
                  <w:rStyle w:val="a4"/>
                  <w:sz w:val="20"/>
                  <w:szCs w:val="20"/>
                </w:rPr>
                <w:t>2014 Employee</w:t>
              </w:r>
              <w:r>
                <w:rPr>
                  <w:rStyle w:val="a4"/>
                  <w:sz w:val="20"/>
                  <w:szCs w:val="20"/>
                </w:rPr>
                <w:t xml:space="preserve"> Stock Purchase Pla</w:t>
              </w:r>
              <w:r>
                <w:rPr>
                  <w:rStyle w:val="a4"/>
                  <w:sz w:val="20"/>
                  <w:szCs w:val="20"/>
                </w:rPr>
                <w:t>n</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10.10**</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3" w:history="1">
              <w:r>
                <w:rPr>
                  <w:rStyle w:val="a4"/>
                  <w:sz w:val="20"/>
                  <w:szCs w:val="20"/>
                </w:rPr>
                <w:t>Management Cash Incentive Bonus Pla</w:t>
              </w:r>
              <w:r>
                <w:rPr>
                  <w:rStyle w:val="a4"/>
                  <w:sz w:val="20"/>
                  <w:szCs w:val="20"/>
                </w:rPr>
                <w:t>n</w:t>
              </w:r>
            </w:hyperlink>
          </w:p>
        </w:tc>
      </w:tr>
      <w:tr w:rsidR="00000000">
        <w:trPr>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10.11(16</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4" w:history="1">
              <w:r>
                <w:rPr>
                  <w:rStyle w:val="a4"/>
                  <w:sz w:val="20"/>
                  <w:szCs w:val="20"/>
                </w:rPr>
                <w:t>Form of Call Option Transaction Confirmatio</w:t>
              </w:r>
              <w:r>
                <w:rPr>
                  <w:rStyle w:val="a4"/>
                  <w:sz w:val="20"/>
                  <w:szCs w:val="20"/>
                </w:rPr>
                <w:t>n</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10.12(17</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5" w:history="1">
              <w:r>
                <w:rPr>
                  <w:rStyle w:val="a4"/>
                  <w:sz w:val="20"/>
                  <w:szCs w:val="20"/>
                </w:rPr>
                <w:t>Form of Warrant Confirmatio</w:t>
              </w:r>
              <w:r>
                <w:rPr>
                  <w:rStyle w:val="a4"/>
                  <w:sz w:val="20"/>
                  <w:szCs w:val="20"/>
                </w:rPr>
                <w:t>n</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58"/>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10.13**</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jc w:val="both"/>
              <w:rPr>
                <w:sz w:val="20"/>
                <w:szCs w:val="20"/>
              </w:rPr>
            </w:pPr>
            <w:hyperlink r:id="rId26" w:history="1">
              <w:r>
                <w:rPr>
                  <w:rStyle w:val="a4"/>
                  <w:sz w:val="20"/>
                  <w:szCs w:val="20"/>
                </w:rPr>
                <w:t>Non-Employee Director Compensation Policy (as amended and currently in effect</w:t>
              </w:r>
              <w:r>
                <w:rPr>
                  <w:rStyle w:val="a4"/>
                  <w:sz w:val="20"/>
                  <w:szCs w:val="20"/>
                </w:rPr>
                <w:t>)</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10.14(18</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7" w:history="1">
              <w:r>
                <w:rPr>
                  <w:rStyle w:val="a4"/>
                  <w:sz w:val="20"/>
                  <w:szCs w:val="20"/>
                </w:rPr>
                <w:t>Form of Capped Call Transaction Confirmatio</w:t>
              </w:r>
              <w:r>
                <w:rPr>
                  <w:rStyle w:val="a4"/>
                  <w:sz w:val="20"/>
                  <w:szCs w:val="20"/>
                </w:rPr>
                <w:t>n</w:t>
              </w:r>
            </w:hyperlink>
          </w:p>
        </w:tc>
      </w:tr>
      <w:tr w:rsidR="00000000">
        <w:trPr>
          <w:trHeight w:val="144"/>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9</w:t>
      </w:r>
      <w:r>
        <w:rPr>
          <w:sz w:val="20"/>
          <w:szCs w:val="20"/>
        </w:rPr>
        <w:t>8</w:t>
      </w:r>
    </w:p>
    <w:p w:rsidR="00000000" w:rsidRDefault="00A309A2">
      <w:pPr>
        <w:rPr>
          <w:rFonts w:eastAsia="Times New Roman"/>
        </w:rPr>
      </w:pPr>
      <w:r>
        <w:rPr>
          <w:rFonts w:eastAsia="Times New Roman"/>
        </w:rPr>
        <w:pict>
          <v:rect id="_x0000_i1125"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4"/>
        <w:gridCol w:w="109"/>
        <w:gridCol w:w="7173"/>
      </w:tblGrid>
      <w:tr w:rsidR="00000000">
        <w:trPr>
          <w:tblCellSpacing w:w="15" w:type="dxa"/>
        </w:trPr>
        <w:tc>
          <w:tcPr>
            <w:tcW w:w="507" w:type="pct"/>
            <w:vAlign w:val="center"/>
            <w:hideMark/>
          </w:tcPr>
          <w:p w:rsidR="00000000" w:rsidRDefault="00A309A2">
            <w:pPr>
              <w:rPr>
                <w:sz w:val="20"/>
                <w:szCs w:val="20"/>
              </w:rPr>
            </w:pPr>
          </w:p>
        </w:tc>
        <w:tc>
          <w:tcPr>
            <w:tcW w:w="56" w:type="pct"/>
            <w:vAlign w:val="center"/>
            <w:hideMark/>
          </w:tcPr>
          <w:p w:rsidR="00000000" w:rsidRDefault="00A309A2">
            <w:pPr>
              <w:rPr>
                <w:rFonts w:eastAsia="Times New Roman"/>
                <w:sz w:val="20"/>
                <w:szCs w:val="20"/>
              </w:rPr>
            </w:pPr>
          </w:p>
        </w:tc>
        <w:tc>
          <w:tcPr>
            <w:tcW w:w="4436" w:type="pct"/>
            <w:vAlign w:val="center"/>
            <w:hideMark/>
          </w:tcPr>
          <w:p w:rsidR="00000000" w:rsidRDefault="00A309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21.1*</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8" w:history="1">
              <w:r>
                <w:rPr>
                  <w:rStyle w:val="a4"/>
                  <w:sz w:val="20"/>
                  <w:szCs w:val="20"/>
                </w:rPr>
                <w:t>List of Subsidiarie</w:t>
              </w:r>
              <w:r>
                <w:rPr>
                  <w:rStyle w:val="a4"/>
                  <w:sz w:val="20"/>
                  <w:szCs w:val="20"/>
                </w:rPr>
                <w:t>s</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23.1*</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29" w:history="1">
              <w:r>
                <w:rPr>
                  <w:rStyle w:val="a4"/>
                  <w:sz w:val="20"/>
                  <w:szCs w:val="20"/>
                </w:rPr>
                <w:t>Consent of PricewaterhouseCoopers LLP, Independent Registered Public Accounting Fir</w:t>
              </w:r>
              <w:r>
                <w:rPr>
                  <w:rStyle w:val="a4"/>
                  <w:sz w:val="20"/>
                  <w:szCs w:val="20"/>
                </w:rPr>
                <w:t>m</w:t>
              </w:r>
            </w:hyperlink>
          </w:p>
        </w:tc>
      </w:tr>
      <w:tr w:rsidR="00000000">
        <w:trPr>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24.1*</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w:anchor="power_attorney" w:history="1">
              <w:r>
                <w:rPr>
                  <w:rStyle w:val="a4"/>
                  <w:sz w:val="20"/>
                  <w:szCs w:val="20"/>
                </w:rPr>
                <w:t>Power of Attorney (included on signature page</w:t>
              </w:r>
              <w:r>
                <w:rPr>
                  <w:rStyle w:val="a4"/>
                  <w:sz w:val="20"/>
                  <w:szCs w:val="20"/>
                </w:rPr>
                <w:t>)</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31.1*</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30" w:history="1">
              <w:r>
                <w:rPr>
                  <w:rStyle w:val="a4"/>
                  <w:sz w:val="20"/>
                  <w:szCs w:val="20"/>
                </w:rPr>
                <w:t>Certification of Chief Executive Officer Pursuant to Section 302 of the Sarbanes-Oxley Act of 200</w:t>
              </w:r>
              <w:r>
                <w:rPr>
                  <w:rStyle w:val="a4"/>
                  <w:sz w:val="20"/>
                  <w:szCs w:val="20"/>
                </w:rPr>
                <w:t>2</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31.2*</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31" w:history="1">
              <w:r>
                <w:rPr>
                  <w:rStyle w:val="a4"/>
                  <w:sz w:val="20"/>
                  <w:szCs w:val="20"/>
                </w:rPr>
                <w:t>Certification of Chief Financial Officer Pursuant to Section 302 of the Sar</w:t>
              </w:r>
              <w:r>
                <w:rPr>
                  <w:rStyle w:val="a4"/>
                  <w:sz w:val="20"/>
                  <w:szCs w:val="20"/>
                </w:rPr>
                <w:t>banes-Oxley Act of 200</w:t>
              </w:r>
              <w:r>
                <w:rPr>
                  <w:rStyle w:val="a4"/>
                  <w:sz w:val="20"/>
                  <w:szCs w:val="20"/>
                </w:rPr>
                <w:t>2</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  32.1**</w:t>
            </w:r>
            <w:r>
              <w:rPr>
                <w:sz w:val="20"/>
                <w:szCs w:val="20"/>
              </w:rPr>
              <w:t>Ÿ</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hyperlink r:id="rId32" w:history="1">
              <w:r>
                <w:rPr>
                  <w:rStyle w:val="a4"/>
                  <w:sz w:val="20"/>
                  <w:szCs w:val="20"/>
                </w:rPr>
                <w:t>Certification of Chief Executive Officer and Chief Financial Officer Pursuant to Section 906 of the Sarbanes-Oxley Act of 200</w:t>
              </w:r>
              <w:r>
                <w:rPr>
                  <w:rStyle w:val="a4"/>
                  <w:sz w:val="20"/>
                  <w:szCs w:val="20"/>
                </w:rPr>
                <w:t>2</w:t>
              </w:r>
            </w:hyperlink>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101.INS*</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Inline XBRL Instance Document – the instance document does not appear in the Interactive Data File because XBRL tags are embedded within the Inline XBRL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101.SCH*</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101.CAL*</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Inline XB</w:t>
            </w:r>
            <w:r>
              <w:rPr>
                <w:sz w:val="20"/>
                <w:szCs w:val="20"/>
              </w:rPr>
              <w:t>RL Taxonomy Extension Calculation Linkbase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101.DEF*</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101.LAB*</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rHeight w:val="12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tcMar>
              <w:top w:w="14" w:type="dxa"/>
              <w:left w:w="15" w:type="dxa"/>
              <w:bottom w:w="15" w:type="dxa"/>
              <w:right w:w="14" w:type="dxa"/>
            </w:tcMar>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101.PRE*</w:t>
            </w:r>
            <w:r>
              <w:rPr>
                <w:sz w:val="20"/>
                <w:szCs w:val="20"/>
              </w:rPr>
              <w:t>*</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p w:rsidR="00000000" w:rsidRDefault="00A309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A309A2">
            <w:pPr>
              <w:pStyle w:val="a3"/>
              <w:spacing w:before="0" w:beforeAutospacing="0" w:after="0" w:afterAutospacing="0"/>
              <w:rPr>
                <w:sz w:val="20"/>
                <w:szCs w:val="20"/>
              </w:rPr>
            </w:pPr>
            <w:r>
              <w:rPr>
                <w:sz w:val="20"/>
                <w:szCs w:val="20"/>
              </w:rPr>
              <w:t>10</w:t>
            </w:r>
            <w:r>
              <w:rPr>
                <w:sz w:val="20"/>
                <w:szCs w:val="20"/>
              </w:rPr>
              <w:t>4</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A309A2">
            <w:pPr>
              <w:pStyle w:val="a3"/>
              <w:spacing w:before="0" w:beforeAutospacing="0" w:after="0" w:afterAutospacing="0"/>
              <w:rPr>
                <w:sz w:val="20"/>
                <w:szCs w:val="20"/>
              </w:rPr>
            </w:pPr>
            <w:r>
              <w:rPr>
                <w:sz w:val="20"/>
                <w:szCs w:val="20"/>
              </w:rPr>
              <w:t>Cover Page Interactive Data File (formatted as Inline XBRL with applicable taxonomy extension information conta</w:t>
            </w:r>
            <w:r>
              <w:rPr>
                <w:sz w:val="20"/>
                <w:szCs w:val="20"/>
              </w:rPr>
              <w:t>ined in Exhibits 101.*</w:t>
            </w:r>
            <w:r>
              <w:rPr>
                <w:sz w:val="20"/>
                <w:szCs w:val="20"/>
              </w:rPr>
              <w:t>)</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ind w:hanging="581"/>
        <w:rPr>
          <w:sz w:val="20"/>
          <w:szCs w:val="20"/>
        </w:rPr>
      </w:pPr>
      <w:r>
        <w:rPr>
          <w:sz w:val="20"/>
          <w:szCs w:val="20"/>
        </w:rPr>
        <w:t># Indicates a management contract or compensatory plan</w:t>
      </w:r>
      <w:r>
        <w:rPr>
          <w:sz w:val="20"/>
          <w:szCs w:val="20"/>
        </w:rPr>
        <w:t>.</w:t>
      </w:r>
    </w:p>
    <w:p w:rsidR="00000000" w:rsidRDefault="00A309A2">
      <w:pPr>
        <w:pStyle w:val="a3"/>
        <w:spacing w:before="120" w:beforeAutospacing="0" w:after="0" w:afterAutospacing="0"/>
        <w:ind w:hanging="581"/>
        <w:rPr>
          <w:sz w:val="20"/>
          <w:szCs w:val="20"/>
        </w:rPr>
      </w:pPr>
      <w:r>
        <w:rPr>
          <w:sz w:val="20"/>
          <w:szCs w:val="20"/>
        </w:rPr>
        <w:t>** Filed herewith</w:t>
      </w:r>
      <w:r>
        <w:rPr>
          <w:sz w:val="20"/>
          <w:szCs w:val="20"/>
        </w:rPr>
        <w:t>.</w:t>
      </w:r>
    </w:p>
    <w:p w:rsidR="00000000" w:rsidRDefault="00A309A2">
      <w:pPr>
        <w:pStyle w:val="a3"/>
        <w:spacing w:before="120" w:beforeAutospacing="0" w:after="0" w:afterAutospacing="0"/>
        <w:ind w:hanging="581"/>
        <w:rPr>
          <w:sz w:val="20"/>
          <w:szCs w:val="20"/>
        </w:rPr>
      </w:pPr>
      <w:r>
        <w:rPr>
          <w:sz w:val="20"/>
          <w:szCs w:val="20"/>
        </w:rPr>
        <w:t xml:space="preserve">Ÿ </w:t>
      </w:r>
      <w:r>
        <w:rPr>
          <w:sz w:val="20"/>
          <w:szCs w:val="20"/>
        </w:rPr>
        <w:t>The certifications furnished in Exhibit 32.1 hereto are deemed to accompany this Annual Report on Form 10-K and will not be deemed “filed” for purposes of Section 18 of the Securities Exchange Act of 1934, as amended. Such certifications will not be deemed</w:t>
      </w:r>
      <w:r>
        <w:rPr>
          <w:sz w:val="20"/>
          <w:szCs w:val="20"/>
        </w:rPr>
        <w:t xml:space="preserve"> to be incorporated by reference into any filings under the Securities Act of 1933, as amended, or the Securities Exchange Act of 1934, as amended, except to the extent that the Registrant specifically incorporates any of them by reference</w:t>
      </w:r>
      <w:r>
        <w:rPr>
          <w:sz w:val="20"/>
          <w:szCs w:val="20"/>
        </w:rPr>
        <w:t>.</w:t>
      </w:r>
    </w:p>
    <w:p w:rsidR="00000000" w:rsidRDefault="00A309A2">
      <w:pPr>
        <w:pStyle w:val="a3"/>
        <w:spacing w:before="120" w:beforeAutospacing="0" w:after="0" w:afterAutospacing="0"/>
        <w:ind w:hanging="581"/>
        <w:rPr>
          <w:sz w:val="20"/>
          <w:szCs w:val="20"/>
        </w:rPr>
      </w:pPr>
      <w:r>
        <w:rPr>
          <w:sz w:val="20"/>
          <w:szCs w:val="20"/>
        </w:rPr>
        <w:t>(1) Incorporate</w:t>
      </w:r>
      <w:r>
        <w:rPr>
          <w:sz w:val="20"/>
          <w:szCs w:val="20"/>
        </w:rPr>
        <w:t>d by reference to Exhibit 3.1 to HubSpot, Inc.’s Annual Report on Form 10-K filed on February 24, 2016</w:t>
      </w:r>
      <w:r>
        <w:rPr>
          <w:sz w:val="20"/>
          <w:szCs w:val="20"/>
        </w:rPr>
        <w:t>.</w:t>
      </w:r>
    </w:p>
    <w:p w:rsidR="00000000" w:rsidRDefault="00A309A2">
      <w:pPr>
        <w:pStyle w:val="a3"/>
        <w:spacing w:before="120" w:beforeAutospacing="0" w:after="0" w:afterAutospacing="0"/>
        <w:ind w:hanging="581"/>
        <w:rPr>
          <w:sz w:val="20"/>
          <w:szCs w:val="20"/>
        </w:rPr>
      </w:pPr>
      <w:r>
        <w:rPr>
          <w:sz w:val="20"/>
          <w:szCs w:val="20"/>
        </w:rPr>
        <w:t>(2) Incorporated by reference to Exhibit 3.2 to HubSpot, Inc.’s Quarterly Report on Form 10-Q filed on November 11, 2020</w:t>
      </w:r>
      <w:r>
        <w:rPr>
          <w:sz w:val="20"/>
          <w:szCs w:val="20"/>
        </w:rPr>
        <w:t>.</w:t>
      </w:r>
    </w:p>
    <w:p w:rsidR="00000000" w:rsidRDefault="00A309A2">
      <w:pPr>
        <w:pStyle w:val="a3"/>
        <w:spacing w:before="120" w:beforeAutospacing="0" w:after="0" w:afterAutospacing="0"/>
        <w:ind w:hanging="581"/>
        <w:rPr>
          <w:sz w:val="20"/>
          <w:szCs w:val="20"/>
        </w:rPr>
      </w:pPr>
      <w:r>
        <w:rPr>
          <w:sz w:val="20"/>
          <w:szCs w:val="20"/>
        </w:rPr>
        <w:t xml:space="preserve">(3) Incorporated by reference </w:t>
      </w:r>
      <w:r>
        <w:rPr>
          <w:sz w:val="20"/>
          <w:szCs w:val="20"/>
        </w:rPr>
        <w:t>to Exhibit 4.1 to HubSpot, Inc.’s Amendment No. 1 to Registration Statement on Form S-1 (SEC File No. 333-198333) filed on September 26, 2014</w:t>
      </w:r>
      <w:r>
        <w:rPr>
          <w:sz w:val="20"/>
          <w:szCs w:val="20"/>
        </w:rPr>
        <w:t>.</w:t>
      </w:r>
    </w:p>
    <w:p w:rsidR="00000000" w:rsidRDefault="00A309A2">
      <w:pPr>
        <w:pStyle w:val="a3"/>
        <w:spacing w:before="120" w:beforeAutospacing="0" w:after="0" w:afterAutospacing="0"/>
        <w:ind w:hanging="581"/>
        <w:rPr>
          <w:sz w:val="20"/>
          <w:szCs w:val="20"/>
        </w:rPr>
      </w:pPr>
      <w:r>
        <w:rPr>
          <w:sz w:val="20"/>
          <w:szCs w:val="20"/>
        </w:rPr>
        <w:t xml:space="preserve">(4) Incorporated by reference to Exhibit 4.2 to HubSpot, Inc.’s Registration Statement on Form S-1 (SEC File No. </w:t>
      </w:r>
      <w:r>
        <w:rPr>
          <w:sz w:val="20"/>
          <w:szCs w:val="20"/>
        </w:rPr>
        <w:t>333-198333) filed on August 25, 2014</w:t>
      </w:r>
      <w:r>
        <w:rPr>
          <w:sz w:val="20"/>
          <w:szCs w:val="20"/>
        </w:rPr>
        <w:t>.</w:t>
      </w:r>
    </w:p>
    <w:p w:rsidR="00000000" w:rsidRDefault="00A309A2">
      <w:pPr>
        <w:pStyle w:val="a3"/>
        <w:spacing w:before="120" w:beforeAutospacing="0" w:after="0" w:afterAutospacing="0"/>
        <w:ind w:hanging="581"/>
        <w:rPr>
          <w:sz w:val="20"/>
          <w:szCs w:val="20"/>
        </w:rPr>
      </w:pPr>
      <w:r>
        <w:rPr>
          <w:sz w:val="20"/>
          <w:szCs w:val="20"/>
        </w:rPr>
        <w:t>(5) Incorporated by reference to Exhibit 4.1 to HubSpot, Inc.’s Form 8-K filed on May 10, 2017</w:t>
      </w:r>
      <w:r>
        <w:rPr>
          <w:sz w:val="20"/>
          <w:szCs w:val="20"/>
        </w:rPr>
        <w:t>.</w:t>
      </w:r>
    </w:p>
    <w:p w:rsidR="00000000" w:rsidRDefault="00A309A2">
      <w:pPr>
        <w:pStyle w:val="a3"/>
        <w:spacing w:before="120" w:beforeAutospacing="0" w:after="0" w:afterAutospacing="0"/>
        <w:ind w:hanging="581"/>
        <w:rPr>
          <w:sz w:val="20"/>
          <w:szCs w:val="20"/>
        </w:rPr>
      </w:pPr>
      <w:r>
        <w:rPr>
          <w:sz w:val="20"/>
          <w:szCs w:val="20"/>
        </w:rPr>
        <w:t>(6) Incorporated by reference to Exhibit 4.2 to HubSpot, Inc.’s Current Report on Form 8-K filed on June 5, 2020</w:t>
      </w:r>
      <w:r>
        <w:rPr>
          <w:sz w:val="20"/>
          <w:szCs w:val="20"/>
        </w:rPr>
        <w:t>.</w:t>
      </w:r>
    </w:p>
    <w:p w:rsidR="00000000" w:rsidRDefault="00A309A2">
      <w:pPr>
        <w:pStyle w:val="a3"/>
        <w:spacing w:before="120" w:beforeAutospacing="0" w:after="0" w:afterAutospacing="0"/>
        <w:ind w:hanging="581"/>
        <w:rPr>
          <w:sz w:val="20"/>
          <w:szCs w:val="20"/>
        </w:rPr>
      </w:pPr>
      <w:r>
        <w:rPr>
          <w:sz w:val="20"/>
          <w:szCs w:val="20"/>
        </w:rPr>
        <w:t>(7) Inco</w:t>
      </w:r>
      <w:r>
        <w:rPr>
          <w:sz w:val="20"/>
          <w:szCs w:val="20"/>
        </w:rPr>
        <w:t>rporated by reference to Exhibit 4.5 to HubSpot, Inc.’s Annual Report on Form 10-K filed on February 12, 2020</w:t>
      </w:r>
      <w:r>
        <w:rPr>
          <w:sz w:val="20"/>
          <w:szCs w:val="20"/>
        </w:rPr>
        <w:t>.</w:t>
      </w:r>
    </w:p>
    <w:p w:rsidR="00000000" w:rsidRDefault="00A309A2">
      <w:pPr>
        <w:pStyle w:val="a3"/>
        <w:spacing w:before="120" w:beforeAutospacing="0" w:after="0" w:afterAutospacing="0"/>
        <w:ind w:hanging="581"/>
        <w:rPr>
          <w:sz w:val="20"/>
          <w:szCs w:val="20"/>
        </w:rPr>
      </w:pPr>
      <w:r>
        <w:rPr>
          <w:sz w:val="20"/>
          <w:szCs w:val="20"/>
        </w:rPr>
        <w:t>(8) Incorporated by reference to Exhibit 10.1 to HubSpot, Inc.’s Annual Report on Form 10-K filed on February 12, 2019</w:t>
      </w:r>
      <w:r>
        <w:rPr>
          <w:sz w:val="20"/>
          <w:szCs w:val="20"/>
        </w:rPr>
        <w:t>.</w:t>
      </w:r>
    </w:p>
    <w:p w:rsidR="00000000" w:rsidRDefault="00A309A2">
      <w:pPr>
        <w:pStyle w:val="a3"/>
        <w:spacing w:before="120" w:beforeAutospacing="0" w:after="0" w:afterAutospacing="0"/>
        <w:ind w:hanging="581"/>
        <w:rPr>
          <w:sz w:val="20"/>
          <w:szCs w:val="20"/>
        </w:rPr>
      </w:pPr>
      <w:r>
        <w:rPr>
          <w:sz w:val="20"/>
          <w:szCs w:val="20"/>
        </w:rPr>
        <w:t>(9) Incorporated by refer</w:t>
      </w:r>
      <w:r>
        <w:rPr>
          <w:sz w:val="20"/>
          <w:szCs w:val="20"/>
        </w:rPr>
        <w:t>ence to Exhibit 10.1 to HubSpot, Inc.’s Quarterly Report on Form 10-Q filed May 4, 2016</w:t>
      </w:r>
      <w:r>
        <w:rPr>
          <w:sz w:val="20"/>
          <w:szCs w:val="20"/>
        </w:rPr>
        <w:t>.</w:t>
      </w:r>
      <w:r>
        <w:rPr>
          <w:sz w:val="20"/>
          <w:szCs w:val="20"/>
        </w:rPr>
        <w:t xml:space="preserve"> </w:t>
      </w:r>
    </w:p>
    <w:p w:rsidR="00000000" w:rsidRDefault="00A309A2">
      <w:pPr>
        <w:pStyle w:val="a3"/>
        <w:spacing w:before="120" w:beforeAutospacing="0" w:after="0" w:afterAutospacing="0"/>
        <w:ind w:hanging="581"/>
        <w:rPr>
          <w:sz w:val="20"/>
          <w:szCs w:val="20"/>
        </w:rPr>
      </w:pPr>
      <w:r>
        <w:rPr>
          <w:sz w:val="20"/>
          <w:szCs w:val="20"/>
        </w:rPr>
        <w:t>(10) Incorporated by reference to Exhibit 10.3 to HubSpot, Inc.’s Annual Report on Form 10-K filed on February 12, 2020</w:t>
      </w:r>
      <w:r>
        <w:rPr>
          <w:sz w:val="20"/>
          <w:szCs w:val="20"/>
        </w:rPr>
        <w:t>.</w:t>
      </w:r>
    </w:p>
    <w:p w:rsidR="00000000" w:rsidRDefault="00A309A2">
      <w:pPr>
        <w:pStyle w:val="a3"/>
        <w:spacing w:before="120" w:beforeAutospacing="0" w:after="0" w:afterAutospacing="0"/>
        <w:ind w:hanging="581"/>
        <w:rPr>
          <w:sz w:val="20"/>
          <w:szCs w:val="20"/>
        </w:rPr>
      </w:pPr>
      <w:r>
        <w:rPr>
          <w:sz w:val="20"/>
          <w:szCs w:val="20"/>
        </w:rPr>
        <w:t>(11) Incorporated by reference to Exhibit 10.</w:t>
      </w:r>
      <w:r>
        <w:rPr>
          <w:sz w:val="20"/>
          <w:szCs w:val="20"/>
        </w:rPr>
        <w:t>4 to HubSpot, Inc.’s Annual Report on Form 10-K filed on February 12, 2020</w:t>
      </w:r>
      <w:r>
        <w:rPr>
          <w:sz w:val="20"/>
          <w:szCs w:val="20"/>
        </w:rPr>
        <w:t>.</w:t>
      </w:r>
    </w:p>
    <w:p w:rsidR="00000000" w:rsidRDefault="00A309A2">
      <w:pPr>
        <w:pStyle w:val="a3"/>
        <w:spacing w:before="120" w:beforeAutospacing="0" w:after="0" w:afterAutospacing="0"/>
        <w:ind w:hanging="581"/>
        <w:rPr>
          <w:sz w:val="20"/>
          <w:szCs w:val="20"/>
        </w:rPr>
      </w:pPr>
      <w:r>
        <w:rPr>
          <w:sz w:val="20"/>
          <w:szCs w:val="20"/>
        </w:rPr>
        <w:t>(12) Incorporated by reference to Exhibit 10.5 to HubSpot, Inc.’s Annual Report on Form 10-K filed on February 12, 2020</w:t>
      </w:r>
      <w:r>
        <w:rPr>
          <w:sz w:val="20"/>
          <w:szCs w:val="20"/>
        </w:rPr>
        <w:t>.</w:t>
      </w:r>
    </w:p>
    <w:p w:rsidR="00000000" w:rsidRDefault="00A309A2">
      <w:pPr>
        <w:pStyle w:val="a3"/>
        <w:spacing w:before="120" w:beforeAutospacing="0" w:after="0" w:afterAutospacing="0"/>
        <w:ind w:hanging="581"/>
        <w:rPr>
          <w:sz w:val="20"/>
          <w:szCs w:val="20"/>
        </w:rPr>
      </w:pPr>
      <w:r>
        <w:rPr>
          <w:sz w:val="20"/>
          <w:szCs w:val="20"/>
        </w:rPr>
        <w:t xml:space="preserve">(13) Incorporated by reference to Exhibit 10.4 to HubSpot, </w:t>
      </w:r>
      <w:r>
        <w:rPr>
          <w:sz w:val="20"/>
          <w:szCs w:val="20"/>
        </w:rPr>
        <w:t>Inc.’s Registration Statement on Form S-1 (SEC File No. 333-198333) filed on August 25, 2014</w:t>
      </w:r>
      <w:r>
        <w:rPr>
          <w:sz w:val="20"/>
          <w:szCs w:val="20"/>
        </w:rPr>
        <w:t>.</w:t>
      </w:r>
    </w:p>
    <w:p w:rsidR="00000000" w:rsidRDefault="00A309A2">
      <w:pPr>
        <w:pStyle w:val="a3"/>
        <w:spacing w:before="120" w:beforeAutospacing="0" w:after="0" w:afterAutospacing="0"/>
        <w:ind w:hanging="581"/>
        <w:rPr>
          <w:sz w:val="20"/>
          <w:szCs w:val="20"/>
        </w:rPr>
      </w:pPr>
      <w:r>
        <w:rPr>
          <w:sz w:val="20"/>
          <w:szCs w:val="20"/>
        </w:rPr>
        <w:t>(14) Incorporated by reference to Exhibit 10.5 to HubSpot, Inc.’s Registration Statement on Form S-1 (SEC File No. 333-198333) filed on August 25, 2014</w:t>
      </w:r>
      <w:r>
        <w:rPr>
          <w:sz w:val="20"/>
          <w:szCs w:val="20"/>
        </w:rPr>
        <w:t>.</w:t>
      </w:r>
    </w:p>
    <w:p w:rsidR="00000000" w:rsidRDefault="00A309A2">
      <w:pPr>
        <w:pStyle w:val="a3"/>
        <w:spacing w:before="240" w:beforeAutospacing="0" w:after="0" w:afterAutospacing="0"/>
        <w:jc w:val="center"/>
        <w:rPr>
          <w:sz w:val="20"/>
          <w:szCs w:val="20"/>
        </w:rPr>
      </w:pPr>
      <w:r>
        <w:rPr>
          <w:sz w:val="20"/>
          <w:szCs w:val="20"/>
        </w:rPr>
        <w:t>9</w:t>
      </w:r>
      <w:r>
        <w:rPr>
          <w:sz w:val="20"/>
          <w:szCs w:val="20"/>
        </w:rPr>
        <w:t>9</w:t>
      </w:r>
    </w:p>
    <w:p w:rsidR="00000000" w:rsidRDefault="00A309A2">
      <w:pPr>
        <w:rPr>
          <w:rFonts w:eastAsia="Times New Roman"/>
        </w:rPr>
      </w:pPr>
      <w:r>
        <w:rPr>
          <w:rFonts w:eastAsia="Times New Roman"/>
        </w:rPr>
        <w:pict>
          <v:rect id="_x0000_i1126"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120" w:beforeAutospacing="0" w:after="0" w:afterAutospacing="0"/>
        <w:ind w:hanging="581"/>
        <w:rPr>
          <w:sz w:val="20"/>
          <w:szCs w:val="20"/>
        </w:rPr>
      </w:pPr>
      <w:r>
        <w:rPr>
          <w:sz w:val="20"/>
          <w:szCs w:val="20"/>
        </w:rPr>
        <w:t>(15) Incorporated by reference to Exhibit 10.8 to HubSpot, Inc.’s Amendment No. 2 to Registration Statement on Form S-1 (SEC File No. 333-198333) filed on October 6, 2014</w:t>
      </w:r>
      <w:r>
        <w:rPr>
          <w:sz w:val="20"/>
          <w:szCs w:val="20"/>
        </w:rPr>
        <w:t>.</w:t>
      </w:r>
    </w:p>
    <w:p w:rsidR="00000000" w:rsidRDefault="00A309A2">
      <w:pPr>
        <w:pStyle w:val="a3"/>
        <w:spacing w:before="120" w:beforeAutospacing="0" w:after="0" w:afterAutospacing="0"/>
        <w:ind w:hanging="581"/>
        <w:rPr>
          <w:sz w:val="20"/>
          <w:szCs w:val="20"/>
        </w:rPr>
      </w:pPr>
      <w:r>
        <w:rPr>
          <w:sz w:val="20"/>
          <w:szCs w:val="20"/>
        </w:rPr>
        <w:t>(16) Incorporated by reference to Exhibit 10.1 to Hu</w:t>
      </w:r>
      <w:r>
        <w:rPr>
          <w:sz w:val="20"/>
          <w:szCs w:val="20"/>
        </w:rPr>
        <w:t>bSpot, Inc.’s Form 8-K filed on May 10, 2017</w:t>
      </w:r>
      <w:r>
        <w:rPr>
          <w:sz w:val="20"/>
          <w:szCs w:val="20"/>
        </w:rPr>
        <w:t>.</w:t>
      </w:r>
    </w:p>
    <w:p w:rsidR="00000000" w:rsidRDefault="00A309A2">
      <w:pPr>
        <w:pStyle w:val="a3"/>
        <w:spacing w:before="120" w:beforeAutospacing="0" w:after="0" w:afterAutospacing="0"/>
        <w:ind w:hanging="581"/>
        <w:rPr>
          <w:sz w:val="20"/>
          <w:szCs w:val="20"/>
        </w:rPr>
      </w:pPr>
      <w:r>
        <w:rPr>
          <w:sz w:val="20"/>
          <w:szCs w:val="20"/>
        </w:rPr>
        <w:t>(17) Incorporated by reference to Exhibit 10.2 to HubSpot, Inc.’s Form 8-K filed on May 10, 2017</w:t>
      </w:r>
      <w:r>
        <w:rPr>
          <w:sz w:val="20"/>
          <w:szCs w:val="20"/>
        </w:rPr>
        <w:t>.</w:t>
      </w:r>
    </w:p>
    <w:p w:rsidR="00000000" w:rsidRDefault="00A309A2">
      <w:pPr>
        <w:pStyle w:val="a3"/>
        <w:spacing w:before="120" w:beforeAutospacing="0" w:after="0" w:afterAutospacing="0"/>
        <w:ind w:hanging="581"/>
        <w:rPr>
          <w:sz w:val="20"/>
          <w:szCs w:val="20"/>
        </w:rPr>
      </w:pPr>
      <w:r>
        <w:rPr>
          <w:sz w:val="20"/>
          <w:szCs w:val="20"/>
        </w:rPr>
        <w:t>(18) Incorporated by reference to Exhibit 10.1 to HubSpot, Inc.’s Current Report on Form 8-K filed on June 5, 20</w:t>
      </w:r>
      <w:r>
        <w:rPr>
          <w:sz w:val="20"/>
          <w:szCs w:val="20"/>
        </w:rPr>
        <w:t>20</w:t>
      </w:r>
      <w:r>
        <w:rPr>
          <w:sz w:val="20"/>
          <w:szCs w:val="20"/>
        </w:rPr>
        <w:t>.</w:t>
      </w:r>
    </w:p>
    <w:p w:rsidR="00000000" w:rsidRDefault="00A309A2">
      <w:pPr>
        <w:pStyle w:val="a3"/>
        <w:spacing w:before="120" w:beforeAutospacing="0" w:after="0" w:afterAutospacing="0"/>
        <w:ind w:hanging="581"/>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10</w:t>
      </w:r>
      <w:r>
        <w:rPr>
          <w:sz w:val="20"/>
          <w:szCs w:val="20"/>
        </w:rPr>
        <w:t>0</w:t>
      </w:r>
    </w:p>
    <w:p w:rsidR="00000000" w:rsidRDefault="00A309A2">
      <w:pPr>
        <w:rPr>
          <w:rFonts w:eastAsia="Times New Roman"/>
        </w:rPr>
      </w:pPr>
      <w:r>
        <w:rPr>
          <w:rFonts w:eastAsia="Times New Roman"/>
        </w:rPr>
        <w:pict>
          <v:rect id="_x0000_i1127"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A309A2">
      <w:pPr>
        <w:pStyle w:val="a3"/>
        <w:spacing w:before="240" w:beforeAutospacing="0" w:after="0" w:afterAutospacing="0"/>
        <w:ind w:firstLine="555"/>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 in the city of Cambridge, Commonwealth of Massa</w:t>
      </w:r>
      <w:r>
        <w:rPr>
          <w:sz w:val="20"/>
          <w:szCs w:val="20"/>
        </w:rPr>
        <w:t xml:space="preserve">chusetts, on the 14th day of February 2022 </w:t>
      </w:r>
      <w:r>
        <w:rPr>
          <w:sz w:val="20"/>
          <w:szCs w:val="20"/>
        </w:rPr>
        <w:t>.</w:t>
      </w:r>
    </w:p>
    <w:p w:rsidR="00000000" w:rsidRDefault="00A309A2">
      <w:pPr>
        <w:pStyle w:val="a3"/>
        <w:spacing w:before="0" w:beforeAutospacing="0" w:after="0" w:afterAutospacing="0"/>
        <w:rPr>
          <w:sz w:val="20"/>
          <w:szCs w:val="20"/>
        </w:rPr>
      </w:pPr>
      <w:r>
        <w:rPr>
          <w:sz w:val="20"/>
          <w:szCs w:val="20"/>
        </w:rPr>
        <w:t> </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381"/>
        <w:gridCol w:w="120"/>
        <w:gridCol w:w="2821"/>
      </w:tblGrid>
      <w:tr w:rsidR="00000000">
        <w:trPr>
          <w:tblCellSpacing w:w="15" w:type="dxa"/>
        </w:trPr>
        <w:tc>
          <w:tcPr>
            <w:tcW w:w="537" w:type="pct"/>
            <w:vAlign w:val="center"/>
            <w:hideMark/>
          </w:tcPr>
          <w:p w:rsidR="00000000" w:rsidRDefault="00A309A2">
            <w:pPr>
              <w:rPr>
                <w:sz w:val="20"/>
                <w:szCs w:val="20"/>
              </w:rPr>
            </w:pPr>
          </w:p>
        </w:tc>
        <w:tc>
          <w:tcPr>
            <w:tcW w:w="115" w:type="pct"/>
            <w:vAlign w:val="center"/>
            <w:hideMark/>
          </w:tcPr>
          <w:p w:rsidR="00000000" w:rsidRDefault="00A309A2">
            <w:pPr>
              <w:rPr>
                <w:rFonts w:eastAsia="Times New Roman"/>
                <w:sz w:val="20"/>
                <w:szCs w:val="20"/>
              </w:rPr>
            </w:pPr>
          </w:p>
        </w:tc>
        <w:tc>
          <w:tcPr>
            <w:tcW w:w="4347" w:type="pct"/>
            <w:vAlign w:val="center"/>
            <w:hideMark/>
          </w:tcPr>
          <w:p w:rsidR="00000000" w:rsidRDefault="00A309A2">
            <w:pPr>
              <w:rPr>
                <w:rFonts w:eastAsia="Times New Roman"/>
                <w:sz w:val="20"/>
                <w:szCs w:val="20"/>
              </w:rPr>
            </w:pPr>
          </w:p>
        </w:tc>
      </w:tr>
      <w:tr w:rsidR="00000000">
        <w:trPr>
          <w:trHeight w:val="200"/>
          <w:tblCellSpacing w:w="15" w:type="dxa"/>
        </w:trPr>
        <w:tc>
          <w:tcPr>
            <w:tcW w:w="0" w:type="auto"/>
            <w:gridSpan w:val="3"/>
            <w:hideMark/>
          </w:tcPr>
          <w:p w:rsidR="00000000" w:rsidRDefault="00A309A2">
            <w:pPr>
              <w:pStyle w:val="a3"/>
              <w:spacing w:before="0" w:beforeAutospacing="0" w:after="0" w:afterAutospacing="0"/>
              <w:rPr>
                <w:sz w:val="20"/>
                <w:szCs w:val="20"/>
              </w:rPr>
            </w:pPr>
            <w:r>
              <w:rPr>
                <w:b/>
                <w:bCs/>
                <w:sz w:val="20"/>
                <w:szCs w:val="20"/>
              </w:rPr>
              <w:t>HUBSPOT, INC</w:t>
            </w:r>
            <w:r>
              <w:rPr>
                <w:b/>
                <w:bCs/>
                <w:sz w:val="20"/>
                <w:szCs w:val="20"/>
              </w:rPr>
              <w:t>.</w:t>
            </w:r>
          </w:p>
        </w:tc>
      </w:tr>
      <w:tr w:rsidR="00000000">
        <w:trPr>
          <w:tblCellSpacing w:w="15" w:type="dxa"/>
        </w:trPr>
        <w:tc>
          <w:tcPr>
            <w:tcW w:w="0" w:type="auto"/>
            <w:vAlign w:val="center"/>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pPr>
            <w: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tcBorders>
              <w:bottom w:val="single" w:sz="4" w:space="0" w:color="auto"/>
            </w:tcBorders>
            <w:hideMark/>
          </w:tcPr>
          <w:p w:rsidR="00000000" w:rsidRDefault="00A309A2">
            <w:pPr>
              <w:pStyle w:val="a3"/>
              <w:spacing w:before="0" w:beforeAutospacing="0" w:after="0" w:afterAutospacing="0"/>
              <w:rPr>
                <w:sz w:val="20"/>
                <w:szCs w:val="20"/>
              </w:rPr>
            </w:pPr>
            <w:r>
              <w:rPr>
                <w:sz w:val="20"/>
                <w:szCs w:val="20"/>
              </w:rPr>
              <w:t>/s/ Yamini Ranga</w:t>
            </w:r>
            <w:r>
              <w:rPr>
                <w:sz w:val="20"/>
                <w:szCs w:val="20"/>
              </w:rPr>
              <w:t>n</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Yamini Ranga</w:t>
            </w:r>
            <w:r>
              <w:rPr>
                <w:sz w:val="20"/>
                <w:szCs w:val="20"/>
              </w:rPr>
              <w:t>n</w:t>
            </w:r>
          </w:p>
        </w:tc>
      </w:tr>
      <w:tr w:rsidR="00000000">
        <w:trPr>
          <w:tblCellSpacing w:w="15" w:type="dxa"/>
        </w:trPr>
        <w:tc>
          <w:tcPr>
            <w:tcW w:w="0" w:type="auto"/>
            <w:hideMark/>
          </w:tcPr>
          <w:p w:rsidR="00000000" w:rsidRDefault="00A309A2">
            <w:pPr>
              <w:pStyle w:val="a3"/>
              <w:spacing w:before="0" w:beforeAutospacing="0" w:after="0" w:afterAutospacing="0"/>
            </w:pPr>
            <w:r>
              <w:t> </w:t>
            </w:r>
          </w:p>
        </w:tc>
        <w:tc>
          <w:tcPr>
            <w:tcW w:w="0" w:type="auto"/>
            <w:vAlign w:val="bottom"/>
            <w:hideMark/>
          </w:tcPr>
          <w:p w:rsidR="00000000" w:rsidRDefault="00A309A2">
            <w:pPr>
              <w:pStyle w:val="a3"/>
              <w:spacing w:before="0" w:beforeAutospacing="0" w:after="0" w:afterAutospacing="0"/>
            </w:pPr>
            <w:r>
              <w:t> </w:t>
            </w:r>
          </w:p>
        </w:tc>
        <w:tc>
          <w:tcPr>
            <w:tcW w:w="0" w:type="auto"/>
            <w:vAlign w:val="bottom"/>
            <w:hideMark/>
          </w:tcPr>
          <w:p w:rsidR="00000000" w:rsidRDefault="00A309A2">
            <w:pPr>
              <w:pStyle w:val="a3"/>
              <w:spacing w:before="0" w:beforeAutospacing="0" w:after="0" w:afterAutospacing="0"/>
            </w:pPr>
            <w: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i/>
                <w:iCs/>
                <w:sz w:val="20"/>
                <w:szCs w:val="20"/>
              </w:rPr>
              <w:t>Chief Executive Office</w:t>
            </w:r>
            <w:r>
              <w:rPr>
                <w:i/>
                <w:iCs/>
                <w:sz w:val="20"/>
                <w:szCs w:val="20"/>
              </w:rPr>
              <w:t>r</w:t>
            </w:r>
            <w:r>
              <w:rPr>
                <w:i/>
                <w:iCs/>
                <w:sz w:val="20"/>
                <w:szCs w:val="20"/>
              </w:rPr>
              <w:t xml:space="preserve">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10</w:t>
      </w:r>
      <w:r>
        <w:rPr>
          <w:sz w:val="20"/>
          <w:szCs w:val="20"/>
        </w:rPr>
        <w:t>1</w:t>
      </w:r>
    </w:p>
    <w:p w:rsidR="00000000" w:rsidRDefault="00A309A2">
      <w:pPr>
        <w:rPr>
          <w:rFonts w:eastAsia="Times New Roman"/>
        </w:rPr>
      </w:pPr>
      <w:r>
        <w:rPr>
          <w:rFonts w:eastAsia="Times New Roman"/>
        </w:rPr>
        <w:pict>
          <v:rect id="_x0000_i1128" style="width:0;height:1.5pt" o:hralign="center" o:hrstd="t" o:hr="t" fillcolor="#a0a0a0" stroked="f"/>
        </w:pict>
      </w:r>
    </w:p>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0" w:beforeAutospacing="0" w:after="0" w:afterAutospacing="0"/>
        <w:jc w:val="center"/>
        <w:rPr>
          <w:sz w:val="20"/>
          <w:szCs w:val="20"/>
        </w:rPr>
      </w:pPr>
      <w:r>
        <w:rPr>
          <w:b/>
          <w:bCs/>
          <w:sz w:val="20"/>
          <w:szCs w:val="20"/>
        </w:rPr>
        <w:t>POWER OF</w:t>
      </w:r>
      <w:r>
        <w:rPr>
          <w:b/>
          <w:bCs/>
          <w:sz w:val="20"/>
          <w:szCs w:val="20"/>
        </w:rPr>
        <w:t xml:space="preserve"> </w:t>
      </w:r>
      <w:r>
        <w:rPr>
          <w:b/>
          <w:bCs/>
          <w:sz w:val="20"/>
          <w:szCs w:val="20"/>
        </w:rPr>
        <w:t>ATTORNE</w:t>
      </w:r>
      <w:r>
        <w:rPr>
          <w:b/>
          <w:bCs/>
          <w:sz w:val="20"/>
          <w:szCs w:val="20"/>
        </w:rPr>
        <w:t>Y</w:t>
      </w:r>
    </w:p>
    <w:p w:rsidR="00000000" w:rsidRDefault="00A309A2">
      <w:pPr>
        <w:pStyle w:val="a3"/>
        <w:spacing w:before="240" w:beforeAutospacing="0" w:after="0" w:afterAutospacing="0"/>
        <w:ind w:firstLine="555"/>
        <w:rPr>
          <w:sz w:val="20"/>
          <w:szCs w:val="20"/>
        </w:rPr>
      </w:pPr>
      <w:r>
        <w:rPr>
          <w:sz w:val="20"/>
          <w:szCs w:val="20"/>
        </w:rPr>
        <w:t>We, the undersigned directors and officers of HubSpot, Inc. (the “Company”), hereby and severally constitute and appoint Yamini Rangan, Kate Bueker, and John Kelleher and each of them singly, our true</w:t>
      </w:r>
      <w:r>
        <w:rPr>
          <w:sz w:val="20"/>
          <w:szCs w:val="20"/>
        </w:rPr>
        <w:t xml:space="preserve"> and lawful attorneys, with full power to them, and each of them singly, to sign for us and in our names in the capacities indicated below, and to file any and all amendments to this Annual Report on Form 10-K, and to file the same, with all exhibits there</w:t>
      </w:r>
      <w:r>
        <w:rPr>
          <w:sz w:val="20"/>
          <w:szCs w:val="20"/>
        </w:rPr>
        <w:t>to, and other documents in connection therewith, with the Securities and Exchange Commission, granting unto said attorneys-in-fact and agents, and each of them, full power and authority to do and perform each and every act and thing, requisite and necessar</w:t>
      </w:r>
      <w:r>
        <w:rPr>
          <w:sz w:val="20"/>
          <w:szCs w:val="20"/>
        </w:rPr>
        <w:t xml:space="preserve">y to be done in connection therewith, as fully to all intents and purposes as each of us might or could do in person and hereby ratifying and confirming all that said attorneys and each of them, or their substitutes, shall do or cause to be done by virtue </w:t>
      </w:r>
      <w:r>
        <w:rPr>
          <w:sz w:val="20"/>
          <w:szCs w:val="20"/>
        </w:rPr>
        <w:t>of this Power of Attorney</w:t>
      </w:r>
      <w:r>
        <w:rPr>
          <w:sz w:val="20"/>
          <w:szCs w:val="20"/>
        </w:rPr>
        <w:t>.</w:t>
      </w:r>
    </w:p>
    <w:p w:rsidR="00000000" w:rsidRDefault="00A309A2">
      <w:pPr>
        <w:pStyle w:val="a3"/>
        <w:spacing w:before="240" w:beforeAutospacing="0" w:after="0" w:afterAutospacing="0"/>
        <w:ind w:firstLine="555"/>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r>
        <w:rPr>
          <w:sz w:val="20"/>
          <w:szCs w:val="20"/>
        </w:rPr>
        <w:t>.</w:t>
      </w:r>
    </w:p>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6"/>
        <w:gridCol w:w="111"/>
        <w:gridCol w:w="3524"/>
        <w:gridCol w:w="111"/>
        <w:gridCol w:w="1264"/>
      </w:tblGrid>
      <w:tr w:rsidR="00000000">
        <w:trPr>
          <w:tblCellSpacing w:w="15" w:type="dxa"/>
        </w:trPr>
        <w:tc>
          <w:tcPr>
            <w:tcW w:w="1999"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2149"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50" w:type="pct"/>
            <w:vAlign w:val="center"/>
            <w:hideMark/>
          </w:tcPr>
          <w:p w:rsidR="00000000" w:rsidRDefault="00A309A2">
            <w:pPr>
              <w:rPr>
                <w:rFonts w:eastAsia="Times New Roman"/>
                <w:sz w:val="20"/>
                <w:szCs w:val="20"/>
              </w:rPr>
            </w:pPr>
          </w:p>
        </w:tc>
      </w:tr>
      <w:tr w:rsidR="00000000">
        <w:trPr>
          <w:trHeight w:val="160"/>
          <w:tblCellSpacing w:w="15" w:type="dxa"/>
        </w:trPr>
        <w:tc>
          <w:tcPr>
            <w:tcW w:w="0" w:type="auto"/>
            <w:vAlign w:val="bottom"/>
            <w:hideMark/>
          </w:tcPr>
          <w:p w:rsidR="00000000" w:rsidRDefault="00A309A2">
            <w:pPr>
              <w:pStyle w:val="a3"/>
              <w:spacing w:before="0" w:beforeAutospacing="0" w:after="0" w:afterAutospacing="0"/>
              <w:jc w:val="center"/>
              <w:rPr>
                <w:sz w:val="16"/>
                <w:szCs w:val="16"/>
              </w:rPr>
            </w:pPr>
            <w:r>
              <w:rPr>
                <w:b/>
                <w:bCs/>
                <w:sz w:val="16"/>
                <w:szCs w:val="16"/>
              </w:rPr>
              <w:t>Signatur</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b/>
                <w:bCs/>
                <w:sz w:val="16"/>
                <w:szCs w:val="16"/>
              </w:rPr>
              <w:t>Titl</w:t>
            </w:r>
            <w:r>
              <w:rPr>
                <w:b/>
                <w:bCs/>
                <w:sz w:val="16"/>
                <w:szCs w:val="16"/>
              </w:rPr>
              <w:t>e</w:t>
            </w:r>
          </w:p>
        </w:tc>
        <w:tc>
          <w:tcPr>
            <w:tcW w:w="0" w:type="auto"/>
            <w:vAlign w:val="bottom"/>
            <w:hideMark/>
          </w:tcPr>
          <w:p w:rsidR="00000000" w:rsidRDefault="00A309A2">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309A2">
            <w:pPr>
              <w:pStyle w:val="a3"/>
              <w:spacing w:before="0" w:beforeAutospacing="0" w:after="0" w:afterAutospacing="0"/>
              <w:jc w:val="center"/>
              <w:rPr>
                <w:sz w:val="16"/>
                <w:szCs w:val="16"/>
              </w:rPr>
            </w:pPr>
            <w:r>
              <w:rPr>
                <w:b/>
                <w:bCs/>
                <w:sz w:val="16"/>
                <w:szCs w:val="16"/>
              </w:rPr>
              <w:t>Dat</w:t>
            </w:r>
            <w:r>
              <w:rPr>
                <w:b/>
                <w:bCs/>
                <w:sz w:val="16"/>
                <w:szCs w:val="16"/>
              </w:rPr>
              <w:t>e</w:t>
            </w:r>
          </w:p>
        </w:tc>
      </w:tr>
      <w:tr w:rsidR="00000000">
        <w:trPr>
          <w:tblCellSpacing w:w="15" w:type="dxa"/>
        </w:trPr>
        <w:tc>
          <w:tcPr>
            <w:tcW w:w="0" w:type="auto"/>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A309A2">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/s/ Yamini Ranga</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Chief Executive Office</w:t>
            </w:r>
            <w:r>
              <w:rPr>
                <w:sz w:val="20"/>
                <w:szCs w:val="20"/>
              </w:rPr>
              <w:t>r</w:t>
            </w:r>
            <w:r>
              <w:rPr>
                <w:sz w:val="20"/>
                <w:szCs w:val="20"/>
              </w:rPr>
              <w:t xml:space="preserve">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Yamini Ranga</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i/>
                <w:iCs/>
                <w:sz w:val="20"/>
                <w:szCs w:val="20"/>
              </w:rPr>
              <w:t>(Principal Executive Officer</w:t>
            </w:r>
            <w:r>
              <w:rPr>
                <w:i/>
                <w:iCs/>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jc w:val="center"/>
            </w:pPr>
            <w: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/s/ Kate Bueke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Chief Financial Office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Kate Bueke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i/>
                <w:iCs/>
                <w:sz w:val="20"/>
                <w:szCs w:val="20"/>
              </w:rPr>
              <w:t>(Principal Financial and Accounting Officer</w:t>
            </w:r>
            <w:r>
              <w:rPr>
                <w:i/>
                <w:iCs/>
                <w:sz w:val="20"/>
                <w:szCs w:val="20"/>
              </w:rPr>
              <w:t>)</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pPr>
            <w:r>
              <w:t> </w:t>
            </w:r>
          </w:p>
        </w:tc>
      </w:tr>
      <w:tr w:rsidR="00000000">
        <w:trPr>
          <w:trHeight w:val="200"/>
          <w:tblCellSpacing w:w="15" w:type="dxa"/>
        </w:trPr>
        <w:tc>
          <w:tcPr>
            <w:tcW w:w="0" w:type="auto"/>
            <w:tcBorders>
              <w:bottom w:val="single" w:sz="4" w:space="0" w:color="auto"/>
            </w:tcBorders>
            <w:vAlign w:val="center"/>
            <w:hideMark/>
          </w:tcPr>
          <w:p w:rsidR="00000000" w:rsidRDefault="00A309A2">
            <w:pPr>
              <w:pStyle w:val="a3"/>
              <w:spacing w:before="0" w:beforeAutospacing="0" w:after="0" w:afterAutospacing="0"/>
              <w:rPr>
                <w:sz w:val="20"/>
                <w:szCs w:val="20"/>
              </w:rPr>
            </w:pPr>
            <w:r>
              <w:rPr>
                <w:sz w:val="20"/>
                <w:szCs w:val="20"/>
              </w:rPr>
              <w:t>/s/ Brian Halliga</w:t>
            </w:r>
            <w:r>
              <w:rPr>
                <w:sz w:val="20"/>
                <w:szCs w:val="20"/>
              </w:rPr>
              <w:t>n</w:t>
            </w:r>
          </w:p>
        </w:tc>
        <w:tc>
          <w:tcPr>
            <w:tcW w:w="0" w:type="auto"/>
            <w:gridSpan w:val="2"/>
            <w:vAlign w:val="center"/>
            <w:hideMark/>
          </w:tcPr>
          <w:p w:rsidR="00000000" w:rsidRDefault="00A309A2">
            <w:pPr>
              <w:pStyle w:val="a3"/>
              <w:spacing w:before="0" w:beforeAutospacing="0" w:after="0" w:afterAutospacing="0"/>
              <w:rPr>
                <w:sz w:val="20"/>
                <w:szCs w:val="20"/>
              </w:rPr>
            </w:pPr>
            <w:r>
              <w:rPr>
                <w:sz w:val="20"/>
                <w:szCs w:val="20"/>
              </w:rPr>
              <w:t>  Executive Chairperso</w:t>
            </w:r>
            <w:r>
              <w:rPr>
                <w:sz w:val="20"/>
                <w:szCs w:val="20"/>
              </w:rPr>
              <w:t>n</w:t>
            </w:r>
          </w:p>
        </w:tc>
        <w:tc>
          <w:tcPr>
            <w:tcW w:w="0" w:type="auto"/>
            <w:gridSpan w:val="2"/>
            <w:vAlign w:val="center"/>
            <w:hideMark/>
          </w:tcPr>
          <w:p w:rsidR="00000000" w:rsidRDefault="00A309A2">
            <w:pPr>
              <w:pStyle w:val="a3"/>
              <w:spacing w:before="0" w:beforeAutospacing="0" w:after="0" w:afterAutospacing="0"/>
              <w:jc w:val="center"/>
              <w:rPr>
                <w:sz w:val="20"/>
                <w:szCs w:val="20"/>
              </w:rPr>
            </w:pPr>
            <w:r>
              <w:rPr>
                <w:sz w:val="20"/>
                <w:szCs w:val="20"/>
              </w:rPr>
              <w:t> February 14, 202</w:t>
            </w:r>
            <w:r>
              <w:rPr>
                <w:sz w:val="20"/>
                <w:szCs w:val="20"/>
              </w:rPr>
              <w:t>2</w:t>
            </w:r>
          </w:p>
        </w:tc>
      </w:tr>
      <w:tr w:rsidR="00000000">
        <w:trPr>
          <w:trHeight w:val="200"/>
          <w:tblCellSpacing w:w="15" w:type="dxa"/>
        </w:trPr>
        <w:tc>
          <w:tcPr>
            <w:tcW w:w="0" w:type="auto"/>
            <w:vAlign w:val="center"/>
            <w:hideMark/>
          </w:tcPr>
          <w:p w:rsidR="00000000" w:rsidRDefault="00A309A2">
            <w:pPr>
              <w:pStyle w:val="a3"/>
              <w:spacing w:before="0" w:beforeAutospacing="0" w:after="0" w:afterAutospacing="0"/>
              <w:rPr>
                <w:sz w:val="20"/>
                <w:szCs w:val="20"/>
              </w:rPr>
            </w:pPr>
            <w:r>
              <w:rPr>
                <w:sz w:val="20"/>
                <w:szCs w:val="20"/>
              </w:rPr>
              <w:t>Brian Halliga</w:t>
            </w:r>
            <w:r>
              <w:rPr>
                <w:sz w:val="20"/>
                <w:szCs w:val="20"/>
              </w:rPr>
              <w:t>n</w:t>
            </w:r>
          </w:p>
        </w:tc>
        <w:tc>
          <w:tcPr>
            <w:tcW w:w="0" w:type="auto"/>
            <w:gridSpan w:val="2"/>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pPr>
            <w:r>
              <w:t> </w:t>
            </w:r>
          </w:p>
        </w:tc>
      </w:tr>
      <w:tr w:rsidR="00000000">
        <w:trPr>
          <w:tblCellSpacing w:w="15" w:type="dxa"/>
        </w:trPr>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jc w:val="center"/>
            </w:pPr>
            <w: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/s/ Dharmesh Sha</w:t>
            </w:r>
            <w:r>
              <w:rPr>
                <w:sz w:val="20"/>
                <w:szCs w:val="20"/>
              </w:rPr>
              <w:t>h</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Director and Chief Technology Office</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Dharmesh Sha</w:t>
            </w:r>
            <w:r>
              <w:rPr>
                <w:sz w:val="20"/>
                <w:szCs w:val="20"/>
              </w:rPr>
              <w:t>h</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309A2">
            <w:pPr>
              <w:pStyle w:val="a3"/>
              <w:spacing w:before="0" w:beforeAutospacing="0" w:after="0" w:afterAutospacing="0"/>
              <w:jc w:val="center"/>
            </w:pPr>
            <w: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/s/ Nick Caldwel</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Nick Caldwel</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Borders>
              <w:bottom w:val="single" w:sz="4" w:space="0" w:color="auto"/>
            </w:tcBorders>
            <w:hideMark/>
          </w:tcPr>
          <w:p w:rsidR="00000000" w:rsidRDefault="00A309A2">
            <w:pPr>
              <w:pStyle w:val="a3"/>
              <w:spacing w:before="0" w:beforeAutospacing="0" w:after="0" w:afterAutospacing="0"/>
              <w:rPr>
                <w:sz w:val="20"/>
                <w:szCs w:val="20"/>
              </w:rPr>
            </w:pPr>
            <w:r>
              <w:rPr>
                <w:sz w:val="20"/>
                <w:szCs w:val="20"/>
              </w:rPr>
              <w:t>/s/ Ron Gil</w:t>
            </w:r>
            <w:r>
              <w:rPr>
                <w:sz w:val="20"/>
                <w:szCs w:val="20"/>
              </w:rPr>
              <w:t>l</w:t>
            </w:r>
          </w:p>
        </w:tc>
        <w:tc>
          <w:tcPr>
            <w:tcW w:w="0" w:type="auto"/>
            <w:tcBorders>
              <w:bottom w:val="single" w:sz="4" w:space="0" w:color="auto"/>
            </w:tcBorders>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Ron Gil</w:t>
            </w:r>
            <w:r>
              <w:rPr>
                <w:sz w:val="20"/>
                <w:szCs w:val="20"/>
              </w:rPr>
              <w:t>l</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rHeight w:val="202"/>
          <w:tblCellSpacing w:w="15" w:type="dxa"/>
        </w:trPr>
        <w:tc>
          <w:tcPr>
            <w:tcW w:w="0" w:type="auto"/>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jc w:val="center"/>
            </w:pPr>
            <w: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/s/ Julie Herendee</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Julie Herendee</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jc w:val="center"/>
            </w:pPr>
            <w:r>
              <w:t> </w:t>
            </w:r>
          </w:p>
        </w:tc>
      </w:tr>
      <w:tr w:rsidR="00000000">
        <w:trPr>
          <w:trHeight w:val="200"/>
          <w:tblCellSpacing w:w="15" w:type="dxa"/>
        </w:trPr>
        <w:tc>
          <w:tcPr>
            <w:tcW w:w="0" w:type="auto"/>
            <w:tcBorders>
              <w:bottom w:val="single" w:sz="4" w:space="0" w:color="auto"/>
            </w:tcBorders>
            <w:hideMark/>
          </w:tcPr>
          <w:p w:rsidR="00000000" w:rsidRDefault="00A309A2">
            <w:pPr>
              <w:pStyle w:val="a3"/>
              <w:spacing w:before="0" w:beforeAutospacing="0" w:after="0" w:afterAutospacing="0"/>
              <w:rPr>
                <w:sz w:val="20"/>
                <w:szCs w:val="20"/>
              </w:rPr>
            </w:pPr>
            <w:r>
              <w:rPr>
                <w:sz w:val="20"/>
                <w:szCs w:val="20"/>
              </w:rPr>
              <w:t>/s/ Lorrie Norringto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Lorrie Norringto</w:t>
            </w:r>
            <w:r>
              <w:rPr>
                <w:sz w:val="20"/>
                <w:szCs w:val="20"/>
              </w:rPr>
              <w:t>n</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/s/ Avanish Saha</w:t>
            </w:r>
            <w:r>
              <w:rPr>
                <w:sz w:val="20"/>
                <w:szCs w:val="20"/>
              </w:rPr>
              <w:t>i</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Avanish Saha</w:t>
            </w:r>
            <w:r>
              <w:rPr>
                <w:sz w:val="20"/>
                <w:szCs w:val="20"/>
              </w:rPr>
              <w:t>i</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r w:rsidR="00000000">
        <w:trPr>
          <w:tblCellSpacing w:w="15" w:type="dxa"/>
        </w:trPr>
        <w:tc>
          <w:tcPr>
            <w:tcW w:w="0" w:type="auto"/>
            <w:vAlign w:val="center"/>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pPr>
            <w:r>
              <w:t> </w:t>
            </w:r>
          </w:p>
        </w:tc>
        <w:tc>
          <w:tcPr>
            <w:tcW w:w="0" w:type="auto"/>
            <w:gridSpan w:val="2"/>
            <w:vAlign w:val="center"/>
            <w:hideMark/>
          </w:tcPr>
          <w:p w:rsidR="00000000" w:rsidRDefault="00A309A2">
            <w:pPr>
              <w:pStyle w:val="a3"/>
              <w:spacing w:before="0" w:beforeAutospacing="0" w:after="0" w:afterAutospacing="0"/>
              <w:jc w:val="center"/>
            </w:pPr>
            <w:r>
              <w:t> </w:t>
            </w:r>
          </w:p>
        </w:tc>
      </w:tr>
      <w:tr w:rsidR="00000000">
        <w:trPr>
          <w:trHeight w:val="200"/>
          <w:tblCellSpacing w:w="15" w:type="dxa"/>
        </w:trPr>
        <w:tc>
          <w:tcPr>
            <w:tcW w:w="0" w:type="auto"/>
            <w:tcBorders>
              <w:bottom w:val="single" w:sz="4" w:space="0" w:color="auto"/>
            </w:tcBorders>
            <w:hideMark/>
          </w:tcPr>
          <w:p w:rsidR="00000000" w:rsidRDefault="00A309A2">
            <w:pPr>
              <w:pStyle w:val="a3"/>
              <w:spacing w:before="0" w:beforeAutospacing="0" w:after="0" w:afterAutospacing="0"/>
              <w:rPr>
                <w:sz w:val="20"/>
                <w:szCs w:val="20"/>
              </w:rPr>
            </w:pPr>
            <w:r>
              <w:rPr>
                <w:sz w:val="20"/>
                <w:szCs w:val="20"/>
              </w:rPr>
              <w:t>/s/ Jay Simon</w:t>
            </w:r>
            <w:r>
              <w:rPr>
                <w:sz w:val="20"/>
                <w:szCs w:val="20"/>
              </w:rPr>
              <w:t>s</w:t>
            </w:r>
          </w:p>
        </w:tc>
        <w:tc>
          <w:tcPr>
            <w:tcW w:w="0" w:type="auto"/>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w:t>
            </w:r>
            <w:r>
              <w:rPr>
                <w:sz w:val="20"/>
                <w:szCs w:val="20"/>
              </w:rPr>
              <w:t>r</w:t>
            </w:r>
          </w:p>
        </w:tc>
        <w:tc>
          <w:tcPr>
            <w:tcW w:w="0" w:type="auto"/>
            <w:hideMark/>
          </w:tcPr>
          <w:p w:rsidR="00000000" w:rsidRDefault="00A309A2">
            <w:pPr>
              <w:pStyle w:val="a3"/>
              <w:spacing w:before="0" w:beforeAutospacing="0" w:after="0" w:afterAutospacing="0"/>
              <w:jc w:val="center"/>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Jay Simon</w:t>
            </w:r>
            <w:r>
              <w:rPr>
                <w:sz w:val="20"/>
                <w:szCs w:val="20"/>
              </w:rPr>
              <w:t>s</w:t>
            </w:r>
          </w:p>
        </w:tc>
        <w:tc>
          <w:tcPr>
            <w:tcW w:w="0" w:type="auto"/>
            <w:gridSpan w:val="2"/>
            <w:vAlign w:val="center"/>
            <w:hideMark/>
          </w:tcPr>
          <w:p w:rsidR="00000000" w:rsidRDefault="00A309A2">
            <w:pPr>
              <w:pStyle w:val="a3"/>
              <w:spacing w:before="0" w:beforeAutospacing="0" w:after="0" w:afterAutospacing="0"/>
              <w:rPr>
                <w:sz w:val="12"/>
                <w:szCs w:val="12"/>
              </w:rPr>
            </w:pPr>
            <w:r>
              <w:rPr>
                <w:sz w:val="12"/>
                <w:szCs w:val="12"/>
              </w:rPr>
              <w:t> </w:t>
            </w:r>
          </w:p>
        </w:tc>
        <w:tc>
          <w:tcPr>
            <w:tcW w:w="0" w:type="auto"/>
            <w:gridSpan w:val="2"/>
            <w:vAlign w:val="center"/>
            <w:hideMark/>
          </w:tcPr>
          <w:p w:rsidR="00000000" w:rsidRDefault="00A309A2">
            <w:pPr>
              <w:pStyle w:val="a3"/>
              <w:spacing w:before="0" w:beforeAutospacing="0" w:after="0" w:afterAutospacing="0"/>
              <w:jc w:val="center"/>
              <w:rPr>
                <w:sz w:val="12"/>
                <w:szCs w:val="12"/>
              </w:rPr>
            </w:pPr>
            <w:r>
              <w:rPr>
                <w:sz w:val="12"/>
                <w:szCs w:val="12"/>
              </w:rPr>
              <w:t> </w:t>
            </w:r>
          </w:p>
        </w:tc>
      </w:tr>
    </w:tbl>
    <w:p w:rsidR="00000000" w:rsidRDefault="00A309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6"/>
        <w:gridCol w:w="111"/>
        <w:gridCol w:w="3524"/>
        <w:gridCol w:w="111"/>
        <w:gridCol w:w="1264"/>
      </w:tblGrid>
      <w:tr w:rsidR="00000000">
        <w:trPr>
          <w:tblCellSpacing w:w="15" w:type="dxa"/>
        </w:trPr>
        <w:tc>
          <w:tcPr>
            <w:tcW w:w="2000" w:type="pct"/>
            <w:vAlign w:val="center"/>
            <w:hideMark/>
          </w:tcPr>
          <w:p w:rsidR="00000000" w:rsidRDefault="00A309A2">
            <w:pPr>
              <w:rPr>
                <w:sz w:val="20"/>
                <w:szCs w:val="20"/>
              </w:rPr>
            </w:pPr>
          </w:p>
        </w:tc>
        <w:tc>
          <w:tcPr>
            <w:tcW w:w="50" w:type="pct"/>
            <w:vAlign w:val="center"/>
            <w:hideMark/>
          </w:tcPr>
          <w:p w:rsidR="00000000" w:rsidRDefault="00A309A2">
            <w:pPr>
              <w:rPr>
                <w:rFonts w:eastAsia="Times New Roman"/>
                <w:sz w:val="20"/>
                <w:szCs w:val="20"/>
              </w:rPr>
            </w:pPr>
          </w:p>
        </w:tc>
        <w:tc>
          <w:tcPr>
            <w:tcW w:w="2150" w:type="pct"/>
            <w:vAlign w:val="center"/>
            <w:hideMark/>
          </w:tcPr>
          <w:p w:rsidR="00000000" w:rsidRDefault="00A309A2">
            <w:pPr>
              <w:rPr>
                <w:rFonts w:eastAsia="Times New Roman"/>
                <w:sz w:val="20"/>
                <w:szCs w:val="20"/>
              </w:rPr>
            </w:pPr>
          </w:p>
        </w:tc>
        <w:tc>
          <w:tcPr>
            <w:tcW w:w="50" w:type="pct"/>
            <w:vAlign w:val="center"/>
            <w:hideMark/>
          </w:tcPr>
          <w:p w:rsidR="00000000" w:rsidRDefault="00A309A2">
            <w:pPr>
              <w:rPr>
                <w:rFonts w:eastAsia="Times New Roman"/>
                <w:sz w:val="20"/>
                <w:szCs w:val="20"/>
              </w:rPr>
            </w:pPr>
          </w:p>
        </w:tc>
        <w:tc>
          <w:tcPr>
            <w:tcW w:w="750" w:type="pct"/>
            <w:vAlign w:val="center"/>
            <w:hideMark/>
          </w:tcPr>
          <w:p w:rsidR="00000000" w:rsidRDefault="00A309A2">
            <w:pPr>
              <w:rPr>
                <w:rFonts w:eastAsia="Times New Roman"/>
                <w:sz w:val="20"/>
                <w:szCs w:val="20"/>
              </w:rPr>
            </w:pP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/s/ Jill War</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rPr>
                <w:sz w:val="20"/>
                <w:szCs w:val="20"/>
              </w:rPr>
            </w:pPr>
            <w:r>
              <w:rPr>
                <w:sz w:val="20"/>
                <w:szCs w:val="20"/>
              </w:rPr>
              <w:t>Directo</w:t>
            </w:r>
            <w:r>
              <w:rPr>
                <w:sz w:val="20"/>
                <w:szCs w:val="20"/>
              </w:rPr>
              <w:t>r</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hideMark/>
          </w:tcPr>
          <w:p w:rsidR="00000000" w:rsidRDefault="00A309A2">
            <w:pPr>
              <w:pStyle w:val="a3"/>
              <w:spacing w:before="0" w:beforeAutospacing="0" w:after="0" w:afterAutospacing="0"/>
              <w:jc w:val="center"/>
              <w:rPr>
                <w:sz w:val="20"/>
                <w:szCs w:val="20"/>
              </w:rPr>
            </w:pPr>
            <w:r>
              <w:rPr>
                <w:sz w:val="20"/>
                <w:szCs w:val="20"/>
              </w:rPr>
              <w:t>February 14, 202</w:t>
            </w:r>
            <w:r>
              <w:rPr>
                <w:sz w:val="20"/>
                <w:szCs w:val="20"/>
              </w:rPr>
              <w:t>2</w:t>
            </w:r>
          </w:p>
        </w:tc>
      </w:tr>
      <w:tr w:rsidR="00000000">
        <w:trPr>
          <w:trHeight w:val="200"/>
          <w:tblCellSpacing w:w="15" w:type="dxa"/>
        </w:trPr>
        <w:tc>
          <w:tcPr>
            <w:tcW w:w="0" w:type="auto"/>
            <w:hideMark/>
          </w:tcPr>
          <w:p w:rsidR="00000000" w:rsidRDefault="00A309A2">
            <w:pPr>
              <w:pStyle w:val="a3"/>
              <w:spacing w:before="0" w:beforeAutospacing="0" w:after="0" w:afterAutospacing="0"/>
              <w:rPr>
                <w:sz w:val="20"/>
                <w:szCs w:val="20"/>
              </w:rPr>
            </w:pPr>
            <w:r>
              <w:rPr>
                <w:sz w:val="20"/>
                <w:szCs w:val="20"/>
              </w:rPr>
              <w:t>Jill War</w:t>
            </w:r>
            <w:r>
              <w:rPr>
                <w:sz w:val="20"/>
                <w:szCs w:val="20"/>
              </w:rPr>
              <w:t>d</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rPr>
                <w:sz w:val="20"/>
                <w:szCs w:val="20"/>
              </w:rPr>
            </w:pPr>
            <w:r>
              <w:rPr>
                <w:sz w:val="20"/>
                <w:szCs w:val="20"/>
              </w:rPr>
              <w:t> </w:t>
            </w:r>
          </w:p>
        </w:tc>
        <w:tc>
          <w:tcPr>
            <w:tcW w:w="0" w:type="auto"/>
            <w:vAlign w:val="bottom"/>
            <w:hideMark/>
          </w:tcPr>
          <w:p w:rsidR="00000000" w:rsidRDefault="00A309A2">
            <w:pPr>
              <w:pStyle w:val="a3"/>
              <w:spacing w:before="0" w:beforeAutospacing="0" w:after="0" w:afterAutospacing="0"/>
              <w:jc w:val="center"/>
              <w:rPr>
                <w:sz w:val="20"/>
                <w:szCs w:val="20"/>
              </w:rPr>
            </w:pPr>
            <w:r>
              <w:rPr>
                <w:sz w:val="20"/>
                <w:szCs w:val="20"/>
              </w:rPr>
              <w:t> </w:t>
            </w:r>
          </w:p>
        </w:tc>
      </w:tr>
    </w:tbl>
    <w:p w:rsidR="00000000" w:rsidRDefault="00A309A2">
      <w:pPr>
        <w:pStyle w:val="a3"/>
        <w:spacing w:before="0" w:beforeAutospacing="0" w:after="0" w:afterAutospacing="0"/>
        <w:rPr>
          <w:sz w:val="20"/>
          <w:szCs w:val="20"/>
        </w:rPr>
      </w:pPr>
      <w:r>
        <w:rPr>
          <w:sz w:val="20"/>
          <w:szCs w:val="20"/>
        </w:rPr>
        <w:t> </w:t>
      </w:r>
    </w:p>
    <w:p w:rsidR="00000000" w:rsidRDefault="00A309A2">
      <w:pPr>
        <w:pStyle w:val="a3"/>
        <w:spacing w:before="240" w:beforeAutospacing="0" w:after="0" w:afterAutospacing="0"/>
        <w:jc w:val="center"/>
        <w:rPr>
          <w:sz w:val="20"/>
          <w:szCs w:val="20"/>
        </w:rPr>
      </w:pPr>
      <w:r>
        <w:rPr>
          <w:sz w:val="20"/>
          <w:szCs w:val="20"/>
        </w:rPr>
        <w:t>10</w:t>
      </w:r>
      <w:r>
        <w:rPr>
          <w:sz w:val="20"/>
          <w:szCs w:val="20"/>
        </w:rPr>
        <w:t>2</w:t>
      </w:r>
    </w:p>
    <w:p w:rsidR="00A309A2" w:rsidRDefault="00A309A2">
      <w:pPr>
        <w:rPr>
          <w:rFonts w:eastAsia="Times New Roman"/>
        </w:rPr>
      </w:pPr>
      <w:r>
        <w:rPr>
          <w:rFonts w:eastAsia="Times New Roman"/>
        </w:rPr>
        <w:pict>
          <v:rect id="_x0000_i1129" style="width:0;height:1.5pt" o:hralign="center" o:hrstd="t" o:hr="t" fillcolor="#a0a0a0" stroked="f"/>
        </w:pict>
      </w:r>
    </w:p>
    <w:sectPr w:rsidR="00A309A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309A2"/>
    <w:rsid w:val="00A309A2"/>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hubspot.com/20211231"/>
  <w:attachedSchema w:val="http://xbrl.sec.gov/stpr/2021"/>
  <w:attachedSchema w:val="http://xbrl.sec.gov/dei/2021q4"/>
  <w:attachedSchema w:val="http://fasb.org/us-gaap/2021-01-31"/>
  <w:attachedSchema w:val="http://www.xbrl.org/2003/iso4217"/>
  <w:attachedSchema w:val="http://xbrl.org/2020/extensible-enumerations-2.0"/>
  <w:attachedSchema w:val="http://www.xbrl.org/dtr/type/2020-01-21"/>
  <w:attachedSchema w:val="http://xbrl.sec.gov/country/202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588">
      <w:marLeft w:val="3"/>
      <w:marRight w:val="0"/>
      <w:marTop w:val="120"/>
      <w:marBottom w:val="0"/>
      <w:divBdr>
        <w:top w:val="none" w:sz="0" w:space="0" w:color="auto"/>
        <w:left w:val="none" w:sz="0" w:space="0" w:color="auto"/>
        <w:bottom w:val="none" w:sz="0" w:space="0" w:color="auto"/>
        <w:right w:val="none" w:sz="0" w:space="0" w:color="auto"/>
      </w:divBdr>
      <w:divsChild>
        <w:div w:id="2096121537">
          <w:marLeft w:val="0"/>
          <w:marRight w:val="0"/>
          <w:marTop w:val="0"/>
          <w:marBottom w:val="0"/>
          <w:divBdr>
            <w:top w:val="none" w:sz="0" w:space="0" w:color="auto"/>
            <w:left w:val="none" w:sz="0" w:space="0" w:color="auto"/>
            <w:bottom w:val="none" w:sz="0" w:space="0" w:color="auto"/>
            <w:right w:val="none" w:sz="0" w:space="0" w:color="auto"/>
          </w:divBdr>
        </w:div>
      </w:divsChild>
    </w:div>
    <w:div w:id="27143018">
      <w:marLeft w:val="4"/>
      <w:marRight w:val="0"/>
      <w:marTop w:val="200"/>
      <w:marBottom w:val="0"/>
      <w:divBdr>
        <w:top w:val="none" w:sz="0" w:space="0" w:color="auto"/>
        <w:left w:val="none" w:sz="0" w:space="0" w:color="auto"/>
        <w:bottom w:val="none" w:sz="0" w:space="0" w:color="auto"/>
        <w:right w:val="none" w:sz="0" w:space="0" w:color="auto"/>
      </w:divBdr>
      <w:divsChild>
        <w:div w:id="646857889">
          <w:marLeft w:val="0"/>
          <w:marRight w:val="0"/>
          <w:marTop w:val="0"/>
          <w:marBottom w:val="0"/>
          <w:divBdr>
            <w:top w:val="none" w:sz="0" w:space="0" w:color="auto"/>
            <w:left w:val="none" w:sz="0" w:space="0" w:color="auto"/>
            <w:bottom w:val="none" w:sz="0" w:space="0" w:color="auto"/>
            <w:right w:val="none" w:sz="0" w:space="0" w:color="auto"/>
          </w:divBdr>
        </w:div>
      </w:divsChild>
    </w:div>
    <w:div w:id="36398602">
      <w:marLeft w:val="3"/>
      <w:marRight w:val="0"/>
      <w:marTop w:val="120"/>
      <w:marBottom w:val="0"/>
      <w:divBdr>
        <w:top w:val="none" w:sz="0" w:space="0" w:color="auto"/>
        <w:left w:val="none" w:sz="0" w:space="0" w:color="auto"/>
        <w:bottom w:val="none" w:sz="0" w:space="0" w:color="auto"/>
        <w:right w:val="none" w:sz="0" w:space="0" w:color="auto"/>
      </w:divBdr>
      <w:divsChild>
        <w:div w:id="2047871684">
          <w:marLeft w:val="0"/>
          <w:marRight w:val="0"/>
          <w:marTop w:val="0"/>
          <w:marBottom w:val="0"/>
          <w:divBdr>
            <w:top w:val="none" w:sz="0" w:space="0" w:color="auto"/>
            <w:left w:val="none" w:sz="0" w:space="0" w:color="auto"/>
            <w:bottom w:val="none" w:sz="0" w:space="0" w:color="auto"/>
            <w:right w:val="none" w:sz="0" w:space="0" w:color="auto"/>
          </w:divBdr>
        </w:div>
      </w:divsChild>
    </w:div>
    <w:div w:id="61298156">
      <w:marLeft w:val="4"/>
      <w:marRight w:val="0"/>
      <w:marTop w:val="200"/>
      <w:marBottom w:val="0"/>
      <w:divBdr>
        <w:top w:val="none" w:sz="0" w:space="0" w:color="auto"/>
        <w:left w:val="none" w:sz="0" w:space="0" w:color="auto"/>
        <w:bottom w:val="none" w:sz="0" w:space="0" w:color="auto"/>
        <w:right w:val="none" w:sz="0" w:space="0" w:color="auto"/>
      </w:divBdr>
      <w:divsChild>
        <w:div w:id="354697164">
          <w:marLeft w:val="0"/>
          <w:marRight w:val="0"/>
          <w:marTop w:val="0"/>
          <w:marBottom w:val="0"/>
          <w:divBdr>
            <w:top w:val="none" w:sz="0" w:space="0" w:color="auto"/>
            <w:left w:val="none" w:sz="0" w:space="0" w:color="auto"/>
            <w:bottom w:val="none" w:sz="0" w:space="0" w:color="auto"/>
            <w:right w:val="none" w:sz="0" w:space="0" w:color="auto"/>
          </w:divBdr>
        </w:div>
      </w:divsChild>
    </w:div>
    <w:div w:id="103890922">
      <w:marLeft w:val="4"/>
      <w:marRight w:val="0"/>
      <w:marTop w:val="200"/>
      <w:marBottom w:val="0"/>
      <w:divBdr>
        <w:top w:val="none" w:sz="0" w:space="0" w:color="auto"/>
        <w:left w:val="none" w:sz="0" w:space="0" w:color="auto"/>
        <w:bottom w:val="none" w:sz="0" w:space="0" w:color="auto"/>
        <w:right w:val="none" w:sz="0" w:space="0" w:color="auto"/>
      </w:divBdr>
      <w:divsChild>
        <w:div w:id="551963006">
          <w:marLeft w:val="0"/>
          <w:marRight w:val="0"/>
          <w:marTop w:val="0"/>
          <w:marBottom w:val="0"/>
          <w:divBdr>
            <w:top w:val="none" w:sz="0" w:space="0" w:color="auto"/>
            <w:left w:val="none" w:sz="0" w:space="0" w:color="auto"/>
            <w:bottom w:val="none" w:sz="0" w:space="0" w:color="auto"/>
            <w:right w:val="none" w:sz="0" w:space="0" w:color="auto"/>
          </w:divBdr>
        </w:div>
      </w:divsChild>
    </w:div>
    <w:div w:id="110127814">
      <w:marLeft w:val="0"/>
      <w:marRight w:val="0"/>
      <w:marTop w:val="0"/>
      <w:marBottom w:val="0"/>
      <w:divBdr>
        <w:top w:val="none" w:sz="0" w:space="0" w:color="auto"/>
        <w:left w:val="none" w:sz="0" w:space="0" w:color="auto"/>
        <w:bottom w:val="none" w:sz="0" w:space="0" w:color="auto"/>
        <w:right w:val="none" w:sz="0" w:space="0" w:color="auto"/>
      </w:divBdr>
    </w:div>
    <w:div w:id="186798277">
      <w:marLeft w:val="4"/>
      <w:marRight w:val="0"/>
      <w:marTop w:val="120"/>
      <w:marBottom w:val="0"/>
      <w:divBdr>
        <w:top w:val="none" w:sz="0" w:space="0" w:color="auto"/>
        <w:left w:val="none" w:sz="0" w:space="0" w:color="auto"/>
        <w:bottom w:val="none" w:sz="0" w:space="0" w:color="auto"/>
        <w:right w:val="none" w:sz="0" w:space="0" w:color="auto"/>
      </w:divBdr>
      <w:divsChild>
        <w:div w:id="1824932365">
          <w:marLeft w:val="0"/>
          <w:marRight w:val="0"/>
          <w:marTop w:val="0"/>
          <w:marBottom w:val="0"/>
          <w:divBdr>
            <w:top w:val="none" w:sz="0" w:space="0" w:color="auto"/>
            <w:left w:val="none" w:sz="0" w:space="0" w:color="auto"/>
            <w:bottom w:val="none" w:sz="0" w:space="0" w:color="auto"/>
            <w:right w:val="none" w:sz="0" w:space="0" w:color="auto"/>
          </w:divBdr>
        </w:div>
      </w:divsChild>
    </w:div>
    <w:div w:id="211426777">
      <w:marLeft w:val="4"/>
      <w:marRight w:val="0"/>
      <w:marTop w:val="200"/>
      <w:marBottom w:val="0"/>
      <w:divBdr>
        <w:top w:val="none" w:sz="0" w:space="0" w:color="auto"/>
        <w:left w:val="none" w:sz="0" w:space="0" w:color="auto"/>
        <w:bottom w:val="none" w:sz="0" w:space="0" w:color="auto"/>
        <w:right w:val="none" w:sz="0" w:space="0" w:color="auto"/>
      </w:divBdr>
      <w:divsChild>
        <w:div w:id="1368600126">
          <w:marLeft w:val="0"/>
          <w:marRight w:val="0"/>
          <w:marTop w:val="0"/>
          <w:marBottom w:val="0"/>
          <w:divBdr>
            <w:top w:val="none" w:sz="0" w:space="0" w:color="auto"/>
            <w:left w:val="none" w:sz="0" w:space="0" w:color="auto"/>
            <w:bottom w:val="none" w:sz="0" w:space="0" w:color="auto"/>
            <w:right w:val="none" w:sz="0" w:space="0" w:color="auto"/>
          </w:divBdr>
        </w:div>
      </w:divsChild>
    </w:div>
    <w:div w:id="226231433">
      <w:marLeft w:val="3"/>
      <w:marRight w:val="0"/>
      <w:marTop w:val="120"/>
      <w:marBottom w:val="0"/>
      <w:divBdr>
        <w:top w:val="none" w:sz="0" w:space="0" w:color="auto"/>
        <w:left w:val="none" w:sz="0" w:space="0" w:color="auto"/>
        <w:bottom w:val="none" w:sz="0" w:space="0" w:color="auto"/>
        <w:right w:val="none" w:sz="0" w:space="0" w:color="auto"/>
      </w:divBdr>
      <w:divsChild>
        <w:div w:id="170612686">
          <w:marLeft w:val="0"/>
          <w:marRight w:val="0"/>
          <w:marTop w:val="0"/>
          <w:marBottom w:val="0"/>
          <w:divBdr>
            <w:top w:val="none" w:sz="0" w:space="0" w:color="auto"/>
            <w:left w:val="none" w:sz="0" w:space="0" w:color="auto"/>
            <w:bottom w:val="none" w:sz="0" w:space="0" w:color="auto"/>
            <w:right w:val="none" w:sz="0" w:space="0" w:color="auto"/>
          </w:divBdr>
        </w:div>
      </w:divsChild>
    </w:div>
    <w:div w:id="235283500">
      <w:marLeft w:val="0"/>
      <w:marRight w:val="0"/>
      <w:marTop w:val="0"/>
      <w:marBottom w:val="0"/>
      <w:divBdr>
        <w:top w:val="none" w:sz="0" w:space="0" w:color="auto"/>
        <w:left w:val="none" w:sz="0" w:space="0" w:color="auto"/>
        <w:bottom w:val="none" w:sz="0" w:space="0" w:color="auto"/>
        <w:right w:val="none" w:sz="0" w:space="0" w:color="auto"/>
      </w:divBdr>
      <w:divsChild>
        <w:div w:id="74206702">
          <w:marLeft w:val="0"/>
          <w:marRight w:val="0"/>
          <w:marTop w:val="0"/>
          <w:marBottom w:val="0"/>
          <w:divBdr>
            <w:top w:val="none" w:sz="0" w:space="0" w:color="auto"/>
            <w:left w:val="none" w:sz="0" w:space="0" w:color="auto"/>
            <w:bottom w:val="none" w:sz="0" w:space="0" w:color="auto"/>
            <w:right w:val="none" w:sz="0" w:space="0" w:color="auto"/>
          </w:divBdr>
        </w:div>
        <w:div w:id="470364719">
          <w:marLeft w:val="0"/>
          <w:marRight w:val="0"/>
          <w:marTop w:val="0"/>
          <w:marBottom w:val="0"/>
          <w:divBdr>
            <w:top w:val="none" w:sz="0" w:space="0" w:color="auto"/>
            <w:left w:val="none" w:sz="0" w:space="0" w:color="auto"/>
            <w:bottom w:val="none" w:sz="0" w:space="0" w:color="auto"/>
            <w:right w:val="none" w:sz="0" w:space="0" w:color="auto"/>
          </w:divBdr>
        </w:div>
        <w:div w:id="347027605">
          <w:marLeft w:val="0"/>
          <w:marRight w:val="0"/>
          <w:marTop w:val="0"/>
          <w:marBottom w:val="0"/>
          <w:divBdr>
            <w:top w:val="none" w:sz="0" w:space="0" w:color="auto"/>
            <w:left w:val="none" w:sz="0" w:space="0" w:color="auto"/>
            <w:bottom w:val="none" w:sz="0" w:space="0" w:color="auto"/>
            <w:right w:val="none" w:sz="0" w:space="0" w:color="auto"/>
          </w:divBdr>
        </w:div>
        <w:div w:id="774011972">
          <w:marLeft w:val="0"/>
          <w:marRight w:val="0"/>
          <w:marTop w:val="0"/>
          <w:marBottom w:val="0"/>
          <w:divBdr>
            <w:top w:val="none" w:sz="0" w:space="0" w:color="auto"/>
            <w:left w:val="none" w:sz="0" w:space="0" w:color="auto"/>
            <w:bottom w:val="none" w:sz="0" w:space="0" w:color="auto"/>
            <w:right w:val="none" w:sz="0" w:space="0" w:color="auto"/>
          </w:divBdr>
        </w:div>
        <w:div w:id="144859927">
          <w:marLeft w:val="0"/>
          <w:marRight w:val="0"/>
          <w:marTop w:val="0"/>
          <w:marBottom w:val="0"/>
          <w:divBdr>
            <w:top w:val="none" w:sz="0" w:space="0" w:color="auto"/>
            <w:left w:val="none" w:sz="0" w:space="0" w:color="auto"/>
            <w:bottom w:val="none" w:sz="0" w:space="0" w:color="auto"/>
            <w:right w:val="none" w:sz="0" w:space="0" w:color="auto"/>
          </w:divBdr>
        </w:div>
      </w:divsChild>
    </w:div>
    <w:div w:id="235895941">
      <w:marLeft w:val="9"/>
      <w:marRight w:val="0"/>
      <w:marTop w:val="0"/>
      <w:marBottom w:val="0"/>
      <w:divBdr>
        <w:top w:val="none" w:sz="0" w:space="0" w:color="auto"/>
        <w:left w:val="none" w:sz="0" w:space="0" w:color="auto"/>
        <w:bottom w:val="none" w:sz="0" w:space="0" w:color="auto"/>
        <w:right w:val="none" w:sz="0" w:space="0" w:color="auto"/>
      </w:divBdr>
      <w:divsChild>
        <w:div w:id="940458256">
          <w:marLeft w:val="0"/>
          <w:marRight w:val="0"/>
          <w:marTop w:val="0"/>
          <w:marBottom w:val="0"/>
          <w:divBdr>
            <w:top w:val="none" w:sz="0" w:space="0" w:color="auto"/>
            <w:left w:val="none" w:sz="0" w:space="0" w:color="auto"/>
            <w:bottom w:val="none" w:sz="0" w:space="0" w:color="auto"/>
            <w:right w:val="none" w:sz="0" w:space="0" w:color="auto"/>
          </w:divBdr>
        </w:div>
      </w:divsChild>
    </w:div>
    <w:div w:id="248657756">
      <w:marLeft w:val="4"/>
      <w:marRight w:val="0"/>
      <w:marTop w:val="200"/>
      <w:marBottom w:val="0"/>
      <w:divBdr>
        <w:top w:val="none" w:sz="0" w:space="0" w:color="auto"/>
        <w:left w:val="none" w:sz="0" w:space="0" w:color="auto"/>
        <w:bottom w:val="none" w:sz="0" w:space="0" w:color="auto"/>
        <w:right w:val="none" w:sz="0" w:space="0" w:color="auto"/>
      </w:divBdr>
      <w:divsChild>
        <w:div w:id="1623070752">
          <w:marLeft w:val="0"/>
          <w:marRight w:val="0"/>
          <w:marTop w:val="0"/>
          <w:marBottom w:val="0"/>
          <w:divBdr>
            <w:top w:val="none" w:sz="0" w:space="0" w:color="auto"/>
            <w:left w:val="none" w:sz="0" w:space="0" w:color="auto"/>
            <w:bottom w:val="none" w:sz="0" w:space="0" w:color="auto"/>
            <w:right w:val="none" w:sz="0" w:space="0" w:color="auto"/>
          </w:divBdr>
        </w:div>
      </w:divsChild>
    </w:div>
    <w:div w:id="252128380">
      <w:marLeft w:val="3"/>
      <w:marRight w:val="0"/>
      <w:marTop w:val="120"/>
      <w:marBottom w:val="0"/>
      <w:divBdr>
        <w:top w:val="none" w:sz="0" w:space="0" w:color="auto"/>
        <w:left w:val="none" w:sz="0" w:space="0" w:color="auto"/>
        <w:bottom w:val="none" w:sz="0" w:space="0" w:color="auto"/>
        <w:right w:val="none" w:sz="0" w:space="0" w:color="auto"/>
      </w:divBdr>
      <w:divsChild>
        <w:div w:id="1873305770">
          <w:marLeft w:val="0"/>
          <w:marRight w:val="0"/>
          <w:marTop w:val="0"/>
          <w:marBottom w:val="0"/>
          <w:divBdr>
            <w:top w:val="none" w:sz="0" w:space="0" w:color="auto"/>
            <w:left w:val="none" w:sz="0" w:space="0" w:color="auto"/>
            <w:bottom w:val="none" w:sz="0" w:space="0" w:color="auto"/>
            <w:right w:val="none" w:sz="0" w:space="0" w:color="auto"/>
          </w:divBdr>
        </w:div>
      </w:divsChild>
    </w:div>
    <w:div w:id="258369303">
      <w:marLeft w:val="4"/>
      <w:marRight w:val="0"/>
      <w:marTop w:val="120"/>
      <w:marBottom w:val="0"/>
      <w:divBdr>
        <w:top w:val="none" w:sz="0" w:space="0" w:color="auto"/>
        <w:left w:val="none" w:sz="0" w:space="0" w:color="auto"/>
        <w:bottom w:val="none" w:sz="0" w:space="0" w:color="auto"/>
        <w:right w:val="none" w:sz="0" w:space="0" w:color="auto"/>
      </w:divBdr>
      <w:divsChild>
        <w:div w:id="82535001">
          <w:marLeft w:val="0"/>
          <w:marRight w:val="0"/>
          <w:marTop w:val="0"/>
          <w:marBottom w:val="0"/>
          <w:divBdr>
            <w:top w:val="none" w:sz="0" w:space="0" w:color="auto"/>
            <w:left w:val="none" w:sz="0" w:space="0" w:color="auto"/>
            <w:bottom w:val="none" w:sz="0" w:space="0" w:color="auto"/>
            <w:right w:val="none" w:sz="0" w:space="0" w:color="auto"/>
          </w:divBdr>
        </w:div>
      </w:divsChild>
    </w:div>
    <w:div w:id="278226262">
      <w:marLeft w:val="4"/>
      <w:marRight w:val="0"/>
      <w:marTop w:val="200"/>
      <w:marBottom w:val="0"/>
      <w:divBdr>
        <w:top w:val="none" w:sz="0" w:space="0" w:color="auto"/>
        <w:left w:val="none" w:sz="0" w:space="0" w:color="auto"/>
        <w:bottom w:val="none" w:sz="0" w:space="0" w:color="auto"/>
        <w:right w:val="none" w:sz="0" w:space="0" w:color="auto"/>
      </w:divBdr>
      <w:divsChild>
        <w:div w:id="1338385060">
          <w:marLeft w:val="0"/>
          <w:marRight w:val="0"/>
          <w:marTop w:val="0"/>
          <w:marBottom w:val="0"/>
          <w:divBdr>
            <w:top w:val="none" w:sz="0" w:space="0" w:color="auto"/>
            <w:left w:val="none" w:sz="0" w:space="0" w:color="auto"/>
            <w:bottom w:val="none" w:sz="0" w:space="0" w:color="auto"/>
            <w:right w:val="none" w:sz="0" w:space="0" w:color="auto"/>
          </w:divBdr>
        </w:div>
      </w:divsChild>
    </w:div>
    <w:div w:id="298921743">
      <w:marLeft w:val="4"/>
      <w:marRight w:val="0"/>
      <w:marTop w:val="120"/>
      <w:marBottom w:val="0"/>
      <w:divBdr>
        <w:top w:val="none" w:sz="0" w:space="0" w:color="auto"/>
        <w:left w:val="none" w:sz="0" w:space="0" w:color="auto"/>
        <w:bottom w:val="none" w:sz="0" w:space="0" w:color="auto"/>
        <w:right w:val="none" w:sz="0" w:space="0" w:color="auto"/>
      </w:divBdr>
      <w:divsChild>
        <w:div w:id="1199315173">
          <w:marLeft w:val="0"/>
          <w:marRight w:val="0"/>
          <w:marTop w:val="0"/>
          <w:marBottom w:val="0"/>
          <w:divBdr>
            <w:top w:val="none" w:sz="0" w:space="0" w:color="auto"/>
            <w:left w:val="none" w:sz="0" w:space="0" w:color="auto"/>
            <w:bottom w:val="none" w:sz="0" w:space="0" w:color="auto"/>
            <w:right w:val="none" w:sz="0" w:space="0" w:color="auto"/>
          </w:divBdr>
        </w:div>
      </w:divsChild>
    </w:div>
    <w:div w:id="322586046">
      <w:marLeft w:val="4"/>
      <w:marRight w:val="0"/>
      <w:marTop w:val="200"/>
      <w:marBottom w:val="0"/>
      <w:divBdr>
        <w:top w:val="none" w:sz="0" w:space="0" w:color="auto"/>
        <w:left w:val="none" w:sz="0" w:space="0" w:color="auto"/>
        <w:bottom w:val="none" w:sz="0" w:space="0" w:color="auto"/>
        <w:right w:val="none" w:sz="0" w:space="0" w:color="auto"/>
      </w:divBdr>
      <w:divsChild>
        <w:div w:id="533734553">
          <w:marLeft w:val="0"/>
          <w:marRight w:val="0"/>
          <w:marTop w:val="0"/>
          <w:marBottom w:val="0"/>
          <w:divBdr>
            <w:top w:val="none" w:sz="0" w:space="0" w:color="auto"/>
            <w:left w:val="none" w:sz="0" w:space="0" w:color="auto"/>
            <w:bottom w:val="none" w:sz="0" w:space="0" w:color="auto"/>
            <w:right w:val="none" w:sz="0" w:space="0" w:color="auto"/>
          </w:divBdr>
        </w:div>
      </w:divsChild>
    </w:div>
    <w:div w:id="337586494">
      <w:marLeft w:val="4"/>
      <w:marRight w:val="0"/>
      <w:marTop w:val="120"/>
      <w:marBottom w:val="0"/>
      <w:divBdr>
        <w:top w:val="none" w:sz="0" w:space="0" w:color="auto"/>
        <w:left w:val="none" w:sz="0" w:space="0" w:color="auto"/>
        <w:bottom w:val="none" w:sz="0" w:space="0" w:color="auto"/>
        <w:right w:val="none" w:sz="0" w:space="0" w:color="auto"/>
      </w:divBdr>
      <w:divsChild>
        <w:div w:id="838538809">
          <w:marLeft w:val="0"/>
          <w:marRight w:val="0"/>
          <w:marTop w:val="0"/>
          <w:marBottom w:val="0"/>
          <w:divBdr>
            <w:top w:val="none" w:sz="0" w:space="0" w:color="auto"/>
            <w:left w:val="none" w:sz="0" w:space="0" w:color="auto"/>
            <w:bottom w:val="none" w:sz="0" w:space="0" w:color="auto"/>
            <w:right w:val="none" w:sz="0" w:space="0" w:color="auto"/>
          </w:divBdr>
        </w:div>
      </w:divsChild>
    </w:div>
    <w:div w:id="345401570">
      <w:marLeft w:val="4"/>
      <w:marRight w:val="0"/>
      <w:marTop w:val="120"/>
      <w:marBottom w:val="0"/>
      <w:divBdr>
        <w:top w:val="none" w:sz="0" w:space="0" w:color="auto"/>
        <w:left w:val="none" w:sz="0" w:space="0" w:color="auto"/>
        <w:bottom w:val="none" w:sz="0" w:space="0" w:color="auto"/>
        <w:right w:val="none" w:sz="0" w:space="0" w:color="auto"/>
      </w:divBdr>
      <w:divsChild>
        <w:div w:id="712461665">
          <w:marLeft w:val="0"/>
          <w:marRight w:val="0"/>
          <w:marTop w:val="0"/>
          <w:marBottom w:val="0"/>
          <w:divBdr>
            <w:top w:val="none" w:sz="0" w:space="0" w:color="auto"/>
            <w:left w:val="none" w:sz="0" w:space="0" w:color="auto"/>
            <w:bottom w:val="none" w:sz="0" w:space="0" w:color="auto"/>
            <w:right w:val="none" w:sz="0" w:space="0" w:color="auto"/>
          </w:divBdr>
        </w:div>
      </w:divsChild>
    </w:div>
    <w:div w:id="371661313">
      <w:marLeft w:val="4"/>
      <w:marRight w:val="0"/>
      <w:marTop w:val="120"/>
      <w:marBottom w:val="0"/>
      <w:divBdr>
        <w:top w:val="none" w:sz="0" w:space="0" w:color="auto"/>
        <w:left w:val="none" w:sz="0" w:space="0" w:color="auto"/>
        <w:bottom w:val="none" w:sz="0" w:space="0" w:color="auto"/>
        <w:right w:val="none" w:sz="0" w:space="0" w:color="auto"/>
      </w:divBdr>
      <w:divsChild>
        <w:div w:id="773132179">
          <w:marLeft w:val="0"/>
          <w:marRight w:val="0"/>
          <w:marTop w:val="0"/>
          <w:marBottom w:val="0"/>
          <w:divBdr>
            <w:top w:val="none" w:sz="0" w:space="0" w:color="auto"/>
            <w:left w:val="none" w:sz="0" w:space="0" w:color="auto"/>
            <w:bottom w:val="none" w:sz="0" w:space="0" w:color="auto"/>
            <w:right w:val="none" w:sz="0" w:space="0" w:color="auto"/>
          </w:divBdr>
        </w:div>
      </w:divsChild>
    </w:div>
    <w:div w:id="380641771">
      <w:marLeft w:val="4"/>
      <w:marRight w:val="0"/>
      <w:marTop w:val="120"/>
      <w:marBottom w:val="0"/>
      <w:divBdr>
        <w:top w:val="none" w:sz="0" w:space="0" w:color="auto"/>
        <w:left w:val="none" w:sz="0" w:space="0" w:color="auto"/>
        <w:bottom w:val="none" w:sz="0" w:space="0" w:color="auto"/>
        <w:right w:val="none" w:sz="0" w:space="0" w:color="auto"/>
      </w:divBdr>
      <w:divsChild>
        <w:div w:id="1954432185">
          <w:marLeft w:val="0"/>
          <w:marRight w:val="0"/>
          <w:marTop w:val="0"/>
          <w:marBottom w:val="0"/>
          <w:divBdr>
            <w:top w:val="none" w:sz="0" w:space="0" w:color="auto"/>
            <w:left w:val="none" w:sz="0" w:space="0" w:color="auto"/>
            <w:bottom w:val="none" w:sz="0" w:space="0" w:color="auto"/>
            <w:right w:val="none" w:sz="0" w:space="0" w:color="auto"/>
          </w:divBdr>
        </w:div>
      </w:divsChild>
    </w:div>
    <w:div w:id="386034683">
      <w:marLeft w:val="4"/>
      <w:marRight w:val="0"/>
      <w:marTop w:val="120"/>
      <w:marBottom w:val="0"/>
      <w:divBdr>
        <w:top w:val="none" w:sz="0" w:space="0" w:color="auto"/>
        <w:left w:val="none" w:sz="0" w:space="0" w:color="auto"/>
        <w:bottom w:val="none" w:sz="0" w:space="0" w:color="auto"/>
        <w:right w:val="none" w:sz="0" w:space="0" w:color="auto"/>
      </w:divBdr>
      <w:divsChild>
        <w:div w:id="602222649">
          <w:marLeft w:val="0"/>
          <w:marRight w:val="0"/>
          <w:marTop w:val="0"/>
          <w:marBottom w:val="0"/>
          <w:divBdr>
            <w:top w:val="none" w:sz="0" w:space="0" w:color="auto"/>
            <w:left w:val="none" w:sz="0" w:space="0" w:color="auto"/>
            <w:bottom w:val="none" w:sz="0" w:space="0" w:color="auto"/>
            <w:right w:val="none" w:sz="0" w:space="0" w:color="auto"/>
          </w:divBdr>
        </w:div>
      </w:divsChild>
    </w:div>
    <w:div w:id="394818379">
      <w:marLeft w:val="4"/>
      <w:marRight w:val="0"/>
      <w:marTop w:val="120"/>
      <w:marBottom w:val="0"/>
      <w:divBdr>
        <w:top w:val="none" w:sz="0" w:space="0" w:color="auto"/>
        <w:left w:val="none" w:sz="0" w:space="0" w:color="auto"/>
        <w:bottom w:val="none" w:sz="0" w:space="0" w:color="auto"/>
        <w:right w:val="none" w:sz="0" w:space="0" w:color="auto"/>
      </w:divBdr>
      <w:divsChild>
        <w:div w:id="1395080070">
          <w:marLeft w:val="0"/>
          <w:marRight w:val="0"/>
          <w:marTop w:val="0"/>
          <w:marBottom w:val="0"/>
          <w:divBdr>
            <w:top w:val="none" w:sz="0" w:space="0" w:color="auto"/>
            <w:left w:val="none" w:sz="0" w:space="0" w:color="auto"/>
            <w:bottom w:val="none" w:sz="0" w:space="0" w:color="auto"/>
            <w:right w:val="none" w:sz="0" w:space="0" w:color="auto"/>
          </w:divBdr>
        </w:div>
      </w:divsChild>
    </w:div>
    <w:div w:id="409889639">
      <w:marLeft w:val="3"/>
      <w:marRight w:val="0"/>
      <w:marTop w:val="200"/>
      <w:marBottom w:val="0"/>
      <w:divBdr>
        <w:top w:val="none" w:sz="0" w:space="0" w:color="auto"/>
        <w:left w:val="none" w:sz="0" w:space="0" w:color="auto"/>
        <w:bottom w:val="none" w:sz="0" w:space="0" w:color="auto"/>
        <w:right w:val="none" w:sz="0" w:space="0" w:color="auto"/>
      </w:divBdr>
      <w:divsChild>
        <w:div w:id="1861355344">
          <w:marLeft w:val="0"/>
          <w:marRight w:val="0"/>
          <w:marTop w:val="0"/>
          <w:marBottom w:val="0"/>
          <w:divBdr>
            <w:top w:val="none" w:sz="0" w:space="0" w:color="auto"/>
            <w:left w:val="none" w:sz="0" w:space="0" w:color="auto"/>
            <w:bottom w:val="none" w:sz="0" w:space="0" w:color="auto"/>
            <w:right w:val="none" w:sz="0" w:space="0" w:color="auto"/>
          </w:divBdr>
        </w:div>
      </w:divsChild>
    </w:div>
    <w:div w:id="421417627">
      <w:marLeft w:val="3"/>
      <w:marRight w:val="0"/>
      <w:marTop w:val="120"/>
      <w:marBottom w:val="0"/>
      <w:divBdr>
        <w:top w:val="none" w:sz="0" w:space="0" w:color="auto"/>
        <w:left w:val="none" w:sz="0" w:space="0" w:color="auto"/>
        <w:bottom w:val="none" w:sz="0" w:space="0" w:color="auto"/>
        <w:right w:val="none" w:sz="0" w:space="0" w:color="auto"/>
      </w:divBdr>
      <w:divsChild>
        <w:div w:id="1312521502">
          <w:marLeft w:val="0"/>
          <w:marRight w:val="0"/>
          <w:marTop w:val="0"/>
          <w:marBottom w:val="0"/>
          <w:divBdr>
            <w:top w:val="none" w:sz="0" w:space="0" w:color="auto"/>
            <w:left w:val="none" w:sz="0" w:space="0" w:color="auto"/>
            <w:bottom w:val="none" w:sz="0" w:space="0" w:color="auto"/>
            <w:right w:val="none" w:sz="0" w:space="0" w:color="auto"/>
          </w:divBdr>
        </w:div>
      </w:divsChild>
    </w:div>
    <w:div w:id="449276917">
      <w:marLeft w:val="4"/>
      <w:marRight w:val="0"/>
      <w:marTop w:val="200"/>
      <w:marBottom w:val="0"/>
      <w:divBdr>
        <w:top w:val="none" w:sz="0" w:space="0" w:color="auto"/>
        <w:left w:val="none" w:sz="0" w:space="0" w:color="auto"/>
        <w:bottom w:val="none" w:sz="0" w:space="0" w:color="auto"/>
        <w:right w:val="none" w:sz="0" w:space="0" w:color="auto"/>
      </w:divBdr>
      <w:divsChild>
        <w:div w:id="1786849620">
          <w:marLeft w:val="0"/>
          <w:marRight w:val="0"/>
          <w:marTop w:val="0"/>
          <w:marBottom w:val="0"/>
          <w:divBdr>
            <w:top w:val="none" w:sz="0" w:space="0" w:color="auto"/>
            <w:left w:val="none" w:sz="0" w:space="0" w:color="auto"/>
            <w:bottom w:val="none" w:sz="0" w:space="0" w:color="auto"/>
            <w:right w:val="none" w:sz="0" w:space="0" w:color="auto"/>
          </w:divBdr>
        </w:div>
      </w:divsChild>
    </w:div>
    <w:div w:id="487597183">
      <w:marLeft w:val="3"/>
      <w:marRight w:val="0"/>
      <w:marTop w:val="120"/>
      <w:marBottom w:val="0"/>
      <w:divBdr>
        <w:top w:val="none" w:sz="0" w:space="0" w:color="auto"/>
        <w:left w:val="none" w:sz="0" w:space="0" w:color="auto"/>
        <w:bottom w:val="none" w:sz="0" w:space="0" w:color="auto"/>
        <w:right w:val="none" w:sz="0" w:space="0" w:color="auto"/>
      </w:divBdr>
      <w:divsChild>
        <w:div w:id="2146658148">
          <w:marLeft w:val="0"/>
          <w:marRight w:val="0"/>
          <w:marTop w:val="0"/>
          <w:marBottom w:val="0"/>
          <w:divBdr>
            <w:top w:val="none" w:sz="0" w:space="0" w:color="auto"/>
            <w:left w:val="none" w:sz="0" w:space="0" w:color="auto"/>
            <w:bottom w:val="none" w:sz="0" w:space="0" w:color="auto"/>
            <w:right w:val="none" w:sz="0" w:space="0" w:color="auto"/>
          </w:divBdr>
        </w:div>
      </w:divsChild>
    </w:div>
    <w:div w:id="516696780">
      <w:marLeft w:val="4"/>
      <w:marRight w:val="0"/>
      <w:marTop w:val="120"/>
      <w:marBottom w:val="0"/>
      <w:divBdr>
        <w:top w:val="none" w:sz="0" w:space="0" w:color="auto"/>
        <w:left w:val="none" w:sz="0" w:space="0" w:color="auto"/>
        <w:bottom w:val="none" w:sz="0" w:space="0" w:color="auto"/>
        <w:right w:val="none" w:sz="0" w:space="0" w:color="auto"/>
      </w:divBdr>
      <w:divsChild>
        <w:div w:id="1080952660">
          <w:marLeft w:val="0"/>
          <w:marRight w:val="0"/>
          <w:marTop w:val="0"/>
          <w:marBottom w:val="0"/>
          <w:divBdr>
            <w:top w:val="none" w:sz="0" w:space="0" w:color="auto"/>
            <w:left w:val="none" w:sz="0" w:space="0" w:color="auto"/>
            <w:bottom w:val="none" w:sz="0" w:space="0" w:color="auto"/>
            <w:right w:val="none" w:sz="0" w:space="0" w:color="auto"/>
          </w:divBdr>
        </w:div>
      </w:divsChild>
    </w:div>
    <w:div w:id="524177656">
      <w:marLeft w:val="4"/>
      <w:marRight w:val="0"/>
      <w:marTop w:val="120"/>
      <w:marBottom w:val="0"/>
      <w:divBdr>
        <w:top w:val="none" w:sz="0" w:space="0" w:color="auto"/>
        <w:left w:val="none" w:sz="0" w:space="0" w:color="auto"/>
        <w:bottom w:val="none" w:sz="0" w:space="0" w:color="auto"/>
        <w:right w:val="none" w:sz="0" w:space="0" w:color="auto"/>
      </w:divBdr>
      <w:divsChild>
        <w:div w:id="1257179744">
          <w:marLeft w:val="0"/>
          <w:marRight w:val="0"/>
          <w:marTop w:val="0"/>
          <w:marBottom w:val="0"/>
          <w:divBdr>
            <w:top w:val="none" w:sz="0" w:space="0" w:color="auto"/>
            <w:left w:val="none" w:sz="0" w:space="0" w:color="auto"/>
            <w:bottom w:val="none" w:sz="0" w:space="0" w:color="auto"/>
            <w:right w:val="none" w:sz="0" w:space="0" w:color="auto"/>
          </w:divBdr>
        </w:div>
      </w:divsChild>
    </w:div>
    <w:div w:id="544801070">
      <w:marLeft w:val="0"/>
      <w:marRight w:val="0"/>
      <w:marTop w:val="0"/>
      <w:marBottom w:val="0"/>
      <w:divBdr>
        <w:top w:val="none" w:sz="0" w:space="0" w:color="auto"/>
        <w:left w:val="none" w:sz="0" w:space="0" w:color="auto"/>
        <w:bottom w:val="none" w:sz="0" w:space="0" w:color="auto"/>
        <w:right w:val="none" w:sz="0" w:space="0" w:color="auto"/>
      </w:divBdr>
      <w:divsChild>
        <w:div w:id="347371671">
          <w:marLeft w:val="0"/>
          <w:marRight w:val="0"/>
          <w:marTop w:val="0"/>
          <w:marBottom w:val="0"/>
          <w:divBdr>
            <w:top w:val="none" w:sz="0" w:space="0" w:color="auto"/>
            <w:left w:val="none" w:sz="0" w:space="0" w:color="auto"/>
            <w:bottom w:val="none" w:sz="0" w:space="0" w:color="auto"/>
            <w:right w:val="none" w:sz="0" w:space="0" w:color="auto"/>
          </w:divBdr>
        </w:div>
        <w:div w:id="812596727">
          <w:marLeft w:val="0"/>
          <w:marRight w:val="0"/>
          <w:marTop w:val="0"/>
          <w:marBottom w:val="0"/>
          <w:divBdr>
            <w:top w:val="none" w:sz="0" w:space="0" w:color="auto"/>
            <w:left w:val="none" w:sz="0" w:space="0" w:color="auto"/>
            <w:bottom w:val="none" w:sz="0" w:space="0" w:color="auto"/>
            <w:right w:val="none" w:sz="0" w:space="0" w:color="auto"/>
          </w:divBdr>
        </w:div>
        <w:div w:id="308242373">
          <w:marLeft w:val="0"/>
          <w:marRight w:val="0"/>
          <w:marTop w:val="0"/>
          <w:marBottom w:val="0"/>
          <w:divBdr>
            <w:top w:val="none" w:sz="0" w:space="0" w:color="auto"/>
            <w:left w:val="none" w:sz="0" w:space="0" w:color="auto"/>
            <w:bottom w:val="none" w:sz="0" w:space="0" w:color="auto"/>
            <w:right w:val="none" w:sz="0" w:space="0" w:color="auto"/>
          </w:divBdr>
        </w:div>
      </w:divsChild>
    </w:div>
    <w:div w:id="565184936">
      <w:marLeft w:val="4"/>
      <w:marRight w:val="0"/>
      <w:marTop w:val="120"/>
      <w:marBottom w:val="0"/>
      <w:divBdr>
        <w:top w:val="none" w:sz="0" w:space="0" w:color="auto"/>
        <w:left w:val="none" w:sz="0" w:space="0" w:color="auto"/>
        <w:bottom w:val="none" w:sz="0" w:space="0" w:color="auto"/>
        <w:right w:val="none" w:sz="0" w:space="0" w:color="auto"/>
      </w:divBdr>
      <w:divsChild>
        <w:div w:id="923684920">
          <w:marLeft w:val="0"/>
          <w:marRight w:val="0"/>
          <w:marTop w:val="0"/>
          <w:marBottom w:val="0"/>
          <w:divBdr>
            <w:top w:val="none" w:sz="0" w:space="0" w:color="auto"/>
            <w:left w:val="none" w:sz="0" w:space="0" w:color="auto"/>
            <w:bottom w:val="none" w:sz="0" w:space="0" w:color="auto"/>
            <w:right w:val="none" w:sz="0" w:space="0" w:color="auto"/>
          </w:divBdr>
        </w:div>
      </w:divsChild>
    </w:div>
    <w:div w:id="574366535">
      <w:marLeft w:val="0"/>
      <w:marRight w:val="0"/>
      <w:marTop w:val="0"/>
      <w:marBottom w:val="0"/>
      <w:divBdr>
        <w:top w:val="none" w:sz="0" w:space="0" w:color="auto"/>
        <w:left w:val="none" w:sz="0" w:space="0" w:color="auto"/>
        <w:bottom w:val="none" w:sz="0" w:space="0" w:color="auto"/>
        <w:right w:val="none" w:sz="0" w:space="0" w:color="auto"/>
      </w:divBdr>
      <w:divsChild>
        <w:div w:id="902302033">
          <w:marLeft w:val="0"/>
          <w:marRight w:val="0"/>
          <w:marTop w:val="0"/>
          <w:marBottom w:val="0"/>
          <w:divBdr>
            <w:top w:val="none" w:sz="0" w:space="0" w:color="auto"/>
            <w:left w:val="none" w:sz="0" w:space="0" w:color="auto"/>
            <w:bottom w:val="none" w:sz="0" w:space="0" w:color="auto"/>
            <w:right w:val="none" w:sz="0" w:space="0" w:color="auto"/>
          </w:divBdr>
        </w:div>
        <w:div w:id="1895853541">
          <w:marLeft w:val="0"/>
          <w:marRight w:val="0"/>
          <w:marTop w:val="0"/>
          <w:marBottom w:val="0"/>
          <w:divBdr>
            <w:top w:val="none" w:sz="0" w:space="0" w:color="auto"/>
            <w:left w:val="none" w:sz="0" w:space="0" w:color="auto"/>
            <w:bottom w:val="none" w:sz="0" w:space="0" w:color="auto"/>
            <w:right w:val="none" w:sz="0" w:space="0" w:color="auto"/>
          </w:divBdr>
        </w:div>
      </w:divsChild>
    </w:div>
    <w:div w:id="580800634">
      <w:marLeft w:val="3"/>
      <w:marRight w:val="0"/>
      <w:marTop w:val="120"/>
      <w:marBottom w:val="0"/>
      <w:divBdr>
        <w:top w:val="none" w:sz="0" w:space="0" w:color="auto"/>
        <w:left w:val="none" w:sz="0" w:space="0" w:color="auto"/>
        <w:bottom w:val="none" w:sz="0" w:space="0" w:color="auto"/>
        <w:right w:val="none" w:sz="0" w:space="0" w:color="auto"/>
      </w:divBdr>
      <w:divsChild>
        <w:div w:id="1099788624">
          <w:marLeft w:val="0"/>
          <w:marRight w:val="0"/>
          <w:marTop w:val="0"/>
          <w:marBottom w:val="0"/>
          <w:divBdr>
            <w:top w:val="none" w:sz="0" w:space="0" w:color="auto"/>
            <w:left w:val="none" w:sz="0" w:space="0" w:color="auto"/>
            <w:bottom w:val="none" w:sz="0" w:space="0" w:color="auto"/>
            <w:right w:val="none" w:sz="0" w:space="0" w:color="auto"/>
          </w:divBdr>
        </w:div>
      </w:divsChild>
    </w:div>
    <w:div w:id="584918646">
      <w:marLeft w:val="3"/>
      <w:marRight w:val="0"/>
      <w:marTop w:val="200"/>
      <w:marBottom w:val="0"/>
      <w:divBdr>
        <w:top w:val="none" w:sz="0" w:space="0" w:color="auto"/>
        <w:left w:val="none" w:sz="0" w:space="0" w:color="auto"/>
        <w:bottom w:val="none" w:sz="0" w:space="0" w:color="auto"/>
        <w:right w:val="none" w:sz="0" w:space="0" w:color="auto"/>
      </w:divBdr>
      <w:divsChild>
        <w:div w:id="1342588126">
          <w:marLeft w:val="0"/>
          <w:marRight w:val="0"/>
          <w:marTop w:val="0"/>
          <w:marBottom w:val="0"/>
          <w:divBdr>
            <w:top w:val="none" w:sz="0" w:space="0" w:color="auto"/>
            <w:left w:val="none" w:sz="0" w:space="0" w:color="auto"/>
            <w:bottom w:val="none" w:sz="0" w:space="0" w:color="auto"/>
            <w:right w:val="none" w:sz="0" w:space="0" w:color="auto"/>
          </w:divBdr>
        </w:div>
      </w:divsChild>
    </w:div>
    <w:div w:id="611743889">
      <w:marLeft w:val="0"/>
      <w:marRight w:val="0"/>
      <w:marTop w:val="0"/>
      <w:marBottom w:val="0"/>
      <w:divBdr>
        <w:top w:val="none" w:sz="0" w:space="0" w:color="auto"/>
        <w:left w:val="none" w:sz="0" w:space="0" w:color="auto"/>
        <w:bottom w:val="none" w:sz="0" w:space="0" w:color="auto"/>
        <w:right w:val="none" w:sz="0" w:space="0" w:color="auto"/>
      </w:divBdr>
      <w:divsChild>
        <w:div w:id="1152022697">
          <w:marLeft w:val="0"/>
          <w:marRight w:val="0"/>
          <w:marTop w:val="0"/>
          <w:marBottom w:val="0"/>
          <w:divBdr>
            <w:top w:val="none" w:sz="0" w:space="0" w:color="auto"/>
            <w:left w:val="none" w:sz="0" w:space="0" w:color="auto"/>
            <w:bottom w:val="none" w:sz="0" w:space="0" w:color="auto"/>
            <w:right w:val="none" w:sz="0" w:space="0" w:color="auto"/>
          </w:divBdr>
        </w:div>
      </w:divsChild>
    </w:div>
    <w:div w:id="623075057">
      <w:marLeft w:val="4"/>
      <w:marRight w:val="0"/>
      <w:marTop w:val="120"/>
      <w:marBottom w:val="0"/>
      <w:divBdr>
        <w:top w:val="none" w:sz="0" w:space="0" w:color="auto"/>
        <w:left w:val="none" w:sz="0" w:space="0" w:color="auto"/>
        <w:bottom w:val="none" w:sz="0" w:space="0" w:color="auto"/>
        <w:right w:val="none" w:sz="0" w:space="0" w:color="auto"/>
      </w:divBdr>
      <w:divsChild>
        <w:div w:id="432015131">
          <w:marLeft w:val="0"/>
          <w:marRight w:val="0"/>
          <w:marTop w:val="0"/>
          <w:marBottom w:val="0"/>
          <w:divBdr>
            <w:top w:val="none" w:sz="0" w:space="0" w:color="auto"/>
            <w:left w:val="none" w:sz="0" w:space="0" w:color="auto"/>
            <w:bottom w:val="none" w:sz="0" w:space="0" w:color="auto"/>
            <w:right w:val="none" w:sz="0" w:space="0" w:color="auto"/>
          </w:divBdr>
        </w:div>
      </w:divsChild>
    </w:div>
    <w:div w:id="625157892">
      <w:marLeft w:val="4"/>
      <w:marRight w:val="0"/>
      <w:marTop w:val="120"/>
      <w:marBottom w:val="0"/>
      <w:divBdr>
        <w:top w:val="none" w:sz="0" w:space="0" w:color="auto"/>
        <w:left w:val="none" w:sz="0" w:space="0" w:color="auto"/>
        <w:bottom w:val="none" w:sz="0" w:space="0" w:color="auto"/>
        <w:right w:val="none" w:sz="0" w:space="0" w:color="auto"/>
      </w:divBdr>
      <w:divsChild>
        <w:div w:id="1698195281">
          <w:marLeft w:val="0"/>
          <w:marRight w:val="0"/>
          <w:marTop w:val="0"/>
          <w:marBottom w:val="0"/>
          <w:divBdr>
            <w:top w:val="none" w:sz="0" w:space="0" w:color="auto"/>
            <w:left w:val="none" w:sz="0" w:space="0" w:color="auto"/>
            <w:bottom w:val="none" w:sz="0" w:space="0" w:color="auto"/>
            <w:right w:val="none" w:sz="0" w:space="0" w:color="auto"/>
          </w:divBdr>
        </w:div>
      </w:divsChild>
    </w:div>
    <w:div w:id="630408123">
      <w:marLeft w:val="4"/>
      <w:marRight w:val="0"/>
      <w:marTop w:val="200"/>
      <w:marBottom w:val="0"/>
      <w:divBdr>
        <w:top w:val="none" w:sz="0" w:space="0" w:color="auto"/>
        <w:left w:val="none" w:sz="0" w:space="0" w:color="auto"/>
        <w:bottom w:val="none" w:sz="0" w:space="0" w:color="auto"/>
        <w:right w:val="none" w:sz="0" w:space="0" w:color="auto"/>
      </w:divBdr>
      <w:divsChild>
        <w:div w:id="2096977096">
          <w:marLeft w:val="0"/>
          <w:marRight w:val="0"/>
          <w:marTop w:val="0"/>
          <w:marBottom w:val="0"/>
          <w:divBdr>
            <w:top w:val="none" w:sz="0" w:space="0" w:color="auto"/>
            <w:left w:val="none" w:sz="0" w:space="0" w:color="auto"/>
            <w:bottom w:val="none" w:sz="0" w:space="0" w:color="auto"/>
            <w:right w:val="none" w:sz="0" w:space="0" w:color="auto"/>
          </w:divBdr>
        </w:div>
      </w:divsChild>
    </w:div>
    <w:div w:id="631986501">
      <w:marLeft w:val="3"/>
      <w:marRight w:val="0"/>
      <w:marTop w:val="200"/>
      <w:marBottom w:val="0"/>
      <w:divBdr>
        <w:top w:val="none" w:sz="0" w:space="0" w:color="auto"/>
        <w:left w:val="none" w:sz="0" w:space="0" w:color="auto"/>
        <w:bottom w:val="none" w:sz="0" w:space="0" w:color="auto"/>
        <w:right w:val="none" w:sz="0" w:space="0" w:color="auto"/>
      </w:divBdr>
      <w:divsChild>
        <w:div w:id="1737705865">
          <w:marLeft w:val="0"/>
          <w:marRight w:val="0"/>
          <w:marTop w:val="0"/>
          <w:marBottom w:val="0"/>
          <w:divBdr>
            <w:top w:val="none" w:sz="0" w:space="0" w:color="auto"/>
            <w:left w:val="none" w:sz="0" w:space="0" w:color="auto"/>
            <w:bottom w:val="none" w:sz="0" w:space="0" w:color="auto"/>
            <w:right w:val="none" w:sz="0" w:space="0" w:color="auto"/>
          </w:divBdr>
        </w:div>
      </w:divsChild>
    </w:div>
    <w:div w:id="639306905">
      <w:marLeft w:val="3"/>
      <w:marRight w:val="0"/>
      <w:marTop w:val="120"/>
      <w:marBottom w:val="0"/>
      <w:divBdr>
        <w:top w:val="none" w:sz="0" w:space="0" w:color="auto"/>
        <w:left w:val="none" w:sz="0" w:space="0" w:color="auto"/>
        <w:bottom w:val="none" w:sz="0" w:space="0" w:color="auto"/>
        <w:right w:val="none" w:sz="0" w:space="0" w:color="auto"/>
      </w:divBdr>
      <w:divsChild>
        <w:div w:id="371346178">
          <w:marLeft w:val="0"/>
          <w:marRight w:val="0"/>
          <w:marTop w:val="0"/>
          <w:marBottom w:val="0"/>
          <w:divBdr>
            <w:top w:val="none" w:sz="0" w:space="0" w:color="auto"/>
            <w:left w:val="none" w:sz="0" w:space="0" w:color="auto"/>
            <w:bottom w:val="none" w:sz="0" w:space="0" w:color="auto"/>
            <w:right w:val="none" w:sz="0" w:space="0" w:color="auto"/>
          </w:divBdr>
        </w:div>
      </w:divsChild>
    </w:div>
    <w:div w:id="654191108">
      <w:marLeft w:val="4"/>
      <w:marRight w:val="0"/>
      <w:marTop w:val="120"/>
      <w:marBottom w:val="0"/>
      <w:divBdr>
        <w:top w:val="none" w:sz="0" w:space="0" w:color="auto"/>
        <w:left w:val="none" w:sz="0" w:space="0" w:color="auto"/>
        <w:bottom w:val="none" w:sz="0" w:space="0" w:color="auto"/>
        <w:right w:val="none" w:sz="0" w:space="0" w:color="auto"/>
      </w:divBdr>
      <w:divsChild>
        <w:div w:id="1474828624">
          <w:marLeft w:val="0"/>
          <w:marRight w:val="0"/>
          <w:marTop w:val="0"/>
          <w:marBottom w:val="0"/>
          <w:divBdr>
            <w:top w:val="none" w:sz="0" w:space="0" w:color="auto"/>
            <w:left w:val="none" w:sz="0" w:space="0" w:color="auto"/>
            <w:bottom w:val="none" w:sz="0" w:space="0" w:color="auto"/>
            <w:right w:val="none" w:sz="0" w:space="0" w:color="auto"/>
          </w:divBdr>
        </w:div>
      </w:divsChild>
    </w:div>
    <w:div w:id="697390225">
      <w:marLeft w:val="4"/>
      <w:marRight w:val="0"/>
      <w:marTop w:val="200"/>
      <w:marBottom w:val="0"/>
      <w:divBdr>
        <w:top w:val="none" w:sz="0" w:space="0" w:color="auto"/>
        <w:left w:val="none" w:sz="0" w:space="0" w:color="auto"/>
        <w:bottom w:val="none" w:sz="0" w:space="0" w:color="auto"/>
        <w:right w:val="none" w:sz="0" w:space="0" w:color="auto"/>
      </w:divBdr>
      <w:divsChild>
        <w:div w:id="1129473582">
          <w:marLeft w:val="0"/>
          <w:marRight w:val="0"/>
          <w:marTop w:val="0"/>
          <w:marBottom w:val="0"/>
          <w:divBdr>
            <w:top w:val="none" w:sz="0" w:space="0" w:color="auto"/>
            <w:left w:val="none" w:sz="0" w:space="0" w:color="auto"/>
            <w:bottom w:val="none" w:sz="0" w:space="0" w:color="auto"/>
            <w:right w:val="none" w:sz="0" w:space="0" w:color="auto"/>
          </w:divBdr>
        </w:div>
      </w:divsChild>
    </w:div>
    <w:div w:id="704401572">
      <w:marLeft w:val="4"/>
      <w:marRight w:val="0"/>
      <w:marTop w:val="120"/>
      <w:marBottom w:val="0"/>
      <w:divBdr>
        <w:top w:val="none" w:sz="0" w:space="0" w:color="auto"/>
        <w:left w:val="none" w:sz="0" w:space="0" w:color="auto"/>
        <w:bottom w:val="none" w:sz="0" w:space="0" w:color="auto"/>
        <w:right w:val="none" w:sz="0" w:space="0" w:color="auto"/>
      </w:divBdr>
      <w:divsChild>
        <w:div w:id="611326518">
          <w:marLeft w:val="0"/>
          <w:marRight w:val="0"/>
          <w:marTop w:val="0"/>
          <w:marBottom w:val="0"/>
          <w:divBdr>
            <w:top w:val="none" w:sz="0" w:space="0" w:color="auto"/>
            <w:left w:val="none" w:sz="0" w:space="0" w:color="auto"/>
            <w:bottom w:val="none" w:sz="0" w:space="0" w:color="auto"/>
            <w:right w:val="none" w:sz="0" w:space="0" w:color="auto"/>
          </w:divBdr>
        </w:div>
      </w:divsChild>
    </w:div>
    <w:div w:id="707680805">
      <w:marLeft w:val="4"/>
      <w:marRight w:val="0"/>
      <w:marTop w:val="200"/>
      <w:marBottom w:val="0"/>
      <w:divBdr>
        <w:top w:val="none" w:sz="0" w:space="0" w:color="auto"/>
        <w:left w:val="none" w:sz="0" w:space="0" w:color="auto"/>
        <w:bottom w:val="none" w:sz="0" w:space="0" w:color="auto"/>
        <w:right w:val="none" w:sz="0" w:space="0" w:color="auto"/>
      </w:divBdr>
      <w:divsChild>
        <w:div w:id="1506743889">
          <w:marLeft w:val="0"/>
          <w:marRight w:val="0"/>
          <w:marTop w:val="0"/>
          <w:marBottom w:val="0"/>
          <w:divBdr>
            <w:top w:val="none" w:sz="0" w:space="0" w:color="auto"/>
            <w:left w:val="none" w:sz="0" w:space="0" w:color="auto"/>
            <w:bottom w:val="none" w:sz="0" w:space="0" w:color="auto"/>
            <w:right w:val="none" w:sz="0" w:space="0" w:color="auto"/>
          </w:divBdr>
        </w:div>
      </w:divsChild>
    </w:div>
    <w:div w:id="715198064">
      <w:marLeft w:val="4"/>
      <w:marRight w:val="0"/>
      <w:marTop w:val="200"/>
      <w:marBottom w:val="0"/>
      <w:divBdr>
        <w:top w:val="none" w:sz="0" w:space="0" w:color="auto"/>
        <w:left w:val="none" w:sz="0" w:space="0" w:color="auto"/>
        <w:bottom w:val="none" w:sz="0" w:space="0" w:color="auto"/>
        <w:right w:val="none" w:sz="0" w:space="0" w:color="auto"/>
      </w:divBdr>
      <w:divsChild>
        <w:div w:id="1094788707">
          <w:marLeft w:val="0"/>
          <w:marRight w:val="0"/>
          <w:marTop w:val="0"/>
          <w:marBottom w:val="0"/>
          <w:divBdr>
            <w:top w:val="none" w:sz="0" w:space="0" w:color="auto"/>
            <w:left w:val="none" w:sz="0" w:space="0" w:color="auto"/>
            <w:bottom w:val="none" w:sz="0" w:space="0" w:color="auto"/>
            <w:right w:val="none" w:sz="0" w:space="0" w:color="auto"/>
          </w:divBdr>
        </w:div>
      </w:divsChild>
    </w:div>
    <w:div w:id="782073641">
      <w:marLeft w:val="3"/>
      <w:marRight w:val="0"/>
      <w:marTop w:val="120"/>
      <w:marBottom w:val="0"/>
      <w:divBdr>
        <w:top w:val="none" w:sz="0" w:space="0" w:color="auto"/>
        <w:left w:val="none" w:sz="0" w:space="0" w:color="auto"/>
        <w:bottom w:val="none" w:sz="0" w:space="0" w:color="auto"/>
        <w:right w:val="none" w:sz="0" w:space="0" w:color="auto"/>
      </w:divBdr>
      <w:divsChild>
        <w:div w:id="46757157">
          <w:marLeft w:val="0"/>
          <w:marRight w:val="0"/>
          <w:marTop w:val="0"/>
          <w:marBottom w:val="0"/>
          <w:divBdr>
            <w:top w:val="none" w:sz="0" w:space="0" w:color="auto"/>
            <w:left w:val="none" w:sz="0" w:space="0" w:color="auto"/>
            <w:bottom w:val="none" w:sz="0" w:space="0" w:color="auto"/>
            <w:right w:val="none" w:sz="0" w:space="0" w:color="auto"/>
          </w:divBdr>
        </w:div>
      </w:divsChild>
    </w:div>
    <w:div w:id="783384047">
      <w:marLeft w:val="4"/>
      <w:marRight w:val="0"/>
      <w:marTop w:val="120"/>
      <w:marBottom w:val="0"/>
      <w:divBdr>
        <w:top w:val="none" w:sz="0" w:space="0" w:color="auto"/>
        <w:left w:val="none" w:sz="0" w:space="0" w:color="auto"/>
        <w:bottom w:val="none" w:sz="0" w:space="0" w:color="auto"/>
        <w:right w:val="none" w:sz="0" w:space="0" w:color="auto"/>
      </w:divBdr>
      <w:divsChild>
        <w:div w:id="1714308896">
          <w:marLeft w:val="0"/>
          <w:marRight w:val="0"/>
          <w:marTop w:val="0"/>
          <w:marBottom w:val="0"/>
          <w:divBdr>
            <w:top w:val="none" w:sz="0" w:space="0" w:color="auto"/>
            <w:left w:val="none" w:sz="0" w:space="0" w:color="auto"/>
            <w:bottom w:val="none" w:sz="0" w:space="0" w:color="auto"/>
            <w:right w:val="none" w:sz="0" w:space="0" w:color="auto"/>
          </w:divBdr>
        </w:div>
      </w:divsChild>
    </w:div>
    <w:div w:id="790906490">
      <w:marLeft w:val="4"/>
      <w:marRight w:val="0"/>
      <w:marTop w:val="200"/>
      <w:marBottom w:val="0"/>
      <w:divBdr>
        <w:top w:val="none" w:sz="0" w:space="0" w:color="auto"/>
        <w:left w:val="none" w:sz="0" w:space="0" w:color="auto"/>
        <w:bottom w:val="none" w:sz="0" w:space="0" w:color="auto"/>
        <w:right w:val="none" w:sz="0" w:space="0" w:color="auto"/>
      </w:divBdr>
      <w:divsChild>
        <w:div w:id="442963287">
          <w:marLeft w:val="0"/>
          <w:marRight w:val="0"/>
          <w:marTop w:val="0"/>
          <w:marBottom w:val="0"/>
          <w:divBdr>
            <w:top w:val="none" w:sz="0" w:space="0" w:color="auto"/>
            <w:left w:val="none" w:sz="0" w:space="0" w:color="auto"/>
            <w:bottom w:val="none" w:sz="0" w:space="0" w:color="auto"/>
            <w:right w:val="none" w:sz="0" w:space="0" w:color="auto"/>
          </w:divBdr>
        </w:div>
      </w:divsChild>
    </w:div>
    <w:div w:id="791094645">
      <w:marLeft w:val="4"/>
      <w:marRight w:val="0"/>
      <w:marTop w:val="200"/>
      <w:marBottom w:val="0"/>
      <w:divBdr>
        <w:top w:val="none" w:sz="0" w:space="0" w:color="auto"/>
        <w:left w:val="none" w:sz="0" w:space="0" w:color="auto"/>
        <w:bottom w:val="none" w:sz="0" w:space="0" w:color="auto"/>
        <w:right w:val="none" w:sz="0" w:space="0" w:color="auto"/>
      </w:divBdr>
      <w:divsChild>
        <w:div w:id="1306813878">
          <w:marLeft w:val="0"/>
          <w:marRight w:val="0"/>
          <w:marTop w:val="0"/>
          <w:marBottom w:val="0"/>
          <w:divBdr>
            <w:top w:val="none" w:sz="0" w:space="0" w:color="auto"/>
            <w:left w:val="none" w:sz="0" w:space="0" w:color="auto"/>
            <w:bottom w:val="none" w:sz="0" w:space="0" w:color="auto"/>
            <w:right w:val="none" w:sz="0" w:space="0" w:color="auto"/>
          </w:divBdr>
        </w:div>
      </w:divsChild>
    </w:div>
    <w:div w:id="796217357">
      <w:marLeft w:val="0"/>
      <w:marRight w:val="0"/>
      <w:marTop w:val="0"/>
      <w:marBottom w:val="0"/>
      <w:divBdr>
        <w:top w:val="none" w:sz="0" w:space="0" w:color="auto"/>
        <w:left w:val="none" w:sz="0" w:space="0" w:color="auto"/>
        <w:bottom w:val="none" w:sz="0" w:space="0" w:color="auto"/>
        <w:right w:val="none" w:sz="0" w:space="0" w:color="auto"/>
      </w:divBdr>
      <w:divsChild>
        <w:div w:id="947278363">
          <w:marLeft w:val="0"/>
          <w:marRight w:val="0"/>
          <w:marTop w:val="0"/>
          <w:marBottom w:val="0"/>
          <w:divBdr>
            <w:top w:val="none" w:sz="0" w:space="0" w:color="auto"/>
            <w:left w:val="none" w:sz="0" w:space="0" w:color="auto"/>
            <w:bottom w:val="none" w:sz="0" w:space="0" w:color="auto"/>
            <w:right w:val="none" w:sz="0" w:space="0" w:color="auto"/>
          </w:divBdr>
        </w:div>
        <w:div w:id="602540939">
          <w:marLeft w:val="0"/>
          <w:marRight w:val="0"/>
          <w:marTop w:val="0"/>
          <w:marBottom w:val="0"/>
          <w:divBdr>
            <w:top w:val="none" w:sz="0" w:space="0" w:color="auto"/>
            <w:left w:val="none" w:sz="0" w:space="0" w:color="auto"/>
            <w:bottom w:val="none" w:sz="0" w:space="0" w:color="auto"/>
            <w:right w:val="none" w:sz="0" w:space="0" w:color="auto"/>
          </w:divBdr>
        </w:div>
        <w:div w:id="150829319">
          <w:marLeft w:val="0"/>
          <w:marRight w:val="0"/>
          <w:marTop w:val="0"/>
          <w:marBottom w:val="0"/>
          <w:divBdr>
            <w:top w:val="none" w:sz="0" w:space="0" w:color="auto"/>
            <w:left w:val="none" w:sz="0" w:space="0" w:color="auto"/>
            <w:bottom w:val="none" w:sz="0" w:space="0" w:color="auto"/>
            <w:right w:val="none" w:sz="0" w:space="0" w:color="auto"/>
          </w:divBdr>
        </w:div>
      </w:divsChild>
    </w:div>
    <w:div w:id="799567246">
      <w:marLeft w:val="4"/>
      <w:marRight w:val="0"/>
      <w:marTop w:val="120"/>
      <w:marBottom w:val="0"/>
      <w:divBdr>
        <w:top w:val="none" w:sz="0" w:space="0" w:color="auto"/>
        <w:left w:val="none" w:sz="0" w:space="0" w:color="auto"/>
        <w:bottom w:val="none" w:sz="0" w:space="0" w:color="auto"/>
        <w:right w:val="none" w:sz="0" w:space="0" w:color="auto"/>
      </w:divBdr>
      <w:divsChild>
        <w:div w:id="584416272">
          <w:marLeft w:val="0"/>
          <w:marRight w:val="0"/>
          <w:marTop w:val="0"/>
          <w:marBottom w:val="0"/>
          <w:divBdr>
            <w:top w:val="none" w:sz="0" w:space="0" w:color="auto"/>
            <w:left w:val="none" w:sz="0" w:space="0" w:color="auto"/>
            <w:bottom w:val="none" w:sz="0" w:space="0" w:color="auto"/>
            <w:right w:val="none" w:sz="0" w:space="0" w:color="auto"/>
          </w:divBdr>
        </w:div>
      </w:divsChild>
    </w:div>
    <w:div w:id="800463758">
      <w:marLeft w:val="4"/>
      <w:marRight w:val="0"/>
      <w:marTop w:val="120"/>
      <w:marBottom w:val="0"/>
      <w:divBdr>
        <w:top w:val="none" w:sz="0" w:space="0" w:color="auto"/>
        <w:left w:val="none" w:sz="0" w:space="0" w:color="auto"/>
        <w:bottom w:val="none" w:sz="0" w:space="0" w:color="auto"/>
        <w:right w:val="none" w:sz="0" w:space="0" w:color="auto"/>
      </w:divBdr>
      <w:divsChild>
        <w:div w:id="609051659">
          <w:marLeft w:val="0"/>
          <w:marRight w:val="0"/>
          <w:marTop w:val="0"/>
          <w:marBottom w:val="0"/>
          <w:divBdr>
            <w:top w:val="none" w:sz="0" w:space="0" w:color="auto"/>
            <w:left w:val="none" w:sz="0" w:space="0" w:color="auto"/>
            <w:bottom w:val="none" w:sz="0" w:space="0" w:color="auto"/>
            <w:right w:val="none" w:sz="0" w:space="0" w:color="auto"/>
          </w:divBdr>
        </w:div>
      </w:divsChild>
    </w:div>
    <w:div w:id="802776217">
      <w:marLeft w:val="4"/>
      <w:marRight w:val="0"/>
      <w:marTop w:val="120"/>
      <w:marBottom w:val="0"/>
      <w:divBdr>
        <w:top w:val="none" w:sz="0" w:space="0" w:color="auto"/>
        <w:left w:val="none" w:sz="0" w:space="0" w:color="auto"/>
        <w:bottom w:val="none" w:sz="0" w:space="0" w:color="auto"/>
        <w:right w:val="none" w:sz="0" w:space="0" w:color="auto"/>
      </w:divBdr>
      <w:divsChild>
        <w:div w:id="475606594">
          <w:marLeft w:val="0"/>
          <w:marRight w:val="0"/>
          <w:marTop w:val="0"/>
          <w:marBottom w:val="0"/>
          <w:divBdr>
            <w:top w:val="none" w:sz="0" w:space="0" w:color="auto"/>
            <w:left w:val="none" w:sz="0" w:space="0" w:color="auto"/>
            <w:bottom w:val="none" w:sz="0" w:space="0" w:color="auto"/>
            <w:right w:val="none" w:sz="0" w:space="0" w:color="auto"/>
          </w:divBdr>
        </w:div>
      </w:divsChild>
    </w:div>
    <w:div w:id="809977701">
      <w:marLeft w:val="4"/>
      <w:marRight w:val="0"/>
      <w:marTop w:val="200"/>
      <w:marBottom w:val="0"/>
      <w:divBdr>
        <w:top w:val="none" w:sz="0" w:space="0" w:color="auto"/>
        <w:left w:val="none" w:sz="0" w:space="0" w:color="auto"/>
        <w:bottom w:val="none" w:sz="0" w:space="0" w:color="auto"/>
        <w:right w:val="none" w:sz="0" w:space="0" w:color="auto"/>
      </w:divBdr>
      <w:divsChild>
        <w:div w:id="1860047608">
          <w:marLeft w:val="0"/>
          <w:marRight w:val="0"/>
          <w:marTop w:val="0"/>
          <w:marBottom w:val="0"/>
          <w:divBdr>
            <w:top w:val="none" w:sz="0" w:space="0" w:color="auto"/>
            <w:left w:val="none" w:sz="0" w:space="0" w:color="auto"/>
            <w:bottom w:val="none" w:sz="0" w:space="0" w:color="auto"/>
            <w:right w:val="none" w:sz="0" w:space="0" w:color="auto"/>
          </w:divBdr>
        </w:div>
      </w:divsChild>
    </w:div>
    <w:div w:id="843327225">
      <w:marLeft w:val="4"/>
      <w:marRight w:val="0"/>
      <w:marTop w:val="200"/>
      <w:marBottom w:val="0"/>
      <w:divBdr>
        <w:top w:val="none" w:sz="0" w:space="0" w:color="auto"/>
        <w:left w:val="none" w:sz="0" w:space="0" w:color="auto"/>
        <w:bottom w:val="none" w:sz="0" w:space="0" w:color="auto"/>
        <w:right w:val="none" w:sz="0" w:space="0" w:color="auto"/>
      </w:divBdr>
      <w:divsChild>
        <w:div w:id="962350050">
          <w:marLeft w:val="0"/>
          <w:marRight w:val="0"/>
          <w:marTop w:val="0"/>
          <w:marBottom w:val="0"/>
          <w:divBdr>
            <w:top w:val="none" w:sz="0" w:space="0" w:color="auto"/>
            <w:left w:val="none" w:sz="0" w:space="0" w:color="auto"/>
            <w:bottom w:val="none" w:sz="0" w:space="0" w:color="auto"/>
            <w:right w:val="none" w:sz="0" w:space="0" w:color="auto"/>
          </w:divBdr>
        </w:div>
      </w:divsChild>
    </w:div>
    <w:div w:id="849872470">
      <w:marLeft w:val="4"/>
      <w:marRight w:val="0"/>
      <w:marTop w:val="120"/>
      <w:marBottom w:val="0"/>
      <w:divBdr>
        <w:top w:val="none" w:sz="0" w:space="0" w:color="auto"/>
        <w:left w:val="none" w:sz="0" w:space="0" w:color="auto"/>
        <w:bottom w:val="none" w:sz="0" w:space="0" w:color="auto"/>
        <w:right w:val="none" w:sz="0" w:space="0" w:color="auto"/>
      </w:divBdr>
      <w:divsChild>
        <w:div w:id="1663120335">
          <w:marLeft w:val="0"/>
          <w:marRight w:val="0"/>
          <w:marTop w:val="0"/>
          <w:marBottom w:val="0"/>
          <w:divBdr>
            <w:top w:val="none" w:sz="0" w:space="0" w:color="auto"/>
            <w:left w:val="none" w:sz="0" w:space="0" w:color="auto"/>
            <w:bottom w:val="none" w:sz="0" w:space="0" w:color="auto"/>
            <w:right w:val="none" w:sz="0" w:space="0" w:color="auto"/>
          </w:divBdr>
        </w:div>
      </w:divsChild>
    </w:div>
    <w:div w:id="864250555">
      <w:marLeft w:val="4"/>
      <w:marRight w:val="0"/>
      <w:marTop w:val="160"/>
      <w:marBottom w:val="0"/>
      <w:divBdr>
        <w:top w:val="none" w:sz="0" w:space="0" w:color="auto"/>
        <w:left w:val="none" w:sz="0" w:space="0" w:color="auto"/>
        <w:bottom w:val="none" w:sz="0" w:space="0" w:color="auto"/>
        <w:right w:val="none" w:sz="0" w:space="0" w:color="auto"/>
      </w:divBdr>
      <w:divsChild>
        <w:div w:id="1776779074">
          <w:marLeft w:val="0"/>
          <w:marRight w:val="0"/>
          <w:marTop w:val="0"/>
          <w:marBottom w:val="0"/>
          <w:divBdr>
            <w:top w:val="none" w:sz="0" w:space="0" w:color="auto"/>
            <w:left w:val="none" w:sz="0" w:space="0" w:color="auto"/>
            <w:bottom w:val="none" w:sz="0" w:space="0" w:color="auto"/>
            <w:right w:val="none" w:sz="0" w:space="0" w:color="auto"/>
          </w:divBdr>
        </w:div>
      </w:divsChild>
    </w:div>
    <w:div w:id="902525367">
      <w:marLeft w:val="4"/>
      <w:marRight w:val="0"/>
      <w:marTop w:val="200"/>
      <w:marBottom w:val="0"/>
      <w:divBdr>
        <w:top w:val="none" w:sz="0" w:space="0" w:color="auto"/>
        <w:left w:val="none" w:sz="0" w:space="0" w:color="auto"/>
        <w:bottom w:val="none" w:sz="0" w:space="0" w:color="auto"/>
        <w:right w:val="none" w:sz="0" w:space="0" w:color="auto"/>
      </w:divBdr>
      <w:divsChild>
        <w:div w:id="1657487669">
          <w:marLeft w:val="0"/>
          <w:marRight w:val="0"/>
          <w:marTop w:val="0"/>
          <w:marBottom w:val="0"/>
          <w:divBdr>
            <w:top w:val="none" w:sz="0" w:space="0" w:color="auto"/>
            <w:left w:val="none" w:sz="0" w:space="0" w:color="auto"/>
            <w:bottom w:val="none" w:sz="0" w:space="0" w:color="auto"/>
            <w:right w:val="none" w:sz="0" w:space="0" w:color="auto"/>
          </w:divBdr>
        </w:div>
      </w:divsChild>
    </w:div>
    <w:div w:id="902721561">
      <w:marLeft w:val="4"/>
      <w:marRight w:val="0"/>
      <w:marTop w:val="120"/>
      <w:marBottom w:val="0"/>
      <w:divBdr>
        <w:top w:val="none" w:sz="0" w:space="0" w:color="auto"/>
        <w:left w:val="none" w:sz="0" w:space="0" w:color="auto"/>
        <w:bottom w:val="none" w:sz="0" w:space="0" w:color="auto"/>
        <w:right w:val="none" w:sz="0" w:space="0" w:color="auto"/>
      </w:divBdr>
      <w:divsChild>
        <w:div w:id="1115559572">
          <w:marLeft w:val="0"/>
          <w:marRight w:val="0"/>
          <w:marTop w:val="0"/>
          <w:marBottom w:val="0"/>
          <w:divBdr>
            <w:top w:val="none" w:sz="0" w:space="0" w:color="auto"/>
            <w:left w:val="none" w:sz="0" w:space="0" w:color="auto"/>
            <w:bottom w:val="none" w:sz="0" w:space="0" w:color="auto"/>
            <w:right w:val="none" w:sz="0" w:space="0" w:color="auto"/>
          </w:divBdr>
        </w:div>
      </w:divsChild>
    </w:div>
    <w:div w:id="902832484">
      <w:marLeft w:val="3"/>
      <w:marRight w:val="0"/>
      <w:marTop w:val="120"/>
      <w:marBottom w:val="0"/>
      <w:divBdr>
        <w:top w:val="none" w:sz="0" w:space="0" w:color="auto"/>
        <w:left w:val="none" w:sz="0" w:space="0" w:color="auto"/>
        <w:bottom w:val="none" w:sz="0" w:space="0" w:color="auto"/>
        <w:right w:val="none" w:sz="0" w:space="0" w:color="auto"/>
      </w:divBdr>
      <w:divsChild>
        <w:div w:id="2057005605">
          <w:marLeft w:val="0"/>
          <w:marRight w:val="0"/>
          <w:marTop w:val="0"/>
          <w:marBottom w:val="0"/>
          <w:divBdr>
            <w:top w:val="none" w:sz="0" w:space="0" w:color="auto"/>
            <w:left w:val="none" w:sz="0" w:space="0" w:color="auto"/>
            <w:bottom w:val="none" w:sz="0" w:space="0" w:color="auto"/>
            <w:right w:val="none" w:sz="0" w:space="0" w:color="auto"/>
          </w:divBdr>
        </w:div>
      </w:divsChild>
    </w:div>
    <w:div w:id="943919089">
      <w:marLeft w:val="0"/>
      <w:marRight w:val="0"/>
      <w:marTop w:val="0"/>
      <w:marBottom w:val="0"/>
      <w:divBdr>
        <w:top w:val="none" w:sz="0" w:space="0" w:color="auto"/>
        <w:left w:val="none" w:sz="0" w:space="0" w:color="auto"/>
        <w:bottom w:val="none" w:sz="0" w:space="0" w:color="auto"/>
        <w:right w:val="none" w:sz="0" w:space="0" w:color="auto"/>
      </w:divBdr>
      <w:divsChild>
        <w:div w:id="1565142831">
          <w:marLeft w:val="0"/>
          <w:marRight w:val="0"/>
          <w:marTop w:val="0"/>
          <w:marBottom w:val="0"/>
          <w:divBdr>
            <w:top w:val="none" w:sz="0" w:space="0" w:color="auto"/>
            <w:left w:val="none" w:sz="0" w:space="0" w:color="auto"/>
            <w:bottom w:val="none" w:sz="0" w:space="0" w:color="auto"/>
            <w:right w:val="none" w:sz="0" w:space="0" w:color="auto"/>
          </w:divBdr>
        </w:div>
        <w:div w:id="1977907981">
          <w:marLeft w:val="0"/>
          <w:marRight w:val="0"/>
          <w:marTop w:val="0"/>
          <w:marBottom w:val="0"/>
          <w:divBdr>
            <w:top w:val="none" w:sz="0" w:space="0" w:color="auto"/>
            <w:left w:val="none" w:sz="0" w:space="0" w:color="auto"/>
            <w:bottom w:val="none" w:sz="0" w:space="0" w:color="auto"/>
            <w:right w:val="none" w:sz="0" w:space="0" w:color="auto"/>
          </w:divBdr>
        </w:div>
        <w:div w:id="804736641">
          <w:marLeft w:val="0"/>
          <w:marRight w:val="0"/>
          <w:marTop w:val="0"/>
          <w:marBottom w:val="0"/>
          <w:divBdr>
            <w:top w:val="none" w:sz="0" w:space="0" w:color="auto"/>
            <w:left w:val="none" w:sz="0" w:space="0" w:color="auto"/>
            <w:bottom w:val="none" w:sz="0" w:space="0" w:color="auto"/>
            <w:right w:val="none" w:sz="0" w:space="0" w:color="auto"/>
          </w:divBdr>
        </w:div>
      </w:divsChild>
    </w:div>
    <w:div w:id="948774883">
      <w:marLeft w:val="4"/>
      <w:marRight w:val="0"/>
      <w:marTop w:val="120"/>
      <w:marBottom w:val="0"/>
      <w:divBdr>
        <w:top w:val="none" w:sz="0" w:space="0" w:color="auto"/>
        <w:left w:val="none" w:sz="0" w:space="0" w:color="auto"/>
        <w:bottom w:val="none" w:sz="0" w:space="0" w:color="auto"/>
        <w:right w:val="none" w:sz="0" w:space="0" w:color="auto"/>
      </w:divBdr>
      <w:divsChild>
        <w:div w:id="718087976">
          <w:marLeft w:val="0"/>
          <w:marRight w:val="0"/>
          <w:marTop w:val="0"/>
          <w:marBottom w:val="0"/>
          <w:divBdr>
            <w:top w:val="none" w:sz="0" w:space="0" w:color="auto"/>
            <w:left w:val="none" w:sz="0" w:space="0" w:color="auto"/>
            <w:bottom w:val="none" w:sz="0" w:space="0" w:color="auto"/>
            <w:right w:val="none" w:sz="0" w:space="0" w:color="auto"/>
          </w:divBdr>
        </w:div>
      </w:divsChild>
    </w:div>
    <w:div w:id="983238304">
      <w:marLeft w:val="3"/>
      <w:marRight w:val="0"/>
      <w:marTop w:val="200"/>
      <w:marBottom w:val="0"/>
      <w:divBdr>
        <w:top w:val="none" w:sz="0" w:space="0" w:color="auto"/>
        <w:left w:val="none" w:sz="0" w:space="0" w:color="auto"/>
        <w:bottom w:val="none" w:sz="0" w:space="0" w:color="auto"/>
        <w:right w:val="none" w:sz="0" w:space="0" w:color="auto"/>
      </w:divBdr>
      <w:divsChild>
        <w:div w:id="120459327">
          <w:marLeft w:val="0"/>
          <w:marRight w:val="0"/>
          <w:marTop w:val="0"/>
          <w:marBottom w:val="0"/>
          <w:divBdr>
            <w:top w:val="none" w:sz="0" w:space="0" w:color="auto"/>
            <w:left w:val="none" w:sz="0" w:space="0" w:color="auto"/>
            <w:bottom w:val="none" w:sz="0" w:space="0" w:color="auto"/>
            <w:right w:val="none" w:sz="0" w:space="0" w:color="auto"/>
          </w:divBdr>
        </w:div>
      </w:divsChild>
    </w:div>
    <w:div w:id="993948518">
      <w:marLeft w:val="4"/>
      <w:marRight w:val="0"/>
      <w:marTop w:val="200"/>
      <w:marBottom w:val="0"/>
      <w:divBdr>
        <w:top w:val="none" w:sz="0" w:space="0" w:color="auto"/>
        <w:left w:val="none" w:sz="0" w:space="0" w:color="auto"/>
        <w:bottom w:val="none" w:sz="0" w:space="0" w:color="auto"/>
        <w:right w:val="none" w:sz="0" w:space="0" w:color="auto"/>
      </w:divBdr>
      <w:divsChild>
        <w:div w:id="1792481383">
          <w:marLeft w:val="0"/>
          <w:marRight w:val="0"/>
          <w:marTop w:val="0"/>
          <w:marBottom w:val="0"/>
          <w:divBdr>
            <w:top w:val="none" w:sz="0" w:space="0" w:color="auto"/>
            <w:left w:val="none" w:sz="0" w:space="0" w:color="auto"/>
            <w:bottom w:val="none" w:sz="0" w:space="0" w:color="auto"/>
            <w:right w:val="none" w:sz="0" w:space="0" w:color="auto"/>
          </w:divBdr>
        </w:div>
      </w:divsChild>
    </w:div>
    <w:div w:id="1032532155">
      <w:marLeft w:val="4"/>
      <w:marRight w:val="0"/>
      <w:marTop w:val="120"/>
      <w:marBottom w:val="0"/>
      <w:divBdr>
        <w:top w:val="none" w:sz="0" w:space="0" w:color="auto"/>
        <w:left w:val="none" w:sz="0" w:space="0" w:color="auto"/>
        <w:bottom w:val="none" w:sz="0" w:space="0" w:color="auto"/>
        <w:right w:val="none" w:sz="0" w:space="0" w:color="auto"/>
      </w:divBdr>
      <w:divsChild>
        <w:div w:id="542794810">
          <w:marLeft w:val="0"/>
          <w:marRight w:val="0"/>
          <w:marTop w:val="0"/>
          <w:marBottom w:val="0"/>
          <w:divBdr>
            <w:top w:val="none" w:sz="0" w:space="0" w:color="auto"/>
            <w:left w:val="none" w:sz="0" w:space="0" w:color="auto"/>
            <w:bottom w:val="none" w:sz="0" w:space="0" w:color="auto"/>
            <w:right w:val="none" w:sz="0" w:space="0" w:color="auto"/>
          </w:divBdr>
        </w:div>
      </w:divsChild>
    </w:div>
    <w:div w:id="1032652384">
      <w:marLeft w:val="4"/>
      <w:marRight w:val="0"/>
      <w:marTop w:val="120"/>
      <w:marBottom w:val="0"/>
      <w:divBdr>
        <w:top w:val="none" w:sz="0" w:space="0" w:color="auto"/>
        <w:left w:val="none" w:sz="0" w:space="0" w:color="auto"/>
        <w:bottom w:val="none" w:sz="0" w:space="0" w:color="auto"/>
        <w:right w:val="none" w:sz="0" w:space="0" w:color="auto"/>
      </w:divBdr>
      <w:divsChild>
        <w:div w:id="884221883">
          <w:marLeft w:val="0"/>
          <w:marRight w:val="0"/>
          <w:marTop w:val="0"/>
          <w:marBottom w:val="0"/>
          <w:divBdr>
            <w:top w:val="none" w:sz="0" w:space="0" w:color="auto"/>
            <w:left w:val="none" w:sz="0" w:space="0" w:color="auto"/>
            <w:bottom w:val="none" w:sz="0" w:space="0" w:color="auto"/>
            <w:right w:val="none" w:sz="0" w:space="0" w:color="auto"/>
          </w:divBdr>
        </w:div>
      </w:divsChild>
    </w:div>
    <w:div w:id="1038703675">
      <w:marLeft w:val="0"/>
      <w:marRight w:val="0"/>
      <w:marTop w:val="0"/>
      <w:marBottom w:val="0"/>
      <w:divBdr>
        <w:top w:val="none" w:sz="0" w:space="0" w:color="auto"/>
        <w:left w:val="none" w:sz="0" w:space="0" w:color="auto"/>
        <w:bottom w:val="none" w:sz="0" w:space="0" w:color="auto"/>
        <w:right w:val="none" w:sz="0" w:space="0" w:color="auto"/>
      </w:divBdr>
      <w:divsChild>
        <w:div w:id="1607879972">
          <w:marLeft w:val="0"/>
          <w:marRight w:val="0"/>
          <w:marTop w:val="0"/>
          <w:marBottom w:val="0"/>
          <w:divBdr>
            <w:top w:val="none" w:sz="0" w:space="0" w:color="auto"/>
            <w:left w:val="none" w:sz="0" w:space="0" w:color="auto"/>
            <w:bottom w:val="none" w:sz="0" w:space="0" w:color="auto"/>
            <w:right w:val="none" w:sz="0" w:space="0" w:color="auto"/>
          </w:divBdr>
        </w:div>
        <w:div w:id="1458336684">
          <w:marLeft w:val="0"/>
          <w:marRight w:val="0"/>
          <w:marTop w:val="0"/>
          <w:marBottom w:val="0"/>
          <w:divBdr>
            <w:top w:val="none" w:sz="0" w:space="0" w:color="auto"/>
            <w:left w:val="none" w:sz="0" w:space="0" w:color="auto"/>
            <w:bottom w:val="none" w:sz="0" w:space="0" w:color="auto"/>
            <w:right w:val="none" w:sz="0" w:space="0" w:color="auto"/>
          </w:divBdr>
        </w:div>
      </w:divsChild>
    </w:div>
    <w:div w:id="1061054650">
      <w:marLeft w:val="4"/>
      <w:marRight w:val="0"/>
      <w:marTop w:val="200"/>
      <w:marBottom w:val="0"/>
      <w:divBdr>
        <w:top w:val="none" w:sz="0" w:space="0" w:color="auto"/>
        <w:left w:val="none" w:sz="0" w:space="0" w:color="auto"/>
        <w:bottom w:val="none" w:sz="0" w:space="0" w:color="auto"/>
        <w:right w:val="none" w:sz="0" w:space="0" w:color="auto"/>
      </w:divBdr>
      <w:divsChild>
        <w:div w:id="947664838">
          <w:marLeft w:val="0"/>
          <w:marRight w:val="0"/>
          <w:marTop w:val="0"/>
          <w:marBottom w:val="0"/>
          <w:divBdr>
            <w:top w:val="none" w:sz="0" w:space="0" w:color="auto"/>
            <w:left w:val="none" w:sz="0" w:space="0" w:color="auto"/>
            <w:bottom w:val="none" w:sz="0" w:space="0" w:color="auto"/>
            <w:right w:val="none" w:sz="0" w:space="0" w:color="auto"/>
          </w:divBdr>
        </w:div>
      </w:divsChild>
    </w:div>
    <w:div w:id="1097796181">
      <w:marLeft w:val="3"/>
      <w:marRight w:val="0"/>
      <w:marTop w:val="200"/>
      <w:marBottom w:val="0"/>
      <w:divBdr>
        <w:top w:val="none" w:sz="0" w:space="0" w:color="auto"/>
        <w:left w:val="none" w:sz="0" w:space="0" w:color="auto"/>
        <w:bottom w:val="none" w:sz="0" w:space="0" w:color="auto"/>
        <w:right w:val="none" w:sz="0" w:space="0" w:color="auto"/>
      </w:divBdr>
      <w:divsChild>
        <w:div w:id="965622600">
          <w:marLeft w:val="0"/>
          <w:marRight w:val="0"/>
          <w:marTop w:val="0"/>
          <w:marBottom w:val="0"/>
          <w:divBdr>
            <w:top w:val="none" w:sz="0" w:space="0" w:color="auto"/>
            <w:left w:val="none" w:sz="0" w:space="0" w:color="auto"/>
            <w:bottom w:val="none" w:sz="0" w:space="0" w:color="auto"/>
            <w:right w:val="none" w:sz="0" w:space="0" w:color="auto"/>
          </w:divBdr>
        </w:div>
      </w:divsChild>
    </w:div>
    <w:div w:id="1132021235">
      <w:marLeft w:val="4"/>
      <w:marRight w:val="0"/>
      <w:marTop w:val="200"/>
      <w:marBottom w:val="0"/>
      <w:divBdr>
        <w:top w:val="none" w:sz="0" w:space="0" w:color="auto"/>
        <w:left w:val="none" w:sz="0" w:space="0" w:color="auto"/>
        <w:bottom w:val="none" w:sz="0" w:space="0" w:color="auto"/>
        <w:right w:val="none" w:sz="0" w:space="0" w:color="auto"/>
      </w:divBdr>
      <w:divsChild>
        <w:div w:id="1847478455">
          <w:marLeft w:val="0"/>
          <w:marRight w:val="0"/>
          <w:marTop w:val="0"/>
          <w:marBottom w:val="0"/>
          <w:divBdr>
            <w:top w:val="none" w:sz="0" w:space="0" w:color="auto"/>
            <w:left w:val="none" w:sz="0" w:space="0" w:color="auto"/>
            <w:bottom w:val="none" w:sz="0" w:space="0" w:color="auto"/>
            <w:right w:val="none" w:sz="0" w:space="0" w:color="auto"/>
          </w:divBdr>
        </w:div>
      </w:divsChild>
    </w:div>
    <w:div w:id="1136264579">
      <w:marLeft w:val="0"/>
      <w:marRight w:val="0"/>
      <w:marTop w:val="0"/>
      <w:marBottom w:val="0"/>
      <w:divBdr>
        <w:top w:val="none" w:sz="0" w:space="0" w:color="auto"/>
        <w:left w:val="none" w:sz="0" w:space="0" w:color="auto"/>
        <w:bottom w:val="none" w:sz="0" w:space="0" w:color="auto"/>
        <w:right w:val="none" w:sz="0" w:space="0" w:color="auto"/>
      </w:divBdr>
      <w:divsChild>
        <w:div w:id="26293726">
          <w:marLeft w:val="0"/>
          <w:marRight w:val="0"/>
          <w:marTop w:val="0"/>
          <w:marBottom w:val="0"/>
          <w:divBdr>
            <w:top w:val="none" w:sz="0" w:space="0" w:color="auto"/>
            <w:left w:val="none" w:sz="0" w:space="0" w:color="auto"/>
            <w:bottom w:val="none" w:sz="0" w:space="0" w:color="auto"/>
            <w:right w:val="none" w:sz="0" w:space="0" w:color="auto"/>
          </w:divBdr>
        </w:div>
        <w:div w:id="186412666">
          <w:marLeft w:val="0"/>
          <w:marRight w:val="0"/>
          <w:marTop w:val="0"/>
          <w:marBottom w:val="0"/>
          <w:divBdr>
            <w:top w:val="none" w:sz="0" w:space="0" w:color="auto"/>
            <w:left w:val="none" w:sz="0" w:space="0" w:color="auto"/>
            <w:bottom w:val="none" w:sz="0" w:space="0" w:color="auto"/>
            <w:right w:val="none" w:sz="0" w:space="0" w:color="auto"/>
          </w:divBdr>
          <w:divsChild>
            <w:div w:id="540635949">
              <w:marLeft w:val="0"/>
              <w:marRight w:val="0"/>
              <w:marTop w:val="0"/>
              <w:marBottom w:val="0"/>
              <w:divBdr>
                <w:top w:val="none" w:sz="0" w:space="0" w:color="auto"/>
                <w:left w:val="none" w:sz="0" w:space="0" w:color="auto"/>
                <w:bottom w:val="none" w:sz="0" w:space="0" w:color="auto"/>
                <w:right w:val="none" w:sz="0" w:space="0" w:color="auto"/>
              </w:divBdr>
            </w:div>
          </w:divsChild>
        </w:div>
        <w:div w:id="779034585">
          <w:marLeft w:val="0"/>
          <w:marRight w:val="0"/>
          <w:marTop w:val="0"/>
          <w:marBottom w:val="0"/>
          <w:divBdr>
            <w:top w:val="none" w:sz="0" w:space="0" w:color="auto"/>
            <w:left w:val="none" w:sz="0" w:space="0" w:color="auto"/>
            <w:bottom w:val="none" w:sz="0" w:space="0" w:color="auto"/>
            <w:right w:val="none" w:sz="0" w:space="0" w:color="auto"/>
          </w:divBdr>
        </w:div>
        <w:div w:id="1742485730">
          <w:marLeft w:val="0"/>
          <w:marRight w:val="0"/>
          <w:marTop w:val="0"/>
          <w:marBottom w:val="0"/>
          <w:divBdr>
            <w:top w:val="none" w:sz="0" w:space="0" w:color="auto"/>
            <w:left w:val="none" w:sz="0" w:space="0" w:color="auto"/>
            <w:bottom w:val="none" w:sz="0" w:space="0" w:color="auto"/>
            <w:right w:val="none" w:sz="0" w:space="0" w:color="auto"/>
          </w:divBdr>
        </w:div>
        <w:div w:id="1837332768">
          <w:marLeft w:val="0"/>
          <w:marRight w:val="0"/>
          <w:marTop w:val="0"/>
          <w:marBottom w:val="0"/>
          <w:divBdr>
            <w:top w:val="none" w:sz="0" w:space="0" w:color="auto"/>
            <w:left w:val="none" w:sz="0" w:space="0" w:color="auto"/>
            <w:bottom w:val="none" w:sz="0" w:space="0" w:color="auto"/>
            <w:right w:val="none" w:sz="0" w:space="0" w:color="auto"/>
          </w:divBdr>
        </w:div>
        <w:div w:id="813448906">
          <w:marLeft w:val="0"/>
          <w:marRight w:val="0"/>
          <w:marTop w:val="0"/>
          <w:marBottom w:val="0"/>
          <w:divBdr>
            <w:top w:val="none" w:sz="0" w:space="0" w:color="auto"/>
            <w:left w:val="none" w:sz="0" w:space="0" w:color="auto"/>
            <w:bottom w:val="none" w:sz="0" w:space="0" w:color="auto"/>
            <w:right w:val="none" w:sz="0" w:space="0" w:color="auto"/>
          </w:divBdr>
        </w:div>
        <w:div w:id="241374401">
          <w:marLeft w:val="0"/>
          <w:marRight w:val="0"/>
          <w:marTop w:val="0"/>
          <w:marBottom w:val="0"/>
          <w:divBdr>
            <w:top w:val="none" w:sz="0" w:space="0" w:color="auto"/>
            <w:left w:val="none" w:sz="0" w:space="0" w:color="auto"/>
            <w:bottom w:val="none" w:sz="0" w:space="0" w:color="auto"/>
            <w:right w:val="none" w:sz="0" w:space="0" w:color="auto"/>
          </w:divBdr>
        </w:div>
        <w:div w:id="1866601955">
          <w:marLeft w:val="0"/>
          <w:marRight w:val="0"/>
          <w:marTop w:val="0"/>
          <w:marBottom w:val="0"/>
          <w:divBdr>
            <w:top w:val="none" w:sz="0" w:space="0" w:color="auto"/>
            <w:left w:val="none" w:sz="0" w:space="0" w:color="auto"/>
            <w:bottom w:val="none" w:sz="0" w:space="0" w:color="auto"/>
            <w:right w:val="none" w:sz="0" w:space="0" w:color="auto"/>
          </w:divBdr>
        </w:div>
      </w:divsChild>
    </w:div>
    <w:div w:id="1157840263">
      <w:marLeft w:val="4"/>
      <w:marRight w:val="0"/>
      <w:marTop w:val="200"/>
      <w:marBottom w:val="0"/>
      <w:divBdr>
        <w:top w:val="none" w:sz="0" w:space="0" w:color="auto"/>
        <w:left w:val="none" w:sz="0" w:space="0" w:color="auto"/>
        <w:bottom w:val="none" w:sz="0" w:space="0" w:color="auto"/>
        <w:right w:val="none" w:sz="0" w:space="0" w:color="auto"/>
      </w:divBdr>
      <w:divsChild>
        <w:div w:id="1759011452">
          <w:marLeft w:val="0"/>
          <w:marRight w:val="0"/>
          <w:marTop w:val="0"/>
          <w:marBottom w:val="0"/>
          <w:divBdr>
            <w:top w:val="none" w:sz="0" w:space="0" w:color="auto"/>
            <w:left w:val="none" w:sz="0" w:space="0" w:color="auto"/>
            <w:bottom w:val="none" w:sz="0" w:space="0" w:color="auto"/>
            <w:right w:val="none" w:sz="0" w:space="0" w:color="auto"/>
          </w:divBdr>
        </w:div>
      </w:divsChild>
    </w:div>
    <w:div w:id="1184713392">
      <w:marLeft w:val="4"/>
      <w:marRight w:val="0"/>
      <w:marTop w:val="200"/>
      <w:marBottom w:val="0"/>
      <w:divBdr>
        <w:top w:val="none" w:sz="0" w:space="0" w:color="auto"/>
        <w:left w:val="none" w:sz="0" w:space="0" w:color="auto"/>
        <w:bottom w:val="none" w:sz="0" w:space="0" w:color="auto"/>
        <w:right w:val="none" w:sz="0" w:space="0" w:color="auto"/>
      </w:divBdr>
      <w:divsChild>
        <w:div w:id="1559977072">
          <w:marLeft w:val="0"/>
          <w:marRight w:val="0"/>
          <w:marTop w:val="0"/>
          <w:marBottom w:val="0"/>
          <w:divBdr>
            <w:top w:val="none" w:sz="0" w:space="0" w:color="auto"/>
            <w:left w:val="none" w:sz="0" w:space="0" w:color="auto"/>
            <w:bottom w:val="none" w:sz="0" w:space="0" w:color="auto"/>
            <w:right w:val="none" w:sz="0" w:space="0" w:color="auto"/>
          </w:divBdr>
        </w:div>
      </w:divsChild>
    </w:div>
    <w:div w:id="1184788955">
      <w:marLeft w:val="0"/>
      <w:marRight w:val="0"/>
      <w:marTop w:val="0"/>
      <w:marBottom w:val="0"/>
      <w:divBdr>
        <w:top w:val="none" w:sz="0" w:space="0" w:color="auto"/>
        <w:left w:val="none" w:sz="0" w:space="0" w:color="auto"/>
        <w:bottom w:val="none" w:sz="0" w:space="0" w:color="auto"/>
        <w:right w:val="none" w:sz="0" w:space="0" w:color="auto"/>
      </w:divBdr>
    </w:div>
    <w:div w:id="1188715116">
      <w:marLeft w:val="3"/>
      <w:marRight w:val="0"/>
      <w:marTop w:val="120"/>
      <w:marBottom w:val="0"/>
      <w:divBdr>
        <w:top w:val="none" w:sz="0" w:space="0" w:color="auto"/>
        <w:left w:val="none" w:sz="0" w:space="0" w:color="auto"/>
        <w:bottom w:val="none" w:sz="0" w:space="0" w:color="auto"/>
        <w:right w:val="none" w:sz="0" w:space="0" w:color="auto"/>
      </w:divBdr>
      <w:divsChild>
        <w:div w:id="2044742433">
          <w:marLeft w:val="0"/>
          <w:marRight w:val="0"/>
          <w:marTop w:val="0"/>
          <w:marBottom w:val="0"/>
          <w:divBdr>
            <w:top w:val="none" w:sz="0" w:space="0" w:color="auto"/>
            <w:left w:val="none" w:sz="0" w:space="0" w:color="auto"/>
            <w:bottom w:val="none" w:sz="0" w:space="0" w:color="auto"/>
            <w:right w:val="none" w:sz="0" w:space="0" w:color="auto"/>
          </w:divBdr>
        </w:div>
      </w:divsChild>
    </w:div>
    <w:div w:id="1208645611">
      <w:marLeft w:val="4"/>
      <w:marRight w:val="0"/>
      <w:marTop w:val="120"/>
      <w:marBottom w:val="0"/>
      <w:divBdr>
        <w:top w:val="none" w:sz="0" w:space="0" w:color="auto"/>
        <w:left w:val="none" w:sz="0" w:space="0" w:color="auto"/>
        <w:bottom w:val="none" w:sz="0" w:space="0" w:color="auto"/>
        <w:right w:val="none" w:sz="0" w:space="0" w:color="auto"/>
      </w:divBdr>
      <w:divsChild>
        <w:div w:id="425928999">
          <w:marLeft w:val="0"/>
          <w:marRight w:val="0"/>
          <w:marTop w:val="0"/>
          <w:marBottom w:val="0"/>
          <w:divBdr>
            <w:top w:val="none" w:sz="0" w:space="0" w:color="auto"/>
            <w:left w:val="none" w:sz="0" w:space="0" w:color="auto"/>
            <w:bottom w:val="none" w:sz="0" w:space="0" w:color="auto"/>
            <w:right w:val="none" w:sz="0" w:space="0" w:color="auto"/>
          </w:divBdr>
        </w:div>
      </w:divsChild>
    </w:div>
    <w:div w:id="1225071469">
      <w:marLeft w:val="0"/>
      <w:marRight w:val="0"/>
      <w:marTop w:val="0"/>
      <w:marBottom w:val="0"/>
      <w:divBdr>
        <w:top w:val="none" w:sz="0" w:space="0" w:color="auto"/>
        <w:left w:val="none" w:sz="0" w:space="0" w:color="auto"/>
        <w:bottom w:val="none" w:sz="0" w:space="0" w:color="auto"/>
        <w:right w:val="none" w:sz="0" w:space="0" w:color="auto"/>
      </w:divBdr>
      <w:divsChild>
        <w:div w:id="1621064182">
          <w:marLeft w:val="0"/>
          <w:marRight w:val="0"/>
          <w:marTop w:val="0"/>
          <w:marBottom w:val="0"/>
          <w:divBdr>
            <w:top w:val="none" w:sz="0" w:space="0" w:color="auto"/>
            <w:left w:val="none" w:sz="0" w:space="0" w:color="auto"/>
            <w:bottom w:val="none" w:sz="0" w:space="0" w:color="auto"/>
            <w:right w:val="none" w:sz="0" w:space="0" w:color="auto"/>
          </w:divBdr>
        </w:div>
        <w:div w:id="2138987634">
          <w:marLeft w:val="0"/>
          <w:marRight w:val="0"/>
          <w:marTop w:val="0"/>
          <w:marBottom w:val="0"/>
          <w:divBdr>
            <w:top w:val="none" w:sz="0" w:space="0" w:color="auto"/>
            <w:left w:val="none" w:sz="0" w:space="0" w:color="auto"/>
            <w:bottom w:val="none" w:sz="0" w:space="0" w:color="auto"/>
            <w:right w:val="none" w:sz="0" w:space="0" w:color="auto"/>
          </w:divBdr>
        </w:div>
        <w:div w:id="448861373">
          <w:marLeft w:val="0"/>
          <w:marRight w:val="0"/>
          <w:marTop w:val="0"/>
          <w:marBottom w:val="0"/>
          <w:divBdr>
            <w:top w:val="none" w:sz="0" w:space="0" w:color="auto"/>
            <w:left w:val="none" w:sz="0" w:space="0" w:color="auto"/>
            <w:bottom w:val="none" w:sz="0" w:space="0" w:color="auto"/>
            <w:right w:val="none" w:sz="0" w:space="0" w:color="auto"/>
          </w:divBdr>
        </w:div>
        <w:div w:id="519784235">
          <w:marLeft w:val="0"/>
          <w:marRight w:val="0"/>
          <w:marTop w:val="0"/>
          <w:marBottom w:val="0"/>
          <w:divBdr>
            <w:top w:val="none" w:sz="0" w:space="0" w:color="auto"/>
            <w:left w:val="none" w:sz="0" w:space="0" w:color="auto"/>
            <w:bottom w:val="none" w:sz="0" w:space="0" w:color="auto"/>
            <w:right w:val="none" w:sz="0" w:space="0" w:color="auto"/>
          </w:divBdr>
          <w:divsChild>
            <w:div w:id="1387337206">
              <w:marLeft w:val="0"/>
              <w:marRight w:val="0"/>
              <w:marTop w:val="0"/>
              <w:marBottom w:val="0"/>
              <w:divBdr>
                <w:top w:val="none" w:sz="0" w:space="0" w:color="auto"/>
                <w:left w:val="none" w:sz="0" w:space="0" w:color="auto"/>
                <w:bottom w:val="none" w:sz="0" w:space="0" w:color="auto"/>
                <w:right w:val="none" w:sz="0" w:space="0" w:color="auto"/>
              </w:divBdr>
            </w:div>
            <w:div w:id="1957759821">
              <w:marLeft w:val="0"/>
              <w:marRight w:val="0"/>
              <w:marTop w:val="0"/>
              <w:marBottom w:val="0"/>
              <w:divBdr>
                <w:top w:val="none" w:sz="0" w:space="0" w:color="auto"/>
                <w:left w:val="none" w:sz="0" w:space="0" w:color="auto"/>
                <w:bottom w:val="none" w:sz="0" w:space="0" w:color="auto"/>
                <w:right w:val="none" w:sz="0" w:space="0" w:color="auto"/>
              </w:divBdr>
            </w:div>
          </w:divsChild>
        </w:div>
        <w:div w:id="1812670431">
          <w:marLeft w:val="0"/>
          <w:marRight w:val="0"/>
          <w:marTop w:val="0"/>
          <w:marBottom w:val="0"/>
          <w:divBdr>
            <w:top w:val="none" w:sz="0" w:space="0" w:color="auto"/>
            <w:left w:val="none" w:sz="0" w:space="0" w:color="auto"/>
            <w:bottom w:val="none" w:sz="0" w:space="0" w:color="auto"/>
            <w:right w:val="none" w:sz="0" w:space="0" w:color="auto"/>
          </w:divBdr>
        </w:div>
        <w:div w:id="739864087">
          <w:marLeft w:val="0"/>
          <w:marRight w:val="0"/>
          <w:marTop w:val="0"/>
          <w:marBottom w:val="0"/>
          <w:divBdr>
            <w:top w:val="none" w:sz="0" w:space="0" w:color="auto"/>
            <w:left w:val="none" w:sz="0" w:space="0" w:color="auto"/>
            <w:bottom w:val="none" w:sz="0" w:space="0" w:color="auto"/>
            <w:right w:val="none" w:sz="0" w:space="0" w:color="auto"/>
          </w:divBdr>
        </w:div>
        <w:div w:id="85729301">
          <w:marLeft w:val="0"/>
          <w:marRight w:val="0"/>
          <w:marTop w:val="0"/>
          <w:marBottom w:val="0"/>
          <w:divBdr>
            <w:top w:val="none" w:sz="0" w:space="0" w:color="auto"/>
            <w:left w:val="none" w:sz="0" w:space="0" w:color="auto"/>
            <w:bottom w:val="none" w:sz="0" w:space="0" w:color="auto"/>
            <w:right w:val="none" w:sz="0" w:space="0" w:color="auto"/>
          </w:divBdr>
          <w:divsChild>
            <w:div w:id="662707512">
              <w:marLeft w:val="0"/>
              <w:marRight w:val="0"/>
              <w:marTop w:val="0"/>
              <w:marBottom w:val="0"/>
              <w:divBdr>
                <w:top w:val="none" w:sz="0" w:space="0" w:color="auto"/>
                <w:left w:val="none" w:sz="0" w:space="0" w:color="auto"/>
                <w:bottom w:val="none" w:sz="0" w:space="0" w:color="auto"/>
                <w:right w:val="none" w:sz="0" w:space="0" w:color="auto"/>
              </w:divBdr>
            </w:div>
          </w:divsChild>
        </w:div>
        <w:div w:id="3751904">
          <w:marLeft w:val="0"/>
          <w:marRight w:val="0"/>
          <w:marTop w:val="0"/>
          <w:marBottom w:val="0"/>
          <w:divBdr>
            <w:top w:val="none" w:sz="0" w:space="0" w:color="auto"/>
            <w:left w:val="none" w:sz="0" w:space="0" w:color="auto"/>
            <w:bottom w:val="none" w:sz="0" w:space="0" w:color="auto"/>
            <w:right w:val="none" w:sz="0" w:space="0" w:color="auto"/>
          </w:divBdr>
          <w:divsChild>
            <w:div w:id="332145002">
              <w:marLeft w:val="0"/>
              <w:marRight w:val="0"/>
              <w:marTop w:val="0"/>
              <w:marBottom w:val="0"/>
              <w:divBdr>
                <w:top w:val="none" w:sz="0" w:space="0" w:color="auto"/>
                <w:left w:val="none" w:sz="0" w:space="0" w:color="auto"/>
                <w:bottom w:val="none" w:sz="0" w:space="0" w:color="auto"/>
                <w:right w:val="none" w:sz="0" w:space="0" w:color="auto"/>
              </w:divBdr>
            </w:div>
          </w:divsChild>
        </w:div>
        <w:div w:id="1993948263">
          <w:marLeft w:val="0"/>
          <w:marRight w:val="0"/>
          <w:marTop w:val="0"/>
          <w:marBottom w:val="0"/>
          <w:divBdr>
            <w:top w:val="none" w:sz="0" w:space="0" w:color="auto"/>
            <w:left w:val="none" w:sz="0" w:space="0" w:color="auto"/>
            <w:bottom w:val="none" w:sz="0" w:space="0" w:color="auto"/>
            <w:right w:val="none" w:sz="0" w:space="0" w:color="auto"/>
          </w:divBdr>
          <w:divsChild>
            <w:div w:id="154760483">
              <w:marLeft w:val="0"/>
              <w:marRight w:val="0"/>
              <w:marTop w:val="0"/>
              <w:marBottom w:val="0"/>
              <w:divBdr>
                <w:top w:val="none" w:sz="0" w:space="0" w:color="auto"/>
                <w:left w:val="none" w:sz="0" w:space="0" w:color="auto"/>
                <w:bottom w:val="none" w:sz="0" w:space="0" w:color="auto"/>
                <w:right w:val="none" w:sz="0" w:space="0" w:color="auto"/>
              </w:divBdr>
            </w:div>
          </w:divsChild>
        </w:div>
        <w:div w:id="1125540281">
          <w:marLeft w:val="0"/>
          <w:marRight w:val="0"/>
          <w:marTop w:val="0"/>
          <w:marBottom w:val="0"/>
          <w:divBdr>
            <w:top w:val="none" w:sz="0" w:space="0" w:color="auto"/>
            <w:left w:val="none" w:sz="0" w:space="0" w:color="auto"/>
            <w:bottom w:val="none" w:sz="0" w:space="0" w:color="auto"/>
            <w:right w:val="none" w:sz="0" w:space="0" w:color="auto"/>
          </w:divBdr>
        </w:div>
        <w:div w:id="222836767">
          <w:marLeft w:val="0"/>
          <w:marRight w:val="0"/>
          <w:marTop w:val="0"/>
          <w:marBottom w:val="0"/>
          <w:divBdr>
            <w:top w:val="none" w:sz="0" w:space="0" w:color="auto"/>
            <w:left w:val="none" w:sz="0" w:space="0" w:color="auto"/>
            <w:bottom w:val="none" w:sz="0" w:space="0" w:color="auto"/>
            <w:right w:val="none" w:sz="0" w:space="0" w:color="auto"/>
          </w:divBdr>
        </w:div>
        <w:div w:id="253591417">
          <w:marLeft w:val="0"/>
          <w:marRight w:val="0"/>
          <w:marTop w:val="0"/>
          <w:marBottom w:val="0"/>
          <w:divBdr>
            <w:top w:val="none" w:sz="0" w:space="0" w:color="auto"/>
            <w:left w:val="none" w:sz="0" w:space="0" w:color="auto"/>
            <w:bottom w:val="none" w:sz="0" w:space="0" w:color="auto"/>
            <w:right w:val="none" w:sz="0" w:space="0" w:color="auto"/>
          </w:divBdr>
        </w:div>
        <w:div w:id="1747190735">
          <w:marLeft w:val="0"/>
          <w:marRight w:val="0"/>
          <w:marTop w:val="0"/>
          <w:marBottom w:val="0"/>
          <w:divBdr>
            <w:top w:val="none" w:sz="0" w:space="0" w:color="auto"/>
            <w:left w:val="none" w:sz="0" w:space="0" w:color="auto"/>
            <w:bottom w:val="none" w:sz="0" w:space="0" w:color="auto"/>
            <w:right w:val="none" w:sz="0" w:space="0" w:color="auto"/>
          </w:divBdr>
        </w:div>
        <w:div w:id="383719851">
          <w:marLeft w:val="0"/>
          <w:marRight w:val="0"/>
          <w:marTop w:val="0"/>
          <w:marBottom w:val="0"/>
          <w:divBdr>
            <w:top w:val="none" w:sz="0" w:space="0" w:color="auto"/>
            <w:left w:val="none" w:sz="0" w:space="0" w:color="auto"/>
            <w:bottom w:val="none" w:sz="0" w:space="0" w:color="auto"/>
            <w:right w:val="none" w:sz="0" w:space="0" w:color="auto"/>
          </w:divBdr>
        </w:div>
        <w:div w:id="888734602">
          <w:marLeft w:val="0"/>
          <w:marRight w:val="0"/>
          <w:marTop w:val="0"/>
          <w:marBottom w:val="0"/>
          <w:divBdr>
            <w:top w:val="none" w:sz="0" w:space="0" w:color="auto"/>
            <w:left w:val="none" w:sz="0" w:space="0" w:color="auto"/>
            <w:bottom w:val="none" w:sz="0" w:space="0" w:color="auto"/>
            <w:right w:val="none" w:sz="0" w:space="0" w:color="auto"/>
          </w:divBdr>
        </w:div>
        <w:div w:id="1551961484">
          <w:marLeft w:val="0"/>
          <w:marRight w:val="0"/>
          <w:marTop w:val="0"/>
          <w:marBottom w:val="0"/>
          <w:divBdr>
            <w:top w:val="none" w:sz="0" w:space="0" w:color="auto"/>
            <w:left w:val="none" w:sz="0" w:space="0" w:color="auto"/>
            <w:bottom w:val="none" w:sz="0" w:space="0" w:color="auto"/>
            <w:right w:val="none" w:sz="0" w:space="0" w:color="auto"/>
          </w:divBdr>
          <w:divsChild>
            <w:div w:id="457332879">
              <w:marLeft w:val="4"/>
              <w:marRight w:val="0"/>
              <w:marTop w:val="200"/>
              <w:marBottom w:val="200"/>
              <w:divBdr>
                <w:top w:val="none" w:sz="0" w:space="0" w:color="auto"/>
                <w:left w:val="none" w:sz="0" w:space="0" w:color="auto"/>
                <w:bottom w:val="none" w:sz="0" w:space="0" w:color="auto"/>
                <w:right w:val="none" w:sz="0" w:space="0" w:color="auto"/>
              </w:divBdr>
              <w:divsChild>
                <w:div w:id="1615166557">
                  <w:marLeft w:val="0"/>
                  <w:marRight w:val="0"/>
                  <w:marTop w:val="0"/>
                  <w:marBottom w:val="0"/>
                  <w:divBdr>
                    <w:top w:val="none" w:sz="0" w:space="0" w:color="auto"/>
                    <w:left w:val="none" w:sz="0" w:space="0" w:color="auto"/>
                    <w:bottom w:val="none" w:sz="0" w:space="0" w:color="auto"/>
                    <w:right w:val="none" w:sz="0" w:space="0" w:color="auto"/>
                  </w:divBdr>
                </w:div>
              </w:divsChild>
            </w:div>
            <w:div w:id="1318922720">
              <w:marLeft w:val="4"/>
              <w:marRight w:val="0"/>
              <w:marTop w:val="200"/>
              <w:marBottom w:val="200"/>
              <w:divBdr>
                <w:top w:val="none" w:sz="0" w:space="0" w:color="auto"/>
                <w:left w:val="none" w:sz="0" w:space="0" w:color="auto"/>
                <w:bottom w:val="none" w:sz="0" w:space="0" w:color="auto"/>
                <w:right w:val="none" w:sz="0" w:space="0" w:color="auto"/>
              </w:divBdr>
              <w:divsChild>
                <w:div w:id="298610731">
                  <w:marLeft w:val="0"/>
                  <w:marRight w:val="0"/>
                  <w:marTop w:val="0"/>
                  <w:marBottom w:val="0"/>
                  <w:divBdr>
                    <w:top w:val="none" w:sz="0" w:space="0" w:color="auto"/>
                    <w:left w:val="none" w:sz="0" w:space="0" w:color="auto"/>
                    <w:bottom w:val="none" w:sz="0" w:space="0" w:color="auto"/>
                    <w:right w:val="none" w:sz="0" w:space="0" w:color="auto"/>
                  </w:divBdr>
                </w:div>
              </w:divsChild>
            </w:div>
            <w:div w:id="1604452771">
              <w:marLeft w:val="4"/>
              <w:marRight w:val="0"/>
              <w:marTop w:val="200"/>
              <w:marBottom w:val="200"/>
              <w:divBdr>
                <w:top w:val="none" w:sz="0" w:space="0" w:color="auto"/>
                <w:left w:val="none" w:sz="0" w:space="0" w:color="auto"/>
                <w:bottom w:val="none" w:sz="0" w:space="0" w:color="auto"/>
                <w:right w:val="none" w:sz="0" w:space="0" w:color="auto"/>
              </w:divBdr>
              <w:divsChild>
                <w:div w:id="454065076">
                  <w:marLeft w:val="0"/>
                  <w:marRight w:val="0"/>
                  <w:marTop w:val="0"/>
                  <w:marBottom w:val="0"/>
                  <w:divBdr>
                    <w:top w:val="none" w:sz="0" w:space="0" w:color="auto"/>
                    <w:left w:val="none" w:sz="0" w:space="0" w:color="auto"/>
                    <w:bottom w:val="none" w:sz="0" w:space="0" w:color="auto"/>
                    <w:right w:val="none" w:sz="0" w:space="0" w:color="auto"/>
                  </w:divBdr>
                </w:div>
              </w:divsChild>
            </w:div>
            <w:div w:id="901594859">
              <w:marLeft w:val="4"/>
              <w:marRight w:val="0"/>
              <w:marTop w:val="200"/>
              <w:marBottom w:val="200"/>
              <w:divBdr>
                <w:top w:val="none" w:sz="0" w:space="0" w:color="auto"/>
                <w:left w:val="none" w:sz="0" w:space="0" w:color="auto"/>
                <w:bottom w:val="none" w:sz="0" w:space="0" w:color="auto"/>
                <w:right w:val="none" w:sz="0" w:space="0" w:color="auto"/>
              </w:divBdr>
              <w:divsChild>
                <w:div w:id="1497450939">
                  <w:marLeft w:val="0"/>
                  <w:marRight w:val="0"/>
                  <w:marTop w:val="0"/>
                  <w:marBottom w:val="0"/>
                  <w:divBdr>
                    <w:top w:val="none" w:sz="0" w:space="0" w:color="auto"/>
                    <w:left w:val="none" w:sz="0" w:space="0" w:color="auto"/>
                    <w:bottom w:val="none" w:sz="0" w:space="0" w:color="auto"/>
                    <w:right w:val="none" w:sz="0" w:space="0" w:color="auto"/>
                  </w:divBdr>
                </w:div>
              </w:divsChild>
            </w:div>
            <w:div w:id="119694269">
              <w:marLeft w:val="4"/>
              <w:marRight w:val="0"/>
              <w:marTop w:val="200"/>
              <w:marBottom w:val="200"/>
              <w:divBdr>
                <w:top w:val="none" w:sz="0" w:space="0" w:color="auto"/>
                <w:left w:val="none" w:sz="0" w:space="0" w:color="auto"/>
                <w:bottom w:val="none" w:sz="0" w:space="0" w:color="auto"/>
                <w:right w:val="none" w:sz="0" w:space="0" w:color="auto"/>
              </w:divBdr>
              <w:divsChild>
                <w:div w:id="16086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958">
          <w:marLeft w:val="0"/>
          <w:marRight w:val="0"/>
          <w:marTop w:val="0"/>
          <w:marBottom w:val="0"/>
          <w:divBdr>
            <w:top w:val="none" w:sz="0" w:space="0" w:color="auto"/>
            <w:left w:val="none" w:sz="0" w:space="0" w:color="auto"/>
            <w:bottom w:val="none" w:sz="0" w:space="0" w:color="auto"/>
            <w:right w:val="none" w:sz="0" w:space="0" w:color="auto"/>
          </w:divBdr>
        </w:div>
        <w:div w:id="1438678688">
          <w:marLeft w:val="0"/>
          <w:marRight w:val="0"/>
          <w:marTop w:val="0"/>
          <w:marBottom w:val="0"/>
          <w:divBdr>
            <w:top w:val="none" w:sz="0" w:space="0" w:color="auto"/>
            <w:left w:val="none" w:sz="0" w:space="0" w:color="auto"/>
            <w:bottom w:val="none" w:sz="0" w:space="0" w:color="auto"/>
            <w:right w:val="none" w:sz="0" w:space="0" w:color="auto"/>
          </w:divBdr>
        </w:div>
        <w:div w:id="1826816166">
          <w:marLeft w:val="0"/>
          <w:marRight w:val="0"/>
          <w:marTop w:val="0"/>
          <w:marBottom w:val="0"/>
          <w:divBdr>
            <w:top w:val="none" w:sz="0" w:space="0" w:color="auto"/>
            <w:left w:val="none" w:sz="0" w:space="0" w:color="auto"/>
            <w:bottom w:val="none" w:sz="0" w:space="0" w:color="auto"/>
            <w:right w:val="none" w:sz="0" w:space="0" w:color="auto"/>
          </w:divBdr>
        </w:div>
        <w:div w:id="1498308402">
          <w:marLeft w:val="0"/>
          <w:marRight w:val="0"/>
          <w:marTop w:val="0"/>
          <w:marBottom w:val="0"/>
          <w:divBdr>
            <w:top w:val="none" w:sz="0" w:space="0" w:color="auto"/>
            <w:left w:val="none" w:sz="0" w:space="0" w:color="auto"/>
            <w:bottom w:val="none" w:sz="0" w:space="0" w:color="auto"/>
            <w:right w:val="none" w:sz="0" w:space="0" w:color="auto"/>
          </w:divBdr>
          <w:divsChild>
            <w:div w:id="1107236417">
              <w:marLeft w:val="0"/>
              <w:marRight w:val="0"/>
              <w:marTop w:val="0"/>
              <w:marBottom w:val="0"/>
              <w:divBdr>
                <w:top w:val="none" w:sz="0" w:space="0" w:color="auto"/>
                <w:left w:val="none" w:sz="0" w:space="0" w:color="auto"/>
                <w:bottom w:val="none" w:sz="0" w:space="0" w:color="auto"/>
                <w:right w:val="none" w:sz="0" w:space="0" w:color="auto"/>
              </w:divBdr>
            </w:div>
          </w:divsChild>
        </w:div>
        <w:div w:id="723798970">
          <w:marLeft w:val="0"/>
          <w:marRight w:val="0"/>
          <w:marTop w:val="0"/>
          <w:marBottom w:val="0"/>
          <w:divBdr>
            <w:top w:val="none" w:sz="0" w:space="0" w:color="auto"/>
            <w:left w:val="none" w:sz="0" w:space="0" w:color="auto"/>
            <w:bottom w:val="none" w:sz="0" w:space="0" w:color="auto"/>
            <w:right w:val="none" w:sz="0" w:space="0" w:color="auto"/>
          </w:divBdr>
        </w:div>
        <w:div w:id="775753611">
          <w:marLeft w:val="0"/>
          <w:marRight w:val="0"/>
          <w:marTop w:val="0"/>
          <w:marBottom w:val="0"/>
          <w:divBdr>
            <w:top w:val="none" w:sz="0" w:space="0" w:color="auto"/>
            <w:left w:val="none" w:sz="0" w:space="0" w:color="auto"/>
            <w:bottom w:val="none" w:sz="0" w:space="0" w:color="auto"/>
            <w:right w:val="none" w:sz="0" w:space="0" w:color="auto"/>
          </w:divBdr>
        </w:div>
        <w:div w:id="1559047903">
          <w:marLeft w:val="0"/>
          <w:marRight w:val="0"/>
          <w:marTop w:val="0"/>
          <w:marBottom w:val="0"/>
          <w:divBdr>
            <w:top w:val="none" w:sz="0" w:space="0" w:color="auto"/>
            <w:left w:val="none" w:sz="0" w:space="0" w:color="auto"/>
            <w:bottom w:val="none" w:sz="0" w:space="0" w:color="auto"/>
            <w:right w:val="none" w:sz="0" w:space="0" w:color="auto"/>
          </w:divBdr>
        </w:div>
      </w:divsChild>
    </w:div>
    <w:div w:id="1247809109">
      <w:marLeft w:val="4"/>
      <w:marRight w:val="0"/>
      <w:marTop w:val="120"/>
      <w:marBottom w:val="0"/>
      <w:divBdr>
        <w:top w:val="none" w:sz="0" w:space="0" w:color="auto"/>
        <w:left w:val="none" w:sz="0" w:space="0" w:color="auto"/>
        <w:bottom w:val="none" w:sz="0" w:space="0" w:color="auto"/>
        <w:right w:val="none" w:sz="0" w:space="0" w:color="auto"/>
      </w:divBdr>
      <w:divsChild>
        <w:div w:id="1944261762">
          <w:marLeft w:val="0"/>
          <w:marRight w:val="0"/>
          <w:marTop w:val="0"/>
          <w:marBottom w:val="0"/>
          <w:divBdr>
            <w:top w:val="none" w:sz="0" w:space="0" w:color="auto"/>
            <w:left w:val="none" w:sz="0" w:space="0" w:color="auto"/>
            <w:bottom w:val="none" w:sz="0" w:space="0" w:color="auto"/>
            <w:right w:val="none" w:sz="0" w:space="0" w:color="auto"/>
          </w:divBdr>
        </w:div>
      </w:divsChild>
    </w:div>
    <w:div w:id="1253012013">
      <w:marLeft w:val="4"/>
      <w:marRight w:val="0"/>
      <w:marTop w:val="200"/>
      <w:marBottom w:val="0"/>
      <w:divBdr>
        <w:top w:val="none" w:sz="0" w:space="0" w:color="auto"/>
        <w:left w:val="none" w:sz="0" w:space="0" w:color="auto"/>
        <w:bottom w:val="none" w:sz="0" w:space="0" w:color="auto"/>
        <w:right w:val="none" w:sz="0" w:space="0" w:color="auto"/>
      </w:divBdr>
      <w:divsChild>
        <w:div w:id="134564694">
          <w:marLeft w:val="0"/>
          <w:marRight w:val="0"/>
          <w:marTop w:val="0"/>
          <w:marBottom w:val="0"/>
          <w:divBdr>
            <w:top w:val="none" w:sz="0" w:space="0" w:color="auto"/>
            <w:left w:val="none" w:sz="0" w:space="0" w:color="auto"/>
            <w:bottom w:val="none" w:sz="0" w:space="0" w:color="auto"/>
            <w:right w:val="none" w:sz="0" w:space="0" w:color="auto"/>
          </w:divBdr>
        </w:div>
      </w:divsChild>
    </w:div>
    <w:div w:id="1273170985">
      <w:marLeft w:val="4"/>
      <w:marRight w:val="0"/>
      <w:marTop w:val="200"/>
      <w:marBottom w:val="0"/>
      <w:divBdr>
        <w:top w:val="none" w:sz="0" w:space="0" w:color="auto"/>
        <w:left w:val="none" w:sz="0" w:space="0" w:color="auto"/>
        <w:bottom w:val="none" w:sz="0" w:space="0" w:color="auto"/>
        <w:right w:val="none" w:sz="0" w:space="0" w:color="auto"/>
      </w:divBdr>
      <w:divsChild>
        <w:div w:id="366879955">
          <w:marLeft w:val="0"/>
          <w:marRight w:val="0"/>
          <w:marTop w:val="0"/>
          <w:marBottom w:val="0"/>
          <w:divBdr>
            <w:top w:val="none" w:sz="0" w:space="0" w:color="auto"/>
            <w:left w:val="none" w:sz="0" w:space="0" w:color="auto"/>
            <w:bottom w:val="none" w:sz="0" w:space="0" w:color="auto"/>
            <w:right w:val="none" w:sz="0" w:space="0" w:color="auto"/>
          </w:divBdr>
        </w:div>
      </w:divsChild>
    </w:div>
    <w:div w:id="1274820431">
      <w:marLeft w:val="4"/>
      <w:marRight w:val="0"/>
      <w:marTop w:val="120"/>
      <w:marBottom w:val="0"/>
      <w:divBdr>
        <w:top w:val="none" w:sz="0" w:space="0" w:color="auto"/>
        <w:left w:val="none" w:sz="0" w:space="0" w:color="auto"/>
        <w:bottom w:val="none" w:sz="0" w:space="0" w:color="auto"/>
        <w:right w:val="none" w:sz="0" w:space="0" w:color="auto"/>
      </w:divBdr>
      <w:divsChild>
        <w:div w:id="606615918">
          <w:marLeft w:val="0"/>
          <w:marRight w:val="0"/>
          <w:marTop w:val="0"/>
          <w:marBottom w:val="0"/>
          <w:divBdr>
            <w:top w:val="none" w:sz="0" w:space="0" w:color="auto"/>
            <w:left w:val="none" w:sz="0" w:space="0" w:color="auto"/>
            <w:bottom w:val="none" w:sz="0" w:space="0" w:color="auto"/>
            <w:right w:val="none" w:sz="0" w:space="0" w:color="auto"/>
          </w:divBdr>
        </w:div>
      </w:divsChild>
    </w:div>
    <w:div w:id="1275481791">
      <w:marLeft w:val="0"/>
      <w:marRight w:val="0"/>
      <w:marTop w:val="0"/>
      <w:marBottom w:val="0"/>
      <w:divBdr>
        <w:top w:val="none" w:sz="0" w:space="0" w:color="auto"/>
        <w:left w:val="none" w:sz="0" w:space="0" w:color="auto"/>
        <w:bottom w:val="none" w:sz="0" w:space="0" w:color="auto"/>
        <w:right w:val="none" w:sz="0" w:space="0" w:color="auto"/>
      </w:divBdr>
    </w:div>
    <w:div w:id="1282691315">
      <w:marLeft w:val="4"/>
      <w:marRight w:val="0"/>
      <w:marTop w:val="120"/>
      <w:marBottom w:val="0"/>
      <w:divBdr>
        <w:top w:val="none" w:sz="0" w:space="0" w:color="auto"/>
        <w:left w:val="none" w:sz="0" w:space="0" w:color="auto"/>
        <w:bottom w:val="none" w:sz="0" w:space="0" w:color="auto"/>
        <w:right w:val="none" w:sz="0" w:space="0" w:color="auto"/>
      </w:divBdr>
      <w:divsChild>
        <w:div w:id="1016231769">
          <w:marLeft w:val="0"/>
          <w:marRight w:val="0"/>
          <w:marTop w:val="0"/>
          <w:marBottom w:val="0"/>
          <w:divBdr>
            <w:top w:val="none" w:sz="0" w:space="0" w:color="auto"/>
            <w:left w:val="none" w:sz="0" w:space="0" w:color="auto"/>
            <w:bottom w:val="none" w:sz="0" w:space="0" w:color="auto"/>
            <w:right w:val="none" w:sz="0" w:space="0" w:color="auto"/>
          </w:divBdr>
        </w:div>
      </w:divsChild>
    </w:div>
    <w:div w:id="1299072652">
      <w:marLeft w:val="4"/>
      <w:marRight w:val="0"/>
      <w:marTop w:val="120"/>
      <w:marBottom w:val="0"/>
      <w:divBdr>
        <w:top w:val="none" w:sz="0" w:space="0" w:color="auto"/>
        <w:left w:val="none" w:sz="0" w:space="0" w:color="auto"/>
        <w:bottom w:val="none" w:sz="0" w:space="0" w:color="auto"/>
        <w:right w:val="none" w:sz="0" w:space="0" w:color="auto"/>
      </w:divBdr>
      <w:divsChild>
        <w:div w:id="307563649">
          <w:marLeft w:val="0"/>
          <w:marRight w:val="0"/>
          <w:marTop w:val="0"/>
          <w:marBottom w:val="0"/>
          <w:divBdr>
            <w:top w:val="none" w:sz="0" w:space="0" w:color="auto"/>
            <w:left w:val="none" w:sz="0" w:space="0" w:color="auto"/>
            <w:bottom w:val="none" w:sz="0" w:space="0" w:color="auto"/>
            <w:right w:val="none" w:sz="0" w:space="0" w:color="auto"/>
          </w:divBdr>
        </w:div>
      </w:divsChild>
    </w:div>
    <w:div w:id="1307854030">
      <w:marLeft w:val="4"/>
      <w:marRight w:val="0"/>
      <w:marTop w:val="200"/>
      <w:marBottom w:val="0"/>
      <w:divBdr>
        <w:top w:val="none" w:sz="0" w:space="0" w:color="auto"/>
        <w:left w:val="none" w:sz="0" w:space="0" w:color="auto"/>
        <w:bottom w:val="none" w:sz="0" w:space="0" w:color="auto"/>
        <w:right w:val="none" w:sz="0" w:space="0" w:color="auto"/>
      </w:divBdr>
      <w:divsChild>
        <w:div w:id="1700203029">
          <w:marLeft w:val="0"/>
          <w:marRight w:val="0"/>
          <w:marTop w:val="0"/>
          <w:marBottom w:val="0"/>
          <w:divBdr>
            <w:top w:val="none" w:sz="0" w:space="0" w:color="auto"/>
            <w:left w:val="none" w:sz="0" w:space="0" w:color="auto"/>
            <w:bottom w:val="none" w:sz="0" w:space="0" w:color="auto"/>
            <w:right w:val="none" w:sz="0" w:space="0" w:color="auto"/>
          </w:divBdr>
        </w:div>
      </w:divsChild>
    </w:div>
    <w:div w:id="1318459912">
      <w:marLeft w:val="4"/>
      <w:marRight w:val="0"/>
      <w:marTop w:val="120"/>
      <w:marBottom w:val="0"/>
      <w:divBdr>
        <w:top w:val="none" w:sz="0" w:space="0" w:color="auto"/>
        <w:left w:val="none" w:sz="0" w:space="0" w:color="auto"/>
        <w:bottom w:val="none" w:sz="0" w:space="0" w:color="auto"/>
        <w:right w:val="none" w:sz="0" w:space="0" w:color="auto"/>
      </w:divBdr>
      <w:divsChild>
        <w:div w:id="1904557486">
          <w:marLeft w:val="0"/>
          <w:marRight w:val="0"/>
          <w:marTop w:val="0"/>
          <w:marBottom w:val="0"/>
          <w:divBdr>
            <w:top w:val="none" w:sz="0" w:space="0" w:color="auto"/>
            <w:left w:val="none" w:sz="0" w:space="0" w:color="auto"/>
            <w:bottom w:val="none" w:sz="0" w:space="0" w:color="auto"/>
            <w:right w:val="none" w:sz="0" w:space="0" w:color="auto"/>
          </w:divBdr>
        </w:div>
      </w:divsChild>
    </w:div>
    <w:div w:id="1327519207">
      <w:marLeft w:val="4"/>
      <w:marRight w:val="0"/>
      <w:marTop w:val="200"/>
      <w:marBottom w:val="0"/>
      <w:divBdr>
        <w:top w:val="none" w:sz="0" w:space="0" w:color="auto"/>
        <w:left w:val="none" w:sz="0" w:space="0" w:color="auto"/>
        <w:bottom w:val="none" w:sz="0" w:space="0" w:color="auto"/>
        <w:right w:val="none" w:sz="0" w:space="0" w:color="auto"/>
      </w:divBdr>
      <w:divsChild>
        <w:div w:id="339044985">
          <w:marLeft w:val="0"/>
          <w:marRight w:val="0"/>
          <w:marTop w:val="0"/>
          <w:marBottom w:val="0"/>
          <w:divBdr>
            <w:top w:val="none" w:sz="0" w:space="0" w:color="auto"/>
            <w:left w:val="none" w:sz="0" w:space="0" w:color="auto"/>
            <w:bottom w:val="none" w:sz="0" w:space="0" w:color="auto"/>
            <w:right w:val="none" w:sz="0" w:space="0" w:color="auto"/>
          </w:divBdr>
        </w:div>
      </w:divsChild>
    </w:div>
    <w:div w:id="1335957565">
      <w:marLeft w:val="3"/>
      <w:marRight w:val="0"/>
      <w:marTop w:val="200"/>
      <w:marBottom w:val="0"/>
      <w:divBdr>
        <w:top w:val="none" w:sz="0" w:space="0" w:color="auto"/>
        <w:left w:val="none" w:sz="0" w:space="0" w:color="auto"/>
        <w:bottom w:val="none" w:sz="0" w:space="0" w:color="auto"/>
        <w:right w:val="none" w:sz="0" w:space="0" w:color="auto"/>
      </w:divBdr>
      <w:divsChild>
        <w:div w:id="127284970">
          <w:marLeft w:val="0"/>
          <w:marRight w:val="0"/>
          <w:marTop w:val="0"/>
          <w:marBottom w:val="0"/>
          <w:divBdr>
            <w:top w:val="none" w:sz="0" w:space="0" w:color="auto"/>
            <w:left w:val="none" w:sz="0" w:space="0" w:color="auto"/>
            <w:bottom w:val="none" w:sz="0" w:space="0" w:color="auto"/>
            <w:right w:val="none" w:sz="0" w:space="0" w:color="auto"/>
          </w:divBdr>
        </w:div>
      </w:divsChild>
    </w:div>
    <w:div w:id="1343971758">
      <w:marLeft w:val="4"/>
      <w:marRight w:val="0"/>
      <w:marTop w:val="200"/>
      <w:marBottom w:val="0"/>
      <w:divBdr>
        <w:top w:val="none" w:sz="0" w:space="0" w:color="auto"/>
        <w:left w:val="none" w:sz="0" w:space="0" w:color="auto"/>
        <w:bottom w:val="none" w:sz="0" w:space="0" w:color="auto"/>
        <w:right w:val="none" w:sz="0" w:space="0" w:color="auto"/>
      </w:divBdr>
      <w:divsChild>
        <w:div w:id="240410416">
          <w:marLeft w:val="0"/>
          <w:marRight w:val="0"/>
          <w:marTop w:val="0"/>
          <w:marBottom w:val="0"/>
          <w:divBdr>
            <w:top w:val="none" w:sz="0" w:space="0" w:color="auto"/>
            <w:left w:val="none" w:sz="0" w:space="0" w:color="auto"/>
            <w:bottom w:val="none" w:sz="0" w:space="0" w:color="auto"/>
            <w:right w:val="none" w:sz="0" w:space="0" w:color="auto"/>
          </w:divBdr>
        </w:div>
      </w:divsChild>
    </w:div>
    <w:div w:id="1397705264">
      <w:marLeft w:val="4"/>
      <w:marRight w:val="0"/>
      <w:marTop w:val="200"/>
      <w:marBottom w:val="0"/>
      <w:divBdr>
        <w:top w:val="none" w:sz="0" w:space="0" w:color="auto"/>
        <w:left w:val="none" w:sz="0" w:space="0" w:color="auto"/>
        <w:bottom w:val="none" w:sz="0" w:space="0" w:color="auto"/>
        <w:right w:val="none" w:sz="0" w:space="0" w:color="auto"/>
      </w:divBdr>
      <w:divsChild>
        <w:div w:id="1843466066">
          <w:marLeft w:val="0"/>
          <w:marRight w:val="0"/>
          <w:marTop w:val="0"/>
          <w:marBottom w:val="0"/>
          <w:divBdr>
            <w:top w:val="none" w:sz="0" w:space="0" w:color="auto"/>
            <w:left w:val="none" w:sz="0" w:space="0" w:color="auto"/>
            <w:bottom w:val="none" w:sz="0" w:space="0" w:color="auto"/>
            <w:right w:val="none" w:sz="0" w:space="0" w:color="auto"/>
          </w:divBdr>
        </w:div>
      </w:divsChild>
    </w:div>
    <w:div w:id="1402291496">
      <w:marLeft w:val="4"/>
      <w:marRight w:val="0"/>
      <w:marTop w:val="120"/>
      <w:marBottom w:val="0"/>
      <w:divBdr>
        <w:top w:val="none" w:sz="0" w:space="0" w:color="auto"/>
        <w:left w:val="none" w:sz="0" w:space="0" w:color="auto"/>
        <w:bottom w:val="none" w:sz="0" w:space="0" w:color="auto"/>
        <w:right w:val="none" w:sz="0" w:space="0" w:color="auto"/>
      </w:divBdr>
      <w:divsChild>
        <w:div w:id="1811094459">
          <w:marLeft w:val="0"/>
          <w:marRight w:val="0"/>
          <w:marTop w:val="0"/>
          <w:marBottom w:val="0"/>
          <w:divBdr>
            <w:top w:val="none" w:sz="0" w:space="0" w:color="auto"/>
            <w:left w:val="none" w:sz="0" w:space="0" w:color="auto"/>
            <w:bottom w:val="none" w:sz="0" w:space="0" w:color="auto"/>
            <w:right w:val="none" w:sz="0" w:space="0" w:color="auto"/>
          </w:divBdr>
        </w:div>
      </w:divsChild>
    </w:div>
    <w:div w:id="1412699353">
      <w:marLeft w:val="4"/>
      <w:marRight w:val="0"/>
      <w:marTop w:val="200"/>
      <w:marBottom w:val="0"/>
      <w:divBdr>
        <w:top w:val="none" w:sz="0" w:space="0" w:color="auto"/>
        <w:left w:val="none" w:sz="0" w:space="0" w:color="auto"/>
        <w:bottom w:val="none" w:sz="0" w:space="0" w:color="auto"/>
        <w:right w:val="none" w:sz="0" w:space="0" w:color="auto"/>
      </w:divBdr>
      <w:divsChild>
        <w:div w:id="391276857">
          <w:marLeft w:val="0"/>
          <w:marRight w:val="0"/>
          <w:marTop w:val="0"/>
          <w:marBottom w:val="0"/>
          <w:divBdr>
            <w:top w:val="none" w:sz="0" w:space="0" w:color="auto"/>
            <w:left w:val="none" w:sz="0" w:space="0" w:color="auto"/>
            <w:bottom w:val="none" w:sz="0" w:space="0" w:color="auto"/>
            <w:right w:val="none" w:sz="0" w:space="0" w:color="auto"/>
          </w:divBdr>
        </w:div>
      </w:divsChild>
    </w:div>
    <w:div w:id="1421216917">
      <w:marLeft w:val="4"/>
      <w:marRight w:val="0"/>
      <w:marTop w:val="120"/>
      <w:marBottom w:val="0"/>
      <w:divBdr>
        <w:top w:val="none" w:sz="0" w:space="0" w:color="auto"/>
        <w:left w:val="none" w:sz="0" w:space="0" w:color="auto"/>
        <w:bottom w:val="none" w:sz="0" w:space="0" w:color="auto"/>
        <w:right w:val="none" w:sz="0" w:space="0" w:color="auto"/>
      </w:divBdr>
      <w:divsChild>
        <w:div w:id="450513644">
          <w:marLeft w:val="0"/>
          <w:marRight w:val="0"/>
          <w:marTop w:val="0"/>
          <w:marBottom w:val="0"/>
          <w:divBdr>
            <w:top w:val="none" w:sz="0" w:space="0" w:color="auto"/>
            <w:left w:val="none" w:sz="0" w:space="0" w:color="auto"/>
            <w:bottom w:val="none" w:sz="0" w:space="0" w:color="auto"/>
            <w:right w:val="none" w:sz="0" w:space="0" w:color="auto"/>
          </w:divBdr>
        </w:div>
      </w:divsChild>
    </w:div>
    <w:div w:id="1434398958">
      <w:marLeft w:val="4"/>
      <w:marRight w:val="0"/>
      <w:marTop w:val="200"/>
      <w:marBottom w:val="0"/>
      <w:divBdr>
        <w:top w:val="none" w:sz="0" w:space="0" w:color="auto"/>
        <w:left w:val="none" w:sz="0" w:space="0" w:color="auto"/>
        <w:bottom w:val="none" w:sz="0" w:space="0" w:color="auto"/>
        <w:right w:val="none" w:sz="0" w:space="0" w:color="auto"/>
      </w:divBdr>
      <w:divsChild>
        <w:div w:id="519780228">
          <w:marLeft w:val="0"/>
          <w:marRight w:val="0"/>
          <w:marTop w:val="0"/>
          <w:marBottom w:val="0"/>
          <w:divBdr>
            <w:top w:val="none" w:sz="0" w:space="0" w:color="auto"/>
            <w:left w:val="none" w:sz="0" w:space="0" w:color="auto"/>
            <w:bottom w:val="none" w:sz="0" w:space="0" w:color="auto"/>
            <w:right w:val="none" w:sz="0" w:space="0" w:color="auto"/>
          </w:divBdr>
        </w:div>
      </w:divsChild>
    </w:div>
    <w:div w:id="1441758996">
      <w:marLeft w:val="4"/>
      <w:marRight w:val="0"/>
      <w:marTop w:val="200"/>
      <w:marBottom w:val="0"/>
      <w:divBdr>
        <w:top w:val="none" w:sz="0" w:space="0" w:color="auto"/>
        <w:left w:val="none" w:sz="0" w:space="0" w:color="auto"/>
        <w:bottom w:val="none" w:sz="0" w:space="0" w:color="auto"/>
        <w:right w:val="none" w:sz="0" w:space="0" w:color="auto"/>
      </w:divBdr>
      <w:divsChild>
        <w:div w:id="1390693517">
          <w:marLeft w:val="0"/>
          <w:marRight w:val="0"/>
          <w:marTop w:val="0"/>
          <w:marBottom w:val="0"/>
          <w:divBdr>
            <w:top w:val="none" w:sz="0" w:space="0" w:color="auto"/>
            <w:left w:val="none" w:sz="0" w:space="0" w:color="auto"/>
            <w:bottom w:val="none" w:sz="0" w:space="0" w:color="auto"/>
            <w:right w:val="none" w:sz="0" w:space="0" w:color="auto"/>
          </w:divBdr>
        </w:div>
      </w:divsChild>
    </w:div>
    <w:div w:id="1449082467">
      <w:marLeft w:val="4"/>
      <w:marRight w:val="0"/>
      <w:marTop w:val="200"/>
      <w:marBottom w:val="0"/>
      <w:divBdr>
        <w:top w:val="none" w:sz="0" w:space="0" w:color="auto"/>
        <w:left w:val="none" w:sz="0" w:space="0" w:color="auto"/>
        <w:bottom w:val="none" w:sz="0" w:space="0" w:color="auto"/>
        <w:right w:val="none" w:sz="0" w:space="0" w:color="auto"/>
      </w:divBdr>
      <w:divsChild>
        <w:div w:id="447627471">
          <w:marLeft w:val="0"/>
          <w:marRight w:val="0"/>
          <w:marTop w:val="0"/>
          <w:marBottom w:val="0"/>
          <w:divBdr>
            <w:top w:val="none" w:sz="0" w:space="0" w:color="auto"/>
            <w:left w:val="none" w:sz="0" w:space="0" w:color="auto"/>
            <w:bottom w:val="none" w:sz="0" w:space="0" w:color="auto"/>
            <w:right w:val="none" w:sz="0" w:space="0" w:color="auto"/>
          </w:divBdr>
        </w:div>
      </w:divsChild>
    </w:div>
    <w:div w:id="1463616828">
      <w:marLeft w:val="4"/>
      <w:marRight w:val="0"/>
      <w:marTop w:val="120"/>
      <w:marBottom w:val="0"/>
      <w:divBdr>
        <w:top w:val="none" w:sz="0" w:space="0" w:color="auto"/>
        <w:left w:val="none" w:sz="0" w:space="0" w:color="auto"/>
        <w:bottom w:val="none" w:sz="0" w:space="0" w:color="auto"/>
        <w:right w:val="none" w:sz="0" w:space="0" w:color="auto"/>
      </w:divBdr>
      <w:divsChild>
        <w:div w:id="415635193">
          <w:marLeft w:val="0"/>
          <w:marRight w:val="0"/>
          <w:marTop w:val="0"/>
          <w:marBottom w:val="0"/>
          <w:divBdr>
            <w:top w:val="none" w:sz="0" w:space="0" w:color="auto"/>
            <w:left w:val="none" w:sz="0" w:space="0" w:color="auto"/>
            <w:bottom w:val="none" w:sz="0" w:space="0" w:color="auto"/>
            <w:right w:val="none" w:sz="0" w:space="0" w:color="auto"/>
          </w:divBdr>
        </w:div>
      </w:divsChild>
    </w:div>
    <w:div w:id="1469861412">
      <w:marLeft w:val="4"/>
      <w:marRight w:val="0"/>
      <w:marTop w:val="200"/>
      <w:marBottom w:val="0"/>
      <w:divBdr>
        <w:top w:val="none" w:sz="0" w:space="0" w:color="auto"/>
        <w:left w:val="none" w:sz="0" w:space="0" w:color="auto"/>
        <w:bottom w:val="none" w:sz="0" w:space="0" w:color="auto"/>
        <w:right w:val="none" w:sz="0" w:space="0" w:color="auto"/>
      </w:divBdr>
      <w:divsChild>
        <w:div w:id="521629603">
          <w:marLeft w:val="0"/>
          <w:marRight w:val="0"/>
          <w:marTop w:val="0"/>
          <w:marBottom w:val="0"/>
          <w:divBdr>
            <w:top w:val="none" w:sz="0" w:space="0" w:color="auto"/>
            <w:left w:val="none" w:sz="0" w:space="0" w:color="auto"/>
            <w:bottom w:val="none" w:sz="0" w:space="0" w:color="auto"/>
            <w:right w:val="none" w:sz="0" w:space="0" w:color="auto"/>
          </w:divBdr>
        </w:div>
      </w:divsChild>
    </w:div>
    <w:div w:id="1471241152">
      <w:marLeft w:val="3"/>
      <w:marRight w:val="0"/>
      <w:marTop w:val="120"/>
      <w:marBottom w:val="0"/>
      <w:divBdr>
        <w:top w:val="none" w:sz="0" w:space="0" w:color="auto"/>
        <w:left w:val="none" w:sz="0" w:space="0" w:color="auto"/>
        <w:bottom w:val="none" w:sz="0" w:space="0" w:color="auto"/>
        <w:right w:val="none" w:sz="0" w:space="0" w:color="auto"/>
      </w:divBdr>
      <w:divsChild>
        <w:div w:id="838543198">
          <w:marLeft w:val="0"/>
          <w:marRight w:val="0"/>
          <w:marTop w:val="0"/>
          <w:marBottom w:val="0"/>
          <w:divBdr>
            <w:top w:val="none" w:sz="0" w:space="0" w:color="auto"/>
            <w:left w:val="none" w:sz="0" w:space="0" w:color="auto"/>
            <w:bottom w:val="none" w:sz="0" w:space="0" w:color="auto"/>
            <w:right w:val="none" w:sz="0" w:space="0" w:color="auto"/>
          </w:divBdr>
        </w:div>
      </w:divsChild>
    </w:div>
    <w:div w:id="1507742907">
      <w:marLeft w:val="4"/>
      <w:marRight w:val="0"/>
      <w:marTop w:val="120"/>
      <w:marBottom w:val="0"/>
      <w:divBdr>
        <w:top w:val="none" w:sz="0" w:space="0" w:color="auto"/>
        <w:left w:val="none" w:sz="0" w:space="0" w:color="auto"/>
        <w:bottom w:val="none" w:sz="0" w:space="0" w:color="auto"/>
        <w:right w:val="none" w:sz="0" w:space="0" w:color="auto"/>
      </w:divBdr>
      <w:divsChild>
        <w:div w:id="733814852">
          <w:marLeft w:val="0"/>
          <w:marRight w:val="0"/>
          <w:marTop w:val="0"/>
          <w:marBottom w:val="0"/>
          <w:divBdr>
            <w:top w:val="none" w:sz="0" w:space="0" w:color="auto"/>
            <w:left w:val="none" w:sz="0" w:space="0" w:color="auto"/>
            <w:bottom w:val="none" w:sz="0" w:space="0" w:color="auto"/>
            <w:right w:val="none" w:sz="0" w:space="0" w:color="auto"/>
          </w:divBdr>
        </w:div>
      </w:divsChild>
    </w:div>
    <w:div w:id="1527064753">
      <w:marLeft w:val="0"/>
      <w:marRight w:val="0"/>
      <w:marTop w:val="0"/>
      <w:marBottom w:val="0"/>
      <w:divBdr>
        <w:top w:val="none" w:sz="0" w:space="0" w:color="auto"/>
        <w:left w:val="none" w:sz="0" w:space="0" w:color="auto"/>
        <w:bottom w:val="none" w:sz="0" w:space="0" w:color="auto"/>
        <w:right w:val="none" w:sz="0" w:space="0" w:color="auto"/>
      </w:divBdr>
    </w:div>
    <w:div w:id="1542742609">
      <w:marLeft w:val="0"/>
      <w:marRight w:val="0"/>
      <w:marTop w:val="0"/>
      <w:marBottom w:val="0"/>
      <w:divBdr>
        <w:top w:val="none" w:sz="0" w:space="0" w:color="auto"/>
        <w:left w:val="none" w:sz="0" w:space="0" w:color="auto"/>
        <w:bottom w:val="none" w:sz="0" w:space="0" w:color="auto"/>
        <w:right w:val="none" w:sz="0" w:space="0" w:color="auto"/>
      </w:divBdr>
    </w:div>
    <w:div w:id="1566255999">
      <w:marLeft w:val="4"/>
      <w:marRight w:val="0"/>
      <w:marTop w:val="120"/>
      <w:marBottom w:val="0"/>
      <w:divBdr>
        <w:top w:val="none" w:sz="0" w:space="0" w:color="auto"/>
        <w:left w:val="none" w:sz="0" w:space="0" w:color="auto"/>
        <w:bottom w:val="none" w:sz="0" w:space="0" w:color="auto"/>
        <w:right w:val="none" w:sz="0" w:space="0" w:color="auto"/>
      </w:divBdr>
      <w:divsChild>
        <w:div w:id="1215502530">
          <w:marLeft w:val="0"/>
          <w:marRight w:val="0"/>
          <w:marTop w:val="0"/>
          <w:marBottom w:val="0"/>
          <w:divBdr>
            <w:top w:val="none" w:sz="0" w:space="0" w:color="auto"/>
            <w:left w:val="none" w:sz="0" w:space="0" w:color="auto"/>
            <w:bottom w:val="none" w:sz="0" w:space="0" w:color="auto"/>
            <w:right w:val="none" w:sz="0" w:space="0" w:color="auto"/>
          </w:divBdr>
        </w:div>
      </w:divsChild>
    </w:div>
    <w:div w:id="1600527938">
      <w:marLeft w:val="4"/>
      <w:marRight w:val="0"/>
      <w:marTop w:val="120"/>
      <w:marBottom w:val="0"/>
      <w:divBdr>
        <w:top w:val="none" w:sz="0" w:space="0" w:color="auto"/>
        <w:left w:val="none" w:sz="0" w:space="0" w:color="auto"/>
        <w:bottom w:val="none" w:sz="0" w:space="0" w:color="auto"/>
        <w:right w:val="none" w:sz="0" w:space="0" w:color="auto"/>
      </w:divBdr>
      <w:divsChild>
        <w:div w:id="1370103222">
          <w:marLeft w:val="0"/>
          <w:marRight w:val="0"/>
          <w:marTop w:val="0"/>
          <w:marBottom w:val="0"/>
          <w:divBdr>
            <w:top w:val="none" w:sz="0" w:space="0" w:color="auto"/>
            <w:left w:val="none" w:sz="0" w:space="0" w:color="auto"/>
            <w:bottom w:val="none" w:sz="0" w:space="0" w:color="auto"/>
            <w:right w:val="none" w:sz="0" w:space="0" w:color="auto"/>
          </w:divBdr>
        </w:div>
      </w:divsChild>
    </w:div>
    <w:div w:id="1618831206">
      <w:marLeft w:val="4"/>
      <w:marRight w:val="0"/>
      <w:marTop w:val="200"/>
      <w:marBottom w:val="0"/>
      <w:divBdr>
        <w:top w:val="none" w:sz="0" w:space="0" w:color="auto"/>
        <w:left w:val="none" w:sz="0" w:space="0" w:color="auto"/>
        <w:bottom w:val="none" w:sz="0" w:space="0" w:color="auto"/>
        <w:right w:val="none" w:sz="0" w:space="0" w:color="auto"/>
      </w:divBdr>
      <w:divsChild>
        <w:div w:id="1174958671">
          <w:marLeft w:val="0"/>
          <w:marRight w:val="0"/>
          <w:marTop w:val="0"/>
          <w:marBottom w:val="0"/>
          <w:divBdr>
            <w:top w:val="none" w:sz="0" w:space="0" w:color="auto"/>
            <w:left w:val="none" w:sz="0" w:space="0" w:color="auto"/>
            <w:bottom w:val="none" w:sz="0" w:space="0" w:color="auto"/>
            <w:right w:val="none" w:sz="0" w:space="0" w:color="auto"/>
          </w:divBdr>
        </w:div>
      </w:divsChild>
    </w:div>
    <w:div w:id="1629970369">
      <w:marLeft w:val="4"/>
      <w:marRight w:val="0"/>
      <w:marTop w:val="120"/>
      <w:marBottom w:val="0"/>
      <w:divBdr>
        <w:top w:val="none" w:sz="0" w:space="0" w:color="auto"/>
        <w:left w:val="none" w:sz="0" w:space="0" w:color="auto"/>
        <w:bottom w:val="none" w:sz="0" w:space="0" w:color="auto"/>
        <w:right w:val="none" w:sz="0" w:space="0" w:color="auto"/>
      </w:divBdr>
      <w:divsChild>
        <w:div w:id="1929387693">
          <w:marLeft w:val="0"/>
          <w:marRight w:val="0"/>
          <w:marTop w:val="0"/>
          <w:marBottom w:val="0"/>
          <w:divBdr>
            <w:top w:val="none" w:sz="0" w:space="0" w:color="auto"/>
            <w:left w:val="none" w:sz="0" w:space="0" w:color="auto"/>
            <w:bottom w:val="none" w:sz="0" w:space="0" w:color="auto"/>
            <w:right w:val="none" w:sz="0" w:space="0" w:color="auto"/>
          </w:divBdr>
        </w:div>
      </w:divsChild>
    </w:div>
    <w:div w:id="1648391618">
      <w:marLeft w:val="9"/>
      <w:marRight w:val="0"/>
      <w:marTop w:val="0"/>
      <w:marBottom w:val="0"/>
      <w:divBdr>
        <w:top w:val="none" w:sz="0" w:space="0" w:color="auto"/>
        <w:left w:val="none" w:sz="0" w:space="0" w:color="auto"/>
        <w:bottom w:val="none" w:sz="0" w:space="0" w:color="auto"/>
        <w:right w:val="none" w:sz="0" w:space="0" w:color="auto"/>
      </w:divBdr>
      <w:divsChild>
        <w:div w:id="727922120">
          <w:marLeft w:val="0"/>
          <w:marRight w:val="0"/>
          <w:marTop w:val="0"/>
          <w:marBottom w:val="0"/>
          <w:divBdr>
            <w:top w:val="none" w:sz="0" w:space="0" w:color="auto"/>
            <w:left w:val="none" w:sz="0" w:space="0" w:color="auto"/>
            <w:bottom w:val="none" w:sz="0" w:space="0" w:color="auto"/>
            <w:right w:val="none" w:sz="0" w:space="0" w:color="auto"/>
          </w:divBdr>
        </w:div>
      </w:divsChild>
    </w:div>
    <w:div w:id="1670256565">
      <w:marLeft w:val="3"/>
      <w:marRight w:val="0"/>
      <w:marTop w:val="120"/>
      <w:marBottom w:val="0"/>
      <w:divBdr>
        <w:top w:val="none" w:sz="0" w:space="0" w:color="auto"/>
        <w:left w:val="none" w:sz="0" w:space="0" w:color="auto"/>
        <w:bottom w:val="none" w:sz="0" w:space="0" w:color="auto"/>
        <w:right w:val="none" w:sz="0" w:space="0" w:color="auto"/>
      </w:divBdr>
      <w:divsChild>
        <w:div w:id="2071997005">
          <w:marLeft w:val="0"/>
          <w:marRight w:val="0"/>
          <w:marTop w:val="0"/>
          <w:marBottom w:val="0"/>
          <w:divBdr>
            <w:top w:val="none" w:sz="0" w:space="0" w:color="auto"/>
            <w:left w:val="none" w:sz="0" w:space="0" w:color="auto"/>
            <w:bottom w:val="none" w:sz="0" w:space="0" w:color="auto"/>
            <w:right w:val="none" w:sz="0" w:space="0" w:color="auto"/>
          </w:divBdr>
        </w:div>
      </w:divsChild>
    </w:div>
    <w:div w:id="1694768700">
      <w:marLeft w:val="4"/>
      <w:marRight w:val="0"/>
      <w:marTop w:val="120"/>
      <w:marBottom w:val="0"/>
      <w:divBdr>
        <w:top w:val="none" w:sz="0" w:space="0" w:color="auto"/>
        <w:left w:val="none" w:sz="0" w:space="0" w:color="auto"/>
        <w:bottom w:val="none" w:sz="0" w:space="0" w:color="auto"/>
        <w:right w:val="none" w:sz="0" w:space="0" w:color="auto"/>
      </w:divBdr>
      <w:divsChild>
        <w:div w:id="975138259">
          <w:marLeft w:val="0"/>
          <w:marRight w:val="0"/>
          <w:marTop w:val="0"/>
          <w:marBottom w:val="0"/>
          <w:divBdr>
            <w:top w:val="none" w:sz="0" w:space="0" w:color="auto"/>
            <w:left w:val="none" w:sz="0" w:space="0" w:color="auto"/>
            <w:bottom w:val="none" w:sz="0" w:space="0" w:color="auto"/>
            <w:right w:val="none" w:sz="0" w:space="0" w:color="auto"/>
          </w:divBdr>
        </w:div>
      </w:divsChild>
    </w:div>
    <w:div w:id="1703361814">
      <w:marLeft w:val="4"/>
      <w:marRight w:val="0"/>
      <w:marTop w:val="120"/>
      <w:marBottom w:val="0"/>
      <w:divBdr>
        <w:top w:val="none" w:sz="0" w:space="0" w:color="auto"/>
        <w:left w:val="none" w:sz="0" w:space="0" w:color="auto"/>
        <w:bottom w:val="none" w:sz="0" w:space="0" w:color="auto"/>
        <w:right w:val="none" w:sz="0" w:space="0" w:color="auto"/>
      </w:divBdr>
      <w:divsChild>
        <w:div w:id="850339595">
          <w:marLeft w:val="0"/>
          <w:marRight w:val="0"/>
          <w:marTop w:val="0"/>
          <w:marBottom w:val="0"/>
          <w:divBdr>
            <w:top w:val="none" w:sz="0" w:space="0" w:color="auto"/>
            <w:left w:val="none" w:sz="0" w:space="0" w:color="auto"/>
            <w:bottom w:val="none" w:sz="0" w:space="0" w:color="auto"/>
            <w:right w:val="none" w:sz="0" w:space="0" w:color="auto"/>
          </w:divBdr>
        </w:div>
      </w:divsChild>
    </w:div>
    <w:div w:id="1716350734">
      <w:marLeft w:val="4"/>
      <w:marRight w:val="0"/>
      <w:marTop w:val="200"/>
      <w:marBottom w:val="0"/>
      <w:divBdr>
        <w:top w:val="none" w:sz="0" w:space="0" w:color="auto"/>
        <w:left w:val="none" w:sz="0" w:space="0" w:color="auto"/>
        <w:bottom w:val="none" w:sz="0" w:space="0" w:color="auto"/>
        <w:right w:val="none" w:sz="0" w:space="0" w:color="auto"/>
      </w:divBdr>
      <w:divsChild>
        <w:div w:id="894394718">
          <w:marLeft w:val="0"/>
          <w:marRight w:val="0"/>
          <w:marTop w:val="0"/>
          <w:marBottom w:val="0"/>
          <w:divBdr>
            <w:top w:val="none" w:sz="0" w:space="0" w:color="auto"/>
            <w:left w:val="none" w:sz="0" w:space="0" w:color="auto"/>
            <w:bottom w:val="none" w:sz="0" w:space="0" w:color="auto"/>
            <w:right w:val="none" w:sz="0" w:space="0" w:color="auto"/>
          </w:divBdr>
        </w:div>
      </w:divsChild>
    </w:div>
    <w:div w:id="1759711416">
      <w:marLeft w:val="3"/>
      <w:marRight w:val="0"/>
      <w:marTop w:val="120"/>
      <w:marBottom w:val="0"/>
      <w:divBdr>
        <w:top w:val="none" w:sz="0" w:space="0" w:color="auto"/>
        <w:left w:val="none" w:sz="0" w:space="0" w:color="auto"/>
        <w:bottom w:val="none" w:sz="0" w:space="0" w:color="auto"/>
        <w:right w:val="none" w:sz="0" w:space="0" w:color="auto"/>
      </w:divBdr>
      <w:divsChild>
        <w:div w:id="2116174582">
          <w:marLeft w:val="0"/>
          <w:marRight w:val="0"/>
          <w:marTop w:val="0"/>
          <w:marBottom w:val="0"/>
          <w:divBdr>
            <w:top w:val="none" w:sz="0" w:space="0" w:color="auto"/>
            <w:left w:val="none" w:sz="0" w:space="0" w:color="auto"/>
            <w:bottom w:val="none" w:sz="0" w:space="0" w:color="auto"/>
            <w:right w:val="none" w:sz="0" w:space="0" w:color="auto"/>
          </w:divBdr>
        </w:div>
      </w:divsChild>
    </w:div>
    <w:div w:id="1821657369">
      <w:marLeft w:val="4"/>
      <w:marRight w:val="0"/>
      <w:marTop w:val="200"/>
      <w:marBottom w:val="0"/>
      <w:divBdr>
        <w:top w:val="none" w:sz="0" w:space="0" w:color="auto"/>
        <w:left w:val="none" w:sz="0" w:space="0" w:color="auto"/>
        <w:bottom w:val="none" w:sz="0" w:space="0" w:color="auto"/>
        <w:right w:val="none" w:sz="0" w:space="0" w:color="auto"/>
      </w:divBdr>
      <w:divsChild>
        <w:div w:id="638343450">
          <w:marLeft w:val="0"/>
          <w:marRight w:val="0"/>
          <w:marTop w:val="0"/>
          <w:marBottom w:val="0"/>
          <w:divBdr>
            <w:top w:val="none" w:sz="0" w:space="0" w:color="auto"/>
            <w:left w:val="none" w:sz="0" w:space="0" w:color="auto"/>
            <w:bottom w:val="none" w:sz="0" w:space="0" w:color="auto"/>
            <w:right w:val="none" w:sz="0" w:space="0" w:color="auto"/>
          </w:divBdr>
        </w:div>
      </w:divsChild>
    </w:div>
    <w:div w:id="1822192151">
      <w:marLeft w:val="3"/>
      <w:marRight w:val="0"/>
      <w:marTop w:val="120"/>
      <w:marBottom w:val="0"/>
      <w:divBdr>
        <w:top w:val="none" w:sz="0" w:space="0" w:color="auto"/>
        <w:left w:val="none" w:sz="0" w:space="0" w:color="auto"/>
        <w:bottom w:val="none" w:sz="0" w:space="0" w:color="auto"/>
        <w:right w:val="none" w:sz="0" w:space="0" w:color="auto"/>
      </w:divBdr>
      <w:divsChild>
        <w:div w:id="1842504323">
          <w:marLeft w:val="0"/>
          <w:marRight w:val="0"/>
          <w:marTop w:val="0"/>
          <w:marBottom w:val="0"/>
          <w:divBdr>
            <w:top w:val="none" w:sz="0" w:space="0" w:color="auto"/>
            <w:left w:val="none" w:sz="0" w:space="0" w:color="auto"/>
            <w:bottom w:val="none" w:sz="0" w:space="0" w:color="auto"/>
            <w:right w:val="none" w:sz="0" w:space="0" w:color="auto"/>
          </w:divBdr>
        </w:div>
      </w:divsChild>
    </w:div>
    <w:div w:id="1838770319">
      <w:marLeft w:val="4"/>
      <w:marRight w:val="0"/>
      <w:marTop w:val="120"/>
      <w:marBottom w:val="0"/>
      <w:divBdr>
        <w:top w:val="none" w:sz="0" w:space="0" w:color="auto"/>
        <w:left w:val="none" w:sz="0" w:space="0" w:color="auto"/>
        <w:bottom w:val="none" w:sz="0" w:space="0" w:color="auto"/>
        <w:right w:val="none" w:sz="0" w:space="0" w:color="auto"/>
      </w:divBdr>
      <w:divsChild>
        <w:div w:id="723524833">
          <w:marLeft w:val="0"/>
          <w:marRight w:val="0"/>
          <w:marTop w:val="0"/>
          <w:marBottom w:val="0"/>
          <w:divBdr>
            <w:top w:val="none" w:sz="0" w:space="0" w:color="auto"/>
            <w:left w:val="none" w:sz="0" w:space="0" w:color="auto"/>
            <w:bottom w:val="none" w:sz="0" w:space="0" w:color="auto"/>
            <w:right w:val="none" w:sz="0" w:space="0" w:color="auto"/>
          </w:divBdr>
        </w:div>
      </w:divsChild>
    </w:div>
    <w:div w:id="1844542974">
      <w:marLeft w:val="4"/>
      <w:marRight w:val="0"/>
      <w:marTop w:val="120"/>
      <w:marBottom w:val="0"/>
      <w:divBdr>
        <w:top w:val="none" w:sz="0" w:space="0" w:color="auto"/>
        <w:left w:val="none" w:sz="0" w:space="0" w:color="auto"/>
        <w:bottom w:val="none" w:sz="0" w:space="0" w:color="auto"/>
        <w:right w:val="none" w:sz="0" w:space="0" w:color="auto"/>
      </w:divBdr>
      <w:divsChild>
        <w:div w:id="1269196643">
          <w:marLeft w:val="0"/>
          <w:marRight w:val="0"/>
          <w:marTop w:val="0"/>
          <w:marBottom w:val="0"/>
          <w:divBdr>
            <w:top w:val="none" w:sz="0" w:space="0" w:color="auto"/>
            <w:left w:val="none" w:sz="0" w:space="0" w:color="auto"/>
            <w:bottom w:val="none" w:sz="0" w:space="0" w:color="auto"/>
            <w:right w:val="none" w:sz="0" w:space="0" w:color="auto"/>
          </w:divBdr>
        </w:div>
      </w:divsChild>
    </w:div>
    <w:div w:id="1861161000">
      <w:marLeft w:val="0"/>
      <w:marRight w:val="0"/>
      <w:marTop w:val="0"/>
      <w:marBottom w:val="0"/>
      <w:divBdr>
        <w:top w:val="none" w:sz="0" w:space="0" w:color="auto"/>
        <w:left w:val="none" w:sz="0" w:space="0" w:color="auto"/>
        <w:bottom w:val="none" w:sz="0" w:space="0" w:color="auto"/>
        <w:right w:val="none" w:sz="0" w:space="0" w:color="auto"/>
      </w:divBdr>
      <w:divsChild>
        <w:div w:id="729689517">
          <w:marLeft w:val="0"/>
          <w:marRight w:val="0"/>
          <w:marTop w:val="0"/>
          <w:marBottom w:val="0"/>
          <w:divBdr>
            <w:top w:val="none" w:sz="0" w:space="0" w:color="auto"/>
            <w:left w:val="none" w:sz="0" w:space="0" w:color="auto"/>
            <w:bottom w:val="none" w:sz="0" w:space="0" w:color="auto"/>
            <w:right w:val="none" w:sz="0" w:space="0" w:color="auto"/>
          </w:divBdr>
        </w:div>
        <w:div w:id="369578042">
          <w:marLeft w:val="0"/>
          <w:marRight w:val="0"/>
          <w:marTop w:val="0"/>
          <w:marBottom w:val="0"/>
          <w:divBdr>
            <w:top w:val="none" w:sz="0" w:space="0" w:color="auto"/>
            <w:left w:val="none" w:sz="0" w:space="0" w:color="auto"/>
            <w:bottom w:val="none" w:sz="0" w:space="0" w:color="auto"/>
            <w:right w:val="none" w:sz="0" w:space="0" w:color="auto"/>
          </w:divBdr>
        </w:div>
        <w:div w:id="1210647302">
          <w:marLeft w:val="0"/>
          <w:marRight w:val="0"/>
          <w:marTop w:val="0"/>
          <w:marBottom w:val="0"/>
          <w:divBdr>
            <w:top w:val="none" w:sz="0" w:space="0" w:color="auto"/>
            <w:left w:val="none" w:sz="0" w:space="0" w:color="auto"/>
            <w:bottom w:val="none" w:sz="0" w:space="0" w:color="auto"/>
            <w:right w:val="none" w:sz="0" w:space="0" w:color="auto"/>
          </w:divBdr>
        </w:div>
        <w:div w:id="985358484">
          <w:marLeft w:val="0"/>
          <w:marRight w:val="0"/>
          <w:marTop w:val="0"/>
          <w:marBottom w:val="0"/>
          <w:divBdr>
            <w:top w:val="none" w:sz="0" w:space="0" w:color="auto"/>
            <w:left w:val="none" w:sz="0" w:space="0" w:color="auto"/>
            <w:bottom w:val="none" w:sz="0" w:space="0" w:color="auto"/>
            <w:right w:val="none" w:sz="0" w:space="0" w:color="auto"/>
          </w:divBdr>
        </w:div>
        <w:div w:id="269240356">
          <w:marLeft w:val="0"/>
          <w:marRight w:val="0"/>
          <w:marTop w:val="0"/>
          <w:marBottom w:val="0"/>
          <w:divBdr>
            <w:top w:val="none" w:sz="0" w:space="0" w:color="auto"/>
            <w:left w:val="none" w:sz="0" w:space="0" w:color="auto"/>
            <w:bottom w:val="none" w:sz="0" w:space="0" w:color="auto"/>
            <w:right w:val="none" w:sz="0" w:space="0" w:color="auto"/>
          </w:divBdr>
        </w:div>
        <w:div w:id="1289386512">
          <w:marLeft w:val="0"/>
          <w:marRight w:val="0"/>
          <w:marTop w:val="0"/>
          <w:marBottom w:val="0"/>
          <w:divBdr>
            <w:top w:val="none" w:sz="0" w:space="0" w:color="auto"/>
            <w:left w:val="none" w:sz="0" w:space="0" w:color="auto"/>
            <w:bottom w:val="none" w:sz="0" w:space="0" w:color="auto"/>
            <w:right w:val="none" w:sz="0" w:space="0" w:color="auto"/>
          </w:divBdr>
        </w:div>
      </w:divsChild>
    </w:div>
    <w:div w:id="1861622833">
      <w:marLeft w:val="4"/>
      <w:marRight w:val="0"/>
      <w:marTop w:val="120"/>
      <w:marBottom w:val="0"/>
      <w:divBdr>
        <w:top w:val="none" w:sz="0" w:space="0" w:color="auto"/>
        <w:left w:val="none" w:sz="0" w:space="0" w:color="auto"/>
        <w:bottom w:val="none" w:sz="0" w:space="0" w:color="auto"/>
        <w:right w:val="none" w:sz="0" w:space="0" w:color="auto"/>
      </w:divBdr>
      <w:divsChild>
        <w:div w:id="1533372846">
          <w:marLeft w:val="0"/>
          <w:marRight w:val="0"/>
          <w:marTop w:val="0"/>
          <w:marBottom w:val="0"/>
          <w:divBdr>
            <w:top w:val="none" w:sz="0" w:space="0" w:color="auto"/>
            <w:left w:val="none" w:sz="0" w:space="0" w:color="auto"/>
            <w:bottom w:val="none" w:sz="0" w:space="0" w:color="auto"/>
            <w:right w:val="none" w:sz="0" w:space="0" w:color="auto"/>
          </w:divBdr>
        </w:div>
      </w:divsChild>
    </w:div>
    <w:div w:id="1880320018">
      <w:marLeft w:val="4"/>
      <w:marRight w:val="0"/>
      <w:marTop w:val="200"/>
      <w:marBottom w:val="0"/>
      <w:divBdr>
        <w:top w:val="none" w:sz="0" w:space="0" w:color="auto"/>
        <w:left w:val="none" w:sz="0" w:space="0" w:color="auto"/>
        <w:bottom w:val="none" w:sz="0" w:space="0" w:color="auto"/>
        <w:right w:val="none" w:sz="0" w:space="0" w:color="auto"/>
      </w:divBdr>
      <w:divsChild>
        <w:div w:id="1353804183">
          <w:marLeft w:val="0"/>
          <w:marRight w:val="0"/>
          <w:marTop w:val="0"/>
          <w:marBottom w:val="0"/>
          <w:divBdr>
            <w:top w:val="none" w:sz="0" w:space="0" w:color="auto"/>
            <w:left w:val="none" w:sz="0" w:space="0" w:color="auto"/>
            <w:bottom w:val="none" w:sz="0" w:space="0" w:color="auto"/>
            <w:right w:val="none" w:sz="0" w:space="0" w:color="auto"/>
          </w:divBdr>
        </w:div>
      </w:divsChild>
    </w:div>
    <w:div w:id="1895005301">
      <w:marLeft w:val="4"/>
      <w:marRight w:val="0"/>
      <w:marTop w:val="120"/>
      <w:marBottom w:val="0"/>
      <w:divBdr>
        <w:top w:val="none" w:sz="0" w:space="0" w:color="auto"/>
        <w:left w:val="none" w:sz="0" w:space="0" w:color="auto"/>
        <w:bottom w:val="none" w:sz="0" w:space="0" w:color="auto"/>
        <w:right w:val="none" w:sz="0" w:space="0" w:color="auto"/>
      </w:divBdr>
      <w:divsChild>
        <w:div w:id="669335075">
          <w:marLeft w:val="0"/>
          <w:marRight w:val="0"/>
          <w:marTop w:val="0"/>
          <w:marBottom w:val="0"/>
          <w:divBdr>
            <w:top w:val="none" w:sz="0" w:space="0" w:color="auto"/>
            <w:left w:val="none" w:sz="0" w:space="0" w:color="auto"/>
            <w:bottom w:val="none" w:sz="0" w:space="0" w:color="auto"/>
            <w:right w:val="none" w:sz="0" w:space="0" w:color="auto"/>
          </w:divBdr>
        </w:div>
      </w:divsChild>
    </w:div>
    <w:div w:id="1924951743">
      <w:marLeft w:val="4"/>
      <w:marRight w:val="0"/>
      <w:marTop w:val="200"/>
      <w:marBottom w:val="0"/>
      <w:divBdr>
        <w:top w:val="none" w:sz="0" w:space="0" w:color="auto"/>
        <w:left w:val="none" w:sz="0" w:space="0" w:color="auto"/>
        <w:bottom w:val="none" w:sz="0" w:space="0" w:color="auto"/>
        <w:right w:val="none" w:sz="0" w:space="0" w:color="auto"/>
      </w:divBdr>
      <w:divsChild>
        <w:div w:id="121267527">
          <w:marLeft w:val="0"/>
          <w:marRight w:val="0"/>
          <w:marTop w:val="0"/>
          <w:marBottom w:val="0"/>
          <w:divBdr>
            <w:top w:val="none" w:sz="0" w:space="0" w:color="auto"/>
            <w:left w:val="none" w:sz="0" w:space="0" w:color="auto"/>
            <w:bottom w:val="none" w:sz="0" w:space="0" w:color="auto"/>
            <w:right w:val="none" w:sz="0" w:space="0" w:color="auto"/>
          </w:divBdr>
        </w:div>
      </w:divsChild>
    </w:div>
    <w:div w:id="1949774790">
      <w:marLeft w:val="4"/>
      <w:marRight w:val="0"/>
      <w:marTop w:val="200"/>
      <w:marBottom w:val="0"/>
      <w:divBdr>
        <w:top w:val="none" w:sz="0" w:space="0" w:color="auto"/>
        <w:left w:val="none" w:sz="0" w:space="0" w:color="auto"/>
        <w:bottom w:val="none" w:sz="0" w:space="0" w:color="auto"/>
        <w:right w:val="none" w:sz="0" w:space="0" w:color="auto"/>
      </w:divBdr>
      <w:divsChild>
        <w:div w:id="448083327">
          <w:marLeft w:val="0"/>
          <w:marRight w:val="0"/>
          <w:marTop w:val="0"/>
          <w:marBottom w:val="0"/>
          <w:divBdr>
            <w:top w:val="none" w:sz="0" w:space="0" w:color="auto"/>
            <w:left w:val="none" w:sz="0" w:space="0" w:color="auto"/>
            <w:bottom w:val="none" w:sz="0" w:space="0" w:color="auto"/>
            <w:right w:val="none" w:sz="0" w:space="0" w:color="auto"/>
          </w:divBdr>
        </w:div>
      </w:divsChild>
    </w:div>
    <w:div w:id="1953201935">
      <w:marLeft w:val="4"/>
      <w:marRight w:val="0"/>
      <w:marTop w:val="200"/>
      <w:marBottom w:val="0"/>
      <w:divBdr>
        <w:top w:val="none" w:sz="0" w:space="0" w:color="auto"/>
        <w:left w:val="none" w:sz="0" w:space="0" w:color="auto"/>
        <w:bottom w:val="none" w:sz="0" w:space="0" w:color="auto"/>
        <w:right w:val="none" w:sz="0" w:space="0" w:color="auto"/>
      </w:divBdr>
      <w:divsChild>
        <w:div w:id="901017467">
          <w:marLeft w:val="0"/>
          <w:marRight w:val="0"/>
          <w:marTop w:val="0"/>
          <w:marBottom w:val="0"/>
          <w:divBdr>
            <w:top w:val="none" w:sz="0" w:space="0" w:color="auto"/>
            <w:left w:val="none" w:sz="0" w:space="0" w:color="auto"/>
            <w:bottom w:val="none" w:sz="0" w:space="0" w:color="auto"/>
            <w:right w:val="none" w:sz="0" w:space="0" w:color="auto"/>
          </w:divBdr>
        </w:div>
      </w:divsChild>
    </w:div>
    <w:div w:id="1956667373">
      <w:marLeft w:val="4"/>
      <w:marRight w:val="0"/>
      <w:marTop w:val="200"/>
      <w:marBottom w:val="0"/>
      <w:divBdr>
        <w:top w:val="none" w:sz="0" w:space="0" w:color="auto"/>
        <w:left w:val="none" w:sz="0" w:space="0" w:color="auto"/>
        <w:bottom w:val="none" w:sz="0" w:space="0" w:color="auto"/>
        <w:right w:val="none" w:sz="0" w:space="0" w:color="auto"/>
      </w:divBdr>
      <w:divsChild>
        <w:div w:id="402014">
          <w:marLeft w:val="0"/>
          <w:marRight w:val="0"/>
          <w:marTop w:val="0"/>
          <w:marBottom w:val="0"/>
          <w:divBdr>
            <w:top w:val="none" w:sz="0" w:space="0" w:color="auto"/>
            <w:left w:val="none" w:sz="0" w:space="0" w:color="auto"/>
            <w:bottom w:val="none" w:sz="0" w:space="0" w:color="auto"/>
            <w:right w:val="none" w:sz="0" w:space="0" w:color="auto"/>
          </w:divBdr>
        </w:div>
      </w:divsChild>
    </w:div>
    <w:div w:id="1963152271">
      <w:marLeft w:val="4"/>
      <w:marRight w:val="0"/>
      <w:marTop w:val="120"/>
      <w:marBottom w:val="0"/>
      <w:divBdr>
        <w:top w:val="none" w:sz="0" w:space="0" w:color="auto"/>
        <w:left w:val="none" w:sz="0" w:space="0" w:color="auto"/>
        <w:bottom w:val="none" w:sz="0" w:space="0" w:color="auto"/>
        <w:right w:val="none" w:sz="0" w:space="0" w:color="auto"/>
      </w:divBdr>
      <w:divsChild>
        <w:div w:id="1867326816">
          <w:marLeft w:val="0"/>
          <w:marRight w:val="0"/>
          <w:marTop w:val="0"/>
          <w:marBottom w:val="0"/>
          <w:divBdr>
            <w:top w:val="none" w:sz="0" w:space="0" w:color="auto"/>
            <w:left w:val="none" w:sz="0" w:space="0" w:color="auto"/>
            <w:bottom w:val="none" w:sz="0" w:space="0" w:color="auto"/>
            <w:right w:val="none" w:sz="0" w:space="0" w:color="auto"/>
          </w:divBdr>
        </w:div>
      </w:divsChild>
    </w:div>
    <w:div w:id="1974362538">
      <w:marLeft w:val="4"/>
      <w:marRight w:val="0"/>
      <w:marTop w:val="120"/>
      <w:marBottom w:val="0"/>
      <w:divBdr>
        <w:top w:val="none" w:sz="0" w:space="0" w:color="auto"/>
        <w:left w:val="none" w:sz="0" w:space="0" w:color="auto"/>
        <w:bottom w:val="none" w:sz="0" w:space="0" w:color="auto"/>
        <w:right w:val="none" w:sz="0" w:space="0" w:color="auto"/>
      </w:divBdr>
      <w:divsChild>
        <w:div w:id="507209608">
          <w:marLeft w:val="0"/>
          <w:marRight w:val="0"/>
          <w:marTop w:val="0"/>
          <w:marBottom w:val="0"/>
          <w:divBdr>
            <w:top w:val="none" w:sz="0" w:space="0" w:color="auto"/>
            <w:left w:val="none" w:sz="0" w:space="0" w:color="auto"/>
            <w:bottom w:val="none" w:sz="0" w:space="0" w:color="auto"/>
            <w:right w:val="none" w:sz="0" w:space="0" w:color="auto"/>
          </w:divBdr>
        </w:div>
      </w:divsChild>
    </w:div>
    <w:div w:id="1982150513">
      <w:marLeft w:val="0"/>
      <w:marRight w:val="0"/>
      <w:marTop w:val="0"/>
      <w:marBottom w:val="0"/>
      <w:divBdr>
        <w:top w:val="none" w:sz="0" w:space="0" w:color="auto"/>
        <w:left w:val="none" w:sz="0" w:space="0" w:color="auto"/>
        <w:bottom w:val="none" w:sz="0" w:space="0" w:color="auto"/>
        <w:right w:val="none" w:sz="0" w:space="0" w:color="auto"/>
      </w:divBdr>
      <w:divsChild>
        <w:div w:id="895243541">
          <w:marLeft w:val="0"/>
          <w:marRight w:val="0"/>
          <w:marTop w:val="0"/>
          <w:marBottom w:val="0"/>
          <w:divBdr>
            <w:top w:val="none" w:sz="0" w:space="0" w:color="auto"/>
            <w:left w:val="none" w:sz="0" w:space="0" w:color="auto"/>
            <w:bottom w:val="none" w:sz="0" w:space="0" w:color="auto"/>
            <w:right w:val="none" w:sz="0" w:space="0" w:color="auto"/>
          </w:divBdr>
        </w:div>
        <w:div w:id="988442765">
          <w:marLeft w:val="0"/>
          <w:marRight w:val="0"/>
          <w:marTop w:val="0"/>
          <w:marBottom w:val="0"/>
          <w:divBdr>
            <w:top w:val="none" w:sz="0" w:space="0" w:color="auto"/>
            <w:left w:val="none" w:sz="0" w:space="0" w:color="auto"/>
            <w:bottom w:val="none" w:sz="0" w:space="0" w:color="auto"/>
            <w:right w:val="none" w:sz="0" w:space="0" w:color="auto"/>
          </w:divBdr>
        </w:div>
      </w:divsChild>
    </w:div>
    <w:div w:id="1986087672">
      <w:marLeft w:val="4"/>
      <w:marRight w:val="0"/>
      <w:marTop w:val="200"/>
      <w:marBottom w:val="0"/>
      <w:divBdr>
        <w:top w:val="none" w:sz="0" w:space="0" w:color="auto"/>
        <w:left w:val="none" w:sz="0" w:space="0" w:color="auto"/>
        <w:bottom w:val="none" w:sz="0" w:space="0" w:color="auto"/>
        <w:right w:val="none" w:sz="0" w:space="0" w:color="auto"/>
      </w:divBdr>
      <w:divsChild>
        <w:div w:id="1487237508">
          <w:marLeft w:val="0"/>
          <w:marRight w:val="0"/>
          <w:marTop w:val="0"/>
          <w:marBottom w:val="0"/>
          <w:divBdr>
            <w:top w:val="none" w:sz="0" w:space="0" w:color="auto"/>
            <w:left w:val="none" w:sz="0" w:space="0" w:color="auto"/>
            <w:bottom w:val="none" w:sz="0" w:space="0" w:color="auto"/>
            <w:right w:val="none" w:sz="0" w:space="0" w:color="auto"/>
          </w:divBdr>
        </w:div>
      </w:divsChild>
    </w:div>
    <w:div w:id="1986619971">
      <w:marLeft w:val="4"/>
      <w:marRight w:val="0"/>
      <w:marTop w:val="200"/>
      <w:marBottom w:val="0"/>
      <w:divBdr>
        <w:top w:val="none" w:sz="0" w:space="0" w:color="auto"/>
        <w:left w:val="none" w:sz="0" w:space="0" w:color="auto"/>
        <w:bottom w:val="none" w:sz="0" w:space="0" w:color="auto"/>
        <w:right w:val="none" w:sz="0" w:space="0" w:color="auto"/>
      </w:divBdr>
      <w:divsChild>
        <w:div w:id="620959378">
          <w:marLeft w:val="0"/>
          <w:marRight w:val="0"/>
          <w:marTop w:val="0"/>
          <w:marBottom w:val="0"/>
          <w:divBdr>
            <w:top w:val="none" w:sz="0" w:space="0" w:color="auto"/>
            <w:left w:val="none" w:sz="0" w:space="0" w:color="auto"/>
            <w:bottom w:val="none" w:sz="0" w:space="0" w:color="auto"/>
            <w:right w:val="none" w:sz="0" w:space="0" w:color="auto"/>
          </w:divBdr>
        </w:div>
      </w:divsChild>
    </w:div>
    <w:div w:id="1986621711">
      <w:marLeft w:val="4"/>
      <w:marRight w:val="0"/>
      <w:marTop w:val="200"/>
      <w:marBottom w:val="0"/>
      <w:divBdr>
        <w:top w:val="none" w:sz="0" w:space="0" w:color="auto"/>
        <w:left w:val="none" w:sz="0" w:space="0" w:color="auto"/>
        <w:bottom w:val="none" w:sz="0" w:space="0" w:color="auto"/>
        <w:right w:val="none" w:sz="0" w:space="0" w:color="auto"/>
      </w:divBdr>
      <w:divsChild>
        <w:div w:id="1776056315">
          <w:marLeft w:val="0"/>
          <w:marRight w:val="0"/>
          <w:marTop w:val="0"/>
          <w:marBottom w:val="0"/>
          <w:divBdr>
            <w:top w:val="none" w:sz="0" w:space="0" w:color="auto"/>
            <w:left w:val="none" w:sz="0" w:space="0" w:color="auto"/>
            <w:bottom w:val="none" w:sz="0" w:space="0" w:color="auto"/>
            <w:right w:val="none" w:sz="0" w:space="0" w:color="auto"/>
          </w:divBdr>
        </w:div>
      </w:divsChild>
    </w:div>
    <w:div w:id="2018924227">
      <w:marLeft w:val="4"/>
      <w:marRight w:val="0"/>
      <w:marTop w:val="200"/>
      <w:marBottom w:val="0"/>
      <w:divBdr>
        <w:top w:val="none" w:sz="0" w:space="0" w:color="auto"/>
        <w:left w:val="none" w:sz="0" w:space="0" w:color="auto"/>
        <w:bottom w:val="none" w:sz="0" w:space="0" w:color="auto"/>
        <w:right w:val="none" w:sz="0" w:space="0" w:color="auto"/>
      </w:divBdr>
      <w:divsChild>
        <w:div w:id="927423200">
          <w:marLeft w:val="0"/>
          <w:marRight w:val="0"/>
          <w:marTop w:val="0"/>
          <w:marBottom w:val="0"/>
          <w:divBdr>
            <w:top w:val="none" w:sz="0" w:space="0" w:color="auto"/>
            <w:left w:val="none" w:sz="0" w:space="0" w:color="auto"/>
            <w:bottom w:val="none" w:sz="0" w:space="0" w:color="auto"/>
            <w:right w:val="none" w:sz="0" w:space="0" w:color="auto"/>
          </w:divBdr>
        </w:div>
      </w:divsChild>
    </w:div>
    <w:div w:id="2025087556">
      <w:marLeft w:val="4"/>
      <w:marRight w:val="0"/>
      <w:marTop w:val="200"/>
      <w:marBottom w:val="0"/>
      <w:divBdr>
        <w:top w:val="none" w:sz="0" w:space="0" w:color="auto"/>
        <w:left w:val="none" w:sz="0" w:space="0" w:color="auto"/>
        <w:bottom w:val="none" w:sz="0" w:space="0" w:color="auto"/>
        <w:right w:val="none" w:sz="0" w:space="0" w:color="auto"/>
      </w:divBdr>
      <w:divsChild>
        <w:div w:id="1127889136">
          <w:marLeft w:val="0"/>
          <w:marRight w:val="0"/>
          <w:marTop w:val="0"/>
          <w:marBottom w:val="0"/>
          <w:divBdr>
            <w:top w:val="none" w:sz="0" w:space="0" w:color="auto"/>
            <w:left w:val="none" w:sz="0" w:space="0" w:color="auto"/>
            <w:bottom w:val="none" w:sz="0" w:space="0" w:color="auto"/>
            <w:right w:val="none" w:sz="0" w:space="0" w:color="auto"/>
          </w:divBdr>
        </w:div>
      </w:divsChild>
    </w:div>
    <w:div w:id="2053385772">
      <w:marLeft w:val="4"/>
      <w:marRight w:val="0"/>
      <w:marTop w:val="200"/>
      <w:marBottom w:val="0"/>
      <w:divBdr>
        <w:top w:val="none" w:sz="0" w:space="0" w:color="auto"/>
        <w:left w:val="none" w:sz="0" w:space="0" w:color="auto"/>
        <w:bottom w:val="none" w:sz="0" w:space="0" w:color="auto"/>
        <w:right w:val="none" w:sz="0" w:space="0" w:color="auto"/>
      </w:divBdr>
      <w:divsChild>
        <w:div w:id="1415013750">
          <w:marLeft w:val="0"/>
          <w:marRight w:val="0"/>
          <w:marTop w:val="0"/>
          <w:marBottom w:val="0"/>
          <w:divBdr>
            <w:top w:val="none" w:sz="0" w:space="0" w:color="auto"/>
            <w:left w:val="none" w:sz="0" w:space="0" w:color="auto"/>
            <w:bottom w:val="none" w:sz="0" w:space="0" w:color="auto"/>
            <w:right w:val="none" w:sz="0" w:space="0" w:color="auto"/>
          </w:divBdr>
        </w:div>
      </w:divsChild>
    </w:div>
    <w:div w:id="2092266575">
      <w:marLeft w:val="9"/>
      <w:marRight w:val="0"/>
      <w:marTop w:val="0"/>
      <w:marBottom w:val="0"/>
      <w:divBdr>
        <w:top w:val="none" w:sz="0" w:space="0" w:color="auto"/>
        <w:left w:val="none" w:sz="0" w:space="0" w:color="auto"/>
        <w:bottom w:val="none" w:sz="0" w:space="0" w:color="auto"/>
        <w:right w:val="none" w:sz="0" w:space="0" w:color="auto"/>
      </w:divBdr>
      <w:divsChild>
        <w:div w:id="1003819826">
          <w:marLeft w:val="0"/>
          <w:marRight w:val="0"/>
          <w:marTop w:val="0"/>
          <w:marBottom w:val="0"/>
          <w:divBdr>
            <w:top w:val="none" w:sz="0" w:space="0" w:color="auto"/>
            <w:left w:val="none" w:sz="0" w:space="0" w:color="auto"/>
            <w:bottom w:val="none" w:sz="0" w:space="0" w:color="auto"/>
            <w:right w:val="none" w:sz="0" w:space="0" w:color="auto"/>
          </w:divBdr>
        </w:div>
      </w:divsChild>
    </w:div>
    <w:div w:id="2125268092">
      <w:marLeft w:val="0"/>
      <w:marRight w:val="0"/>
      <w:marTop w:val="0"/>
      <w:marBottom w:val="0"/>
      <w:divBdr>
        <w:top w:val="none" w:sz="0" w:space="0" w:color="auto"/>
        <w:left w:val="none" w:sz="0" w:space="0" w:color="auto"/>
        <w:bottom w:val="none" w:sz="0" w:space="0" w:color="auto"/>
        <w:right w:val="none" w:sz="0" w:space="0" w:color="auto"/>
      </w:divBdr>
    </w:div>
    <w:div w:id="2126538798">
      <w:marLeft w:val="0"/>
      <w:marRight w:val="0"/>
      <w:marTop w:val="0"/>
      <w:marBottom w:val="0"/>
      <w:divBdr>
        <w:top w:val="none" w:sz="0" w:space="0" w:color="auto"/>
        <w:left w:val="none" w:sz="0" w:space="0" w:color="auto"/>
        <w:bottom w:val="none" w:sz="0" w:space="0" w:color="auto"/>
        <w:right w:val="none" w:sz="0" w:space="0" w:color="auto"/>
      </w:divBdr>
      <w:divsChild>
        <w:div w:id="848756928">
          <w:marLeft w:val="0"/>
          <w:marRight w:val="0"/>
          <w:marTop w:val="0"/>
          <w:marBottom w:val="0"/>
          <w:divBdr>
            <w:top w:val="none" w:sz="0" w:space="0" w:color="auto"/>
            <w:left w:val="none" w:sz="0" w:space="0" w:color="auto"/>
            <w:bottom w:val="none" w:sz="0" w:space="0" w:color="auto"/>
            <w:right w:val="none" w:sz="0" w:space="0" w:color="auto"/>
          </w:divBdr>
        </w:div>
        <w:div w:id="1593124977">
          <w:marLeft w:val="0"/>
          <w:marRight w:val="0"/>
          <w:marTop w:val="0"/>
          <w:marBottom w:val="0"/>
          <w:divBdr>
            <w:top w:val="none" w:sz="0" w:space="0" w:color="auto"/>
            <w:left w:val="none" w:sz="0" w:space="0" w:color="auto"/>
            <w:bottom w:val="none" w:sz="0" w:space="0" w:color="auto"/>
            <w:right w:val="none" w:sz="0" w:space="0" w:color="auto"/>
          </w:divBdr>
        </w:div>
      </w:divsChild>
    </w:div>
    <w:div w:id="2133207563">
      <w:marLeft w:val="4"/>
      <w:marRight w:val="0"/>
      <w:marTop w:val="200"/>
      <w:marBottom w:val="0"/>
      <w:divBdr>
        <w:top w:val="none" w:sz="0" w:space="0" w:color="auto"/>
        <w:left w:val="none" w:sz="0" w:space="0" w:color="auto"/>
        <w:bottom w:val="none" w:sz="0" w:space="0" w:color="auto"/>
        <w:right w:val="none" w:sz="0" w:space="0" w:color="auto"/>
      </w:divBdr>
      <w:divsChild>
        <w:div w:id="1708413848">
          <w:marLeft w:val="0"/>
          <w:marRight w:val="0"/>
          <w:marTop w:val="0"/>
          <w:marBottom w:val="0"/>
          <w:divBdr>
            <w:top w:val="none" w:sz="0" w:space="0" w:color="auto"/>
            <w:left w:val="none" w:sz="0" w:space="0" w:color="auto"/>
            <w:bottom w:val="none" w:sz="0" w:space="0" w:color="auto"/>
            <w:right w:val="none" w:sz="0" w:space="0" w:color="auto"/>
          </w:divBdr>
        </w:div>
      </w:divsChild>
    </w:div>
    <w:div w:id="2138790207">
      <w:marLeft w:val="4"/>
      <w:marRight w:val="0"/>
      <w:marTop w:val="120"/>
      <w:marBottom w:val="0"/>
      <w:divBdr>
        <w:top w:val="none" w:sz="0" w:space="0" w:color="auto"/>
        <w:left w:val="none" w:sz="0" w:space="0" w:color="auto"/>
        <w:bottom w:val="none" w:sz="0" w:space="0" w:color="auto"/>
        <w:right w:val="none" w:sz="0" w:space="0" w:color="auto"/>
      </w:divBdr>
      <w:divsChild>
        <w:div w:id="622658777">
          <w:marLeft w:val="0"/>
          <w:marRight w:val="0"/>
          <w:marTop w:val="0"/>
          <w:marBottom w:val="0"/>
          <w:divBdr>
            <w:top w:val="none" w:sz="0" w:space="0" w:color="auto"/>
            <w:left w:val="none" w:sz="0" w:space="0" w:color="auto"/>
            <w:bottom w:val="none" w:sz="0" w:space="0" w:color="auto"/>
            <w:right w:val="none" w:sz="0" w:space="0" w:color="auto"/>
          </w:divBdr>
        </w:div>
      </w:divsChild>
    </w:div>
    <w:div w:id="2142379305">
      <w:marLeft w:val="4"/>
      <w:marRight w:val="0"/>
      <w:marTop w:val="200"/>
      <w:marBottom w:val="0"/>
      <w:divBdr>
        <w:top w:val="none" w:sz="0" w:space="0" w:color="auto"/>
        <w:left w:val="none" w:sz="0" w:space="0" w:color="auto"/>
        <w:bottom w:val="none" w:sz="0" w:space="0" w:color="auto"/>
        <w:right w:val="none" w:sz="0" w:space="0" w:color="auto"/>
      </w:divBdr>
      <w:divsChild>
        <w:div w:id="829752550">
          <w:marLeft w:val="0"/>
          <w:marRight w:val="0"/>
          <w:marTop w:val="0"/>
          <w:marBottom w:val="0"/>
          <w:divBdr>
            <w:top w:val="none" w:sz="0" w:space="0" w:color="auto"/>
            <w:left w:val="none" w:sz="0" w:space="0" w:color="auto"/>
            <w:bottom w:val="none" w:sz="0" w:space="0" w:color="auto"/>
            <w:right w:val="none" w:sz="0" w:space="0" w:color="auto"/>
          </w:divBdr>
        </w:div>
      </w:divsChild>
    </w:div>
    <w:div w:id="2143499711">
      <w:marLeft w:val="4"/>
      <w:marRight w:val="0"/>
      <w:marTop w:val="200"/>
      <w:marBottom w:val="0"/>
      <w:divBdr>
        <w:top w:val="none" w:sz="0" w:space="0" w:color="auto"/>
        <w:left w:val="none" w:sz="0" w:space="0" w:color="auto"/>
        <w:bottom w:val="none" w:sz="0" w:space="0" w:color="auto"/>
        <w:right w:val="none" w:sz="0" w:space="0" w:color="auto"/>
      </w:divBdr>
      <w:divsChild>
        <w:div w:id="1402769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1404655/000156459020004381/hubs-ex45_1719.htm" TargetMode="External"/><Relationship Id="rId18" Type="http://schemas.openxmlformats.org/officeDocument/2006/relationships/hyperlink" Target="https://www.sec.gov/Archives/edgar/data/1404655/000156459020004381/hubs-ex105_11.htm" TargetMode="External"/><Relationship Id="rId26" Type="http://schemas.openxmlformats.org/officeDocument/2006/relationships/hyperlink" Target="hubs-ex10_13.htm" TargetMode="External"/><Relationship Id="rId3" Type="http://schemas.openxmlformats.org/officeDocument/2006/relationships/webSettings" Target="webSettings.xml"/><Relationship Id="rId21" Type="http://schemas.openxmlformats.org/officeDocument/2006/relationships/hyperlink" Target="hubs-ex10_8.htm" TargetMode="External"/><Relationship Id="rId34" Type="http://schemas.openxmlformats.org/officeDocument/2006/relationships/theme" Target="theme/theme1.xml"/><Relationship Id="rId7" Type="http://schemas.openxmlformats.org/officeDocument/2006/relationships/hyperlink" Target="https://www.sec.gov/Archives/edgar/data/1404655/000119312514353746/d697256dex41.htm" TargetMode="External"/><Relationship Id="rId12" Type="http://schemas.openxmlformats.org/officeDocument/2006/relationships/hyperlink" Target="https://www.sec.gov/Archives/edgar/data/1404655/000119312520162234/d933656dex41.htm" TargetMode="External"/><Relationship Id="rId17" Type="http://schemas.openxmlformats.org/officeDocument/2006/relationships/hyperlink" Target="https://www.sec.gov/Archives/edgar/data/1404655/000156459020004381/hubs-ex104_1395.htm" TargetMode="External"/><Relationship Id="rId25" Type="http://schemas.openxmlformats.org/officeDocument/2006/relationships/hyperlink" Target="https://www.sec.gov/Archives/edgar/data/1404655/000119312517165870/d383013dex102.ht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c.gov/Archives/edgar/data/1404655/000156459020004381/hubs-ex103_2330.htm" TargetMode="External"/><Relationship Id="rId20" Type="http://schemas.openxmlformats.org/officeDocument/2006/relationships/hyperlink" Target="https://www.sec.gov/Archives/edgar/data/1404655/000119312514320044/d697256dex105.htm" TargetMode="External"/><Relationship Id="rId29" Type="http://schemas.openxmlformats.org/officeDocument/2006/relationships/hyperlink" Target="hubs-ex23_1.htm" TargetMode="External"/><Relationship Id="rId1" Type="http://schemas.openxmlformats.org/officeDocument/2006/relationships/styles" Target="styles.xml"/><Relationship Id="rId6" Type="http://schemas.openxmlformats.org/officeDocument/2006/relationships/hyperlink" Target="https://www.sec.gov/Archives/edgar/data/0001404655/000156459020051449/hubs-ex32_103.htm" TargetMode="External"/><Relationship Id="rId11" Type="http://schemas.openxmlformats.org/officeDocument/2006/relationships/hyperlink" Target="https://www.sec.gov/Archives/edgar/data/1404655/000119312520162234/d933656dex41.htm" TargetMode="External"/><Relationship Id="rId24" Type="http://schemas.openxmlformats.org/officeDocument/2006/relationships/hyperlink" Target="https://www.sec.gov/Archives/edgar/data/1404655/000119312517165870/d383013dex101.htm" TargetMode="External"/><Relationship Id="rId32" Type="http://schemas.openxmlformats.org/officeDocument/2006/relationships/hyperlink" Target="hubs-ex32_1.htm" TargetMode="External"/><Relationship Id="rId5" Type="http://schemas.openxmlformats.org/officeDocument/2006/relationships/hyperlink" Target="https://www.sec.gov/Archives/edgar/data/0001404655/000156459016013204/hubs-ex31_768.htm" TargetMode="External"/><Relationship Id="rId15" Type="http://schemas.openxmlformats.org/officeDocument/2006/relationships/hyperlink" Target="https://www.sec.gov/Archives/edgar/data/1404655/000156459016017682/hubs-ex101_11.htm" TargetMode="External"/><Relationship Id="rId23" Type="http://schemas.openxmlformats.org/officeDocument/2006/relationships/hyperlink" Target="hubs-ex10_10.htm" TargetMode="External"/><Relationship Id="rId28" Type="http://schemas.openxmlformats.org/officeDocument/2006/relationships/hyperlink" Target="hubs-ex21_1.htm" TargetMode="External"/><Relationship Id="rId10" Type="http://schemas.openxmlformats.org/officeDocument/2006/relationships/hyperlink" Target="https://www.sec.gov/Archives/edgar/data/1404655/000119312517165870/d383013dex41.htm" TargetMode="External"/><Relationship Id="rId19" Type="http://schemas.openxmlformats.org/officeDocument/2006/relationships/hyperlink" Target="https://www.sec.gov/Archives/edgar/data/1404655/000119312514320044/d697256dex104.htm" TargetMode="External"/><Relationship Id="rId31" Type="http://schemas.openxmlformats.org/officeDocument/2006/relationships/hyperlink" Target="hubs-ex31_2.htm" TargetMode="External"/><Relationship Id="rId4" Type="http://schemas.openxmlformats.org/officeDocument/2006/relationships/image" Target="file:///E:\projects\LLMs\new_data_collection\data_new\htm\HUBSPOT%20INC\img54440331_0.jpg" TargetMode="External"/><Relationship Id="rId9" Type="http://schemas.openxmlformats.org/officeDocument/2006/relationships/hyperlink" Target="https://www.sec.gov/Archives/edgar/data/1404655/000119312517165870/d383013dex41.htm" TargetMode="External"/><Relationship Id="rId14" Type="http://schemas.openxmlformats.org/officeDocument/2006/relationships/hyperlink" Target="https://www.sec.gov/Archives/edgar/data/1404655/000156459019002699/hubs-ex101_341.htm" TargetMode="External"/><Relationship Id="rId22" Type="http://schemas.openxmlformats.org/officeDocument/2006/relationships/hyperlink" Target="https://www.sec.gov/Archives/edgar/data/1404655/000119312514363926/d697256dex108.htm" TargetMode="External"/><Relationship Id="rId27" Type="http://schemas.openxmlformats.org/officeDocument/2006/relationships/hyperlink" Target="https://www.sec.gov/Archives/edgar/data/1404655/000119312520162234/d933656dex101.htm" TargetMode="External"/><Relationship Id="rId30" Type="http://schemas.openxmlformats.org/officeDocument/2006/relationships/hyperlink" Target="hubs-ex31_1.htm" TargetMode="External"/><Relationship Id="rId8" Type="http://schemas.openxmlformats.org/officeDocument/2006/relationships/hyperlink" Target="https://www.sec.gov/Archives/edgar/data/1404655/000119312514320044/d697256dex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66330</Words>
  <Characters>378083</Characters>
  <Application>Microsoft Office Word</Application>
  <DocSecurity>0</DocSecurity>
  <Lines>3150</Lines>
  <Paragraphs>887</Paragraphs>
  <ScaleCrop>false</ScaleCrop>
  <Company/>
  <LinksUpToDate>false</LinksUpToDate>
  <CharactersWithSpaces>443526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