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11603">
      <w:pPr>
        <w:divId w:val="930234153"/>
        <w:rPr>
          <w:rFonts w:eastAsia="Times New Roman"/>
          <w:vanish/>
        </w:rPr>
      </w:pPr>
      <w:r>
        <w:rPr>
          <w:rFonts w:eastAsia="Times New Roman"/>
          <w:vanish/>
        </w:rPr>
        <w:t>P3Dhttp://fasb.org/us-gaap/2021-01-31#OtherAssetshttp://fasb.org/us-gaap/2021-01-31#OtherAssetshttp://fasb.org/us-gaap/2021-01-31#OtherAssets0001404655Q1--12-31P1Yfalse0001404655</w:t>
      </w:r>
      <w:r>
        <w:rPr>
          <w:rFonts w:eastAsia="Times New Roman"/>
          <w:vanish/>
        </w:rPr>
        <w:t>us-gaap:GeneralAndAdministrativeExpenseMember2022-01-012022-03-310001404655srt:AsiaPacificMember2022-01-012022-03-310001404655hubs:CostOfRevenueProfessionalServicesAndOtherMember2022-01-012022-03-310001404655us-gaap:ServiceMember2022-01-012022-03-310001404</w:t>
      </w:r>
      <w:r>
        <w:rPr>
          <w:rFonts w:eastAsia="Times New Roman"/>
          <w:vanish/>
        </w:rPr>
        <w:t>655hubs:ZeroPointTwoFivePercentConvertibleSeniorNotesDueTwoThousandTwentyTwoMember2021-01-012021-03-310001404655us-gaap:SellingAndMarketingExpenseMember2021-01-012021-03-3100014046552022-01-012022-03-310001404655hubs:AccruedExpensesAndOtherCurrentLiabiliti</w:t>
      </w:r>
      <w:r>
        <w:rPr>
          <w:rFonts w:eastAsia="Times New Roman"/>
          <w:vanish/>
        </w:rPr>
        <w:t>esMember2021-12-310001404655us-gaap:RetainedEarningsMember2021-12-310001404655srt:AmericasMember2021-01-012021-03-310001404655us-gaap:ResearchAndDevelopmentExpenseMember2021-01-012021-03-310001404655us-gaap:TreasuryStockMember2021-01-012021-03-310001404655</w:t>
      </w:r>
      <w:r>
        <w:rPr>
          <w:rFonts w:eastAsia="Times New Roman"/>
          <w:vanish/>
        </w:rPr>
        <w:t>us-gaap:CorporateBondSecuritiesMember2021-12-310001404655us-gaap:PrivatePlacementMemberhubs:ZeroPointTwoFivePercentConvertibleSeniorNotesDueTwoThousandTwentyTwoMember2017-05-310001404655hubs:ZeroPointThreeSevenFivePercentConvertibleSeniorNotesDueTwoThousan</w:t>
      </w:r>
      <w:r>
        <w:rPr>
          <w:rFonts w:eastAsia="Times New Roman"/>
          <w:vanish/>
        </w:rPr>
        <w:t>dTwentyFiveAsLiabilityComponentMember2022-01-012022-03-310001404655hubs:ProductRelatedObligationsMember2022-03-310001404655srt:AsiaPacificMember2021-01-012021-03-310001404655srt:MinimumMember2022-01-012022-03-310001404655us-gaap:TreasuryStockMember2021-12-</w:t>
      </w:r>
      <w:r>
        <w:rPr>
          <w:rFonts w:eastAsia="Times New Roman"/>
          <w:vanish/>
        </w:rPr>
        <w:t>310001404655us-gaap:RetainedEarningsMember2021-01-012021-03-310001404655hubs:USTreasurySecuritiesExcludingCashAndCashEquivalentsMember2022-03-310001404655hubs:ZeroPointTwoFivePercentConvertibleSeniorNotesDueTwoThousandTwentyTwoMember2022-01-012022-03-31000</w:t>
      </w:r>
      <w:r>
        <w:rPr>
          <w:rFonts w:eastAsia="Times New Roman"/>
          <w:vanish/>
        </w:rPr>
        <w:t>1404655us-gaap:MoneyMarketFundsMember2021-12-310001404655us-gaap:RetainedEarningsMember2020-12-310001404655us-gaap:SubscriptionAndCirculationMember2022-01-012022-03-310001404655us-gaap:AccumulatedOtherComprehensiveIncomeMember2022-03-310001404655us-gaap:Se</w:t>
      </w:r>
      <w:r>
        <w:rPr>
          <w:rFonts w:eastAsia="Times New Roman"/>
          <w:vanish/>
        </w:rPr>
        <w:t>rviceMember2021-01-012021-03-310001404655hubs:ZeroPointThreeSevenFivePercentConvertibleSeniorNotesDueTwoThousandTwentyFiveMember2022-03-310001404655hubs:ZeroPointTwoFivePercentConvertibleSeniorNotesDueTwoThousandTwentyTwoAsLiabilityComponentMembersrt:Maxim</w:t>
      </w:r>
      <w:r>
        <w:rPr>
          <w:rFonts w:eastAsia="Times New Roman"/>
          <w:vanish/>
        </w:rPr>
        <w:t>umMember2022-01-012022-03-310001404655hubs:ConvertibleSeniorNotesDueTwoThousandTwentyFiveMember2021-01-012021-03-310001404655us-gaap:FairValueInputsLevel2Memberhubs:ZeroPointTwoFivePercentConvertibleSeniorNotesDueTwoThousandTwentyTwoMember2022-03-310001404</w:t>
      </w:r>
      <w:r>
        <w:rPr>
          <w:rFonts w:eastAsia="Times New Roman"/>
          <w:vanish/>
        </w:rPr>
        <w:t>655us-gaap:FairValueInputsLevel1Member2021-12-310001404655hubs:CapitalizedSoftwareAndPropertyPlantAndEquipmentMember2021-01-012021-12-310001404655us-gaap:AdditionalPaidInCapitalMember2022-01-012022-03-310001404655srt:ScenarioForecastMember2022-05-310001404</w:t>
      </w:r>
      <w:r>
        <w:rPr>
          <w:rFonts w:eastAsia="Times New Roman"/>
          <w:vanish/>
        </w:rPr>
        <w:t>655us-gaap:FurnitureAndFixturesMember2021-12-310001404655hubs:CostOfSubscriptionRevenuesMember2021-01-012021-03-310001404655hubs:StrategicInvestmentsMember2022-03-310001404655hubs:EmployeeRelatedComputerEquipmentMember2021-12-310001404655hubs:ComputerEquip</w:t>
      </w:r>
      <w:r>
        <w:rPr>
          <w:rFonts w:eastAsia="Times New Roman"/>
          <w:vanish/>
        </w:rPr>
        <w:t>mentAndPurchasedSoftwareMember2021-12-310001404655us-gaap:CommonStockMember2020-12-310001404655hubs:ZeroPointThreeSevenFivePercentConvertibleSeniorNotesDueTwoThousandTwentyFiveMember2020-06-300001404655us-gaap:MoneyMarketFundsMember2022-03-310001404655hubs</w:t>
      </w:r>
      <w:r>
        <w:rPr>
          <w:rFonts w:eastAsia="Times New Roman"/>
          <w:vanish/>
        </w:rPr>
        <w:t>:ZeroPointThreeSevenFivePercentConvertibleSeniorNotesDueTwoThousandTwentyFiveAsLiabilityComponentMember2022-03-310001404655hubs:ZeroPointThreeSevenFivePercentConvertibleSeniorNotesDueTwoThousandTwentyFiveMemberus-gaap:SubsequentEventMember2022-04-290001404</w:t>
      </w:r>
      <w:r>
        <w:rPr>
          <w:rFonts w:eastAsia="Times New Roman"/>
          <w:vanish/>
        </w:rPr>
        <w:t>655us-gaap:CommonStockMember2021-12-310001404655us-gaap:ConstructionInProgressMember2022-03-310001404655us-gaap:CommonStockMember2022-01-012022-03-310001404655us-gaap:CommonStockMember2022-03-310001404655us-gaap:EmployeeStockMember2021-01-012021-03-3100014</w:t>
      </w:r>
      <w:r>
        <w:rPr>
          <w:rFonts w:eastAsia="Times New Roman"/>
          <w:vanish/>
        </w:rPr>
        <w:t>04655us-gaap:MoneyMarketFundsMemberus-gaap:FairValueInputsLevel1Member2021-12-310001404655hubs:ZeroPointTwoFivePercentConvertibleSeniorNotesDueTwoThousandTwentyTwoAsLiabilityComponentMemberus-gaap:AdditionalPaidInCapitalMember2021-01-012021-03-310001404655</w:t>
      </w:r>
      <w:r>
        <w:rPr>
          <w:rFonts w:eastAsia="Times New Roman"/>
          <w:vanish/>
        </w:rPr>
        <w:t>hubs:CapitalizedSoftwareAndPropertyPlantAndEquipmentMember2022-01-012022-03-3100014046552022-03-310001404655us-gaap:FairValueInputsLevel1Member2022-03-310001404655us-gaap:FairValueInputsLevel2Memberus-gaap:USGovernmentAgenciesShorttermDebtSecuritiesMember2</w:t>
      </w:r>
      <w:r>
        <w:rPr>
          <w:rFonts w:eastAsia="Times New Roman"/>
          <w:vanish/>
        </w:rPr>
        <w:t>021-12-310001404655us-gaap:GeographicConcentrationRiskMemberus-gaap:SalesRevenueNetMemberhubs:RestOfTheWorldMember2021-01-012021-03-310001404655us-gaap:AccumulatedNetUnrealizedInvestmentGainLossMember2021-12-310001404655us-gaap:AdditionalPaidInCapitalMembe</w:t>
      </w:r>
      <w:r>
        <w:rPr>
          <w:rFonts w:eastAsia="Times New Roman"/>
          <w:vanish/>
        </w:rPr>
        <w:t>r2021-01-012021-03-310001404655us-gaap:AccumulatedOtherComprehensiveIncomeMember2020-12-310001404655srt:MaximumMember2022-01-012022-03-310001404655us-gaap:CommonStockMember2021-03-310001404655srt:EuropeMember2022-01-012022-03-310001404655us-gaap:Accumulate</w:t>
      </w:r>
      <w:r>
        <w:rPr>
          <w:rFonts w:eastAsia="Times New Roman"/>
          <w:vanish/>
        </w:rPr>
        <w:t>dNetUnrealizedInvestmentGainLossMember2022-01-012022-03-310001404655us-gaap:AccumulatedOtherComprehensiveIncomeMember2021-03-310001404655us-gaap:LeaseholdImprovementsMember2022-03-310001404655us-gaap:TreasuryStockMember2022-03-310001404655srt:AmericasMembe</w:t>
      </w:r>
      <w:r>
        <w:rPr>
          <w:rFonts w:eastAsia="Times New Roman"/>
          <w:vanish/>
        </w:rPr>
        <w:t>r2022-01-012022-03-310001404655hubs:ZeroPointTwoFivePercentConvertibleSeniorNotesDueTwoThousandTwentyTwoAsLiabilityComponentMember2021-01-012021-03-310001404655us-gaap:USGovernmentAgenciesShorttermDebtSecuritiesMember2022-03-310001404655hubs:ZeroPointTwoFi</w:t>
      </w:r>
      <w:r>
        <w:rPr>
          <w:rFonts w:eastAsia="Times New Roman"/>
          <w:vanish/>
        </w:rPr>
        <w:t>vePercentConvertibleSeniorNotesDueTwoThousandTwentyTwoAsLiabilityComponentMember2021-12-310001404655hubs:ZeroPointThreeSevenFivePercentConvertibleSeniorNotesDueTwoThousandTwentyFiveAsLiabilityComponentMember2021-12-3100014046552022-04-290001404655hubs:Zero</w:t>
      </w:r>
      <w:r>
        <w:rPr>
          <w:rFonts w:eastAsia="Times New Roman"/>
          <w:vanish/>
        </w:rPr>
        <w:t>PointTwoFivePercentConvertibleSeniorNotesDueTwoThousandTwentyTwoAsLiabilityComponentMemberus-gaap:SubsequentEventMember2022-04-290001404655us-gaap:AdditionalPaidInCapitalMember2021-12-3100014046552020-12-310001404655hubs:ZeroPointThreeSevenFivePercentConve</w:t>
      </w:r>
      <w:r>
        <w:rPr>
          <w:rFonts w:eastAsia="Times New Roman"/>
          <w:vanish/>
        </w:rPr>
        <w:t>rtibleSeniorNotesDueTwoThousandTwentyFiveMember2021-01-012021-03-310001404655us-gaap:FurnitureAndFixturesMember2022-03-310001404655us-gaap:CommonStockMemberhubs:ZeroPointTwoFivePercentConvertibleSeniorNotesDueTwoThousandTwentyTwoMember2022-03-310001404655u</w:t>
      </w:r>
      <w:r>
        <w:rPr>
          <w:rFonts w:eastAsia="Times New Roman"/>
          <w:vanish/>
        </w:rPr>
        <w:t>s-gaap:FairValueInputsLevel2Memberus-gaap:MoneyMarketFundsMember2022-03-310001404655us-gaap:EmployeeStockOptionMember2022-01-012022-03-310001404655us-gaap:CommercialPaperMember2022-03-310001404655srt:AmericasMember2021-12-310001404655us-gaap:GeographicConc</w:t>
      </w:r>
      <w:r>
        <w:rPr>
          <w:rFonts w:eastAsia="Times New Roman"/>
          <w:vanish/>
        </w:rPr>
        <w:t>entrationRiskMemberus-gaap:SalesRevenueNetMemberhubs:OutsideOfAmericasMember2021-01-012021-03-310001404655us-gaap:EmployeeStockMember2022-01-012022-03-310001404655hubs:ZeroPointTwoFivePercentConvertibleSeniorNotesDueTwoThousandTwentyTwoMember2017-05-012017</w:t>
      </w:r>
      <w:r>
        <w:rPr>
          <w:rFonts w:eastAsia="Times New Roman"/>
          <w:vanish/>
        </w:rPr>
        <w:t>-05-310001404655us-gaap:AccumulatedOtherComprehensiveIncomeMember2021-01-012021-03-310001404655hubs:ZeroPointThreeSevenFivePercentConvertibleSeniorNotesDueTwoThousandTwentyFiveMemberus-gaap:OverAllotmentOptionMember2020-06-300001404655us-gaap:USTreasurySec</w:t>
      </w:r>
      <w:r>
        <w:rPr>
          <w:rFonts w:eastAsia="Times New Roman"/>
          <w:vanish/>
        </w:rPr>
        <w:t>uritiesMember2022-03-310001404655hubs:StrategicInvestmentsMember2021-12-310001404655us-gaap:CommercialPaperNotIncludedWithCashAndCashEquivalentsMember2021-12-310001404655us-gaap:RestrictedStockUnitsRSUMember2021-01-012021-03-310001404655hubs:ZeroPointTwoFi</w:t>
      </w:r>
      <w:r>
        <w:rPr>
          <w:rFonts w:eastAsia="Times New Roman"/>
          <w:vanish/>
        </w:rPr>
        <w:t>vePercentConvertibleSeniorNotesDueTwoThousandTwentyTwoAsLiabilityComponentMember2022-03-310001404655us-gaap:EmployeeStockOptionMember2021-01-012021-03-310001404655us-gaap:AccumulatedOtherComprehensiveIncomeMember2022-01-012022-03-310001404655us-gaap:Additi</w:t>
      </w:r>
      <w:r>
        <w:rPr>
          <w:rFonts w:eastAsia="Times New Roman"/>
          <w:vanish/>
        </w:rPr>
        <w:t>onalPaidInCapitalMember2022-03-310001404655us-gaap:LeaseholdImprovementsMember2021-12-310001404655srt:AmericasMember2022-03-310001404655us-gaap:AdditionalPaidInCapitalMember2020-12-310001404655us-gaap:RestrictedStockUnitsRSUMember2022-01-012022-03-31000140</w:t>
      </w:r>
      <w:r>
        <w:rPr>
          <w:rFonts w:eastAsia="Times New Roman"/>
          <w:vanish/>
        </w:rPr>
        <w:t>4655us-gaap:AccumulatedOtherComprehensiveIncomeMember2021-12-310001404655hubs:ZeroPointTwoFivePercentConvertibleSeniorNotesDueTwoThousandTwentyTwoAsLiabilityComponentMemberus-gaap:CommonStockMember2021-01-012021-03-310001404655srt:EuropeMember2022-03-31000</w:t>
      </w:r>
      <w:r>
        <w:rPr>
          <w:rFonts w:eastAsia="Times New Roman"/>
          <w:vanish/>
        </w:rPr>
        <w:t>1404655us-gaap:SoftwareDevelopmentMember2022-03-310001404655us-gaap:WarrantMemberhubs:TwoThousandAndTwentyTwoNotesConvertibleNoteHedgesMember2022-01-012022-03-310001404655hubs:ZeroPointThreeSevenFivePercentConvertibleSeniorNotesDueTwoThousandTwentyFiveMemb</w:t>
      </w:r>
      <w:r>
        <w:rPr>
          <w:rFonts w:eastAsia="Times New Roman"/>
          <w:vanish/>
        </w:rPr>
        <w:t>ersrt:MaximumMember2022-01-012022-03-310001404655hubs:ZeroPointThreeSevenFivePercentConvertibleSeniorNotesDueTwoThousandTwentyFiveMembersrt:MaximumMemberhubs:CappedCallOptionsMember2020-06-012020-06-300001404655us-gaap:FairValueInputsLevel2Memberus-gaap:Co</w:t>
      </w:r>
      <w:r>
        <w:rPr>
          <w:rFonts w:eastAsia="Times New Roman"/>
          <w:vanish/>
        </w:rPr>
        <w:t>mmercialPaperMember2022-03-310001404655us-gaap:MoneyMarketFundsMemberus-gaap:FairValueInputsLevel1Member2022-03-310001404655srt:AsiaPacificMember2021-12-310001404655hubs:ZeroPointThreeSevenFivePercentConvertibleSeniorNotesDueTwoThousandTwentyFiveMemberus-g</w:t>
      </w:r>
      <w:r>
        <w:rPr>
          <w:rFonts w:eastAsia="Times New Roman"/>
          <w:vanish/>
        </w:rPr>
        <w:t>aap:PrivatePlacementMember2020-06-300001404655hubs:ConvertibleSeniorNotesDueTwoThousandTwentyFiveMember2022-01-012022-03-3100014046552021-07-012022-03-310001404655us-gaap:RestrictedStockUnitsRSUMember2021-01-012021-03-3100014046552022-01-012022-01-01000140</w:t>
      </w:r>
      <w:r>
        <w:rPr>
          <w:rFonts w:eastAsia="Times New Roman"/>
          <w:vanish/>
        </w:rPr>
        <w:t>4655srt:AsiaPacificMember2022-03-310001404655us-gaap:USTreasurySecuritiesMember2021-12-310001404655hubs:ZeroPointThreeSevenFivePercentConvertibleSeniorNotesDueTwoThousandTwentyFiveMember2020-06-012020-06-300001404655hubs:ZeroPointThreeSevenFivePercentConve</w:t>
      </w:r>
      <w:r>
        <w:rPr>
          <w:rFonts w:eastAsia="Times New Roman"/>
          <w:vanish/>
        </w:rPr>
        <w:t>rtibleSeniorNotesDueTwoThousandTwentyFiveMemberhubs:CappedCallOptionsMember2020-06-300001404655us-gaap:FairValueInputsLevel2Memberus-gaap:CorporateBondSecuritiesMember2022-03-310001404655hubs:ComputerEquipmentAndPurchasedSoftwareMember2022-03-310001404655u</w:t>
      </w:r>
      <w:r>
        <w:rPr>
          <w:rFonts w:eastAsia="Times New Roman"/>
          <w:vanish/>
        </w:rPr>
        <w:t>s-gaap:FairValueInputsLevel2Memberus-gaap:USTreasurySecuritiesMember2021-12-310001404655hubs:ZeroPointThreeSevenFivePercentConvertibleSeniorNotesDueTwoThousandTwentyFiveMemberhubs:CappedCallOptionsMember2020-06-012020-06-300001404655us-gaap:EmployeeStockOp</w:t>
      </w:r>
      <w:r>
        <w:rPr>
          <w:rFonts w:eastAsia="Times New Roman"/>
          <w:vanish/>
        </w:rPr>
        <w:t>tionMember2022-01-012022-03-310001404655us-gaap:GeographicConcentrationRiskMemberhubs:OutsideOfAmericasMemberus-gaap:AssetsTotalMember2021-01-012021-12-310001404655us-gaap:AccumulatedTranslationAdjustmentMember2022-01-012022-03-310001404655us-gaap:FairValu</w:t>
      </w:r>
      <w:r>
        <w:rPr>
          <w:rFonts w:eastAsia="Times New Roman"/>
          <w:vanish/>
        </w:rPr>
        <w:t>eInputsLevel2Memberus-gaap:CommercialPaperMember2021-12-310001404655hubs:EmployeeRelatedComputerEquipmentMember2022-03-310001404655us-gaap:RetainedEarningsMember2022-03-310001404655us-gaap:SoftwareDevelopmentMember2021-12-310001404655hubs:TwoThousandAndTwe</w:t>
      </w:r>
      <w:r>
        <w:rPr>
          <w:rFonts w:eastAsia="Times New Roman"/>
          <w:vanish/>
        </w:rPr>
        <w:t>ntyTwoNotesConvertibleNoteHedgesMemberus-gaap:CommonStockMember2022-01-012022-03-310001404655srt:EuropeMember2021-12-310001404655us-gaap:FairValueInputsLevel2Memberus-gaap:USGovernmentAgenciesShorttermDebtSecuritiesMember2022-03-310001404655hubs:ZeroPointT</w:t>
      </w:r>
      <w:r>
        <w:rPr>
          <w:rFonts w:eastAsia="Times New Roman"/>
          <w:vanish/>
        </w:rPr>
        <w:t>hreeSevenFivePercentConvertibleSeniorNotesDueTwoThousandTwentyFiveMember2022-01-012022-03-310001404655hubs:InboundEventObligationsMember2022-03-310001404655us-gaap:TreasuryStockMember2020-12-310001404655us-gaap:FairValueInputsLevel2Memberus-gaap:USTreasury</w:t>
      </w:r>
      <w:r>
        <w:rPr>
          <w:rFonts w:eastAsia="Times New Roman"/>
          <w:vanish/>
        </w:rPr>
        <w:t>SecuritiesMember2022-03-310001404655us-gaap:ResearchAndDevelopmentExpenseMember2022-01-012022-03-310001404655us-gaap:ConstructionInProgressMember2021-12-310001404655us-gaap:TreasuryStockMember2021-03-310001404655us-gaap:CommonStockMember2021-01-012021-03-3</w:t>
      </w:r>
      <w:r>
        <w:rPr>
          <w:rFonts w:eastAsia="Times New Roman"/>
          <w:vanish/>
        </w:rPr>
        <w:t>10001404655us-gaap:AccumulatedNetUnrealizedInvestmentGainLossMember2022-03-3100014046552021-03-310001404655us-gaap:AdditionalPaidInCapitalMember2021-03-310001404655us-gaap:FairValueInputsLevel2Memberus-gaap:CorporateBondSecuritiesMember2021-12-310001404655</w:t>
      </w:r>
      <w:r>
        <w:rPr>
          <w:rFonts w:eastAsia="Times New Roman"/>
          <w:vanish/>
        </w:rPr>
        <w:t>us-gaap:CommercialPaperNotIncludedWithCashAndCashEquivalentsMember2022-03-310001404655us-gaap:SubscriptionAndCirculationMember2021-01-012021-03-310001404655us-gaap:RetainedEarningsMember2021-03-310001404655us-gaap:SellingAndMarketingExpenseMember2022-01-01</w:t>
      </w:r>
      <w:r>
        <w:rPr>
          <w:rFonts w:eastAsia="Times New Roman"/>
          <w:vanish/>
        </w:rPr>
        <w:t>2022-03-310001404655us-gaap:CorporateBondSecuritiesMember2022-03-310001404655us-gaap:ConvertibleDebtSecuritiesMember2022-01-012022-03-3100014046552021-01-012021-03-310001404655us-gaap:CommercialPaperMember2021-12-310001404655us-gaap:RestrictedStockUnitsRSU</w:t>
      </w:r>
      <w:r>
        <w:rPr>
          <w:rFonts w:eastAsia="Times New Roman"/>
          <w:vanish/>
        </w:rPr>
        <w:t>Member2022-01-012022-03-310001404655hubs:ZeroPointTwoFivePercentConvertibleSeniorNotesDueTwoThousandTwentyTwoMember2017-05-310001404655us-gaap:USGovernmentAgenciesShorttermDebtSecuritiesMember2021-12-310001404655hubs:USTreasurySecuritiesExcludingCashAndCas</w:t>
      </w:r>
      <w:r>
        <w:rPr>
          <w:rFonts w:eastAsia="Times New Roman"/>
          <w:vanish/>
        </w:rPr>
        <w:t>hEquivalentsMember2021-12-310001404655hubs:CostOfSubscriptionRevenuesMember2022-01-012022-03-310001404655us-gaap:GeographicConcentrationRiskMemberus-gaap:SalesRevenueNetMemberhubs:OutsideOfAmericasMember2022-01-012022-03-310001404655hubs:ZeroPointThreeSeve</w:t>
      </w:r>
      <w:r>
        <w:rPr>
          <w:rFonts w:eastAsia="Times New Roman"/>
          <w:vanish/>
        </w:rPr>
        <w:t>nFivePercentConvertibleSeniorNotesDueTwoThousandTwentyFiveMemberus-gaap:FairValueInputsLevel2Member2022-03-310001404655us-gaap:RetainedEarningsMember2022-01-012022-03-310001404655hubs:ZeroPointTwoFivePercentConvertibleSeniorNotesDueTwoThousandTwentyTwoAsLi</w:t>
      </w:r>
      <w:r>
        <w:rPr>
          <w:rFonts w:eastAsia="Times New Roman"/>
          <w:vanish/>
        </w:rPr>
        <w:t>abilityComponentMember2022-01-012022-03-310001404655us-gaap:GeographicConcentrationRiskMemberhubs:OutsideOfAmericasMemberus-gaap:AssetsTotalMember2022-01-012022-03-310001404655hubs:ZeroPointTwoFivePercentConvertibleSeniorNotesDueTwoThousandTwentyTwoMember2</w:t>
      </w:r>
      <w:r>
        <w:rPr>
          <w:rFonts w:eastAsia="Times New Roman"/>
          <w:vanish/>
        </w:rPr>
        <w:t>022-03-310001404655us-gaap:OverAllotmentOptionMemberhubs:ZeroPointTwoFivePercentConvertibleSeniorNotesDueTwoThousandTwentyTwoMember2017-05-310001404655us-gaap:FairValueInputsLevel2Member2022-03-310001404655us-gaap:AdditionalPaidInCapitalMemberhubs:ZeroPoin</w:t>
      </w:r>
      <w:r>
        <w:rPr>
          <w:rFonts w:eastAsia="Times New Roman"/>
          <w:vanish/>
        </w:rPr>
        <w:t>tThreeSevenFivePercentConvertibleSeniorNotesDueTwoThousandTwentyFiveAsLiabilityComponentMember2022-01-012022-03-310001404655hubs:AccruedExpensesAndOtherCurrentLiabilitiesMember2022-03-310001404655us-gaap:FairValueInputsLevel2Member2021-12-310001404655us-ga</w:t>
      </w:r>
      <w:r>
        <w:rPr>
          <w:rFonts w:eastAsia="Times New Roman"/>
          <w:vanish/>
        </w:rPr>
        <w:t>ap:EmployeeStockOptionMember2021-01-012021-03-310001404655us-gaap:AccumulatedTranslationAdjustmentMember2022-03-310001404655us-gaap:ConvertibleDebtSecuritiesMember2021-01-012021-03-310001404655us-gaap:GeneralAndAdministrativeExpenseMember2021-01-012021-03-</w:t>
      </w:r>
      <w:r>
        <w:rPr>
          <w:rFonts w:eastAsia="Times New Roman"/>
          <w:vanish/>
        </w:rPr>
        <w:t>3100014046552021-12-310001404655srt:EuropeMember2021-01-012021-03-310001404655us-gaap:GeographicConcentrationRiskMemberus-gaap:SalesRevenueNetMemberhubs:RestOfTheWorldMember2022-01-012022-03-310001404655us-gaap:AccumulatedTranslationAdjustmentMember2021-12</w:t>
      </w:r>
      <w:r>
        <w:rPr>
          <w:rFonts w:eastAsia="Times New Roman"/>
          <w:vanish/>
        </w:rPr>
        <w:t>-310001404655us-gaap:FairValueInputsLevel2Memberus-gaap:MoneyMarketFundsMember2021-12-310001404655hubs:CostOfRevenueProfessionalServicesAndOtherMember2021-01-012021-03-31iso4217:USDxbrli:sharesxbrli:purexbrli:shareshubs:Daysutr:Diso4217:USDhubs:Segment</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pBdr>
          <w:bottom w:val="double" w:sz="6" w:space="1" w:color="auto"/>
        </w:pBdr>
        <w:spacing w:before="0" w:beforeAutospacing="0" w:after="0" w:afterAutospacing="0"/>
        <w:rPr>
          <w:sz w:val="20"/>
          <w:szCs w:val="20"/>
        </w:rPr>
      </w:pPr>
      <w:r>
        <w:rPr>
          <w:sz w:val="20"/>
          <w:szCs w:val="20"/>
        </w:rPr>
        <w:t> </w:t>
      </w:r>
    </w:p>
    <w:p w:rsidR="00000000" w:rsidRDefault="00211603">
      <w:pPr>
        <w:pStyle w:val="a3"/>
        <w:spacing w:before="60" w:beforeAutospacing="0" w:after="0" w:afterAutospacing="0"/>
        <w:jc w:val="center"/>
        <w:rPr>
          <w:sz w:val="20"/>
          <w:szCs w:val="20"/>
        </w:rPr>
      </w:pPr>
      <w:r>
        <w:rPr>
          <w:b/>
          <w:bCs/>
          <w:sz w:val="18"/>
          <w:szCs w:val="18"/>
        </w:rPr>
        <w:t>UNITED STATE</w:t>
      </w:r>
      <w:r>
        <w:rPr>
          <w:b/>
          <w:bCs/>
          <w:sz w:val="18"/>
          <w:szCs w:val="18"/>
        </w:rPr>
        <w:t>S</w:t>
      </w:r>
    </w:p>
    <w:p w:rsidR="00000000" w:rsidRDefault="00211603">
      <w:pPr>
        <w:pStyle w:val="a3"/>
        <w:spacing w:before="0" w:beforeAutospacing="0" w:after="0" w:afterAutospacing="0"/>
        <w:jc w:val="center"/>
        <w:rPr>
          <w:sz w:val="20"/>
          <w:szCs w:val="20"/>
        </w:rPr>
      </w:pPr>
      <w:r>
        <w:rPr>
          <w:b/>
          <w:bCs/>
          <w:sz w:val="18"/>
          <w:szCs w:val="18"/>
        </w:rPr>
        <w:t>SECURITIES AND EXCHANGE COMMISSIO</w:t>
      </w:r>
      <w:r>
        <w:rPr>
          <w:b/>
          <w:bCs/>
          <w:sz w:val="18"/>
          <w:szCs w:val="18"/>
        </w:rPr>
        <w:t>N</w:t>
      </w:r>
    </w:p>
    <w:p w:rsidR="00000000" w:rsidRDefault="00211603">
      <w:pPr>
        <w:pStyle w:val="a3"/>
        <w:spacing w:before="0" w:beforeAutospacing="0" w:after="0" w:afterAutospacing="0"/>
        <w:jc w:val="center"/>
        <w:rPr>
          <w:sz w:val="20"/>
          <w:szCs w:val="20"/>
        </w:rPr>
      </w:pPr>
      <w:r>
        <w:rPr>
          <w:b/>
          <w:bCs/>
          <w:sz w:val="18"/>
          <w:szCs w:val="18"/>
        </w:rPr>
        <w:t>Washington, D.C. 2054</w:t>
      </w:r>
      <w:r>
        <w:rPr>
          <w:b/>
          <w:bCs/>
          <w:sz w:val="18"/>
          <w:szCs w:val="18"/>
        </w:rPr>
        <w:t>9</w:t>
      </w:r>
    </w:p>
    <w:p w:rsidR="00000000" w:rsidRDefault="00211603">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211603">
      <w:pPr>
        <w:pStyle w:val="a3"/>
        <w:spacing w:beforeAutospacing="0" w:after="0" w:afterAutospacing="0"/>
        <w:jc w:val="center"/>
        <w:rPr>
          <w:sz w:val="20"/>
          <w:szCs w:val="20"/>
        </w:rPr>
      </w:pPr>
      <w:r>
        <w:rPr>
          <w:b/>
          <w:bCs/>
          <w:sz w:val="18"/>
          <w:szCs w:val="18"/>
        </w:rPr>
        <w:t>FORM</w:t>
      </w:r>
      <w:r>
        <w:rPr>
          <w:b/>
          <w:bCs/>
          <w:sz w:val="18"/>
          <w:szCs w:val="18"/>
        </w:rPr>
        <w:t xml:space="preserve"> </w:t>
      </w:r>
      <w:r>
        <w:rPr>
          <w:b/>
          <w:bCs/>
          <w:sz w:val="18"/>
          <w:szCs w:val="18"/>
        </w:rPr>
        <w:t>10-</w:t>
      </w:r>
      <w:r>
        <w:rPr>
          <w:b/>
          <w:bCs/>
          <w:sz w:val="18"/>
          <w:szCs w:val="18"/>
        </w:rPr>
        <w:t>Q</w:t>
      </w:r>
    </w:p>
    <w:p w:rsidR="00000000" w:rsidRDefault="00211603">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211603">
      <w:pPr>
        <w:pStyle w:val="a3"/>
        <w:spacing w:beforeAutospacing="0" w:after="0" w:afterAutospacing="0"/>
        <w:rPr>
          <w:sz w:val="20"/>
          <w:szCs w:val="20"/>
        </w:rPr>
      </w:pPr>
      <w:r>
        <w:rPr>
          <w:b/>
          <w:bCs/>
          <w:sz w:val="18"/>
          <w:szCs w:val="18"/>
        </w:rPr>
        <w:t>(MARK ONE</w:t>
      </w:r>
      <w:r>
        <w:rPr>
          <w:b/>
          <w:bCs/>
          <w:sz w:val="18"/>
          <w:szCs w:val="18"/>
        </w:rPr>
        <w:t>)</w:t>
      </w:r>
    </w:p>
    <w:p w:rsidR="00000000" w:rsidRDefault="00211603">
      <w:pPr>
        <w:pStyle w:val="a3"/>
        <w:spacing w:before="0" w:beforeAutospacing="0" w:after="0" w:afterAutospacing="0"/>
        <w:rPr>
          <w:sz w:val="20"/>
          <w:szCs w:val="20"/>
        </w:rPr>
      </w:pPr>
      <w:r>
        <w:rPr>
          <w:sz w:val="2"/>
          <w:szCs w:val="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211603">
            <w:pPr>
              <w:rPr>
                <w:sz w:val="20"/>
                <w:szCs w:val="20"/>
              </w:rPr>
            </w:pPr>
          </w:p>
        </w:tc>
        <w:tc>
          <w:tcPr>
            <w:tcW w:w="4777" w:type="pct"/>
            <w:vAlign w:val="center"/>
            <w:hideMark/>
          </w:tcPr>
          <w:p w:rsidR="00000000" w:rsidRDefault="00211603">
            <w:pPr>
              <w:rPr>
                <w:rFonts w:eastAsia="Times New Roman"/>
                <w:sz w:val="20"/>
                <w:szCs w:val="20"/>
              </w:rPr>
            </w:pPr>
          </w:p>
        </w:tc>
      </w:tr>
      <w:tr w:rsidR="00000000">
        <w:trPr>
          <w:trHeight w:val="180"/>
          <w:tblCellSpacing w:w="15" w:type="dxa"/>
        </w:trPr>
        <w:tc>
          <w:tcPr>
            <w:tcW w:w="0" w:type="auto"/>
            <w:hideMark/>
          </w:tcPr>
          <w:p w:rsidR="00000000" w:rsidRDefault="00211603">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211603">
            <w:pPr>
              <w:pStyle w:val="a3"/>
              <w:spacing w:before="0" w:beforeAutospacing="0" w:after="0" w:afterAutospacing="0"/>
              <w:rPr>
                <w:sz w:val="18"/>
                <w:szCs w:val="18"/>
              </w:rPr>
            </w:pPr>
            <w:r>
              <w:rPr>
                <w:b/>
                <w:bCs/>
                <w:sz w:val="18"/>
                <w:szCs w:val="18"/>
              </w:rPr>
              <w:t>QUARTERLY REPORT PURSUANT TO SECTION 13 OR 15(d) OF THE SECURITIES EXCHANGE ACT OF 193</w:t>
            </w:r>
            <w:r>
              <w:rPr>
                <w:b/>
                <w:bCs/>
                <w:sz w:val="18"/>
                <w:szCs w:val="18"/>
              </w:rPr>
              <w:t>4</w:t>
            </w:r>
          </w:p>
        </w:tc>
      </w:tr>
    </w:tbl>
    <w:p w:rsidR="00000000" w:rsidRDefault="00211603">
      <w:pPr>
        <w:pStyle w:val="a3"/>
        <w:spacing w:before="0" w:beforeAutospacing="0" w:after="0" w:afterAutospacing="0"/>
        <w:rPr>
          <w:sz w:val="20"/>
          <w:szCs w:val="20"/>
        </w:rPr>
      </w:pPr>
      <w:r>
        <w:rPr>
          <w:sz w:val="10"/>
          <w:szCs w:val="10"/>
        </w:rPr>
        <w:t> </w:t>
      </w:r>
    </w:p>
    <w:p w:rsidR="00000000" w:rsidRDefault="00211603">
      <w:pPr>
        <w:pStyle w:val="a3"/>
        <w:spacing w:beforeAutospacing="0" w:after="0" w:afterAutospacing="0"/>
        <w:jc w:val="center"/>
        <w:rPr>
          <w:sz w:val="20"/>
          <w:szCs w:val="20"/>
        </w:rPr>
      </w:pPr>
      <w:r>
        <w:rPr>
          <w:b/>
          <w:bCs/>
          <w:sz w:val="18"/>
          <w:szCs w:val="18"/>
        </w:rPr>
        <w:t>FOR THE QUARTERLY PERIOD ENDED</w:t>
      </w:r>
      <w:r>
        <w:rPr>
          <w:b/>
          <w:bCs/>
          <w:sz w:val="18"/>
          <w:szCs w:val="18"/>
        </w:rPr>
        <w:t xml:space="preserve"> </w:t>
      </w:r>
      <w:r>
        <w:rPr>
          <w:b/>
          <w:bCs/>
          <w:sz w:val="18"/>
          <w:szCs w:val="18"/>
        </w:rPr>
        <w:t>March 31,</w:t>
      </w:r>
      <w:r>
        <w:rPr>
          <w:b/>
          <w:bCs/>
          <w:sz w:val="18"/>
          <w:szCs w:val="18"/>
        </w:rPr>
        <w:t xml:space="preserve"> </w:t>
      </w:r>
      <w:r>
        <w:rPr>
          <w:b/>
          <w:bCs/>
          <w:sz w:val="18"/>
          <w:szCs w:val="18"/>
        </w:rPr>
        <w:t>202</w:t>
      </w:r>
      <w:r>
        <w:rPr>
          <w:b/>
          <w:bCs/>
          <w:sz w:val="18"/>
          <w:szCs w:val="18"/>
        </w:rPr>
        <w:t>2</w:t>
      </w:r>
    </w:p>
    <w:p w:rsidR="00000000" w:rsidRDefault="00211603">
      <w:pPr>
        <w:pStyle w:val="a3"/>
        <w:spacing w:beforeAutospacing="0" w:after="0" w:afterAutospacing="0"/>
        <w:jc w:val="center"/>
        <w:rPr>
          <w:sz w:val="20"/>
          <w:szCs w:val="20"/>
        </w:rPr>
      </w:pPr>
      <w:r>
        <w:rPr>
          <w:b/>
          <w:bCs/>
          <w:sz w:val="18"/>
          <w:szCs w:val="18"/>
        </w:rPr>
        <w:t>O</w:t>
      </w:r>
      <w:r>
        <w:rPr>
          <w:b/>
          <w:bCs/>
          <w:sz w:val="18"/>
          <w:szCs w:val="18"/>
        </w:rPr>
        <w:t>R</w:t>
      </w:r>
    </w:p>
    <w:p w:rsidR="00000000" w:rsidRDefault="00211603">
      <w:pPr>
        <w:pStyle w:val="a3"/>
        <w:spacing w:before="0" w:beforeAutospacing="0" w:after="0" w:afterAutospacing="0"/>
        <w:ind w:hanging="581"/>
        <w:rPr>
          <w:sz w:val="20"/>
          <w:szCs w:val="20"/>
        </w:rPr>
      </w:pPr>
      <w:r>
        <w:rPr>
          <w:rFonts w:ascii="Wingdings" w:hAnsi="Wingdings"/>
          <w:sz w:val="10"/>
          <w:szCs w:val="1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211603">
            <w:pPr>
              <w:rPr>
                <w:sz w:val="20"/>
                <w:szCs w:val="20"/>
              </w:rPr>
            </w:pPr>
          </w:p>
        </w:tc>
        <w:tc>
          <w:tcPr>
            <w:tcW w:w="4777" w:type="pct"/>
            <w:vAlign w:val="center"/>
            <w:hideMark/>
          </w:tcPr>
          <w:p w:rsidR="00000000" w:rsidRDefault="00211603">
            <w:pPr>
              <w:rPr>
                <w:rFonts w:eastAsia="Times New Roman"/>
                <w:sz w:val="20"/>
                <w:szCs w:val="20"/>
              </w:rPr>
            </w:pPr>
          </w:p>
        </w:tc>
      </w:tr>
      <w:tr w:rsidR="00000000">
        <w:trPr>
          <w:trHeight w:val="180"/>
          <w:tblCellSpacing w:w="15" w:type="dxa"/>
        </w:trPr>
        <w:tc>
          <w:tcPr>
            <w:tcW w:w="0" w:type="auto"/>
            <w:hideMark/>
          </w:tcPr>
          <w:p w:rsidR="00000000" w:rsidRDefault="00211603">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211603">
            <w:pPr>
              <w:pStyle w:val="a3"/>
              <w:spacing w:before="0" w:beforeAutospacing="0" w:after="0" w:afterAutospacing="0"/>
              <w:rPr>
                <w:sz w:val="18"/>
                <w:szCs w:val="18"/>
              </w:rPr>
            </w:pPr>
            <w:r>
              <w:rPr>
                <w:b/>
                <w:bCs/>
                <w:sz w:val="18"/>
                <w:szCs w:val="18"/>
              </w:rPr>
              <w:t>TRANSITION REPORT PURSUANT TO SECTION 13 OR 15(d) OF THE SECURITIES EXCHANGE ACT OF 193</w:t>
            </w:r>
            <w:r>
              <w:rPr>
                <w:b/>
                <w:bCs/>
                <w:sz w:val="18"/>
                <w:szCs w:val="18"/>
              </w:rPr>
              <w:t>4</w:t>
            </w:r>
          </w:p>
        </w:tc>
      </w:tr>
    </w:tbl>
    <w:p w:rsidR="00000000" w:rsidRDefault="00211603">
      <w:pPr>
        <w:pStyle w:val="a3"/>
        <w:spacing w:before="0" w:beforeAutospacing="0" w:after="0" w:afterAutospacing="0"/>
        <w:ind w:hanging="581"/>
        <w:rPr>
          <w:sz w:val="20"/>
          <w:szCs w:val="20"/>
        </w:rPr>
      </w:pPr>
      <w:r>
        <w:rPr>
          <w:rFonts w:ascii="Wingdings" w:hAnsi="Wingdings"/>
          <w:sz w:val="10"/>
          <w:szCs w:val="10"/>
        </w:rPr>
        <w:t> </w:t>
      </w:r>
    </w:p>
    <w:p w:rsidR="00000000" w:rsidRDefault="00211603">
      <w:pPr>
        <w:pStyle w:val="a3"/>
        <w:spacing w:before="0" w:beforeAutospacing="0" w:after="0" w:afterAutospacing="0"/>
        <w:jc w:val="center"/>
        <w:rPr>
          <w:sz w:val="20"/>
          <w:szCs w:val="20"/>
        </w:rPr>
      </w:pPr>
      <w:r>
        <w:rPr>
          <w:b/>
          <w:bCs/>
          <w:sz w:val="18"/>
          <w:szCs w:val="18"/>
        </w:rPr>
        <w:t>FOR THE TRANSITIO</w:t>
      </w:r>
      <w:r>
        <w:rPr>
          <w:b/>
          <w:bCs/>
          <w:sz w:val="18"/>
          <w:szCs w:val="18"/>
        </w:rPr>
        <w:t>N PERIOD FROM</w:t>
      </w:r>
      <w:r>
        <w:rPr>
          <w:b/>
          <w:bCs/>
          <w:sz w:val="18"/>
          <w:szCs w:val="18"/>
        </w:rPr>
        <w:t xml:space="preserve"> </w:t>
      </w:r>
      <w:r>
        <w:rPr>
          <w:b/>
          <w:bCs/>
          <w:sz w:val="18"/>
          <w:szCs w:val="18"/>
        </w:rPr>
        <w:t>T</w:t>
      </w:r>
      <w:r>
        <w:rPr>
          <w:b/>
          <w:bCs/>
          <w:sz w:val="18"/>
          <w:szCs w:val="18"/>
        </w:rPr>
        <w:t>O</w:t>
      </w:r>
      <w:r>
        <w:rPr>
          <w:b/>
          <w:bCs/>
          <w:sz w:val="18"/>
          <w:szCs w:val="18"/>
        </w:rPr>
        <w:t xml:space="preserve"> </w:t>
      </w:r>
    </w:p>
    <w:p w:rsidR="00000000" w:rsidRDefault="00211603">
      <w:pPr>
        <w:pStyle w:val="a3"/>
        <w:spacing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001-3668</w:t>
      </w:r>
      <w:r>
        <w:rPr>
          <w:b/>
          <w:bCs/>
          <w:sz w:val="18"/>
          <w:szCs w:val="18"/>
        </w:rPr>
        <w:t>0</w:t>
      </w:r>
    </w:p>
    <w:p w:rsidR="00000000" w:rsidRDefault="00211603">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211603">
      <w:pPr>
        <w:pStyle w:val="a3"/>
        <w:spacing w:beforeAutospacing="0" w:after="0" w:afterAutospacing="0"/>
        <w:jc w:val="center"/>
        <w:rPr>
          <w:sz w:val="20"/>
          <w:szCs w:val="20"/>
        </w:rPr>
      </w:pPr>
      <w:r>
        <w:rPr>
          <w:b/>
          <w:bCs/>
          <w:sz w:val="44"/>
          <w:szCs w:val="44"/>
        </w:rPr>
        <w:t>HubSpot, Inc</w:t>
      </w:r>
      <w:r>
        <w:rPr>
          <w:b/>
          <w:bCs/>
          <w:sz w:val="44"/>
          <w:szCs w:val="44"/>
        </w:rPr>
        <w:t>.</w:t>
      </w:r>
    </w:p>
    <w:p w:rsidR="00000000" w:rsidRDefault="00211603">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211603">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21160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trPr>
          <w:tblCellSpacing w:w="15" w:type="dxa"/>
        </w:trPr>
        <w:tc>
          <w:tcPr>
            <w:tcW w:w="2450" w:type="pct"/>
            <w:vAlign w:val="center"/>
            <w:hideMark/>
          </w:tcPr>
          <w:p w:rsidR="00000000" w:rsidRDefault="00211603">
            <w:pPr>
              <w:rPr>
                <w:sz w:val="20"/>
                <w:szCs w:val="20"/>
              </w:rPr>
            </w:pPr>
          </w:p>
        </w:tc>
        <w:tc>
          <w:tcPr>
            <w:tcW w:w="100" w:type="pct"/>
            <w:vAlign w:val="center"/>
            <w:hideMark/>
          </w:tcPr>
          <w:p w:rsidR="00000000" w:rsidRDefault="00211603">
            <w:pPr>
              <w:rPr>
                <w:rFonts w:eastAsia="Times New Roman"/>
                <w:sz w:val="20"/>
                <w:szCs w:val="20"/>
              </w:rPr>
            </w:pPr>
          </w:p>
        </w:tc>
        <w:tc>
          <w:tcPr>
            <w:tcW w:w="2450" w:type="pct"/>
            <w:vAlign w:val="center"/>
            <w:hideMark/>
          </w:tcPr>
          <w:p w:rsidR="00000000" w:rsidRDefault="00211603">
            <w:pPr>
              <w:rPr>
                <w:rFonts w:eastAsia="Times New Roman"/>
                <w:sz w:val="20"/>
                <w:szCs w:val="20"/>
              </w:rPr>
            </w:pPr>
          </w:p>
        </w:tc>
      </w:tr>
      <w:tr w:rsidR="00000000">
        <w:trPr>
          <w:trHeight w:val="180"/>
          <w:tblCellSpacing w:w="15" w:type="dxa"/>
        </w:trPr>
        <w:tc>
          <w:tcPr>
            <w:tcW w:w="0" w:type="auto"/>
            <w:hideMark/>
          </w:tcPr>
          <w:p w:rsidR="00000000" w:rsidRDefault="00211603">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hideMark/>
          </w:tcPr>
          <w:p w:rsidR="00000000" w:rsidRDefault="00211603">
            <w:pPr>
              <w:pStyle w:val="a3"/>
              <w:spacing w:before="0" w:beforeAutospacing="0" w:after="0" w:afterAutospacing="0"/>
              <w:jc w:val="center"/>
              <w:rPr>
                <w:sz w:val="20"/>
                <w:szCs w:val="20"/>
              </w:rPr>
            </w:pPr>
            <w:r>
              <w:rPr>
                <w:b/>
                <w:bCs/>
                <w:sz w:val="18"/>
                <w:szCs w:val="18"/>
              </w:rPr>
              <w:t>20-263279</w:t>
            </w:r>
            <w:r>
              <w:rPr>
                <w:b/>
                <w:bCs/>
                <w:sz w:val="18"/>
                <w:szCs w:val="18"/>
              </w:rPr>
              <w:t>1</w:t>
            </w:r>
          </w:p>
        </w:tc>
      </w:tr>
      <w:tr w:rsidR="00000000">
        <w:trPr>
          <w:trHeight w:val="58"/>
          <w:tblCellSpacing w:w="15" w:type="dxa"/>
        </w:trPr>
        <w:tc>
          <w:tcPr>
            <w:tcW w:w="0" w:type="auto"/>
            <w:hideMark/>
          </w:tcPr>
          <w:p w:rsidR="00000000" w:rsidRDefault="00211603">
            <w:pPr>
              <w:pStyle w:val="a3"/>
              <w:spacing w:before="0" w:beforeAutospacing="0" w:after="0" w:afterAutospacing="0"/>
              <w:jc w:val="center"/>
              <w:rPr>
                <w:sz w:val="18"/>
                <w:szCs w:val="18"/>
              </w:rPr>
            </w:pPr>
            <w:r>
              <w:rPr>
                <w:b/>
                <w:bCs/>
                <w:sz w:val="18"/>
                <w:szCs w:val="18"/>
              </w:rPr>
              <w:t>(State or other jurisdiction o</w:t>
            </w:r>
            <w:r>
              <w:rPr>
                <w:b/>
                <w:bCs/>
                <w:sz w:val="18"/>
                <w:szCs w:val="18"/>
              </w:rPr>
              <w:t>f</w:t>
            </w:r>
          </w:p>
          <w:p w:rsidR="00000000" w:rsidRDefault="00211603">
            <w:pPr>
              <w:pStyle w:val="a3"/>
              <w:spacing w:before="0" w:beforeAutospacing="0" w:after="0" w:afterAutospacing="0"/>
              <w:jc w:val="center"/>
              <w:rPr>
                <w:sz w:val="18"/>
                <w:szCs w:val="18"/>
              </w:rPr>
            </w:pPr>
            <w:r>
              <w:rPr>
                <w:b/>
                <w:bCs/>
                <w:sz w:val="18"/>
                <w:szCs w:val="18"/>
              </w:rPr>
              <w:t>incorporation or organization</w:t>
            </w:r>
            <w:r>
              <w:rPr>
                <w:b/>
                <w:bCs/>
                <w:sz w:val="18"/>
                <w:szCs w:val="18"/>
              </w:rPr>
              <w: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hideMark/>
          </w:tcPr>
          <w:p w:rsidR="00000000" w:rsidRDefault="00211603">
            <w:pPr>
              <w:pStyle w:val="a3"/>
              <w:spacing w:before="0" w:beforeAutospacing="0" w:after="0" w:afterAutospacing="0"/>
              <w:jc w:val="center"/>
              <w:rPr>
                <w:sz w:val="18"/>
                <w:szCs w:val="18"/>
              </w:rPr>
            </w:pPr>
            <w:r>
              <w:rPr>
                <w:b/>
                <w:bCs/>
                <w:sz w:val="18"/>
                <w:szCs w:val="18"/>
              </w:rPr>
              <w:t>(I.R.S. Employe</w:t>
            </w:r>
            <w:r>
              <w:rPr>
                <w:b/>
                <w:bCs/>
                <w:sz w:val="18"/>
                <w:szCs w:val="18"/>
              </w:rPr>
              <w:t>r</w:t>
            </w:r>
          </w:p>
          <w:p w:rsidR="00000000" w:rsidRDefault="00211603">
            <w:pPr>
              <w:pStyle w:val="a3"/>
              <w:spacing w:before="0" w:beforeAutospacing="0" w:after="0" w:afterAutospacing="0"/>
              <w:jc w:val="center"/>
              <w:rPr>
                <w:sz w:val="18"/>
                <w:szCs w:val="18"/>
              </w:rPr>
            </w:pPr>
            <w:r>
              <w:rPr>
                <w:b/>
                <w:bCs/>
                <w:sz w:val="18"/>
                <w:szCs w:val="18"/>
              </w:rPr>
              <w:t>Identification No.</w:t>
            </w:r>
            <w:r>
              <w:rPr>
                <w:b/>
                <w:bCs/>
                <w:sz w:val="18"/>
                <w:szCs w:val="18"/>
              </w:rPr>
              <w:t>)</w:t>
            </w:r>
          </w:p>
        </w:tc>
      </w:tr>
    </w:tbl>
    <w:p w:rsidR="00000000" w:rsidRDefault="00211603">
      <w:pPr>
        <w:pStyle w:val="a3"/>
        <w:spacing w:beforeAutospacing="0" w:after="0" w:afterAutospacing="0"/>
        <w:ind w:left="1547" w:firstLine="942"/>
        <w:rPr>
          <w:sz w:val="20"/>
          <w:szCs w:val="20"/>
        </w:rPr>
      </w:pPr>
      <w:r>
        <w:rPr>
          <w:b/>
          <w:bCs/>
          <w:sz w:val="18"/>
          <w:szCs w:val="18"/>
        </w:rPr>
        <w:t>25 First Stree</w:t>
      </w:r>
      <w:r>
        <w:rPr>
          <w:b/>
          <w:bCs/>
          <w:sz w:val="18"/>
          <w:szCs w:val="18"/>
        </w:rPr>
        <w:t>t</w:t>
      </w:r>
    </w:p>
    <w:p w:rsidR="00000000" w:rsidRDefault="00211603">
      <w:pPr>
        <w:pStyle w:val="a3"/>
        <w:spacing w:before="0" w:beforeAutospacing="0" w:after="0" w:afterAutospacing="0"/>
        <w:ind w:left="1547"/>
        <w:rPr>
          <w:sz w:val="20"/>
          <w:szCs w:val="20"/>
        </w:rPr>
      </w:pPr>
      <w:r>
        <w:rPr>
          <w:b/>
          <w:bCs/>
          <w:sz w:val="18"/>
          <w:szCs w:val="18"/>
        </w:rPr>
        <w:t>Cambridg</w:t>
      </w:r>
      <w:r>
        <w:rPr>
          <w:b/>
          <w:bCs/>
          <w:sz w:val="18"/>
          <w:szCs w:val="18"/>
        </w:rPr>
        <w:t>e</w:t>
      </w:r>
      <w:r>
        <w:rPr>
          <w:b/>
          <w:bCs/>
          <w:sz w:val="18"/>
          <w:szCs w:val="18"/>
        </w:rPr>
        <w:t>,</w:t>
      </w:r>
      <w:r>
        <w:rPr>
          <w:b/>
          <w:bCs/>
          <w:sz w:val="18"/>
          <w:szCs w:val="18"/>
        </w:rPr>
        <w:t xml:space="preserve"> </w:t>
      </w:r>
      <w:r>
        <w:rPr>
          <w:b/>
          <w:bCs/>
          <w:sz w:val="18"/>
          <w:szCs w:val="18"/>
        </w:rPr>
        <w:t>Massachusett</w:t>
      </w:r>
      <w:r>
        <w:rPr>
          <w:b/>
          <w:bCs/>
          <w:sz w:val="18"/>
          <w:szCs w:val="18"/>
        </w:rPr>
        <w:t>s</w:t>
      </w:r>
      <w:r>
        <w:rPr>
          <w:b/>
          <w:bCs/>
          <w:sz w:val="18"/>
          <w:szCs w:val="18"/>
        </w:rPr>
        <w:t xml:space="preserve"> </w:t>
      </w:r>
      <w:r>
        <w:rPr>
          <w:b/>
          <w:bCs/>
          <w:sz w:val="18"/>
          <w:szCs w:val="18"/>
        </w:rPr>
        <w:t>0214</w:t>
      </w:r>
      <w:r>
        <w:rPr>
          <w:b/>
          <w:bCs/>
          <w:sz w:val="18"/>
          <w:szCs w:val="18"/>
        </w:rPr>
        <w:t>1</w:t>
      </w:r>
    </w:p>
    <w:p w:rsidR="00000000" w:rsidRDefault="00211603">
      <w:pPr>
        <w:pStyle w:val="a3"/>
        <w:spacing w:before="0" w:beforeAutospacing="0" w:after="0" w:afterAutospacing="0"/>
        <w:ind w:left="714"/>
        <w:rPr>
          <w:sz w:val="20"/>
          <w:szCs w:val="20"/>
        </w:rPr>
      </w:pPr>
      <w:r>
        <w:rPr>
          <w:b/>
          <w:bCs/>
          <w:sz w:val="18"/>
          <w:szCs w:val="18"/>
        </w:rPr>
        <w:t>(Address of principal executive offices) (Zip Code</w:t>
      </w:r>
      <w:r>
        <w:rPr>
          <w:b/>
          <w:bCs/>
          <w:sz w:val="18"/>
          <w:szCs w:val="18"/>
        </w:rPr>
        <w:t>)</w:t>
      </w:r>
    </w:p>
    <w:p w:rsidR="00000000" w:rsidRDefault="00211603">
      <w:pPr>
        <w:pStyle w:val="a3"/>
        <w:spacing w:beforeAutospacing="0" w:after="0" w:afterAutospacing="0"/>
        <w:jc w:val="center"/>
        <w:rPr>
          <w:sz w:val="20"/>
          <w:szCs w:val="20"/>
        </w:rPr>
      </w:pPr>
      <w:r>
        <w:rPr>
          <w:b/>
          <w:bCs/>
          <w:sz w:val="18"/>
          <w:szCs w:val="18"/>
        </w:rPr>
        <w:t>(</w:t>
      </w:r>
      <w:r>
        <w:rPr>
          <w:b/>
          <w:bCs/>
          <w:sz w:val="18"/>
          <w:szCs w:val="18"/>
        </w:rPr>
        <w:t>88</w:t>
      </w:r>
      <w:r>
        <w:rPr>
          <w:b/>
          <w:bCs/>
          <w:sz w:val="18"/>
          <w:szCs w:val="18"/>
        </w:rPr>
        <w:t>8</w:t>
      </w:r>
      <w:r>
        <w:rPr>
          <w:b/>
          <w:bCs/>
          <w:sz w:val="18"/>
          <w:szCs w:val="18"/>
        </w:rPr>
        <w:t>)</w:t>
      </w:r>
      <w:r>
        <w:rPr>
          <w:b/>
          <w:bCs/>
          <w:sz w:val="18"/>
          <w:szCs w:val="18"/>
        </w:rPr>
        <w:t xml:space="preserve"> </w:t>
      </w:r>
      <w:r>
        <w:rPr>
          <w:b/>
          <w:bCs/>
          <w:sz w:val="18"/>
          <w:szCs w:val="18"/>
        </w:rPr>
        <w:t>482-776</w:t>
      </w:r>
      <w:r>
        <w:rPr>
          <w:b/>
          <w:bCs/>
          <w:sz w:val="18"/>
          <w:szCs w:val="18"/>
        </w:rPr>
        <w:t>8</w:t>
      </w:r>
    </w:p>
    <w:p w:rsidR="00000000" w:rsidRDefault="00211603">
      <w:pPr>
        <w:pStyle w:val="a3"/>
        <w:spacing w:before="0" w:beforeAutospacing="0" w:after="0" w:afterAutospacing="0"/>
        <w:jc w:val="center"/>
        <w:rPr>
          <w:sz w:val="20"/>
          <w:szCs w:val="20"/>
        </w:rPr>
      </w:pPr>
      <w:r>
        <w:rPr>
          <w:b/>
          <w:bCs/>
          <w:sz w:val="18"/>
          <w:szCs w:val="18"/>
        </w:rPr>
        <w:t>(Registrant’s telephone number, including area code</w:t>
      </w:r>
      <w:r>
        <w:rPr>
          <w:b/>
          <w:bCs/>
          <w:sz w:val="18"/>
          <w:szCs w:val="18"/>
        </w:rPr>
        <w:t>)</w:t>
      </w:r>
    </w:p>
    <w:p w:rsidR="00000000" w:rsidRDefault="00211603">
      <w:pPr>
        <w:pStyle w:val="a3"/>
        <w:spacing w:before="60" w:beforeAutospacing="0" w:after="0" w:afterAutospacing="0"/>
        <w:jc w:val="center"/>
        <w:rPr>
          <w:sz w:val="20"/>
          <w:szCs w:val="20"/>
        </w:rPr>
      </w:pPr>
      <w:r>
        <w:rPr>
          <w:b/>
          <w:bCs/>
          <w:sz w:val="18"/>
          <w:szCs w:val="18"/>
        </w:rPr>
        <w:t>Securities registered pursuant to Section 12(b) of the Act</w:t>
      </w:r>
      <w:r>
        <w:rPr>
          <w:b/>
          <w:bCs/>
          <w:sz w:val="18"/>
          <w:szCs w:val="18"/>
        </w:rPr>
        <w:t>:</w:t>
      </w:r>
    </w:p>
    <w:p w:rsidR="00000000" w:rsidRDefault="00211603">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0"/>
        <w:gridCol w:w="111"/>
        <w:gridCol w:w="2305"/>
        <w:gridCol w:w="111"/>
        <w:gridCol w:w="2889"/>
      </w:tblGrid>
      <w:tr w:rsidR="00000000">
        <w:trPr>
          <w:tblCellSpacing w:w="15" w:type="dxa"/>
        </w:trPr>
        <w:tc>
          <w:tcPr>
            <w:tcW w:w="1750" w:type="pct"/>
            <w:vAlign w:val="center"/>
            <w:hideMark/>
          </w:tcPr>
          <w:p w:rsidR="00000000" w:rsidRDefault="00211603">
            <w:pPr>
              <w:rPr>
                <w:sz w:val="20"/>
                <w:szCs w:val="20"/>
              </w:rPr>
            </w:pPr>
          </w:p>
        </w:tc>
        <w:tc>
          <w:tcPr>
            <w:tcW w:w="50" w:type="pct"/>
            <w:vAlign w:val="center"/>
            <w:hideMark/>
          </w:tcPr>
          <w:p w:rsidR="00000000" w:rsidRDefault="00211603">
            <w:pPr>
              <w:rPr>
                <w:rFonts w:eastAsia="Times New Roman"/>
                <w:sz w:val="20"/>
                <w:szCs w:val="20"/>
              </w:rPr>
            </w:pPr>
          </w:p>
        </w:tc>
        <w:tc>
          <w:tcPr>
            <w:tcW w:w="1400"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1750" w:type="pct"/>
            <w:vAlign w:val="center"/>
            <w:hideMark/>
          </w:tcPr>
          <w:p w:rsidR="00000000" w:rsidRDefault="00211603">
            <w:pPr>
              <w:rPr>
                <w:rFonts w:eastAsia="Times New Roman"/>
                <w:sz w:val="20"/>
                <w:szCs w:val="20"/>
              </w:rPr>
            </w:pPr>
          </w:p>
        </w:tc>
      </w:tr>
      <w:tr w:rsidR="00000000">
        <w:trPr>
          <w:trHeight w:val="259"/>
          <w:tblCellSpacing w:w="15" w:type="dxa"/>
        </w:trPr>
        <w:tc>
          <w:tcPr>
            <w:tcW w:w="0" w:type="auto"/>
            <w:tcBorders>
              <w:bottom w:val="single" w:sz="4" w:space="0" w:color="auto"/>
            </w:tcBorders>
            <w:vAlign w:val="bottom"/>
            <w:hideMark/>
          </w:tcPr>
          <w:p w:rsidR="00000000" w:rsidRDefault="00211603">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hideMark/>
          </w:tcPr>
          <w:p w:rsidR="00000000" w:rsidRDefault="00211603">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211603">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hideMark/>
          </w:tcPr>
          <w:p w:rsidR="00000000" w:rsidRDefault="00211603">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211603">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44"/>
          <w:tblCellSpacing w:w="15" w:type="dxa"/>
        </w:trPr>
        <w:tc>
          <w:tcPr>
            <w:tcW w:w="0" w:type="auto"/>
            <w:hideMark/>
          </w:tcPr>
          <w:p w:rsidR="00000000" w:rsidRDefault="00211603">
            <w:pPr>
              <w:pStyle w:val="a3"/>
              <w:spacing w:before="0" w:beforeAutospacing="0" w:after="0" w:afterAutospacing="0"/>
              <w:jc w:val="center"/>
              <w:rPr>
                <w:sz w:val="20"/>
                <w:szCs w:val="20"/>
              </w:rPr>
            </w:pPr>
            <w:r>
              <w:rPr>
                <w:b/>
                <w:bCs/>
                <w:sz w:val="18"/>
                <w:szCs w:val="18"/>
              </w:rPr>
              <w:t>Common Stock, par value $0.001 per shar</w:t>
            </w:r>
            <w:r>
              <w:rPr>
                <w:b/>
                <w:bCs/>
                <w:sz w:val="18"/>
                <w:szCs w:val="18"/>
              </w:rPr>
              <w:t>e</w:t>
            </w:r>
          </w:p>
        </w:tc>
        <w:tc>
          <w:tcPr>
            <w:tcW w:w="0" w:type="auto"/>
            <w:hideMark/>
          </w:tcPr>
          <w:p w:rsidR="00000000" w:rsidRDefault="00211603">
            <w:pPr>
              <w:pStyle w:val="a3"/>
              <w:spacing w:before="0" w:beforeAutospacing="0" w:after="0" w:afterAutospacing="0"/>
              <w:jc w:val="center"/>
              <w:rPr>
                <w:sz w:val="18"/>
                <w:szCs w:val="18"/>
              </w:rPr>
            </w:pPr>
            <w:r>
              <w:rPr>
                <w:sz w:val="18"/>
                <w:szCs w:val="18"/>
              </w:rPr>
              <w:t> </w:t>
            </w:r>
          </w:p>
        </w:tc>
        <w:tc>
          <w:tcPr>
            <w:tcW w:w="0" w:type="auto"/>
            <w:hideMark/>
          </w:tcPr>
          <w:p w:rsidR="00000000" w:rsidRDefault="00211603">
            <w:pPr>
              <w:pStyle w:val="a3"/>
              <w:spacing w:before="0" w:beforeAutospacing="0" w:after="0" w:afterAutospacing="0"/>
              <w:jc w:val="center"/>
              <w:rPr>
                <w:sz w:val="20"/>
                <w:szCs w:val="20"/>
              </w:rPr>
            </w:pPr>
            <w:r>
              <w:rPr>
                <w:b/>
                <w:bCs/>
                <w:sz w:val="18"/>
                <w:szCs w:val="18"/>
              </w:rPr>
              <w:t>HUB</w:t>
            </w:r>
            <w:r>
              <w:rPr>
                <w:b/>
                <w:bCs/>
                <w:sz w:val="18"/>
                <w:szCs w:val="18"/>
              </w:rPr>
              <w:t>S</w:t>
            </w:r>
          </w:p>
        </w:tc>
        <w:tc>
          <w:tcPr>
            <w:tcW w:w="0" w:type="auto"/>
            <w:hideMark/>
          </w:tcPr>
          <w:p w:rsidR="00000000" w:rsidRDefault="00211603">
            <w:pPr>
              <w:pStyle w:val="a3"/>
              <w:spacing w:before="0" w:beforeAutospacing="0" w:after="0" w:afterAutospacing="0"/>
              <w:jc w:val="center"/>
              <w:rPr>
                <w:sz w:val="18"/>
                <w:szCs w:val="18"/>
              </w:rPr>
            </w:pPr>
            <w:r>
              <w:rPr>
                <w:sz w:val="18"/>
                <w:szCs w:val="18"/>
              </w:rPr>
              <w:t> </w:t>
            </w:r>
          </w:p>
        </w:tc>
        <w:tc>
          <w:tcPr>
            <w:tcW w:w="0" w:type="auto"/>
            <w:hideMark/>
          </w:tcPr>
          <w:p w:rsidR="00000000" w:rsidRDefault="00211603">
            <w:pPr>
              <w:pStyle w:val="a3"/>
              <w:spacing w:before="0" w:beforeAutospacing="0" w:after="0" w:afterAutospacing="0"/>
              <w:jc w:val="center"/>
              <w:rPr>
                <w:sz w:val="20"/>
                <w:szCs w:val="20"/>
              </w:rPr>
            </w:pPr>
            <w:r>
              <w:rPr>
                <w:b/>
                <w:bCs/>
                <w:sz w:val="18"/>
                <w:szCs w:val="18"/>
              </w:rPr>
              <w:t>New York Stock Exchang</w:t>
            </w:r>
            <w:r>
              <w:rPr>
                <w:b/>
                <w:bCs/>
                <w:sz w:val="18"/>
                <w:szCs w:val="18"/>
              </w:rPr>
              <w:t>e</w:t>
            </w:r>
          </w:p>
        </w:tc>
      </w:tr>
    </w:tbl>
    <w:p w:rsidR="00000000" w:rsidRDefault="00211603">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211603">
      <w:pPr>
        <w:pStyle w:val="a3"/>
        <w:spacing w:before="6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11603">
      <w:pPr>
        <w:pStyle w:val="a3"/>
        <w:spacing w:before="0" w:beforeAutospacing="0" w:after="0" w:afterAutospacing="0"/>
        <w:ind w:firstLine="555"/>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11603">
      <w:pPr>
        <w:pStyle w:val="a3"/>
        <w:spacing w:before="0" w:beforeAutospacing="0" w:after="0" w:afterAutospacing="0"/>
        <w:ind w:firstLine="555"/>
        <w:rPr>
          <w:sz w:val="20"/>
          <w:szCs w:val="20"/>
        </w:rPr>
      </w:pPr>
      <w:r>
        <w:rPr>
          <w:sz w:val="18"/>
          <w:szCs w:val="18"/>
        </w:rPr>
        <w:t>Indicate by check mark whether the registrant is a large accelerated filer, an accelerated f</w:t>
      </w:r>
      <w:r>
        <w:rPr>
          <w:sz w:val="18"/>
          <w:szCs w:val="18"/>
        </w:rPr>
        <w:t>iler, a non-accelerated filer, smaller reporting company, or an emerging growth company. See the definitions of “large accelerated filer,” “accelerated filer,” “smaller reporting company,” and “emerging growth company” in Rule 12b-2 of the Exchange Act</w:t>
      </w:r>
      <w:r>
        <w:rPr>
          <w:sz w:val="18"/>
          <w:szCs w:val="18"/>
        </w:rPr>
        <w:t>.</w:t>
      </w:r>
      <w:r>
        <w:rPr>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8"/>
        <w:gridCol w:w="106"/>
        <w:gridCol w:w="3333"/>
        <w:gridCol w:w="107"/>
        <w:gridCol w:w="2204"/>
        <w:gridCol w:w="107"/>
        <w:gridCol w:w="231"/>
      </w:tblGrid>
      <w:tr w:rsidR="00000000">
        <w:trPr>
          <w:tblCellSpacing w:w="15" w:type="dxa"/>
        </w:trPr>
        <w:tc>
          <w:tcPr>
            <w:tcW w:w="1350" w:type="pct"/>
            <w:vAlign w:val="center"/>
            <w:hideMark/>
          </w:tcPr>
          <w:p w:rsidR="00000000" w:rsidRDefault="00211603">
            <w:pPr>
              <w:rPr>
                <w:sz w:val="20"/>
                <w:szCs w:val="20"/>
              </w:rPr>
            </w:pPr>
          </w:p>
        </w:tc>
        <w:tc>
          <w:tcPr>
            <w:tcW w:w="50" w:type="pct"/>
            <w:vAlign w:val="center"/>
            <w:hideMark/>
          </w:tcPr>
          <w:p w:rsidR="00000000" w:rsidRDefault="00211603">
            <w:pPr>
              <w:rPr>
                <w:rFonts w:eastAsia="Times New Roman"/>
                <w:sz w:val="20"/>
                <w:szCs w:val="20"/>
              </w:rPr>
            </w:pPr>
          </w:p>
        </w:tc>
        <w:tc>
          <w:tcPr>
            <w:tcW w:w="2050"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1350"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100" w:type="pct"/>
            <w:vAlign w:val="center"/>
            <w:hideMark/>
          </w:tcPr>
          <w:p w:rsidR="00000000" w:rsidRDefault="00211603">
            <w:pPr>
              <w:rPr>
                <w:rFonts w:eastAsia="Times New Roman"/>
                <w:sz w:val="20"/>
                <w:szCs w:val="20"/>
              </w:rPr>
            </w:pP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18"/>
                <w:szCs w:val="18"/>
              </w:rPr>
              <w:t>Large accelerated file</w:t>
            </w:r>
            <w:r>
              <w:rPr>
                <w:sz w:val="18"/>
                <w:szCs w:val="18"/>
              </w:rPr>
              <w:t>r</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rFonts w:ascii="Segoe UI Symbol" w:hAnsi="Segoe UI Symbol" w:cs="Segoe UI Symbol"/>
                <w:sz w:val="18"/>
                <w:szCs w:val="18"/>
              </w:rPr>
              <w: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Accelerated file</w:t>
            </w:r>
            <w:r>
              <w:rPr>
                <w:sz w:val="18"/>
                <w:szCs w:val="18"/>
              </w:rPr>
              <w:t>r</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Non-accelerated file</w:t>
            </w:r>
            <w:r>
              <w:rPr>
                <w:sz w:val="18"/>
                <w:szCs w:val="18"/>
              </w:rPr>
              <w:t>r</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rFonts w:ascii="Segoe UI Symbol" w:hAnsi="Segoe UI Symbol" w:cs="Segoe UI Symbol"/>
                <w:sz w:val="18"/>
                <w:szCs w:val="18"/>
              </w:rPr>
              <w:t>☐</w:t>
            </w:r>
            <w:r>
              <w:rPr>
                <w:sz w:val="18"/>
                <w:szCs w:val="18"/>
              </w:rPr>
              <w:t xml:space="preserve">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Smaller reporting compan</w:t>
            </w:r>
            <w:r>
              <w:rPr>
                <w:sz w:val="18"/>
                <w:szCs w:val="18"/>
              </w:rPr>
              <w:t>y</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20"/>
                <w:szCs w:val="20"/>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Emerging growth compan</w:t>
            </w:r>
            <w:r>
              <w:rPr>
                <w:sz w:val="18"/>
                <w:szCs w:val="18"/>
              </w:rPr>
              <w:t>y</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20"/>
                <w:szCs w:val="20"/>
              </w:rPr>
            </w:pPr>
            <w:r>
              <w:rPr>
                <w:rFonts w:ascii="Segoe UI Symbol" w:hAnsi="Segoe UI Symbol" w:cs="Segoe UI Symbol"/>
                <w:sz w:val="18"/>
                <w:szCs w:val="18"/>
              </w:rPr>
              <w: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r>
    </w:tbl>
    <w:p w:rsidR="00000000" w:rsidRDefault="00211603">
      <w:pPr>
        <w:pStyle w:val="a3"/>
        <w:spacing w:before="0" w:beforeAutospacing="0" w:after="0" w:afterAutospacing="0"/>
        <w:ind w:firstLine="555"/>
        <w:rPr>
          <w:sz w:val="20"/>
          <w:szCs w:val="20"/>
        </w:rPr>
      </w:pPr>
      <w:r>
        <w:rPr>
          <w:sz w:val="18"/>
          <w:szCs w:val="18"/>
        </w:rPr>
        <w:t> </w:t>
      </w:r>
    </w:p>
    <w:p w:rsidR="00000000" w:rsidRDefault="00211603">
      <w:pPr>
        <w:pStyle w:val="a3"/>
        <w:spacing w:before="0" w:beforeAutospacing="0" w:after="0" w:afterAutospacing="0"/>
        <w:ind w:firstLine="555"/>
        <w:rPr>
          <w:sz w:val="20"/>
          <w:szCs w:val="20"/>
        </w:rPr>
      </w:pPr>
      <w:r>
        <w:rPr>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YES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11603">
      <w:pPr>
        <w:pStyle w:val="a3"/>
        <w:spacing w:beforeAutospacing="0" w:after="0" w:afterAutospacing="0"/>
        <w:ind w:firstLine="555"/>
        <w:rPr>
          <w:sz w:val="20"/>
          <w:szCs w:val="20"/>
        </w:rPr>
      </w:pPr>
      <w:r>
        <w:rPr>
          <w:sz w:val="18"/>
          <w:szCs w:val="18"/>
        </w:rPr>
        <w:t xml:space="preserve">Indicate by check mark whether the registrant is a shell company (as defined in Rule 12b-2 of the Exchange Act). YES </w:t>
      </w:r>
      <w:r>
        <w:rPr>
          <w:rFonts w:ascii="Segoe UI Symbol" w:hAnsi="Segoe UI Symbol" w:cs="Segoe UI Symbol"/>
          <w:sz w:val="18"/>
          <w:szCs w:val="18"/>
        </w:rPr>
        <w:t>☐</w:t>
      </w:r>
      <w:r>
        <w:rPr>
          <w:sz w:val="18"/>
          <w:szCs w:val="18"/>
        </w:rPr>
        <w:t xml:space="preserve"> NO</w:t>
      </w:r>
      <w:r>
        <w:rPr>
          <w:sz w:val="18"/>
          <w:szCs w:val="18"/>
        </w:rPr>
        <w:t xml:space="preserve"> </w:t>
      </w:r>
      <w:r>
        <w:rPr>
          <w:rFonts w:ascii="Segoe UI Symbol" w:hAnsi="Segoe UI Symbol" w:cs="Segoe UI Symbol"/>
          <w:sz w:val="18"/>
          <w:szCs w:val="18"/>
        </w:rPr>
        <w:t>☒</w:t>
      </w:r>
    </w:p>
    <w:p w:rsidR="00000000" w:rsidRDefault="00211603">
      <w:pPr>
        <w:pStyle w:val="a3"/>
        <w:spacing w:beforeAutospacing="0" w:after="0" w:afterAutospacing="0"/>
        <w:ind w:firstLine="555"/>
        <w:rPr>
          <w:sz w:val="20"/>
          <w:szCs w:val="20"/>
        </w:rPr>
      </w:pPr>
      <w:r>
        <w:rPr>
          <w:sz w:val="18"/>
          <w:szCs w:val="18"/>
        </w:rPr>
        <w:t>There were</w:t>
      </w:r>
      <w:r>
        <w:rPr>
          <w:sz w:val="18"/>
          <w:szCs w:val="18"/>
        </w:rPr>
        <w:t xml:space="preserve"> </w:t>
      </w:r>
      <w:r>
        <w:rPr>
          <w:sz w:val="18"/>
          <w:szCs w:val="18"/>
        </w:rPr>
        <w:t>47,769,05</w:t>
      </w:r>
      <w:r>
        <w:rPr>
          <w:sz w:val="18"/>
          <w:szCs w:val="18"/>
        </w:rPr>
        <w:t>5</w:t>
      </w:r>
      <w:r>
        <w:rPr>
          <w:sz w:val="18"/>
          <w:szCs w:val="18"/>
        </w:rPr>
        <w:t xml:space="preserve"> </w:t>
      </w:r>
      <w:r>
        <w:rPr>
          <w:sz w:val="18"/>
          <w:szCs w:val="18"/>
        </w:rPr>
        <w:t>shares of the registrant’s Common Stock issued and outstanding as of April 29, 2022</w:t>
      </w:r>
      <w:r>
        <w:rPr>
          <w:sz w:val="18"/>
          <w:szCs w:val="18"/>
        </w:rPr>
        <w:t>.</w:t>
      </w:r>
    </w:p>
    <w:p w:rsidR="00000000" w:rsidRDefault="00211603">
      <w:pPr>
        <w:pStyle w:val="a3"/>
        <w:spacing w:before="240" w:beforeAutospacing="0" w:after="0" w:afterAutospacing="0"/>
        <w:jc w:val="center"/>
        <w:rPr>
          <w:sz w:val="20"/>
          <w:szCs w:val="20"/>
        </w:rPr>
      </w:pPr>
      <w:r>
        <w:rPr>
          <w:sz w:val="20"/>
          <w:szCs w:val="20"/>
        </w:rPr>
        <w:t> </w:t>
      </w:r>
    </w:p>
    <w:p w:rsidR="00000000" w:rsidRDefault="00211603">
      <w:pPr>
        <w:rPr>
          <w:rFonts w:eastAsia="Times New Roman"/>
        </w:rPr>
      </w:pPr>
      <w:r>
        <w:rPr>
          <w:rFonts w:eastAsia="Times New Roman"/>
        </w:rPr>
        <w:pict>
          <v:rect id="_x0000_i1025"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211603">
      <w:pPr>
        <w:pStyle w:val="a3"/>
        <w:spacing w:before="240" w:beforeAutospacing="0" w:after="0" w:afterAutospacing="0"/>
        <w:jc w:val="center"/>
        <w:rPr>
          <w:sz w:val="20"/>
          <w:szCs w:val="20"/>
        </w:rPr>
      </w:pPr>
      <w:r>
        <w:rPr>
          <w:b/>
          <w:bCs/>
          <w:sz w:val="20"/>
          <w:szCs w:val="20"/>
        </w:rPr>
        <w:t>Table of Content</w:t>
      </w:r>
      <w:r>
        <w:rPr>
          <w:b/>
          <w:bCs/>
          <w:sz w:val="20"/>
          <w:szCs w:val="20"/>
        </w:rPr>
        <w:t>s</w:t>
      </w:r>
    </w:p>
    <w:p w:rsidR="00000000" w:rsidRDefault="0021160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9"/>
        <w:gridCol w:w="109"/>
        <w:gridCol w:w="6986"/>
        <w:gridCol w:w="292"/>
      </w:tblGrid>
      <w:tr w:rsidR="00000000">
        <w:trPr>
          <w:tblCellSpacing w:w="15" w:type="dxa"/>
        </w:trPr>
        <w:tc>
          <w:tcPr>
            <w:tcW w:w="447" w:type="pct"/>
            <w:vAlign w:val="center"/>
            <w:hideMark/>
          </w:tcPr>
          <w:p w:rsidR="00000000" w:rsidRDefault="00211603">
            <w:pPr>
              <w:rPr>
                <w:sz w:val="20"/>
                <w:szCs w:val="20"/>
              </w:rPr>
            </w:pPr>
          </w:p>
        </w:tc>
        <w:tc>
          <w:tcPr>
            <w:tcW w:w="50" w:type="pct"/>
            <w:vAlign w:val="center"/>
            <w:hideMark/>
          </w:tcPr>
          <w:p w:rsidR="00000000" w:rsidRDefault="00211603">
            <w:pPr>
              <w:rPr>
                <w:rFonts w:eastAsia="Times New Roman"/>
                <w:sz w:val="20"/>
                <w:szCs w:val="20"/>
              </w:rPr>
            </w:pPr>
          </w:p>
        </w:tc>
        <w:tc>
          <w:tcPr>
            <w:tcW w:w="4320" w:type="pct"/>
            <w:vAlign w:val="center"/>
            <w:hideMark/>
          </w:tcPr>
          <w:p w:rsidR="00000000" w:rsidRDefault="00211603">
            <w:pPr>
              <w:rPr>
                <w:rFonts w:eastAsia="Times New Roman"/>
                <w:sz w:val="20"/>
                <w:szCs w:val="20"/>
              </w:rPr>
            </w:pPr>
          </w:p>
        </w:tc>
        <w:tc>
          <w:tcPr>
            <w:tcW w:w="181" w:type="pct"/>
            <w:vAlign w:val="center"/>
            <w:hideMark/>
          </w:tcPr>
          <w:p w:rsidR="00000000" w:rsidRDefault="00211603">
            <w:pPr>
              <w:rPr>
                <w:rFonts w:eastAsia="Times New Roman"/>
                <w:sz w:val="20"/>
                <w:szCs w:val="20"/>
              </w:rPr>
            </w:pP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211603">
            <w:pPr>
              <w:pStyle w:val="a3"/>
              <w:spacing w:before="0" w:beforeAutospacing="0" w:after="0" w:afterAutospacing="0"/>
              <w:jc w:val="center"/>
              <w:rPr>
                <w:sz w:val="20"/>
                <w:szCs w:val="20"/>
              </w:rPr>
            </w:pPr>
            <w:hyperlink w:anchor="part_i_financial_information" w:history="1">
              <w:r>
                <w:rPr>
                  <w:rStyle w:val="a4"/>
                  <w:b/>
                  <w:bCs/>
                  <w:sz w:val="20"/>
                  <w:szCs w:val="20"/>
                </w:rPr>
                <w:t>Part I — Financial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21160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1_financial_statements" w:history="1">
              <w:r>
                <w:rPr>
                  <w:rStyle w:val="a4"/>
                  <w:sz w:val="20"/>
                  <w:szCs w:val="20"/>
                </w:rPr>
                <w:t>Unaudited Consolidated Financial Statements</w:t>
              </w:r>
              <w:r>
                <w:rPr>
                  <w:rStyle w:val="a4"/>
                  <w:sz w:val="20"/>
                  <w:szCs w:val="20"/>
                </w:rPr>
                <w:t>:</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unaudited_consolidated_balance_sheets" w:history="1">
              <w:r>
                <w:rPr>
                  <w:rStyle w:val="a4"/>
                  <w:sz w:val="20"/>
                  <w:szCs w:val="20"/>
                </w:rPr>
                <w:t>Unaudited Consolidated Balance Sheets as of March 31, 2022 and December 31,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unaudited_consolidated_statements_opera" w:history="1">
              <w:r>
                <w:rPr>
                  <w:rStyle w:val="a4"/>
                  <w:sz w:val="20"/>
                  <w:szCs w:val="20"/>
                </w:rPr>
                <w:t>Unaudited Consolidated Statements of Operations for the Three Months Ended March 31,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unaudited_consolidated_statements_compr" w:history="1">
              <w:r>
                <w:rPr>
                  <w:rStyle w:val="a4"/>
                  <w:sz w:val="20"/>
                  <w:szCs w:val="20"/>
                </w:rPr>
                <w:t>Unaudited Consolidated Statements of Comprehensive Loss for the Three Months Ended March 31,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unaudited_consolidated_statements_cash_" w:history="1">
              <w:r>
                <w:rPr>
                  <w:rStyle w:val="a4"/>
                  <w:sz w:val="20"/>
                  <w:szCs w:val="20"/>
                </w:rPr>
                <w:t>Unaudited Consolid</w:t>
              </w:r>
              <w:r>
                <w:rPr>
                  <w:rStyle w:val="a4"/>
                  <w:sz w:val="20"/>
                  <w:szCs w:val="20"/>
                </w:rPr>
                <w:t>ated Statements of Cash Flows for the Three Months Ended March 31,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notes_to_unaudited_consolida_ted_financ" w:history="1">
              <w:r>
                <w:rPr>
                  <w:rStyle w:val="a4"/>
                  <w:sz w:val="20"/>
                  <w:szCs w:val="20"/>
                </w:rPr>
                <w:t>Notes to Unaudited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2</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3</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120"/>
          <w:tblCellSpacing w:w="15" w:type="dxa"/>
        </w:trPr>
        <w:tc>
          <w:tcPr>
            <w:tcW w:w="0" w:type="auto"/>
            <w:gridSpan w:val="4"/>
            <w:tcMar>
              <w:top w:w="14" w:type="dxa"/>
              <w:left w:w="15" w:type="dxa"/>
              <w:bottom w:w="15" w:type="dxa"/>
              <w:right w:w="14" w:type="dxa"/>
            </w:tcMar>
            <w:vAlign w:val="center"/>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211603">
            <w:pPr>
              <w:pStyle w:val="a3"/>
              <w:spacing w:before="0" w:beforeAutospacing="0" w:after="0" w:afterAutospacing="0"/>
              <w:jc w:val="center"/>
              <w:rPr>
                <w:sz w:val="20"/>
                <w:szCs w:val="20"/>
              </w:rPr>
            </w:pPr>
            <w:hyperlink w:anchor="part_ii" w:history="1">
              <w:r>
                <w:rPr>
                  <w:rStyle w:val="a4"/>
                  <w:b/>
                  <w:bCs/>
                  <w:sz w:val="20"/>
                  <w:szCs w:val="20"/>
                </w:rPr>
                <w:t>Part II — Other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21160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3_defaults_on_senior_securities" w:history="1">
              <w:r>
                <w:rPr>
                  <w:rStyle w:val="a4"/>
                  <w:sz w:val="20"/>
                  <w:szCs w:val="20"/>
                </w:rPr>
                <w:t>Default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6</w:t>
            </w:r>
          </w:p>
        </w:tc>
      </w:tr>
      <w:tr w:rsidR="00000000">
        <w:trPr>
          <w:trHeight w:val="173"/>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EX-31.</w:t>
            </w:r>
            <w:r>
              <w:rPr>
                <w:sz w:val="20"/>
                <w:szCs w:val="20"/>
              </w:rPr>
              <w:t>1</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r>
              <w:rPr>
                <w:sz w:val="20"/>
                <w:szCs w:val="20"/>
              </w:rPr>
              <w:t>CERTIFICATION OF THE CEO PURSUANT TO SECTION 30</w:t>
            </w:r>
            <w:r>
              <w:rPr>
                <w:sz w:val="20"/>
                <w:szCs w:val="20"/>
              </w:rPr>
              <w:t>2</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EX-31.</w:t>
            </w:r>
            <w:r>
              <w:rPr>
                <w:sz w:val="20"/>
                <w:szCs w:val="20"/>
              </w:rPr>
              <w:t>2</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r>
              <w:rPr>
                <w:sz w:val="20"/>
                <w:szCs w:val="20"/>
              </w:rPr>
              <w:t>CERTIFICATION OF THE CFO PURSUANT TO SECTION 30</w:t>
            </w:r>
            <w:r>
              <w:rPr>
                <w:sz w:val="20"/>
                <w:szCs w:val="20"/>
              </w:rPr>
              <w:t>2</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EX-32.</w:t>
            </w:r>
            <w:r>
              <w:rPr>
                <w:sz w:val="20"/>
                <w:szCs w:val="20"/>
              </w:rPr>
              <w:t>1</w:t>
            </w:r>
          </w:p>
        </w:tc>
        <w:tc>
          <w:tcPr>
            <w:tcW w:w="0" w:type="auto"/>
            <w:tcMar>
              <w:top w:w="14" w:type="dxa"/>
              <w:left w:w="15" w:type="dxa"/>
              <w:bottom w:w="15" w:type="dxa"/>
              <w:right w:w="14" w:type="dxa"/>
            </w:tcMar>
            <w:hideMark/>
          </w:tcPr>
          <w:p w:rsidR="00000000" w:rsidRDefault="002116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rPr>
                <w:sz w:val="20"/>
                <w:szCs w:val="20"/>
              </w:rPr>
            </w:pPr>
            <w:r>
              <w:rPr>
                <w:sz w:val="20"/>
                <w:szCs w:val="20"/>
              </w:rPr>
              <w:t>CERTIFICATION OF THE CEO AND CFO PURSUANT TO SECTION 90</w:t>
            </w:r>
            <w:r>
              <w:rPr>
                <w:sz w:val="20"/>
                <w:szCs w:val="20"/>
              </w:rPr>
              <w:t>6</w:t>
            </w:r>
          </w:p>
        </w:tc>
        <w:tc>
          <w:tcPr>
            <w:tcW w:w="0" w:type="auto"/>
            <w:tcMar>
              <w:top w:w="14" w:type="dxa"/>
              <w:left w:w="15" w:type="dxa"/>
              <w:bottom w:w="15" w:type="dxa"/>
              <w:right w:w="14" w:type="dxa"/>
            </w:tcMar>
            <w:vAlign w:val="bottom"/>
            <w:hideMark/>
          </w:tcPr>
          <w:p w:rsidR="00000000" w:rsidRDefault="00211603">
            <w:pPr>
              <w:pStyle w:val="a3"/>
              <w:spacing w:before="0" w:beforeAutospacing="0" w:after="0" w:afterAutospacing="0"/>
              <w:jc w:val="right"/>
              <w:rPr>
                <w:sz w:val="20"/>
                <w:szCs w:val="20"/>
              </w:rPr>
            </w:pPr>
            <w:r>
              <w:rPr>
                <w:sz w:val="20"/>
                <w:szCs w:val="20"/>
              </w:rPr>
              <w:t> </w:t>
            </w:r>
          </w:p>
        </w:tc>
      </w:tr>
    </w:tbl>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 </w:t>
      </w:r>
    </w:p>
    <w:p w:rsidR="00000000" w:rsidRDefault="00211603">
      <w:pPr>
        <w:rPr>
          <w:rFonts w:eastAsia="Times New Roman"/>
        </w:rPr>
      </w:pPr>
      <w:r>
        <w:rPr>
          <w:rFonts w:eastAsia="Times New Roman"/>
        </w:rPr>
        <w:pict>
          <v:rect id="_x0000_i1026"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jc w:val="center"/>
        <w:rPr>
          <w:sz w:val="20"/>
          <w:szCs w:val="20"/>
        </w:rPr>
      </w:pPr>
      <w:r>
        <w:rPr>
          <w:b/>
          <w:bCs/>
          <w:sz w:val="20"/>
          <w:szCs w:val="20"/>
        </w:rPr>
        <w:t>SPECIAL NOTE REGARDING FORWARD-LOOKING STATEMENT</w:t>
      </w:r>
      <w:r>
        <w:rPr>
          <w:b/>
          <w:bCs/>
          <w:sz w:val="20"/>
          <w:szCs w:val="20"/>
        </w:rPr>
        <w:t>S</w:t>
      </w:r>
    </w:p>
    <w:p w:rsidR="00000000" w:rsidRDefault="00211603">
      <w:pPr>
        <w:pStyle w:val="a3"/>
        <w:spacing w:before="200" w:beforeAutospacing="0" w:after="0" w:afterAutospacing="0"/>
        <w:ind w:firstLine="555"/>
        <w:rPr>
          <w:sz w:val="20"/>
          <w:szCs w:val="20"/>
        </w:rPr>
      </w:pPr>
      <w:r>
        <w:rPr>
          <w:sz w:val="20"/>
          <w:szCs w:val="20"/>
        </w:rPr>
        <w:lastRenderedPageBreak/>
        <w:t>This Quarterly Report on Form 10-Q contains forward-looking statements within the meaning of Section 27A of the Securities Act of 1933, as amended, and Section 21E of t</w:t>
      </w:r>
      <w:r>
        <w:rPr>
          <w:sz w:val="20"/>
          <w:szCs w:val="20"/>
        </w:rPr>
        <w:t>he Securities Exchange Act of 1934, as amended, and these statements involve substantial risks and uncertainties. All statements other than statements of historical fact contained in this Quarterly Report on Form 10-Q are forward-looking statements. Forwar</w:t>
      </w:r>
      <w:r>
        <w:rPr>
          <w:sz w:val="20"/>
          <w:szCs w:val="20"/>
        </w:rPr>
        <w:t>d-looking statements generally relate to future events or our future financial or operating performance. In some cases, you can identify forward-looking statements because they contain words such as “may,” “should,” “expects,” “plans,” “anticipates,” “coul</w:t>
      </w:r>
      <w:r>
        <w:rPr>
          <w:sz w:val="20"/>
          <w:szCs w:val="20"/>
        </w:rPr>
        <w:t>d,” “intends,” “target,” “projects,” “contemplates,” “believes,” “estimates,” “predicts,” “potential” or “continue” or the negative of these words or other similar terms or expressions that concern our expectations, strategy, plans or intentions. Forward-l</w:t>
      </w:r>
      <w:r>
        <w:rPr>
          <w:sz w:val="20"/>
          <w:szCs w:val="20"/>
        </w:rPr>
        <w:t>ooking statements contained in this Quarterly Report on Form 10-Q include, but are not limited to, statements about</w:t>
      </w:r>
      <w:r>
        <w:rPr>
          <w:sz w:val="20"/>
          <w:szCs w:val="20"/>
        </w:rPr>
        <w:t>:</w:t>
      </w:r>
      <w:r>
        <w:rPr>
          <w:sz w:val="20"/>
          <w:szCs w:val="20"/>
        </w:rPr>
        <w:t xml:space="preserve"> </w:t>
      </w:r>
    </w:p>
    <w:p w:rsidR="00000000" w:rsidRDefault="00211603">
      <w:pPr>
        <w:divId w:val="248776431"/>
        <w:rPr>
          <w:rFonts w:eastAsia="Times New Roman"/>
        </w:rPr>
      </w:pPr>
      <w:r>
        <w:rPr>
          <w:rFonts w:eastAsia="Times New Roman"/>
          <w:sz w:val="20"/>
          <w:szCs w:val="20"/>
        </w:rPr>
        <w:t>•</w:t>
      </w:r>
    </w:p>
    <w:p w:rsidR="00000000" w:rsidRDefault="00211603">
      <w:pPr>
        <w:divId w:val="1608997571"/>
        <w:rPr>
          <w:rFonts w:eastAsia="Times New Roman"/>
        </w:rPr>
      </w:pPr>
      <w:r>
        <w:rPr>
          <w:rFonts w:eastAsia="Times New Roman"/>
          <w:sz w:val="20"/>
          <w:szCs w:val="20"/>
        </w:rPr>
        <w:t>our future financial performance, including our expectations regarding our revenue, cost of revenue, gross margin and operating expenses</w:t>
      </w:r>
      <w:r>
        <w:rPr>
          <w:rFonts w:eastAsia="Times New Roman"/>
          <w:sz w:val="20"/>
          <w:szCs w:val="20"/>
        </w:rPr>
        <w:t>;</w:t>
      </w:r>
    </w:p>
    <w:p w:rsidR="00000000" w:rsidRDefault="00211603">
      <w:pPr>
        <w:divId w:val="1945650898"/>
        <w:rPr>
          <w:rFonts w:eastAsia="Times New Roman"/>
        </w:rPr>
      </w:pPr>
      <w:r>
        <w:rPr>
          <w:rFonts w:eastAsia="Times New Roman"/>
          <w:sz w:val="20"/>
          <w:szCs w:val="20"/>
        </w:rPr>
        <w:t>•</w:t>
      </w:r>
    </w:p>
    <w:p w:rsidR="00000000" w:rsidRDefault="00211603">
      <w:pPr>
        <w:divId w:val="209997068"/>
        <w:rPr>
          <w:rFonts w:eastAsia="Times New Roman"/>
        </w:rPr>
      </w:pPr>
      <w:r>
        <w:rPr>
          <w:rFonts w:eastAsia="Times New Roman"/>
          <w:sz w:val="20"/>
          <w:szCs w:val="20"/>
        </w:rPr>
        <w:t>maintaining and expanding our customer base and increasing our average subscription revenue per customer</w:t>
      </w:r>
      <w:r>
        <w:rPr>
          <w:rFonts w:eastAsia="Times New Roman"/>
          <w:sz w:val="20"/>
          <w:szCs w:val="20"/>
        </w:rPr>
        <w:t>;</w:t>
      </w:r>
    </w:p>
    <w:p w:rsidR="00000000" w:rsidRDefault="00211603">
      <w:pPr>
        <w:divId w:val="757481988"/>
        <w:rPr>
          <w:rFonts w:eastAsia="Times New Roman"/>
        </w:rPr>
      </w:pPr>
      <w:r>
        <w:rPr>
          <w:rFonts w:eastAsia="Times New Roman"/>
          <w:sz w:val="20"/>
          <w:szCs w:val="20"/>
        </w:rPr>
        <w:t>•</w:t>
      </w:r>
    </w:p>
    <w:p w:rsidR="00000000" w:rsidRDefault="00211603">
      <w:pPr>
        <w:divId w:val="208762599"/>
        <w:rPr>
          <w:rFonts w:eastAsia="Times New Roman"/>
        </w:rPr>
      </w:pPr>
      <w:r>
        <w:rPr>
          <w:rFonts w:eastAsia="Times New Roman"/>
          <w:sz w:val="20"/>
          <w:szCs w:val="20"/>
        </w:rPr>
        <w:t>the impa</w:t>
      </w:r>
      <w:r>
        <w:rPr>
          <w:rFonts w:eastAsia="Times New Roman"/>
          <w:sz w:val="20"/>
          <w:szCs w:val="20"/>
        </w:rPr>
        <w:t>ct of competition in our industry and innovation by our competitors</w:t>
      </w:r>
      <w:r>
        <w:rPr>
          <w:rFonts w:eastAsia="Times New Roman"/>
          <w:sz w:val="20"/>
          <w:szCs w:val="20"/>
        </w:rPr>
        <w:t>;</w:t>
      </w:r>
    </w:p>
    <w:p w:rsidR="00000000" w:rsidRDefault="00211603">
      <w:pPr>
        <w:divId w:val="1258517501"/>
        <w:rPr>
          <w:rFonts w:eastAsia="Times New Roman"/>
        </w:rPr>
      </w:pPr>
      <w:r>
        <w:rPr>
          <w:rFonts w:eastAsia="Times New Roman"/>
          <w:sz w:val="20"/>
          <w:szCs w:val="20"/>
        </w:rPr>
        <w:t>•</w:t>
      </w:r>
    </w:p>
    <w:p w:rsidR="00000000" w:rsidRDefault="00211603">
      <w:pPr>
        <w:divId w:val="712533465"/>
        <w:rPr>
          <w:rFonts w:eastAsia="Times New Roman"/>
        </w:rPr>
      </w:pPr>
      <w:r>
        <w:rPr>
          <w:rFonts w:eastAsia="Times New Roman"/>
          <w:sz w:val="20"/>
          <w:szCs w:val="20"/>
        </w:rPr>
        <w:t>our anticipated growth and expectations regarding our ability to manage our future growth</w:t>
      </w:r>
      <w:r>
        <w:rPr>
          <w:rFonts w:eastAsia="Times New Roman"/>
          <w:sz w:val="20"/>
          <w:szCs w:val="20"/>
        </w:rPr>
        <w:t>;</w:t>
      </w:r>
    </w:p>
    <w:p w:rsidR="00000000" w:rsidRDefault="00211603">
      <w:pPr>
        <w:divId w:val="489323557"/>
        <w:rPr>
          <w:rFonts w:eastAsia="Times New Roman"/>
        </w:rPr>
      </w:pPr>
      <w:r>
        <w:rPr>
          <w:rFonts w:eastAsia="Times New Roman"/>
          <w:sz w:val="20"/>
          <w:szCs w:val="20"/>
        </w:rPr>
        <w:t>•</w:t>
      </w:r>
    </w:p>
    <w:p w:rsidR="00000000" w:rsidRDefault="00211603">
      <w:pPr>
        <w:divId w:val="1699772185"/>
        <w:rPr>
          <w:rFonts w:eastAsia="Times New Roman"/>
        </w:rPr>
      </w:pPr>
      <w:r>
        <w:rPr>
          <w:rFonts w:eastAsia="Times New Roman"/>
          <w:sz w:val="20"/>
          <w:szCs w:val="20"/>
        </w:rPr>
        <w:t>our expectations regarding the potential impact of the COVID-19 pandemic on our business, op</w:t>
      </w:r>
      <w:r>
        <w:rPr>
          <w:rFonts w:eastAsia="Times New Roman"/>
          <w:sz w:val="20"/>
          <w:szCs w:val="20"/>
        </w:rPr>
        <w:t>erations, and the markets in which we and our partners and customers operate</w:t>
      </w:r>
      <w:r>
        <w:rPr>
          <w:rFonts w:eastAsia="Times New Roman"/>
          <w:sz w:val="20"/>
          <w:szCs w:val="20"/>
        </w:rPr>
        <w:t>;</w:t>
      </w:r>
    </w:p>
    <w:p w:rsidR="00000000" w:rsidRDefault="00211603">
      <w:pPr>
        <w:divId w:val="1961451139"/>
        <w:rPr>
          <w:rFonts w:eastAsia="Times New Roman"/>
        </w:rPr>
      </w:pPr>
      <w:r>
        <w:rPr>
          <w:rFonts w:eastAsia="Times New Roman"/>
          <w:sz w:val="20"/>
          <w:szCs w:val="20"/>
        </w:rPr>
        <w:t>•</w:t>
      </w:r>
    </w:p>
    <w:p w:rsidR="00000000" w:rsidRDefault="00211603">
      <w:pPr>
        <w:divId w:val="1178231931"/>
        <w:rPr>
          <w:rFonts w:eastAsia="Times New Roman"/>
        </w:rPr>
      </w:pPr>
      <w:r>
        <w:rPr>
          <w:rFonts w:eastAsia="Times New Roman"/>
          <w:sz w:val="20"/>
          <w:szCs w:val="20"/>
        </w:rPr>
        <w:t>our anticipated areas of investments, including sales and marketing, research and development, customer service and support, data center infrastructure and service capabilities</w:t>
      </w:r>
      <w:r>
        <w:rPr>
          <w:rFonts w:eastAsia="Times New Roman"/>
          <w:sz w:val="20"/>
          <w:szCs w:val="20"/>
        </w:rPr>
        <w:t>, and expectations relating to such investments</w:t>
      </w:r>
      <w:r>
        <w:rPr>
          <w:rFonts w:eastAsia="Times New Roman"/>
          <w:sz w:val="20"/>
          <w:szCs w:val="20"/>
        </w:rPr>
        <w:t>;</w:t>
      </w:r>
    </w:p>
    <w:p w:rsidR="00000000" w:rsidRDefault="00211603">
      <w:pPr>
        <w:divId w:val="1903439533"/>
        <w:rPr>
          <w:rFonts w:eastAsia="Times New Roman"/>
        </w:rPr>
      </w:pPr>
      <w:r>
        <w:rPr>
          <w:rFonts w:eastAsia="Times New Roman"/>
          <w:sz w:val="20"/>
          <w:szCs w:val="20"/>
        </w:rPr>
        <w:t>•</w:t>
      </w:r>
    </w:p>
    <w:p w:rsidR="00000000" w:rsidRDefault="00211603">
      <w:pPr>
        <w:divId w:val="1675036812"/>
        <w:rPr>
          <w:rFonts w:eastAsia="Times New Roman"/>
        </w:rPr>
      </w:pPr>
      <w:r>
        <w:rPr>
          <w:rFonts w:eastAsia="Times New Roman"/>
          <w:sz w:val="20"/>
          <w:szCs w:val="20"/>
        </w:rPr>
        <w:t>our predictions about industry and market trends</w:t>
      </w:r>
      <w:r>
        <w:rPr>
          <w:rFonts w:eastAsia="Times New Roman"/>
          <w:sz w:val="20"/>
          <w:szCs w:val="20"/>
        </w:rPr>
        <w:t>;</w:t>
      </w:r>
    </w:p>
    <w:p w:rsidR="00000000" w:rsidRDefault="00211603">
      <w:pPr>
        <w:divId w:val="439033472"/>
        <w:rPr>
          <w:rFonts w:eastAsia="Times New Roman"/>
        </w:rPr>
      </w:pPr>
      <w:r>
        <w:rPr>
          <w:rFonts w:eastAsia="Times New Roman"/>
          <w:sz w:val="20"/>
          <w:szCs w:val="20"/>
        </w:rPr>
        <w:t>•</w:t>
      </w:r>
    </w:p>
    <w:p w:rsidR="00000000" w:rsidRDefault="00211603">
      <w:pPr>
        <w:divId w:val="826433440"/>
        <w:rPr>
          <w:rFonts w:eastAsia="Times New Roman"/>
        </w:rPr>
      </w:pPr>
      <w:r>
        <w:rPr>
          <w:rFonts w:eastAsia="Times New Roman"/>
          <w:sz w:val="20"/>
          <w:szCs w:val="20"/>
        </w:rPr>
        <w:t>our ability to anticipate and address the evolution of technology and the technological needs of our customers, to roll-out upgrades to our existing software platform and to develop new and enhanced applications to meet the needs of our customers</w:t>
      </w:r>
      <w:r>
        <w:rPr>
          <w:rFonts w:eastAsia="Times New Roman"/>
          <w:sz w:val="20"/>
          <w:szCs w:val="20"/>
        </w:rPr>
        <w:t>;</w:t>
      </w:r>
    </w:p>
    <w:p w:rsidR="00000000" w:rsidRDefault="00211603">
      <w:pPr>
        <w:divId w:val="1198196859"/>
        <w:rPr>
          <w:rFonts w:eastAsia="Times New Roman"/>
        </w:rPr>
      </w:pPr>
      <w:r>
        <w:rPr>
          <w:rFonts w:eastAsia="Times New Roman"/>
          <w:sz w:val="20"/>
          <w:szCs w:val="20"/>
        </w:rPr>
        <w:t>•</w:t>
      </w:r>
    </w:p>
    <w:p w:rsidR="00000000" w:rsidRDefault="00211603">
      <w:pPr>
        <w:divId w:val="587470671"/>
        <w:rPr>
          <w:rFonts w:eastAsia="Times New Roman"/>
        </w:rPr>
      </w:pPr>
      <w:r>
        <w:rPr>
          <w:rFonts w:eastAsia="Times New Roman"/>
          <w:sz w:val="20"/>
          <w:szCs w:val="20"/>
        </w:rPr>
        <w:t>our ab</w:t>
      </w:r>
      <w:r>
        <w:rPr>
          <w:rFonts w:eastAsia="Times New Roman"/>
          <w:sz w:val="20"/>
          <w:szCs w:val="20"/>
        </w:rPr>
        <w:t>ility to maintain our brand and inbound marketing, selling and servicing thought leadership position</w:t>
      </w:r>
      <w:r>
        <w:rPr>
          <w:rFonts w:eastAsia="Times New Roman"/>
          <w:sz w:val="20"/>
          <w:szCs w:val="20"/>
        </w:rPr>
        <w:t>;</w:t>
      </w:r>
    </w:p>
    <w:p w:rsidR="00000000" w:rsidRDefault="00211603">
      <w:pPr>
        <w:divId w:val="550921410"/>
        <w:rPr>
          <w:rFonts w:eastAsia="Times New Roman"/>
        </w:rPr>
      </w:pPr>
      <w:r>
        <w:rPr>
          <w:rFonts w:eastAsia="Times New Roman"/>
          <w:sz w:val="20"/>
          <w:szCs w:val="20"/>
        </w:rPr>
        <w:t>•</w:t>
      </w:r>
    </w:p>
    <w:p w:rsidR="00000000" w:rsidRDefault="00211603">
      <w:pPr>
        <w:divId w:val="1712873826"/>
        <w:rPr>
          <w:rFonts w:eastAsia="Times New Roman"/>
        </w:rPr>
      </w:pPr>
      <w:r>
        <w:rPr>
          <w:rFonts w:eastAsia="Times New Roman"/>
          <w:sz w:val="20"/>
          <w:szCs w:val="20"/>
        </w:rPr>
        <w:t>the impact of our corporate culture and our ability to attract, hire and retain necessary qualified employees to expand our operations</w:t>
      </w:r>
      <w:r>
        <w:rPr>
          <w:rFonts w:eastAsia="Times New Roman"/>
          <w:sz w:val="20"/>
          <w:szCs w:val="20"/>
        </w:rPr>
        <w:t>;</w:t>
      </w:r>
    </w:p>
    <w:p w:rsidR="00000000" w:rsidRDefault="00211603">
      <w:pPr>
        <w:divId w:val="379019634"/>
        <w:rPr>
          <w:rFonts w:eastAsia="Times New Roman"/>
        </w:rPr>
      </w:pPr>
      <w:r>
        <w:rPr>
          <w:rFonts w:eastAsia="Times New Roman"/>
          <w:sz w:val="20"/>
          <w:szCs w:val="20"/>
        </w:rPr>
        <w:t>•</w:t>
      </w:r>
    </w:p>
    <w:p w:rsidR="00000000" w:rsidRDefault="00211603">
      <w:pPr>
        <w:divId w:val="2039771685"/>
        <w:rPr>
          <w:rFonts w:eastAsia="Times New Roman"/>
        </w:rPr>
      </w:pPr>
      <w:r>
        <w:rPr>
          <w:rFonts w:eastAsia="Times New Roman"/>
          <w:sz w:val="20"/>
          <w:szCs w:val="20"/>
        </w:rPr>
        <w:t>the anticipate</w:t>
      </w:r>
      <w:r>
        <w:rPr>
          <w:rFonts w:eastAsia="Times New Roman"/>
          <w:sz w:val="20"/>
          <w:szCs w:val="20"/>
        </w:rPr>
        <w:t>d effect on our business of litigation to which we are or may become a party</w:t>
      </w:r>
      <w:r>
        <w:rPr>
          <w:rFonts w:eastAsia="Times New Roman"/>
          <w:sz w:val="20"/>
          <w:szCs w:val="20"/>
        </w:rPr>
        <w:t>;</w:t>
      </w:r>
    </w:p>
    <w:p w:rsidR="00000000" w:rsidRDefault="00211603">
      <w:pPr>
        <w:divId w:val="794299024"/>
        <w:rPr>
          <w:rFonts w:eastAsia="Times New Roman"/>
        </w:rPr>
      </w:pPr>
      <w:r>
        <w:rPr>
          <w:rFonts w:eastAsia="Times New Roman"/>
          <w:sz w:val="20"/>
          <w:szCs w:val="20"/>
        </w:rPr>
        <w:t>•</w:t>
      </w:r>
    </w:p>
    <w:p w:rsidR="00000000" w:rsidRDefault="00211603">
      <w:pPr>
        <w:divId w:val="46536994"/>
        <w:rPr>
          <w:rFonts w:eastAsia="Times New Roman"/>
        </w:rPr>
      </w:pPr>
      <w:r>
        <w:rPr>
          <w:rFonts w:eastAsia="Times New Roman"/>
          <w:sz w:val="20"/>
          <w:szCs w:val="20"/>
        </w:rPr>
        <w:t>our ability to successfully acquire and integrate companies and assets</w:t>
      </w:r>
      <w:r>
        <w:rPr>
          <w:rFonts w:eastAsia="Times New Roman"/>
          <w:sz w:val="20"/>
          <w:szCs w:val="20"/>
        </w:rPr>
        <w:t>;</w:t>
      </w:r>
    </w:p>
    <w:p w:rsidR="00000000" w:rsidRDefault="00211603">
      <w:pPr>
        <w:divId w:val="945771625"/>
        <w:rPr>
          <w:rFonts w:eastAsia="Times New Roman"/>
        </w:rPr>
      </w:pPr>
      <w:r>
        <w:rPr>
          <w:rFonts w:eastAsia="Times New Roman"/>
          <w:sz w:val="20"/>
          <w:szCs w:val="20"/>
        </w:rPr>
        <w:t>•</w:t>
      </w:r>
    </w:p>
    <w:p w:rsidR="00000000" w:rsidRDefault="00211603">
      <w:pPr>
        <w:divId w:val="1257980060"/>
        <w:rPr>
          <w:rFonts w:eastAsia="Times New Roman"/>
        </w:rPr>
      </w:pPr>
      <w:r>
        <w:rPr>
          <w:rFonts w:eastAsia="Times New Roman"/>
          <w:sz w:val="20"/>
          <w:szCs w:val="20"/>
        </w:rPr>
        <w:t>our plans regarding declaring or paying cash dividends in the foreseeable future; an</w:t>
      </w:r>
      <w:r>
        <w:rPr>
          <w:rFonts w:eastAsia="Times New Roman"/>
          <w:sz w:val="20"/>
          <w:szCs w:val="20"/>
        </w:rPr>
        <w:t>d</w:t>
      </w:r>
    </w:p>
    <w:p w:rsidR="00000000" w:rsidRDefault="00211603">
      <w:pPr>
        <w:divId w:val="213199714"/>
        <w:rPr>
          <w:rFonts w:eastAsia="Times New Roman"/>
        </w:rPr>
      </w:pPr>
      <w:r>
        <w:rPr>
          <w:rFonts w:eastAsia="Times New Roman"/>
          <w:sz w:val="20"/>
          <w:szCs w:val="20"/>
        </w:rPr>
        <w:t>•</w:t>
      </w:r>
    </w:p>
    <w:p w:rsidR="00000000" w:rsidRDefault="00211603">
      <w:pPr>
        <w:divId w:val="1760953765"/>
        <w:rPr>
          <w:rFonts w:eastAsia="Times New Roman"/>
        </w:rPr>
      </w:pPr>
      <w:r>
        <w:rPr>
          <w:rFonts w:eastAsia="Times New Roman"/>
          <w:sz w:val="20"/>
          <w:szCs w:val="20"/>
        </w:rPr>
        <w:lastRenderedPageBreak/>
        <w:t>our ability to</w:t>
      </w:r>
      <w:r>
        <w:rPr>
          <w:rFonts w:eastAsia="Times New Roman"/>
          <w:sz w:val="20"/>
          <w:szCs w:val="20"/>
        </w:rPr>
        <w:t xml:space="preserve"> stay abreast of new or modified laws and regulations that currently apply or become applicable to our business both in the United States and internationally</w:t>
      </w:r>
      <w:r>
        <w:rPr>
          <w:rFonts w:eastAsia="Times New Roman"/>
          <w:sz w:val="20"/>
          <w:szCs w:val="20"/>
        </w:rPr>
        <w:t>.</w:t>
      </w:r>
    </w:p>
    <w:p w:rsidR="00000000" w:rsidRDefault="00211603">
      <w:pPr>
        <w:pStyle w:val="a3"/>
        <w:spacing w:before="200" w:beforeAutospacing="0" w:after="120" w:afterAutospacing="0"/>
        <w:ind w:firstLine="555"/>
        <w:rPr>
          <w:sz w:val="20"/>
          <w:szCs w:val="20"/>
        </w:rPr>
      </w:pPr>
      <w:r>
        <w:rPr>
          <w:sz w:val="20"/>
          <w:szCs w:val="20"/>
        </w:rPr>
        <w:t>We caution you that the foregoing list may not contain all of the forward-looking statements made</w:t>
      </w:r>
      <w:r>
        <w:rPr>
          <w:sz w:val="20"/>
          <w:szCs w:val="20"/>
        </w:rPr>
        <w:t xml:space="preserve"> in this Quarterly Report on Form 10-Q</w:t>
      </w:r>
      <w:r>
        <w:rPr>
          <w:sz w:val="20"/>
          <w:szCs w:val="20"/>
        </w:rPr>
        <w:t>.</w:t>
      </w:r>
    </w:p>
    <w:p w:rsidR="00000000" w:rsidRDefault="00211603">
      <w:pPr>
        <w:pStyle w:val="a3"/>
        <w:spacing w:before="200" w:beforeAutospacing="0" w:after="120" w:afterAutospacing="0"/>
        <w:ind w:firstLine="555"/>
        <w:rPr>
          <w:sz w:val="20"/>
          <w:szCs w:val="20"/>
        </w:rPr>
      </w:pPr>
      <w:r>
        <w:rPr>
          <w:sz w:val="20"/>
          <w:szCs w:val="20"/>
        </w:rPr>
        <w:t xml:space="preserve">You should not rely upon forward-looking statements as predictions of future events. We have based the forward-looking statements contained in this Quarterly Report on Form 10-Q primarily on our current expectations and projections about future events and </w:t>
      </w:r>
      <w:r>
        <w:rPr>
          <w:sz w:val="20"/>
          <w:szCs w:val="20"/>
        </w:rPr>
        <w:t>trends that we believe may affect our business, financial condition, results of operations and prospects. The outcome of the events described in these forward-looking statements is subject to risks, uncertainties and other factors described in “Risk Factor</w:t>
      </w:r>
      <w:r>
        <w:rPr>
          <w:sz w:val="20"/>
          <w:szCs w:val="20"/>
        </w:rPr>
        <w:t xml:space="preserve">s” and elsewhere in this Quarterly Report on Form 10-Q. Moreover, we operate in a very competitive and rapidly changing environment. New risks and uncertainties emerge from time to time, and it is not possible for us to predict all risks and uncertainties </w:t>
      </w:r>
      <w:r>
        <w:rPr>
          <w:sz w:val="20"/>
          <w:szCs w:val="20"/>
        </w:rPr>
        <w:t>that could have an impact on the forward-looking statements contained in this Quarterly Report on Form 10-Q. The results, events and circumstances reflected in the forward-looking statements may not be achieved or occur, and actual results, events or circu</w:t>
      </w:r>
      <w:r>
        <w:rPr>
          <w:sz w:val="20"/>
          <w:szCs w:val="20"/>
        </w:rPr>
        <w:t>mstances could differ materially from those described in the forward-looking statements</w:t>
      </w:r>
      <w:r>
        <w:rPr>
          <w:sz w:val="20"/>
          <w:szCs w:val="20"/>
        </w:rPr>
        <w:t>.</w:t>
      </w:r>
    </w:p>
    <w:p w:rsidR="00000000" w:rsidRDefault="00211603">
      <w:pPr>
        <w:pStyle w:val="a3"/>
        <w:spacing w:before="240" w:beforeAutospacing="0" w:after="0" w:afterAutospacing="0"/>
        <w:jc w:val="center"/>
        <w:rPr>
          <w:sz w:val="20"/>
          <w:szCs w:val="20"/>
        </w:rPr>
      </w:pPr>
      <w:r>
        <w:rPr>
          <w:sz w:val="20"/>
          <w:szCs w:val="20"/>
        </w:rPr>
        <w:t>3</w:t>
      </w:r>
    </w:p>
    <w:p w:rsidR="00000000" w:rsidRDefault="00211603">
      <w:pPr>
        <w:rPr>
          <w:rFonts w:eastAsia="Times New Roman"/>
        </w:rPr>
      </w:pPr>
      <w:r>
        <w:rPr>
          <w:rFonts w:eastAsia="Times New Roman"/>
        </w:rPr>
        <w:pict>
          <v:rect id="_x0000_i1027"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120" w:afterAutospacing="0"/>
        <w:ind w:firstLine="555"/>
        <w:rPr>
          <w:sz w:val="20"/>
          <w:szCs w:val="20"/>
        </w:rPr>
      </w:pPr>
      <w:r>
        <w:rPr>
          <w:sz w:val="20"/>
          <w:szCs w:val="20"/>
        </w:rPr>
        <w:t>The forward-looking statements made in this Quarterly Report on Form 10-Q relate only to events as of the date on which the st</w:t>
      </w:r>
      <w:r>
        <w:rPr>
          <w:sz w:val="20"/>
          <w:szCs w:val="20"/>
        </w:rPr>
        <w:t>atements are made. We undertake no obligation to update any forward-looking statements made in this Quarterly Report on Form 10-Q to reflect events or circumstances after the date of this Quarterly Report on Form 10-Q or to reflect new information or the o</w:t>
      </w:r>
      <w:r>
        <w:rPr>
          <w:sz w:val="20"/>
          <w:szCs w:val="20"/>
        </w:rPr>
        <w:t>ccurrence of unanticipated events, except as required by law</w:t>
      </w:r>
      <w:r>
        <w:rPr>
          <w:sz w:val="20"/>
          <w:szCs w:val="20"/>
        </w:rPr>
        <w:t>.</w:t>
      </w:r>
    </w:p>
    <w:p w:rsidR="00000000" w:rsidRDefault="00211603">
      <w:pPr>
        <w:pStyle w:val="a3"/>
        <w:spacing w:before="200" w:beforeAutospacing="0" w:after="120" w:afterAutospacing="0"/>
        <w:ind w:firstLine="555"/>
        <w:rPr>
          <w:sz w:val="20"/>
          <w:szCs w:val="20"/>
        </w:rPr>
      </w:pPr>
      <w:r>
        <w:rPr>
          <w:sz w:val="20"/>
          <w:szCs w:val="20"/>
        </w:rPr>
        <w:t>We may not actually achieve the plans, intentions or expectations disclosed in our forward-looking statements and you should not place undue reliance on our forward-looking statements. Our forwa</w:t>
      </w:r>
      <w:r>
        <w:rPr>
          <w:sz w:val="20"/>
          <w:szCs w:val="20"/>
        </w:rPr>
        <w:t>rd-looking statements do not reflect the potential impact of any future acquisitions, mergers, dispositions, joint ventures or investments we may make</w:t>
      </w:r>
      <w:r>
        <w:rPr>
          <w:sz w:val="20"/>
          <w:szCs w:val="20"/>
        </w:rPr>
        <w:t>.</w:t>
      </w:r>
    </w:p>
    <w:p w:rsidR="00000000" w:rsidRDefault="00211603">
      <w:pPr>
        <w:pStyle w:val="a3"/>
        <w:spacing w:before="200" w:beforeAutospacing="0" w:after="0" w:afterAutospacing="0"/>
        <w:ind w:firstLine="555"/>
        <w:rPr>
          <w:sz w:val="20"/>
          <w:szCs w:val="20"/>
        </w:rPr>
      </w:pPr>
      <w:r>
        <w:rPr>
          <w:sz w:val="20"/>
          <w:szCs w:val="20"/>
        </w:rPr>
        <w:t>In this Quarterly Report on Form 10-Q, the terms “HubSpot,” “we,” “us,” and “our” refer to HubSpot, Inc.</w:t>
      </w:r>
      <w:r>
        <w:rPr>
          <w:sz w:val="20"/>
          <w:szCs w:val="20"/>
        </w:rPr>
        <w:t xml:space="preserve"> and its subsidiaries, unless the context indicates otherwise</w:t>
      </w:r>
      <w:r>
        <w:rPr>
          <w:sz w:val="20"/>
          <w:szCs w:val="20"/>
        </w:rPr>
        <w:t>.</w:t>
      </w:r>
    </w:p>
    <w:p w:rsidR="00000000" w:rsidRDefault="00211603">
      <w:pPr>
        <w:pStyle w:val="a3"/>
        <w:spacing w:before="200" w:beforeAutospacing="0" w:after="0" w:afterAutospacing="0"/>
        <w:ind w:hanging="1220"/>
        <w:rPr>
          <w:sz w:val="20"/>
          <w:szCs w:val="20"/>
        </w:rPr>
      </w:pPr>
      <w:r>
        <w:rPr>
          <w:b/>
          <w:bCs/>
          <w:sz w:val="20"/>
          <w:szCs w:val="20"/>
        </w:rPr>
        <w:t>Risk Factor Summar</w:t>
      </w:r>
      <w:r>
        <w:rPr>
          <w:b/>
          <w:bCs/>
          <w:sz w:val="20"/>
          <w:szCs w:val="20"/>
        </w:rPr>
        <w:t>y</w:t>
      </w:r>
      <w:r>
        <w:rPr>
          <w:b/>
          <w:bCs/>
          <w:sz w:val="20"/>
          <w:szCs w:val="20"/>
        </w:rPr>
        <w:t xml:space="preserve"> </w:t>
      </w:r>
    </w:p>
    <w:p w:rsidR="00000000" w:rsidRDefault="00211603">
      <w:pPr>
        <w:pStyle w:val="a3"/>
        <w:spacing w:before="200" w:beforeAutospacing="0" w:after="0" w:afterAutospacing="0"/>
        <w:ind w:firstLine="816"/>
        <w:rPr>
          <w:sz w:val="20"/>
          <w:szCs w:val="20"/>
        </w:rPr>
      </w:pPr>
      <w:r>
        <w:rPr>
          <w:i/>
          <w:iCs/>
          <w:sz w:val="20"/>
          <w:szCs w:val="20"/>
        </w:rPr>
        <w:t xml:space="preserve">The risk factors detailed in Item 1A entitled “Risk Factors” in this Quarterly Report on Form 10-Q are the risks that we believe are material to our investors and a reader </w:t>
      </w:r>
      <w:r>
        <w:rPr>
          <w:i/>
          <w:iCs/>
          <w:sz w:val="20"/>
          <w:szCs w:val="20"/>
        </w:rPr>
        <w:t xml:space="preserve">should carefully consider them. Those risks are not all of the risks we face and other factors not presently known to us or that we currently believe are immaterial may also affect our business if they occur. The following is a summary of the risk factors </w:t>
      </w:r>
      <w:r>
        <w:rPr>
          <w:i/>
          <w:iCs/>
          <w:sz w:val="20"/>
          <w:szCs w:val="20"/>
        </w:rPr>
        <w:t>detailed in Item 1A</w:t>
      </w:r>
      <w:r>
        <w:rPr>
          <w:i/>
          <w:iCs/>
          <w:sz w:val="20"/>
          <w:szCs w:val="20"/>
        </w:rPr>
        <w:t>:</w:t>
      </w:r>
    </w:p>
    <w:p w:rsidR="00000000" w:rsidRDefault="00211603">
      <w:pPr>
        <w:divId w:val="1665619968"/>
        <w:rPr>
          <w:rFonts w:eastAsia="Times New Roman"/>
        </w:rPr>
      </w:pPr>
      <w:r>
        <w:rPr>
          <w:rFonts w:eastAsia="Times New Roman"/>
          <w:sz w:val="20"/>
          <w:szCs w:val="20"/>
        </w:rPr>
        <w:t>•</w:t>
      </w:r>
    </w:p>
    <w:p w:rsidR="00000000" w:rsidRDefault="00211603">
      <w:pPr>
        <w:divId w:val="1807701714"/>
        <w:rPr>
          <w:rFonts w:eastAsia="Times New Roman"/>
        </w:rPr>
      </w:pPr>
      <w:r>
        <w:rPr>
          <w:rFonts w:eastAsia="Times New Roman"/>
          <w:sz w:val="20"/>
          <w:szCs w:val="20"/>
        </w:rPr>
        <w:t>We are dependent upon customer renewals, the addition of new customers, increased revenue from existing customers and the continued growth of the market for a CRM Platform</w:t>
      </w:r>
      <w:r>
        <w:rPr>
          <w:rFonts w:eastAsia="Times New Roman"/>
          <w:sz w:val="20"/>
          <w:szCs w:val="20"/>
        </w:rPr>
        <w:t>.</w:t>
      </w:r>
    </w:p>
    <w:p w:rsidR="00000000" w:rsidRDefault="00211603">
      <w:pPr>
        <w:divId w:val="147795699"/>
        <w:rPr>
          <w:rFonts w:eastAsia="Times New Roman"/>
        </w:rPr>
      </w:pPr>
      <w:r>
        <w:rPr>
          <w:rFonts w:eastAsia="Times New Roman"/>
          <w:sz w:val="20"/>
          <w:szCs w:val="20"/>
        </w:rPr>
        <w:t>•</w:t>
      </w:r>
    </w:p>
    <w:p w:rsidR="00000000" w:rsidRDefault="00211603">
      <w:pPr>
        <w:divId w:val="194512510"/>
        <w:rPr>
          <w:rFonts w:eastAsia="Times New Roman"/>
        </w:rPr>
      </w:pPr>
      <w:r>
        <w:rPr>
          <w:rFonts w:eastAsia="Times New Roman"/>
          <w:sz w:val="20"/>
          <w:szCs w:val="20"/>
        </w:rPr>
        <w:t xml:space="preserve">We face significant competition from both established and </w:t>
      </w:r>
      <w:r>
        <w:rPr>
          <w:rFonts w:eastAsia="Times New Roman"/>
          <w:sz w:val="20"/>
          <w:szCs w:val="20"/>
        </w:rPr>
        <w:t>new companies offering marketing, sales and customer service software and other related applications, as well as internally developed software, which may harm our ability to add new customers, retain existing customers and grow our business</w:t>
      </w:r>
      <w:r>
        <w:rPr>
          <w:rFonts w:eastAsia="Times New Roman"/>
          <w:sz w:val="20"/>
          <w:szCs w:val="20"/>
        </w:rPr>
        <w:t>.</w:t>
      </w:r>
    </w:p>
    <w:p w:rsidR="00000000" w:rsidRDefault="00211603">
      <w:pPr>
        <w:divId w:val="1412317374"/>
        <w:rPr>
          <w:rFonts w:eastAsia="Times New Roman"/>
        </w:rPr>
      </w:pPr>
      <w:r>
        <w:rPr>
          <w:rFonts w:eastAsia="Times New Roman"/>
          <w:sz w:val="20"/>
          <w:szCs w:val="20"/>
        </w:rPr>
        <w:t>•</w:t>
      </w:r>
    </w:p>
    <w:p w:rsidR="00000000" w:rsidRDefault="00211603">
      <w:pPr>
        <w:divId w:val="891696971"/>
        <w:rPr>
          <w:rFonts w:eastAsia="Times New Roman"/>
        </w:rPr>
      </w:pPr>
      <w:r>
        <w:rPr>
          <w:rFonts w:eastAsia="Times New Roman"/>
          <w:sz w:val="20"/>
          <w:szCs w:val="20"/>
        </w:rPr>
        <w:t>Failure to e</w:t>
      </w:r>
      <w:r>
        <w:rPr>
          <w:rFonts w:eastAsia="Times New Roman"/>
          <w:sz w:val="20"/>
          <w:szCs w:val="20"/>
        </w:rPr>
        <w:t>ffectively develop and expand our marketing, sales, customer service, operations, and content management capabilities could harm our ability to increase our customer base and achieve broader market acceptance of our platform</w:t>
      </w:r>
      <w:r>
        <w:rPr>
          <w:rFonts w:eastAsia="Times New Roman"/>
          <w:sz w:val="20"/>
          <w:szCs w:val="20"/>
        </w:rPr>
        <w:t>.</w:t>
      </w:r>
    </w:p>
    <w:p w:rsidR="00000000" w:rsidRDefault="00211603">
      <w:pPr>
        <w:divId w:val="483087637"/>
        <w:rPr>
          <w:rFonts w:eastAsia="Times New Roman"/>
        </w:rPr>
      </w:pPr>
      <w:r>
        <w:rPr>
          <w:rFonts w:eastAsia="Times New Roman"/>
          <w:sz w:val="20"/>
          <w:szCs w:val="20"/>
        </w:rPr>
        <w:t>•</w:t>
      </w:r>
    </w:p>
    <w:p w:rsidR="00000000" w:rsidRDefault="00211603">
      <w:pPr>
        <w:divId w:val="1599875416"/>
        <w:rPr>
          <w:rFonts w:eastAsia="Times New Roman"/>
        </w:rPr>
      </w:pPr>
      <w:r>
        <w:rPr>
          <w:rFonts w:eastAsia="Times New Roman"/>
          <w:sz w:val="20"/>
          <w:szCs w:val="20"/>
        </w:rPr>
        <w:lastRenderedPageBreak/>
        <w:t>If we fail to adapt and resp</w:t>
      </w:r>
      <w:r>
        <w:rPr>
          <w:rFonts w:eastAsia="Times New Roman"/>
          <w:sz w:val="20"/>
          <w:szCs w:val="20"/>
        </w:rPr>
        <w:t>ond effectively to rapidly changing technology, evolving industry standards and changing customer needs or requirements, our CRM Platform may become less competitive</w:t>
      </w:r>
      <w:r>
        <w:rPr>
          <w:rFonts w:eastAsia="Times New Roman"/>
          <w:sz w:val="20"/>
          <w:szCs w:val="20"/>
        </w:rPr>
        <w:t>.</w:t>
      </w:r>
    </w:p>
    <w:p w:rsidR="00000000" w:rsidRDefault="00211603">
      <w:pPr>
        <w:divId w:val="678387983"/>
        <w:rPr>
          <w:rFonts w:eastAsia="Times New Roman"/>
        </w:rPr>
      </w:pPr>
      <w:r>
        <w:rPr>
          <w:rFonts w:eastAsia="Times New Roman"/>
          <w:sz w:val="20"/>
          <w:szCs w:val="20"/>
        </w:rPr>
        <w:t>•</w:t>
      </w:r>
    </w:p>
    <w:p w:rsidR="00000000" w:rsidRDefault="00211603">
      <w:pPr>
        <w:divId w:val="834875977"/>
        <w:rPr>
          <w:rFonts w:eastAsia="Times New Roman"/>
        </w:rPr>
      </w:pPr>
      <w:r>
        <w:rPr>
          <w:rFonts w:eastAsia="Times New Roman"/>
          <w:sz w:val="20"/>
          <w:szCs w:val="20"/>
        </w:rPr>
        <w:t>Our ability to introduce new products and features is dependent on adequate research an</w:t>
      </w:r>
      <w:r>
        <w:rPr>
          <w:rFonts w:eastAsia="Times New Roman"/>
          <w:sz w:val="20"/>
          <w:szCs w:val="20"/>
        </w:rPr>
        <w:t>d development resources. If we do not adequately fund our research and development efforts, we may not be able to compete effectively and our business and operating results may be harmed</w:t>
      </w:r>
      <w:r>
        <w:rPr>
          <w:rFonts w:eastAsia="Times New Roman"/>
          <w:sz w:val="20"/>
          <w:szCs w:val="20"/>
        </w:rPr>
        <w:t>.</w:t>
      </w:r>
    </w:p>
    <w:p w:rsidR="00000000" w:rsidRDefault="00211603">
      <w:pPr>
        <w:divId w:val="207495412"/>
        <w:rPr>
          <w:rFonts w:eastAsia="Times New Roman"/>
        </w:rPr>
      </w:pPr>
      <w:r>
        <w:rPr>
          <w:rFonts w:eastAsia="Times New Roman"/>
          <w:sz w:val="20"/>
          <w:szCs w:val="20"/>
        </w:rPr>
        <w:t>•</w:t>
      </w:r>
    </w:p>
    <w:p w:rsidR="00000000" w:rsidRDefault="00211603">
      <w:pPr>
        <w:divId w:val="644971529"/>
        <w:rPr>
          <w:rFonts w:eastAsia="Times New Roman"/>
        </w:rPr>
      </w:pPr>
      <w:r>
        <w:rPr>
          <w:rFonts w:eastAsia="Times New Roman"/>
          <w:sz w:val="20"/>
          <w:szCs w:val="20"/>
        </w:rPr>
        <w:t>Interruptions or delays in service from our third-party data center providers could impair our ability to deliver our platform to our customers, resulting in customer dissatisfaction, damage to our reputation, loss of customers, limited growth, and reducti</w:t>
      </w:r>
      <w:r>
        <w:rPr>
          <w:rFonts w:eastAsia="Times New Roman"/>
          <w:sz w:val="20"/>
          <w:szCs w:val="20"/>
        </w:rPr>
        <w:t>on in revenue</w:t>
      </w:r>
      <w:r>
        <w:rPr>
          <w:rFonts w:eastAsia="Times New Roman"/>
          <w:sz w:val="20"/>
          <w:szCs w:val="20"/>
        </w:rPr>
        <w:t>.</w:t>
      </w:r>
    </w:p>
    <w:p w:rsidR="00000000" w:rsidRDefault="00211603">
      <w:pPr>
        <w:divId w:val="1622028450"/>
        <w:rPr>
          <w:rFonts w:eastAsia="Times New Roman"/>
        </w:rPr>
      </w:pPr>
      <w:r>
        <w:rPr>
          <w:rFonts w:eastAsia="Times New Roman"/>
          <w:sz w:val="20"/>
          <w:szCs w:val="20"/>
        </w:rPr>
        <w:t>•</w:t>
      </w:r>
    </w:p>
    <w:p w:rsidR="00000000" w:rsidRDefault="00211603">
      <w:pPr>
        <w:divId w:val="1112093375"/>
        <w:rPr>
          <w:rFonts w:eastAsia="Times New Roman"/>
        </w:rPr>
      </w:pPr>
      <w:r>
        <w:rPr>
          <w:rFonts w:eastAsia="Times New Roman"/>
          <w:sz w:val="20"/>
          <w:szCs w:val="20"/>
        </w:rPr>
        <w:t>If our CRM Platform has outages or fails due to defects or similar problems, and if we fail to correct any defect or other software problems, we could lose customers, become subject to service performance or warranty claims or incur signif</w:t>
      </w:r>
      <w:r>
        <w:rPr>
          <w:rFonts w:eastAsia="Times New Roman"/>
          <w:sz w:val="20"/>
          <w:szCs w:val="20"/>
        </w:rPr>
        <w:t>icant costs</w:t>
      </w:r>
      <w:r>
        <w:rPr>
          <w:rFonts w:eastAsia="Times New Roman"/>
          <w:sz w:val="20"/>
          <w:szCs w:val="20"/>
        </w:rPr>
        <w:t>.</w:t>
      </w:r>
    </w:p>
    <w:p w:rsidR="00000000" w:rsidRDefault="00211603">
      <w:pPr>
        <w:divId w:val="802119311"/>
        <w:rPr>
          <w:rFonts w:eastAsia="Times New Roman"/>
        </w:rPr>
      </w:pPr>
      <w:r>
        <w:rPr>
          <w:rFonts w:eastAsia="Times New Roman"/>
          <w:sz w:val="20"/>
          <w:szCs w:val="20"/>
        </w:rPr>
        <w:t>•</w:t>
      </w:r>
    </w:p>
    <w:p w:rsidR="00000000" w:rsidRDefault="00211603">
      <w:pPr>
        <w:divId w:val="1598632981"/>
        <w:rPr>
          <w:rFonts w:eastAsia="Times New Roman"/>
        </w:rPr>
      </w:pPr>
      <w:r>
        <w:rPr>
          <w:rFonts w:eastAsia="Times New Roman"/>
          <w:sz w:val="20"/>
          <w:szCs w:val="20"/>
        </w:rPr>
        <w:t>If our or our customers’ security measures are compromised or unauthorized access to data of our customers or their customers is otherwise obtained, our CRM Platform may be perceived as not being secure, our customers may be harmed and may c</w:t>
      </w:r>
      <w:r>
        <w:rPr>
          <w:rFonts w:eastAsia="Times New Roman"/>
          <w:sz w:val="20"/>
          <w:szCs w:val="20"/>
        </w:rPr>
        <w:t>urtail or cease their use of our platform, our reputation may be damaged and we may incur significant liabilities</w:t>
      </w:r>
      <w:r>
        <w:rPr>
          <w:rFonts w:eastAsia="Times New Roman"/>
          <w:sz w:val="20"/>
          <w:szCs w:val="20"/>
        </w:rPr>
        <w:t>.</w:t>
      </w:r>
    </w:p>
    <w:p w:rsidR="00000000" w:rsidRDefault="00211603">
      <w:pPr>
        <w:divId w:val="1626766255"/>
        <w:rPr>
          <w:rFonts w:eastAsia="Times New Roman"/>
        </w:rPr>
      </w:pPr>
      <w:r>
        <w:rPr>
          <w:rFonts w:eastAsia="Times New Roman"/>
          <w:sz w:val="20"/>
          <w:szCs w:val="20"/>
        </w:rPr>
        <w:t>•</w:t>
      </w:r>
    </w:p>
    <w:p w:rsidR="00000000" w:rsidRDefault="00211603">
      <w:pPr>
        <w:divId w:val="1225290459"/>
        <w:rPr>
          <w:rFonts w:eastAsia="Times New Roman"/>
        </w:rPr>
      </w:pPr>
      <w:r>
        <w:rPr>
          <w:rFonts w:eastAsia="Times New Roman"/>
          <w:sz w:val="20"/>
          <w:szCs w:val="20"/>
        </w:rPr>
        <w:t>We have a history of losses and may not achieve profitability in the future</w:t>
      </w:r>
      <w:r>
        <w:rPr>
          <w:rFonts w:eastAsia="Times New Roman"/>
          <w:sz w:val="20"/>
          <w:szCs w:val="20"/>
        </w:rPr>
        <w:t>.</w:t>
      </w:r>
    </w:p>
    <w:p w:rsidR="00000000" w:rsidRDefault="00211603">
      <w:pPr>
        <w:divId w:val="1981182511"/>
        <w:rPr>
          <w:rFonts w:eastAsia="Times New Roman"/>
        </w:rPr>
      </w:pPr>
      <w:r>
        <w:rPr>
          <w:rFonts w:eastAsia="Times New Roman"/>
          <w:sz w:val="20"/>
          <w:szCs w:val="20"/>
        </w:rPr>
        <w:t>•</w:t>
      </w:r>
    </w:p>
    <w:p w:rsidR="00000000" w:rsidRDefault="00211603">
      <w:pPr>
        <w:divId w:val="69618816"/>
        <w:rPr>
          <w:rFonts w:eastAsia="Times New Roman"/>
        </w:rPr>
      </w:pPr>
      <w:r>
        <w:rPr>
          <w:rFonts w:eastAsia="Times New Roman"/>
          <w:sz w:val="20"/>
          <w:szCs w:val="20"/>
        </w:rPr>
        <w:t>We may experience quarterly fluctuations in our operating re</w:t>
      </w:r>
      <w:r>
        <w:rPr>
          <w:rFonts w:eastAsia="Times New Roman"/>
          <w:sz w:val="20"/>
          <w:szCs w:val="20"/>
        </w:rPr>
        <w:t>sults due to a number of factors, which makes our future results difficult to predict and could cause our operating results to fall below expectations or our guidance</w:t>
      </w:r>
      <w:r>
        <w:rPr>
          <w:rFonts w:eastAsia="Times New Roman"/>
          <w:sz w:val="20"/>
          <w:szCs w:val="20"/>
        </w:rPr>
        <w:t>.</w:t>
      </w:r>
    </w:p>
    <w:p w:rsidR="00000000" w:rsidRDefault="00211603">
      <w:pPr>
        <w:divId w:val="1131902432"/>
        <w:rPr>
          <w:rFonts w:eastAsia="Times New Roman"/>
        </w:rPr>
      </w:pPr>
      <w:r>
        <w:rPr>
          <w:rFonts w:eastAsia="Times New Roman"/>
          <w:sz w:val="20"/>
          <w:szCs w:val="20"/>
        </w:rPr>
        <w:t>•</w:t>
      </w:r>
    </w:p>
    <w:p w:rsidR="00000000" w:rsidRDefault="00211603">
      <w:pPr>
        <w:divId w:val="636499029"/>
        <w:rPr>
          <w:rFonts w:eastAsia="Times New Roman"/>
        </w:rPr>
      </w:pPr>
      <w:r>
        <w:rPr>
          <w:rFonts w:eastAsia="Times New Roman"/>
          <w:sz w:val="20"/>
          <w:szCs w:val="20"/>
        </w:rPr>
        <w:t>If we do not accurately predict subscription renewal rates or otherwise fail to foreca</w:t>
      </w:r>
      <w:r>
        <w:rPr>
          <w:rFonts w:eastAsia="Times New Roman"/>
          <w:sz w:val="20"/>
          <w:szCs w:val="20"/>
        </w:rPr>
        <w:t>st our revenue accurately, or if we fail to match our expenditures with corresponding revenue, our operating results could be adversely affected</w:t>
      </w:r>
      <w:r>
        <w:rPr>
          <w:rFonts w:eastAsia="Times New Roman"/>
          <w:sz w:val="20"/>
          <w:szCs w:val="20"/>
        </w:rPr>
        <w:t>.</w:t>
      </w:r>
    </w:p>
    <w:p w:rsidR="00000000" w:rsidRDefault="00211603">
      <w:pPr>
        <w:divId w:val="1628273839"/>
        <w:rPr>
          <w:rFonts w:eastAsia="Times New Roman"/>
        </w:rPr>
      </w:pPr>
      <w:r>
        <w:rPr>
          <w:rFonts w:eastAsia="Times New Roman"/>
          <w:sz w:val="20"/>
          <w:szCs w:val="20"/>
        </w:rPr>
        <w:t>•</w:t>
      </w:r>
    </w:p>
    <w:p w:rsidR="00000000" w:rsidRDefault="00211603">
      <w:pPr>
        <w:divId w:val="727729293"/>
        <w:rPr>
          <w:rFonts w:eastAsia="Times New Roman"/>
        </w:rPr>
      </w:pPr>
      <w:r>
        <w:rPr>
          <w:rFonts w:eastAsia="Times New Roman"/>
          <w:sz w:val="20"/>
          <w:szCs w:val="20"/>
        </w:rPr>
        <w:t>Our ability to raise capital in the future may be limited, and our failure to raise capital when needed coul</w:t>
      </w:r>
      <w:r>
        <w:rPr>
          <w:rFonts w:eastAsia="Times New Roman"/>
          <w:sz w:val="20"/>
          <w:szCs w:val="20"/>
        </w:rPr>
        <w:t>d prevent us from growing</w:t>
      </w:r>
      <w:r>
        <w:rPr>
          <w:rFonts w:eastAsia="Times New Roman"/>
          <w:sz w:val="20"/>
          <w:szCs w:val="20"/>
        </w:rPr>
        <w:t>.</w:t>
      </w:r>
    </w:p>
    <w:p w:rsidR="00000000" w:rsidRDefault="00211603">
      <w:pPr>
        <w:pStyle w:val="a3"/>
        <w:spacing w:before="240" w:beforeAutospacing="0" w:after="0" w:afterAutospacing="0"/>
        <w:jc w:val="center"/>
        <w:rPr>
          <w:sz w:val="20"/>
          <w:szCs w:val="20"/>
        </w:rPr>
      </w:pPr>
      <w:r>
        <w:rPr>
          <w:sz w:val="20"/>
          <w:szCs w:val="20"/>
        </w:rPr>
        <w:t>4</w:t>
      </w:r>
    </w:p>
    <w:p w:rsidR="00000000" w:rsidRDefault="00211603">
      <w:pPr>
        <w:rPr>
          <w:rFonts w:eastAsia="Times New Roman"/>
        </w:rPr>
      </w:pPr>
      <w:r>
        <w:rPr>
          <w:rFonts w:eastAsia="Times New Roman"/>
        </w:rPr>
        <w:pict>
          <v:rect id="_x0000_i1028"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PART I — Financ</w:t>
      </w:r>
      <w:r>
        <w:rPr>
          <w:b/>
          <w:bCs/>
          <w:sz w:val="20"/>
          <w:szCs w:val="20"/>
        </w:rPr>
        <w:t>i</w:t>
      </w:r>
      <w:r>
        <w:rPr>
          <w:b/>
          <w:bCs/>
          <w:sz w:val="20"/>
          <w:szCs w:val="20"/>
        </w:rPr>
        <w:t>al Informatio</w:t>
      </w:r>
      <w:r>
        <w:rPr>
          <w:b/>
          <w:bCs/>
          <w:sz w:val="20"/>
          <w:szCs w:val="20"/>
        </w:rPr>
        <w:t>n</w:t>
      </w:r>
    </w:p>
    <w:p w:rsidR="00000000" w:rsidRDefault="00211603">
      <w:pPr>
        <w:pStyle w:val="a3"/>
        <w:spacing w:before="0" w:beforeAutospacing="0" w:after="0" w:afterAutospacing="0"/>
        <w:rPr>
          <w:sz w:val="20"/>
          <w:szCs w:val="20"/>
        </w:rPr>
      </w:pPr>
      <w:r>
        <w:rPr>
          <w:sz w:val="12"/>
          <w:szCs w:val="12"/>
        </w:rPr>
        <w:t> </w:t>
      </w:r>
    </w:p>
    <w:p w:rsidR="00000000" w:rsidRDefault="00211603">
      <w:pPr>
        <w:pStyle w:val="a3"/>
        <w:spacing w:before="0" w:beforeAutospacing="0" w:after="0" w:afterAutospacing="0"/>
        <w:rPr>
          <w:sz w:val="20"/>
          <w:szCs w:val="20"/>
        </w:rPr>
      </w:pPr>
      <w:r>
        <w:rPr>
          <w:sz w:val="12"/>
          <w:szCs w:val="12"/>
        </w:rPr>
        <w:t> </w:t>
      </w:r>
    </w:p>
    <w:p w:rsidR="00000000" w:rsidRDefault="00211603">
      <w:pPr>
        <w:pStyle w:val="a3"/>
        <w:spacing w:before="0" w:beforeAutospacing="0" w:after="0" w:afterAutospacing="0"/>
        <w:ind w:hanging="1220"/>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rsidR="00000000" w:rsidRDefault="00211603">
      <w:pPr>
        <w:pStyle w:val="a3"/>
        <w:spacing w:before="240" w:beforeAutospacing="0" w:after="0" w:afterAutospacing="0"/>
        <w:jc w:val="center"/>
        <w:rPr>
          <w:sz w:val="20"/>
          <w:szCs w:val="20"/>
        </w:rPr>
      </w:pPr>
      <w:r>
        <w:rPr>
          <w:b/>
          <w:bCs/>
          <w:sz w:val="20"/>
          <w:szCs w:val="20"/>
        </w:rPr>
        <w:t>HubSpot, Inc</w:t>
      </w:r>
      <w:r>
        <w:rPr>
          <w:b/>
          <w:bCs/>
          <w:sz w:val="20"/>
          <w:szCs w:val="20"/>
        </w:rPr>
        <w:t>.</w:t>
      </w:r>
    </w:p>
    <w:p w:rsidR="00000000" w:rsidRDefault="00211603">
      <w:pPr>
        <w:pStyle w:val="a3"/>
        <w:spacing w:before="0" w:beforeAutospacing="0" w:after="0" w:afterAutospacing="0"/>
        <w:jc w:val="center"/>
        <w:rPr>
          <w:sz w:val="20"/>
          <w:szCs w:val="20"/>
        </w:rPr>
      </w:pPr>
      <w:r>
        <w:rPr>
          <w:b/>
          <w:bCs/>
          <w:sz w:val="20"/>
          <w:szCs w:val="20"/>
        </w:rPr>
        <w:t>Unaudited Consolid</w:t>
      </w:r>
      <w:r>
        <w:rPr>
          <w:b/>
          <w:bCs/>
          <w:sz w:val="20"/>
          <w:szCs w:val="20"/>
        </w:rPr>
        <w:t>a</w:t>
      </w:r>
      <w:r>
        <w:rPr>
          <w:b/>
          <w:bCs/>
          <w:sz w:val="20"/>
          <w:szCs w:val="20"/>
        </w:rPr>
        <w:t>ted Balance Sheet</w:t>
      </w:r>
      <w:r>
        <w:rPr>
          <w:b/>
          <w:bCs/>
          <w:sz w:val="20"/>
          <w:szCs w:val="20"/>
        </w:rPr>
        <w:t>s</w:t>
      </w:r>
    </w:p>
    <w:p w:rsidR="00000000" w:rsidRDefault="00211603">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21160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9"/>
        <w:gridCol w:w="135"/>
        <w:gridCol w:w="160"/>
        <w:gridCol w:w="1034"/>
        <w:gridCol w:w="127"/>
        <w:gridCol w:w="135"/>
        <w:gridCol w:w="160"/>
        <w:gridCol w:w="1034"/>
        <w:gridCol w:w="142"/>
      </w:tblGrid>
      <w:tr w:rsidR="00000000">
        <w:trPr>
          <w:tblCellSpacing w:w="15" w:type="dxa"/>
        </w:trPr>
        <w:tc>
          <w:tcPr>
            <w:tcW w:w="3344" w:type="pct"/>
            <w:vAlign w:val="center"/>
            <w:hideMark/>
          </w:tcPr>
          <w:p w:rsidR="00000000" w:rsidRDefault="00211603">
            <w:pPr>
              <w:rPr>
                <w:sz w:val="20"/>
                <w:szCs w:val="20"/>
              </w:rPr>
            </w:pPr>
          </w:p>
        </w:tc>
        <w:tc>
          <w:tcPr>
            <w:tcW w:w="79" w:type="pct"/>
            <w:vAlign w:val="center"/>
            <w:hideMark/>
          </w:tcPr>
          <w:p w:rsidR="00000000" w:rsidRDefault="00211603">
            <w:pPr>
              <w:rPr>
                <w:rFonts w:eastAsia="Times New Roman"/>
                <w:sz w:val="20"/>
                <w:szCs w:val="20"/>
              </w:rPr>
            </w:pPr>
          </w:p>
        </w:tc>
        <w:tc>
          <w:tcPr>
            <w:tcW w:w="60" w:type="pct"/>
            <w:vAlign w:val="center"/>
            <w:hideMark/>
          </w:tcPr>
          <w:p w:rsidR="00000000" w:rsidRDefault="00211603">
            <w:pPr>
              <w:rPr>
                <w:rFonts w:eastAsia="Times New Roman"/>
                <w:sz w:val="20"/>
                <w:szCs w:val="20"/>
              </w:rPr>
            </w:pPr>
          </w:p>
        </w:tc>
        <w:tc>
          <w:tcPr>
            <w:tcW w:w="640" w:type="pct"/>
            <w:vAlign w:val="center"/>
            <w:hideMark/>
          </w:tcPr>
          <w:p w:rsidR="00000000" w:rsidRDefault="00211603">
            <w:pPr>
              <w:rPr>
                <w:rFonts w:eastAsia="Times New Roman"/>
                <w:sz w:val="20"/>
                <w:szCs w:val="20"/>
              </w:rPr>
            </w:pPr>
          </w:p>
        </w:tc>
        <w:tc>
          <w:tcPr>
            <w:tcW w:w="48" w:type="pct"/>
            <w:vAlign w:val="center"/>
            <w:hideMark/>
          </w:tcPr>
          <w:p w:rsidR="00000000" w:rsidRDefault="00211603">
            <w:pPr>
              <w:rPr>
                <w:rFonts w:eastAsia="Times New Roman"/>
                <w:sz w:val="20"/>
                <w:szCs w:val="20"/>
              </w:rPr>
            </w:pPr>
          </w:p>
        </w:tc>
        <w:tc>
          <w:tcPr>
            <w:tcW w:w="79" w:type="pct"/>
            <w:vAlign w:val="center"/>
            <w:hideMark/>
          </w:tcPr>
          <w:p w:rsidR="00000000" w:rsidRDefault="00211603">
            <w:pPr>
              <w:rPr>
                <w:rFonts w:eastAsia="Times New Roman"/>
                <w:sz w:val="20"/>
                <w:szCs w:val="20"/>
              </w:rPr>
            </w:pPr>
          </w:p>
        </w:tc>
        <w:tc>
          <w:tcPr>
            <w:tcW w:w="60" w:type="pct"/>
            <w:vAlign w:val="center"/>
            <w:hideMark/>
          </w:tcPr>
          <w:p w:rsidR="00000000" w:rsidRDefault="00211603">
            <w:pPr>
              <w:rPr>
                <w:rFonts w:eastAsia="Times New Roman"/>
                <w:sz w:val="20"/>
                <w:szCs w:val="20"/>
              </w:rPr>
            </w:pPr>
          </w:p>
        </w:tc>
        <w:tc>
          <w:tcPr>
            <w:tcW w:w="640" w:type="pct"/>
            <w:vAlign w:val="center"/>
            <w:hideMark/>
          </w:tcPr>
          <w:p w:rsidR="00000000" w:rsidRDefault="00211603">
            <w:pPr>
              <w:rPr>
                <w:rFonts w:eastAsia="Times New Roman"/>
                <w:sz w:val="20"/>
                <w:szCs w:val="20"/>
              </w:rPr>
            </w:pPr>
          </w:p>
        </w:tc>
        <w:tc>
          <w:tcPr>
            <w:tcW w:w="48"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408,43</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377,01</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Short-term investment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826,44</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820,96</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lastRenderedPageBreak/>
              <w:t xml:space="preserve">Accounts receivable — net of allowance for doubtful accounts of </w:t>
            </w:r>
            <w:r>
              <w:rPr>
                <w:sz w:val="20"/>
                <w:szCs w:val="20"/>
              </w:rPr>
              <w:t>$</w:t>
            </w:r>
            <w:r>
              <w:rPr>
                <w:sz w:val="20"/>
                <w:szCs w:val="20"/>
              </w:rPr>
              <w:t>1,83</w:t>
            </w:r>
            <w:r>
              <w:rPr>
                <w:sz w:val="20"/>
                <w:szCs w:val="20"/>
              </w:rPr>
              <w:t>6</w:t>
            </w:r>
            <w:r>
              <w:rPr>
                <w:sz w:val="20"/>
                <w:szCs w:val="20"/>
              </w:rPr>
              <w:t> and</w:t>
            </w:r>
            <w:r>
              <w:rPr>
                <w:sz w:val="20"/>
                <w:szCs w:val="20"/>
              </w:rPr>
              <w:br/>
              <w:t>   </w:t>
            </w:r>
            <w:r>
              <w:rPr>
                <w:sz w:val="20"/>
                <w:szCs w:val="20"/>
              </w:rPr>
              <w:t>$</w:t>
            </w:r>
            <w:r>
              <w:rPr>
                <w:sz w:val="20"/>
                <w:szCs w:val="20"/>
              </w:rPr>
              <w:t>1,76</w:t>
            </w:r>
            <w:r>
              <w:rPr>
                <w:sz w:val="20"/>
                <w:szCs w:val="20"/>
              </w:rPr>
              <w:t>8</w:t>
            </w:r>
            <w:r>
              <w:rPr>
                <w:sz w:val="20"/>
                <w:szCs w:val="20"/>
              </w:rPr>
              <w:t> </w:t>
            </w:r>
            <w:r>
              <w:rPr>
                <w:sz w:val="20"/>
                <w:szCs w:val="20"/>
              </w:rPr>
              <w:t>at March 31, 2022 and December 31, 2021, respectivel</w:t>
            </w:r>
            <w:r>
              <w:rPr>
                <w:sz w:val="20"/>
                <w:szCs w:val="20"/>
              </w:rPr>
              <w:t>y</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152,72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157,36</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Deferred commission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63,21</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59,84</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40,26</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38,38</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1,491,08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1,453,57</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Long-term investment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195,04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174,89</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102,75</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96,13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44,02</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39,85</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Right-of-use asset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276,54</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280,82</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Deferred commission expense, net of current portio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47,18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42,68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39,91</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29,24</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9,98</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10,56</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46,77</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47,07</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b/>
                <w:bCs/>
                <w:sz w:val="20"/>
                <w:szCs w:val="20"/>
              </w:rPr>
              <w:t>Total asset</w:t>
            </w:r>
            <w:r>
              <w:rPr>
                <w:b/>
                <w:bCs/>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2,253,30</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2,174,85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8,32</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2,77</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Accrued compensation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60,59</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63,83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84,82</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74,45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Convertible senior note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19,36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19,63</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30,94</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26,36</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Deferred revenu</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457,91</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430,41</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661,97</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617,47</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Operating lease liabilities, net of current portio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278,05</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283,87</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4,47</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21,99</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12,13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Convertible senior notes, net of current portio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452,74</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383,10</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1,419,46</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1,301,05</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Commitments and contingencies (Note 10</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Common stoc</w:t>
            </w:r>
            <w:r>
              <w:rPr>
                <w:sz w:val="20"/>
                <w:szCs w:val="20"/>
              </w:rPr>
              <w:t>k</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1,378,45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1,436,08</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5,69</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538,97</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560,99</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833,83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873,79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b/>
                <w:bCs/>
                <w:sz w:val="20"/>
                <w:szCs w:val="20"/>
              </w:rPr>
              <w:t>Total liabilities and stockholders’ equit</w:t>
            </w:r>
            <w:r>
              <w:rPr>
                <w:b/>
                <w:bCs/>
                <w:sz w:val="20"/>
                <w:szCs w:val="20"/>
              </w:rPr>
              <w:t>y</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2,253,30</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2,174,85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211603">
      <w:pPr>
        <w:pStyle w:val="a3"/>
        <w:spacing w:before="240" w:beforeAutospacing="0" w:after="0" w:afterAutospacing="0"/>
        <w:jc w:val="center"/>
        <w:rPr>
          <w:sz w:val="20"/>
          <w:szCs w:val="20"/>
        </w:rPr>
      </w:pPr>
      <w:r>
        <w:rPr>
          <w:sz w:val="20"/>
          <w:szCs w:val="20"/>
        </w:rPr>
        <w:t>5</w:t>
      </w:r>
    </w:p>
    <w:p w:rsidR="00000000" w:rsidRDefault="00211603">
      <w:pPr>
        <w:rPr>
          <w:rFonts w:eastAsia="Times New Roman"/>
        </w:rPr>
      </w:pPr>
      <w:r>
        <w:rPr>
          <w:rFonts w:eastAsia="Times New Roman"/>
        </w:rPr>
        <w:pict>
          <v:rect id="_x0000_i1029"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211603">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Operation</w:t>
      </w:r>
      <w:r>
        <w:rPr>
          <w:b/>
          <w:bCs/>
          <w:sz w:val="20"/>
          <w:szCs w:val="20"/>
        </w:rPr>
        <w:t>s</w:t>
      </w:r>
    </w:p>
    <w:p w:rsidR="00000000" w:rsidRDefault="00211603">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21160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59"/>
        <w:gridCol w:w="242"/>
        <w:gridCol w:w="1048"/>
        <w:gridCol w:w="127"/>
        <w:gridCol w:w="127"/>
        <w:gridCol w:w="160"/>
        <w:gridCol w:w="1301"/>
        <w:gridCol w:w="142"/>
      </w:tblGrid>
      <w:tr w:rsidR="00000000">
        <w:trPr>
          <w:tblCellSpacing w:w="15" w:type="dxa"/>
        </w:trPr>
        <w:tc>
          <w:tcPr>
            <w:tcW w:w="3192" w:type="pct"/>
            <w:vAlign w:val="center"/>
            <w:hideMark/>
          </w:tcPr>
          <w:p w:rsidR="00000000" w:rsidRDefault="00211603">
            <w:pPr>
              <w:rPr>
                <w:sz w:val="20"/>
                <w:szCs w:val="20"/>
              </w:rPr>
            </w:pPr>
          </w:p>
        </w:tc>
        <w:tc>
          <w:tcPr>
            <w:tcW w:w="145" w:type="pct"/>
            <w:vAlign w:val="center"/>
            <w:hideMark/>
          </w:tcPr>
          <w:p w:rsidR="00000000" w:rsidRDefault="00211603">
            <w:pPr>
              <w:rPr>
                <w:rFonts w:eastAsia="Times New Roman"/>
                <w:sz w:val="20"/>
                <w:szCs w:val="20"/>
              </w:rPr>
            </w:pPr>
          </w:p>
        </w:tc>
        <w:tc>
          <w:tcPr>
            <w:tcW w:w="645"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c>
          <w:tcPr>
            <w:tcW w:w="73" w:type="pct"/>
            <w:vAlign w:val="center"/>
            <w:hideMark/>
          </w:tcPr>
          <w:p w:rsidR="00000000" w:rsidRDefault="00211603">
            <w:pPr>
              <w:rPr>
                <w:rFonts w:eastAsia="Times New Roman"/>
                <w:sz w:val="20"/>
                <w:szCs w:val="20"/>
              </w:rPr>
            </w:pPr>
          </w:p>
        </w:tc>
        <w:tc>
          <w:tcPr>
            <w:tcW w:w="60" w:type="pct"/>
            <w:vAlign w:val="center"/>
            <w:hideMark/>
          </w:tcPr>
          <w:p w:rsidR="00000000" w:rsidRDefault="00211603">
            <w:pPr>
              <w:rPr>
                <w:rFonts w:eastAsia="Times New Roman"/>
                <w:sz w:val="20"/>
                <w:szCs w:val="20"/>
              </w:rPr>
            </w:pPr>
          </w:p>
        </w:tc>
        <w:tc>
          <w:tcPr>
            <w:tcW w:w="802"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For the 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Revenues</w:t>
            </w:r>
            <w:r>
              <w:rPr>
                <w:sz w:val="20"/>
                <w:szCs w:val="20"/>
              </w:rPr>
              <w:t>:</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384,95</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270,26</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10,64</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11,10</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600"/>
              <w:rPr>
                <w:sz w:val="20"/>
                <w:szCs w:val="20"/>
              </w:rPr>
            </w:pPr>
            <w:r>
              <w:rPr>
                <w:sz w:val="20"/>
                <w:szCs w:val="20"/>
              </w:rPr>
              <w:t>Total revenu</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395,59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281,36</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Cost of revenues</w:t>
            </w:r>
            <w:r>
              <w:rPr>
                <w:sz w:val="20"/>
                <w:szCs w:val="20"/>
              </w:rPr>
              <w:t>:</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59,38</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43,85</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13,55</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10,88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72,93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54,73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322,66</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226,63</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92,73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68,39</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197,13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141,01</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43,94</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32,25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333,81</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241,66</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11,15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15,03</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Other expense</w:t>
            </w:r>
            <w:r>
              <w:rPr>
                <w:sz w:val="20"/>
                <w:szCs w:val="20"/>
              </w:rPr>
              <w:t>:</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51</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95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9,39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Other incom</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3,69</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66</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8,26</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7,89</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23,29</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Income tax (expense) benefi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1,44</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9,34</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23,15</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0.2</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0.5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xml:space="preserve">Weighted average common shares used in </w:t>
            </w:r>
            <w:r>
              <w:rPr>
                <w:sz w:val="20"/>
                <w:szCs w:val="20"/>
              </w:rPr>
              <w:br/>
              <w:t>  </w:t>
            </w:r>
            <w:r>
              <w:rPr>
                <w:sz w:val="20"/>
                <w:szCs w:val="20"/>
              </w:rPr>
              <w:t>computing basic and diluted net loss per share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47,57</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46,42</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211603">
      <w:pPr>
        <w:pStyle w:val="a3"/>
        <w:spacing w:before="240" w:beforeAutospacing="0" w:after="0" w:afterAutospacing="0"/>
        <w:jc w:val="center"/>
        <w:rPr>
          <w:sz w:val="20"/>
          <w:szCs w:val="20"/>
        </w:rPr>
      </w:pPr>
      <w:r>
        <w:rPr>
          <w:sz w:val="20"/>
          <w:szCs w:val="20"/>
        </w:rPr>
        <w:t>6</w:t>
      </w:r>
    </w:p>
    <w:p w:rsidR="00000000" w:rsidRDefault="00211603">
      <w:pPr>
        <w:rPr>
          <w:rFonts w:eastAsia="Times New Roman"/>
        </w:rPr>
      </w:pPr>
      <w:r>
        <w:rPr>
          <w:rFonts w:eastAsia="Times New Roman"/>
        </w:rPr>
        <w:pict>
          <v:rect id="_x0000_i1030"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211603">
      <w:pPr>
        <w:pStyle w:val="a3"/>
        <w:spacing w:before="0" w:beforeAutospacing="0" w:after="0" w:afterAutospacing="0"/>
        <w:jc w:val="center"/>
        <w:rPr>
          <w:sz w:val="20"/>
          <w:szCs w:val="20"/>
        </w:rPr>
      </w:pPr>
      <w:r>
        <w:rPr>
          <w:b/>
          <w:bCs/>
          <w:sz w:val="20"/>
          <w:szCs w:val="20"/>
        </w:rPr>
        <w:t>Unaudited Consolidated Stat</w:t>
      </w:r>
      <w:r>
        <w:rPr>
          <w:b/>
          <w:bCs/>
          <w:sz w:val="20"/>
          <w:szCs w:val="20"/>
        </w:rPr>
        <w:t>e</w:t>
      </w:r>
      <w:r>
        <w:rPr>
          <w:b/>
          <w:bCs/>
          <w:sz w:val="20"/>
          <w:szCs w:val="20"/>
        </w:rPr>
        <w:t>ments of Comprehensive Los</w:t>
      </w:r>
      <w:r>
        <w:rPr>
          <w:b/>
          <w:bCs/>
          <w:sz w:val="20"/>
          <w:szCs w:val="20"/>
        </w:rPr>
        <w:t>s</w:t>
      </w:r>
    </w:p>
    <w:p w:rsidR="00000000" w:rsidRDefault="00211603">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21160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1"/>
        <w:gridCol w:w="160"/>
        <w:gridCol w:w="1126"/>
        <w:gridCol w:w="127"/>
        <w:gridCol w:w="134"/>
        <w:gridCol w:w="160"/>
        <w:gridCol w:w="1126"/>
        <w:gridCol w:w="142"/>
      </w:tblGrid>
      <w:tr w:rsidR="00000000">
        <w:trPr>
          <w:tblCellSpacing w:w="15" w:type="dxa"/>
        </w:trPr>
        <w:tc>
          <w:tcPr>
            <w:tcW w:w="3308" w:type="pct"/>
            <w:vAlign w:val="center"/>
            <w:hideMark/>
          </w:tcPr>
          <w:p w:rsidR="00000000" w:rsidRDefault="00211603">
            <w:pPr>
              <w:rPr>
                <w:sz w:val="20"/>
                <w:szCs w:val="20"/>
              </w:rPr>
            </w:pPr>
          </w:p>
        </w:tc>
        <w:tc>
          <w:tcPr>
            <w:tcW w:w="60" w:type="pct"/>
            <w:vAlign w:val="center"/>
            <w:hideMark/>
          </w:tcPr>
          <w:p w:rsidR="00000000" w:rsidRDefault="00211603">
            <w:pPr>
              <w:rPr>
                <w:rFonts w:eastAsia="Times New Roman"/>
                <w:sz w:val="20"/>
                <w:szCs w:val="20"/>
              </w:rPr>
            </w:pPr>
          </w:p>
        </w:tc>
        <w:tc>
          <w:tcPr>
            <w:tcW w:w="702"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c>
          <w:tcPr>
            <w:tcW w:w="86" w:type="pct"/>
            <w:vAlign w:val="center"/>
            <w:hideMark/>
          </w:tcPr>
          <w:p w:rsidR="00000000" w:rsidRDefault="00211603">
            <w:pPr>
              <w:rPr>
                <w:rFonts w:eastAsia="Times New Roman"/>
                <w:sz w:val="20"/>
                <w:szCs w:val="20"/>
              </w:rPr>
            </w:pPr>
          </w:p>
        </w:tc>
        <w:tc>
          <w:tcPr>
            <w:tcW w:w="60" w:type="pct"/>
            <w:vAlign w:val="center"/>
            <w:hideMark/>
          </w:tcPr>
          <w:p w:rsidR="00000000" w:rsidRDefault="00211603">
            <w:pPr>
              <w:rPr>
                <w:rFonts w:eastAsia="Times New Roman"/>
                <w:sz w:val="20"/>
                <w:szCs w:val="20"/>
              </w:rPr>
            </w:pPr>
          </w:p>
        </w:tc>
        <w:tc>
          <w:tcPr>
            <w:tcW w:w="702"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For the 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9,34</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23,15</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Other comprehensive loss</w:t>
            </w:r>
            <w:r>
              <w:rPr>
                <w:sz w:val="20"/>
                <w:szCs w:val="20"/>
              </w:rPr>
              <w:t>:</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Foreign currency translation adjustmen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35</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2,48</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11603">
            <w:pPr>
              <w:pStyle w:val="a3"/>
              <w:spacing w:before="0" w:beforeAutospacing="0" w:after="0" w:afterAutospacing="0"/>
              <w:ind w:left="200"/>
              <w:rPr>
                <w:sz w:val="20"/>
                <w:szCs w:val="20"/>
              </w:rPr>
            </w:pPr>
            <w:r>
              <w:rPr>
                <w:sz w:val="20"/>
                <w:szCs w:val="20"/>
              </w:rPr>
              <w:t xml:space="preserve">Changes in unrealized loss on investments, net of income taxes </w:t>
            </w:r>
            <w:r>
              <w:rPr>
                <w:sz w:val="20"/>
                <w:szCs w:val="20"/>
              </w:rPr>
              <w:br/>
              <w:t xml:space="preserve">  of </w:t>
            </w:r>
            <w:r>
              <w:rPr>
                <w:sz w:val="20"/>
                <w:szCs w:val="20"/>
              </w:rPr>
              <w:t>$</w:t>
            </w:r>
            <w:r>
              <w:rPr>
                <w:sz w:val="20"/>
                <w:szCs w:val="20"/>
              </w:rPr>
              <w:t>0</w:t>
            </w:r>
            <w:r>
              <w:rPr>
                <w:sz w:val="20"/>
                <w:szCs w:val="20"/>
              </w:rPr>
              <w:t> </w:t>
            </w:r>
            <w:r>
              <w:rPr>
                <w:sz w:val="20"/>
                <w:szCs w:val="20"/>
              </w:rPr>
              <w:t>for the three months ended March 31, 2022 and (</w:t>
            </w:r>
            <w:r>
              <w:rPr>
                <w:sz w:val="20"/>
                <w:szCs w:val="20"/>
              </w:rPr>
              <w:t>$</w:t>
            </w:r>
            <w:r>
              <w:rPr>
                <w:sz w:val="20"/>
                <w:szCs w:val="20"/>
              </w:rPr>
              <w:t>3</w:t>
            </w:r>
            <w:r>
              <w:rPr>
                <w:sz w:val="20"/>
                <w:szCs w:val="20"/>
              </w:rPr>
              <w:t>6</w:t>
            </w:r>
            <w:r>
              <w:rPr>
                <w:sz w:val="20"/>
                <w:szCs w:val="20"/>
              </w:rPr>
              <w:t xml:space="preserve">) for </w:t>
            </w:r>
            <w:r>
              <w:rPr>
                <w:sz w:val="20"/>
                <w:szCs w:val="20"/>
              </w:rPr>
              <w:br/>
              <w:t>  the three months ended March 31, 202</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4,00</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24</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13,69</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25,88</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211603">
      <w:pPr>
        <w:pStyle w:val="a3"/>
        <w:spacing w:before="4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7</w:t>
      </w:r>
    </w:p>
    <w:p w:rsidR="00000000" w:rsidRDefault="00211603">
      <w:pPr>
        <w:rPr>
          <w:rFonts w:eastAsia="Times New Roman"/>
        </w:rPr>
      </w:pPr>
      <w:r>
        <w:rPr>
          <w:rFonts w:eastAsia="Times New Roman"/>
        </w:rPr>
        <w:pict>
          <v:rect id="_x0000_i1031"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211603">
      <w:pPr>
        <w:pStyle w:val="a3"/>
        <w:spacing w:before="0" w:beforeAutospacing="0" w:after="0" w:afterAutospacing="0"/>
        <w:jc w:val="center"/>
        <w:rPr>
          <w:sz w:val="20"/>
          <w:szCs w:val="20"/>
        </w:rPr>
      </w:pPr>
      <w:r>
        <w:rPr>
          <w:b/>
          <w:bCs/>
          <w:sz w:val="20"/>
          <w:szCs w:val="20"/>
        </w:rPr>
        <w:t>Unaudited Consolidated Statements of Stockholders' Equit</w:t>
      </w:r>
      <w:r>
        <w:rPr>
          <w:b/>
          <w:bCs/>
          <w:sz w:val="20"/>
          <w:szCs w:val="20"/>
        </w:rPr>
        <w:t>y</w:t>
      </w:r>
    </w:p>
    <w:p w:rsidR="00000000" w:rsidRDefault="00211603">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rsidR="00000000" w:rsidRDefault="00211603">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08"/>
        <w:gridCol w:w="108"/>
        <w:gridCol w:w="155"/>
        <w:gridCol w:w="250"/>
        <w:gridCol w:w="108"/>
        <w:gridCol w:w="108"/>
        <w:gridCol w:w="109"/>
        <w:gridCol w:w="418"/>
        <w:gridCol w:w="108"/>
        <w:gridCol w:w="108"/>
        <w:gridCol w:w="155"/>
        <w:gridCol w:w="250"/>
        <w:gridCol w:w="108"/>
        <w:gridCol w:w="108"/>
        <w:gridCol w:w="155"/>
        <w:gridCol w:w="820"/>
        <w:gridCol w:w="124"/>
        <w:gridCol w:w="108"/>
        <w:gridCol w:w="156"/>
        <w:gridCol w:w="916"/>
        <w:gridCol w:w="124"/>
        <w:gridCol w:w="108"/>
        <w:gridCol w:w="156"/>
        <w:gridCol w:w="771"/>
        <w:gridCol w:w="124"/>
        <w:gridCol w:w="108"/>
        <w:gridCol w:w="155"/>
        <w:gridCol w:w="678"/>
        <w:gridCol w:w="139"/>
      </w:tblGrid>
      <w:tr w:rsidR="00000000">
        <w:trPr>
          <w:tblCellSpacing w:w="15" w:type="dxa"/>
        </w:trPr>
        <w:tc>
          <w:tcPr>
            <w:tcW w:w="1470" w:type="pct"/>
            <w:vAlign w:val="center"/>
            <w:hideMark/>
          </w:tcPr>
          <w:p w:rsidR="00000000" w:rsidRDefault="00211603">
            <w:pPr>
              <w:rPr>
                <w:sz w:val="20"/>
                <w:szCs w:val="20"/>
              </w:rPr>
            </w:pPr>
          </w:p>
        </w:tc>
        <w:tc>
          <w:tcPr>
            <w:tcW w:w="29" w:type="pct"/>
            <w:vAlign w:val="center"/>
            <w:hideMark/>
          </w:tcPr>
          <w:p w:rsidR="00000000" w:rsidRDefault="00211603">
            <w:pPr>
              <w:rPr>
                <w:rFonts w:eastAsia="Times New Roman"/>
                <w:sz w:val="20"/>
                <w:szCs w:val="20"/>
              </w:rPr>
            </w:pPr>
          </w:p>
        </w:tc>
        <w:tc>
          <w:tcPr>
            <w:tcW w:w="356"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143"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242"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151"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389"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447"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389"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50"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388"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r>
      <w:tr w:rsidR="00000000">
        <w:trPr>
          <w:trHeight w:val="140"/>
          <w:tblCellSpacing w:w="15" w:type="dxa"/>
        </w:trPr>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5"/>
                <w:szCs w:val="15"/>
              </w:rPr>
            </w:pPr>
            <w:r>
              <w:rPr>
                <w:b/>
                <w:bCs/>
                <w:sz w:val="15"/>
                <w:szCs w:val="15"/>
              </w:rPr>
              <w:t>Common</w:t>
            </w:r>
            <w:r>
              <w:rPr>
                <w:b/>
                <w:bCs/>
                <w:sz w:val="15"/>
                <w:szCs w:val="15"/>
              </w:rPr>
              <w:br/>
              <w:t>Stock, $0.001</w:t>
            </w:r>
            <w:r>
              <w:rPr>
                <w:b/>
                <w:bCs/>
                <w:sz w:val="15"/>
                <w:szCs w:val="15"/>
              </w:rPr>
              <w:br/>
              <w:t>Par Valu</w:t>
            </w:r>
            <w:r>
              <w:rPr>
                <w:b/>
                <w:bCs/>
                <w:sz w:val="15"/>
                <w:szCs w:val="15"/>
              </w:rPr>
              <w:t>e</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211603">
            <w:pPr>
              <w:pStyle w:val="a3"/>
              <w:spacing w:before="0" w:beforeAutospacing="0" w:after="0" w:afterAutospacing="0"/>
              <w:jc w:val="center"/>
              <w:rPr>
                <w:sz w:val="15"/>
                <w:szCs w:val="15"/>
              </w:rPr>
            </w:pPr>
            <w:r>
              <w:rPr>
                <w:b/>
                <w:bCs/>
                <w:sz w:val="15"/>
                <w:szCs w:val="15"/>
              </w:rPr>
              <w:t>Treasury Stock, $0.001</w:t>
            </w:r>
            <w:r>
              <w:rPr>
                <w:b/>
                <w:bCs/>
                <w:sz w:val="15"/>
                <w:szCs w:val="15"/>
              </w:rPr>
              <w:br/>
              <w:t>Par Valu</w:t>
            </w:r>
            <w:r>
              <w:rPr>
                <w:b/>
                <w:bCs/>
                <w:sz w:val="15"/>
                <w:szCs w:val="15"/>
              </w:rPr>
              <w:t>e</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Additional</w:t>
            </w:r>
            <w:r>
              <w:rPr>
                <w:b/>
                <w:bCs/>
                <w:sz w:val="15"/>
                <w:szCs w:val="15"/>
              </w:rPr>
              <w:br/>
              <w:t>Paid-I</w:t>
            </w:r>
            <w:r>
              <w:rPr>
                <w:b/>
                <w:bCs/>
                <w:sz w:val="15"/>
                <w:szCs w:val="15"/>
              </w:rPr>
              <w:t>n</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Accumulated</w:t>
            </w:r>
            <w:r>
              <w:rPr>
                <w:b/>
                <w:bCs/>
                <w:sz w:val="15"/>
                <w:szCs w:val="15"/>
              </w:rPr>
              <w:br/>
              <w:t>Other</w:t>
            </w:r>
            <w:r>
              <w:rPr>
                <w:b/>
                <w:bCs/>
                <w:sz w:val="15"/>
                <w:szCs w:val="15"/>
              </w:rPr>
              <w:br/>
              <w:t>Comprehensiv</w:t>
            </w:r>
            <w:r>
              <w:rPr>
                <w:b/>
                <w:bCs/>
                <w:sz w:val="15"/>
                <w:szCs w:val="15"/>
              </w:rPr>
              <w:t>e</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Accumulate</w:t>
            </w:r>
            <w:r>
              <w:rPr>
                <w:b/>
                <w:bCs/>
                <w:sz w:val="15"/>
                <w:szCs w:val="15"/>
              </w:rPr>
              <w:t>d</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Capita</w:t>
            </w:r>
            <w:r>
              <w:rPr>
                <w:b/>
                <w:bCs/>
                <w:sz w:val="15"/>
                <w:szCs w:val="15"/>
              </w:rPr>
              <w:t>l</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Incom</w:t>
            </w:r>
            <w:r>
              <w:rPr>
                <w:b/>
                <w:bCs/>
                <w:sz w:val="15"/>
                <w:szCs w:val="15"/>
              </w:rPr>
              <w:t>e</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Defici</w:t>
            </w:r>
            <w:r>
              <w:rPr>
                <w:b/>
                <w:bCs/>
                <w:sz w:val="15"/>
                <w:szCs w:val="15"/>
              </w:rPr>
              <w:t>t</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Tota</w:t>
            </w:r>
            <w:r>
              <w:rPr>
                <w:b/>
                <w:bCs/>
                <w:sz w:val="15"/>
                <w:szCs w:val="15"/>
              </w:rPr>
              <w:t>l</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Balances at December 31, 202</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47,39</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91</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1,436,08</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1,33</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560,99</w:t>
            </w:r>
            <w:r>
              <w:rPr>
                <w:sz w:val="19"/>
                <w:szCs w:val="19"/>
              </w:rPr>
              <w:t>8</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873,79</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 xml:space="preserve">Issuance of common stock under stock </w:t>
            </w:r>
            <w:r>
              <w:rPr>
                <w:sz w:val="19"/>
                <w:szCs w:val="19"/>
              </w:rPr>
              <w:br/>
              <w:t>  plan</w:t>
            </w:r>
            <w:r>
              <w:rPr>
                <w:sz w:val="19"/>
                <w:szCs w:val="19"/>
              </w:rPr>
              <w:t>s</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25</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2,14</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2,14</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Restricted stock units taxes paid in cas</w:t>
            </w:r>
            <w:r>
              <w:rPr>
                <w:sz w:val="19"/>
                <w:szCs w:val="19"/>
              </w:rPr>
              <w:t>h</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4,35</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4,35</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Stock-based compensatio</w:t>
            </w:r>
            <w:r>
              <w:rPr>
                <w:sz w:val="19"/>
                <w:szCs w:val="19"/>
              </w:rPr>
              <w:t>n</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46,43</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46,43</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Conversion of the 2025 Note</w:t>
            </w:r>
            <w:r>
              <w:rPr>
                <w:sz w:val="19"/>
                <w:szCs w:val="19"/>
              </w:rPr>
              <w:t>s</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 xml:space="preserve">Cumulative adjustment from adoption of </w:t>
            </w:r>
            <w:r>
              <w:rPr>
                <w:sz w:val="19"/>
                <w:szCs w:val="19"/>
              </w:rPr>
              <w:br/>
              <w:t>  convertible debt standard (Note 8</w:t>
            </w: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101,16</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31,36</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69,80</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35</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35</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19"/>
                <w:szCs w:val="19"/>
              </w:rPr>
              <w:t>Unrealized loss on investments, net of</w:t>
            </w:r>
            <w:r>
              <w:rPr>
                <w:sz w:val="19"/>
                <w:szCs w:val="19"/>
              </w:rPr>
              <w:br/>
              <w:t xml:space="preserve">  income taxes of </w:t>
            </w:r>
            <w:r>
              <w:rPr>
                <w:sz w:val="19"/>
                <w:szCs w:val="19"/>
              </w:rPr>
              <w:t>$</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4,00</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4,00</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Net los</w:t>
            </w:r>
            <w:r>
              <w:rPr>
                <w:sz w:val="19"/>
                <w:szCs w:val="19"/>
              </w:rPr>
              <w:t>s</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9,34</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9,34</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Balances at March 31, 202</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47,64</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w:t>
            </w:r>
            <w:r>
              <w:rPr>
                <w:sz w:val="19"/>
                <w:szCs w:val="19"/>
              </w:rPr>
              <w:t>8</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91</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1,378,45</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5,69</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538,97</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833,83</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bl>
    <w:p w:rsidR="00000000" w:rsidRDefault="00211603">
      <w:pPr>
        <w:pStyle w:val="a3"/>
        <w:spacing w:before="0" w:beforeAutospacing="0" w:after="0" w:afterAutospacing="0"/>
        <w:jc w:val="center"/>
        <w:rPr>
          <w:sz w:val="20"/>
          <w:szCs w:val="20"/>
        </w:rPr>
      </w:pPr>
      <w:r>
        <w:rPr>
          <w:sz w:val="20"/>
          <w:szCs w:val="20"/>
        </w:rPr>
        <w:t> </w:t>
      </w:r>
    </w:p>
    <w:p w:rsidR="00000000" w:rsidRDefault="00211603">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24"/>
        <w:gridCol w:w="108"/>
        <w:gridCol w:w="155"/>
        <w:gridCol w:w="250"/>
        <w:gridCol w:w="108"/>
        <w:gridCol w:w="108"/>
        <w:gridCol w:w="109"/>
        <w:gridCol w:w="426"/>
        <w:gridCol w:w="108"/>
        <w:gridCol w:w="108"/>
        <w:gridCol w:w="155"/>
        <w:gridCol w:w="250"/>
        <w:gridCol w:w="108"/>
        <w:gridCol w:w="155"/>
        <w:gridCol w:w="820"/>
        <w:gridCol w:w="124"/>
        <w:gridCol w:w="108"/>
        <w:gridCol w:w="156"/>
        <w:gridCol w:w="923"/>
        <w:gridCol w:w="124"/>
        <w:gridCol w:w="108"/>
        <w:gridCol w:w="156"/>
        <w:gridCol w:w="758"/>
        <w:gridCol w:w="124"/>
        <w:gridCol w:w="108"/>
        <w:gridCol w:w="155"/>
        <w:gridCol w:w="678"/>
        <w:gridCol w:w="139"/>
      </w:tblGrid>
      <w:tr w:rsidR="00000000">
        <w:trPr>
          <w:tblCellSpacing w:w="15" w:type="dxa"/>
        </w:trPr>
        <w:tc>
          <w:tcPr>
            <w:tcW w:w="1433" w:type="pct"/>
            <w:vAlign w:val="center"/>
            <w:hideMark/>
          </w:tcPr>
          <w:p w:rsidR="00000000" w:rsidRDefault="00211603">
            <w:pPr>
              <w:rPr>
                <w:sz w:val="20"/>
                <w:szCs w:val="20"/>
              </w:rPr>
            </w:pPr>
          </w:p>
        </w:tc>
        <w:tc>
          <w:tcPr>
            <w:tcW w:w="29" w:type="pct"/>
            <w:vAlign w:val="center"/>
            <w:hideMark/>
          </w:tcPr>
          <w:p w:rsidR="00000000" w:rsidRDefault="00211603">
            <w:pPr>
              <w:rPr>
                <w:rFonts w:eastAsia="Times New Roman"/>
                <w:sz w:val="20"/>
                <w:szCs w:val="20"/>
              </w:rPr>
            </w:pPr>
          </w:p>
        </w:tc>
        <w:tc>
          <w:tcPr>
            <w:tcW w:w="294"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180"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302"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180"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466"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479"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342"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57" w:type="pct"/>
            <w:vAlign w:val="center"/>
            <w:hideMark/>
          </w:tcPr>
          <w:p w:rsidR="00000000" w:rsidRDefault="00211603">
            <w:pPr>
              <w:rPr>
                <w:rFonts w:eastAsia="Times New Roman"/>
                <w:sz w:val="20"/>
                <w:szCs w:val="20"/>
              </w:rPr>
            </w:pPr>
          </w:p>
        </w:tc>
        <w:tc>
          <w:tcPr>
            <w:tcW w:w="342"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r>
      <w:tr w:rsidR="00000000">
        <w:trPr>
          <w:trHeight w:val="140"/>
          <w:tblCellSpacing w:w="15" w:type="dxa"/>
        </w:trPr>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5"/>
                <w:szCs w:val="15"/>
              </w:rPr>
            </w:pPr>
            <w:r>
              <w:rPr>
                <w:b/>
                <w:bCs/>
                <w:sz w:val="15"/>
                <w:szCs w:val="15"/>
              </w:rPr>
              <w:t>Common</w:t>
            </w:r>
            <w:r>
              <w:rPr>
                <w:b/>
                <w:bCs/>
                <w:sz w:val="15"/>
                <w:szCs w:val="15"/>
              </w:rPr>
              <w:br/>
              <w:t>Stock, $0.001</w:t>
            </w:r>
            <w:r>
              <w:rPr>
                <w:b/>
                <w:bCs/>
                <w:sz w:val="15"/>
                <w:szCs w:val="15"/>
              </w:rPr>
              <w:br/>
              <w:t>Par Valu</w:t>
            </w:r>
            <w:r>
              <w:rPr>
                <w:b/>
                <w:bCs/>
                <w:sz w:val="15"/>
                <w:szCs w:val="15"/>
              </w:rPr>
              <w:t>e</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211603">
            <w:pPr>
              <w:pStyle w:val="a3"/>
              <w:spacing w:before="0" w:beforeAutospacing="0" w:after="0" w:afterAutospacing="0"/>
              <w:jc w:val="center"/>
              <w:rPr>
                <w:sz w:val="15"/>
                <w:szCs w:val="15"/>
              </w:rPr>
            </w:pPr>
            <w:r>
              <w:rPr>
                <w:b/>
                <w:bCs/>
                <w:sz w:val="15"/>
                <w:szCs w:val="15"/>
              </w:rPr>
              <w:t>Treasury Stock, $0.001</w:t>
            </w:r>
            <w:r>
              <w:rPr>
                <w:b/>
                <w:bCs/>
                <w:sz w:val="15"/>
                <w:szCs w:val="15"/>
              </w:rPr>
              <w:br/>
              <w:t>Par Valu</w:t>
            </w:r>
            <w:r>
              <w:rPr>
                <w:b/>
                <w:bCs/>
                <w:sz w:val="15"/>
                <w:szCs w:val="15"/>
              </w:rPr>
              <w:t>e</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Additional</w:t>
            </w:r>
            <w:r>
              <w:rPr>
                <w:b/>
                <w:bCs/>
                <w:sz w:val="15"/>
                <w:szCs w:val="15"/>
              </w:rPr>
              <w:br/>
              <w:t>Paid-I</w:t>
            </w:r>
            <w:r>
              <w:rPr>
                <w:b/>
                <w:bCs/>
                <w:sz w:val="15"/>
                <w:szCs w:val="15"/>
              </w:rPr>
              <w:t>n</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Accumulated</w:t>
            </w:r>
            <w:r>
              <w:rPr>
                <w:b/>
                <w:bCs/>
                <w:sz w:val="15"/>
                <w:szCs w:val="15"/>
              </w:rPr>
              <w:br/>
              <w:t>Other</w:t>
            </w:r>
            <w:r>
              <w:rPr>
                <w:b/>
                <w:bCs/>
                <w:sz w:val="15"/>
                <w:szCs w:val="15"/>
              </w:rPr>
              <w:br/>
              <w:t>Comprehensiv</w:t>
            </w:r>
            <w:r>
              <w:rPr>
                <w:b/>
                <w:bCs/>
                <w:sz w:val="15"/>
                <w:szCs w:val="15"/>
              </w:rPr>
              <w:t>e</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Accumulate</w:t>
            </w:r>
            <w:r>
              <w:rPr>
                <w:b/>
                <w:bCs/>
                <w:sz w:val="15"/>
                <w:szCs w:val="15"/>
              </w:rPr>
              <w:t>d</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211603">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Capita</w:t>
            </w:r>
            <w:r>
              <w:rPr>
                <w:b/>
                <w:bCs/>
                <w:sz w:val="15"/>
                <w:szCs w:val="15"/>
              </w:rPr>
              <w:t>l</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(Loss</w:t>
            </w:r>
            <w:r>
              <w:rPr>
                <w:b/>
                <w:bCs/>
                <w:sz w:val="15"/>
                <w:szCs w:val="15"/>
              </w:rPr>
              <w:t>)</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211603">
            <w:pPr>
              <w:pStyle w:val="a3"/>
              <w:spacing w:before="0" w:beforeAutospacing="0" w:after="0" w:afterAutospacing="0"/>
              <w:jc w:val="center"/>
              <w:rPr>
                <w:sz w:val="15"/>
                <w:szCs w:val="15"/>
              </w:rPr>
            </w:pPr>
            <w:r>
              <w:rPr>
                <w:b/>
                <w:bCs/>
                <w:sz w:val="15"/>
                <w:szCs w:val="15"/>
              </w:rPr>
              <w:t>Defici</w:t>
            </w:r>
            <w:r>
              <w:rPr>
                <w:b/>
                <w:bCs/>
                <w:sz w:val="15"/>
                <w:szCs w:val="15"/>
              </w:rPr>
              <w:t>t</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211603">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211603">
            <w:pPr>
              <w:pStyle w:val="a3"/>
              <w:spacing w:before="0" w:beforeAutospacing="0" w:after="0" w:afterAutospacing="0"/>
              <w:jc w:val="center"/>
              <w:rPr>
                <w:sz w:val="15"/>
                <w:szCs w:val="15"/>
              </w:rPr>
            </w:pPr>
            <w:r>
              <w:rPr>
                <w:b/>
                <w:bCs/>
                <w:sz w:val="15"/>
                <w:szCs w:val="15"/>
              </w:rPr>
              <w:t>Tota</w:t>
            </w:r>
            <w:r>
              <w:rPr>
                <w:b/>
                <w:bCs/>
                <w:sz w:val="15"/>
                <w:szCs w:val="15"/>
              </w:rPr>
              <w:t>l</w:t>
            </w:r>
          </w:p>
        </w:tc>
        <w:tc>
          <w:tcPr>
            <w:tcW w:w="0" w:type="auto"/>
            <w:vAlign w:val="bottom"/>
            <w:hideMark/>
          </w:tcPr>
          <w:p w:rsidR="00000000" w:rsidRDefault="00211603">
            <w:pPr>
              <w:pStyle w:val="a3"/>
              <w:spacing w:before="0" w:beforeAutospacing="0" w:after="0" w:afterAutospacing="0"/>
              <w:jc w:val="center"/>
              <w:rPr>
                <w:sz w:val="15"/>
                <w:szCs w:val="15"/>
              </w:rPr>
            </w:pPr>
            <w:r>
              <w:rPr>
                <w:sz w:val="15"/>
                <w:szCs w:val="15"/>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Balances at December 31, 202</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46,11</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1,241,16</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4,60</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483,16</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762,65</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 xml:space="preserve">Issuance of common stock under stock </w:t>
            </w:r>
            <w:r>
              <w:rPr>
                <w:sz w:val="19"/>
                <w:szCs w:val="19"/>
              </w:rPr>
              <w:br/>
              <w:t xml:space="preserve">  plans, net of shares withheld </w:t>
            </w:r>
            <w:r>
              <w:rPr>
                <w:sz w:val="19"/>
                <w:szCs w:val="19"/>
              </w:rPr>
              <w:br/>
              <w:t>  for employee taxe</w:t>
            </w:r>
            <w:r>
              <w:rPr>
                <w:sz w:val="19"/>
                <w:szCs w:val="19"/>
              </w:rPr>
              <w:t>s</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48</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6,58</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6,58</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Stock-based compensatio</w:t>
            </w:r>
            <w:r>
              <w:rPr>
                <w:sz w:val="19"/>
                <w:szCs w:val="19"/>
              </w:rPr>
              <w:t>n</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32,94</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32,94</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36</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2,30</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2,30</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36</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36</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72</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72</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2,48</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2,48</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19"/>
                <w:szCs w:val="19"/>
              </w:rPr>
              <w:t>Unrealized gain on investments, net of</w:t>
            </w:r>
            <w:r>
              <w:rPr>
                <w:sz w:val="19"/>
                <w:szCs w:val="19"/>
              </w:rPr>
              <w:br/>
              <w:t>  income taxes of (</w:t>
            </w:r>
            <w:r>
              <w:rPr>
                <w:sz w:val="19"/>
                <w:szCs w:val="19"/>
              </w:rPr>
              <w:t>$</w:t>
            </w:r>
            <w:r>
              <w:rPr>
                <w:sz w:val="19"/>
                <w:szCs w:val="19"/>
              </w:rPr>
              <w:t>3</w:t>
            </w:r>
            <w:r>
              <w:rPr>
                <w:sz w:val="19"/>
                <w:szCs w:val="19"/>
              </w:rPr>
              <w:t>6</w:t>
            </w: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24</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24</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Net los</w:t>
            </w:r>
            <w:r>
              <w:rPr>
                <w:sz w:val="19"/>
                <w:szCs w:val="19"/>
              </w:rPr>
              <w:t>s</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23,15</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23,15</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Balances at March 31, 202</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46,59</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37</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1,279,11</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1,87</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w:t>
            </w:r>
            <w:r>
              <w:rPr>
                <w:sz w:val="19"/>
                <w:szCs w:val="19"/>
              </w:rPr>
              <w:t>506,32</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774,71</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bl>
    <w:p w:rsidR="00000000" w:rsidRDefault="00211603">
      <w:pPr>
        <w:pStyle w:val="a3"/>
        <w:spacing w:before="0" w:beforeAutospacing="0" w:after="0" w:afterAutospacing="0"/>
        <w:jc w:val="center"/>
        <w:rPr>
          <w:sz w:val="20"/>
          <w:szCs w:val="20"/>
        </w:rPr>
      </w:pPr>
      <w:r>
        <w:rPr>
          <w:sz w:val="20"/>
          <w:szCs w:val="20"/>
        </w:rPr>
        <w:t> </w:t>
      </w:r>
    </w:p>
    <w:p w:rsidR="00000000" w:rsidRDefault="00211603">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211603">
      <w:pPr>
        <w:pStyle w:val="a3"/>
        <w:spacing w:before="4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8</w:t>
      </w:r>
    </w:p>
    <w:p w:rsidR="00000000" w:rsidRDefault="00211603">
      <w:pPr>
        <w:rPr>
          <w:rFonts w:eastAsia="Times New Roman"/>
        </w:rPr>
      </w:pPr>
      <w:r>
        <w:rPr>
          <w:rFonts w:eastAsia="Times New Roman"/>
        </w:rPr>
        <w:pict>
          <v:rect id="_x0000_i1032"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211603">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Cash Flow</w:t>
      </w:r>
      <w:r>
        <w:rPr>
          <w:b/>
          <w:bCs/>
          <w:sz w:val="20"/>
          <w:szCs w:val="20"/>
        </w:rPr>
        <w:t>s</w:t>
      </w:r>
    </w:p>
    <w:p w:rsidR="00000000" w:rsidRDefault="00211603">
      <w:pPr>
        <w:pStyle w:val="a3"/>
        <w:spacing w:before="40" w:beforeAutospacing="0" w:after="0" w:afterAutospacing="0"/>
        <w:jc w:val="center"/>
        <w:rPr>
          <w:sz w:val="20"/>
          <w:szCs w:val="20"/>
        </w:rPr>
      </w:pPr>
      <w:r>
        <w:rPr>
          <w:b/>
          <w:bCs/>
          <w:sz w:val="20"/>
          <w:szCs w:val="20"/>
        </w:rPr>
        <w:t>(in thousands</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6"/>
        <w:gridCol w:w="117"/>
        <w:gridCol w:w="140"/>
        <w:gridCol w:w="946"/>
        <w:gridCol w:w="114"/>
        <w:gridCol w:w="118"/>
        <w:gridCol w:w="140"/>
        <w:gridCol w:w="946"/>
        <w:gridCol w:w="129"/>
      </w:tblGrid>
      <w:tr w:rsidR="00000000">
        <w:trPr>
          <w:tblCellSpacing w:w="15" w:type="dxa"/>
        </w:trPr>
        <w:tc>
          <w:tcPr>
            <w:tcW w:w="3519" w:type="pct"/>
            <w:vAlign w:val="center"/>
            <w:hideMark/>
          </w:tcPr>
          <w:p w:rsidR="00000000" w:rsidRDefault="00211603">
            <w:pPr>
              <w:rPr>
                <w:sz w:val="20"/>
                <w:szCs w:val="20"/>
              </w:rPr>
            </w:pPr>
          </w:p>
        </w:tc>
        <w:tc>
          <w:tcPr>
            <w:tcW w:w="71" w:type="pct"/>
            <w:vAlign w:val="center"/>
            <w:hideMark/>
          </w:tcPr>
          <w:p w:rsidR="00000000" w:rsidRDefault="00211603">
            <w:pPr>
              <w:rPr>
                <w:rFonts w:eastAsia="Times New Roman"/>
                <w:sz w:val="20"/>
                <w:szCs w:val="20"/>
              </w:rPr>
            </w:pPr>
          </w:p>
        </w:tc>
        <w:tc>
          <w:tcPr>
            <w:tcW w:w="48" w:type="pct"/>
            <w:vAlign w:val="center"/>
            <w:hideMark/>
          </w:tcPr>
          <w:p w:rsidR="00000000" w:rsidRDefault="00211603">
            <w:pPr>
              <w:rPr>
                <w:rFonts w:eastAsia="Times New Roman"/>
                <w:sz w:val="20"/>
                <w:szCs w:val="20"/>
              </w:rPr>
            </w:pPr>
          </w:p>
        </w:tc>
        <w:tc>
          <w:tcPr>
            <w:tcW w:w="588" w:type="pct"/>
            <w:vAlign w:val="center"/>
            <w:hideMark/>
          </w:tcPr>
          <w:p w:rsidR="00000000" w:rsidRDefault="00211603">
            <w:pPr>
              <w:rPr>
                <w:rFonts w:eastAsia="Times New Roman"/>
                <w:sz w:val="20"/>
                <w:szCs w:val="20"/>
              </w:rPr>
            </w:pPr>
          </w:p>
        </w:tc>
        <w:tc>
          <w:tcPr>
            <w:tcW w:w="32"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48" w:type="pct"/>
            <w:vAlign w:val="center"/>
            <w:hideMark/>
          </w:tcPr>
          <w:p w:rsidR="00000000" w:rsidRDefault="00211603">
            <w:pPr>
              <w:rPr>
                <w:rFonts w:eastAsia="Times New Roman"/>
                <w:sz w:val="20"/>
                <w:szCs w:val="20"/>
              </w:rPr>
            </w:pPr>
          </w:p>
        </w:tc>
        <w:tc>
          <w:tcPr>
            <w:tcW w:w="588" w:type="pct"/>
            <w:vAlign w:val="center"/>
            <w:hideMark/>
          </w:tcPr>
          <w:p w:rsidR="00000000" w:rsidRDefault="00211603">
            <w:pPr>
              <w:rPr>
                <w:rFonts w:eastAsia="Times New Roman"/>
                <w:sz w:val="20"/>
                <w:szCs w:val="20"/>
              </w:rPr>
            </w:pPr>
          </w:p>
        </w:tc>
        <w:tc>
          <w:tcPr>
            <w:tcW w:w="32"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For the 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Operating Activities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Net los</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9,34</w:t>
            </w:r>
            <w:r>
              <w:rPr>
                <w:sz w:val="16"/>
                <w:szCs w:val="16"/>
              </w:rPr>
              <w:t>1</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23,15</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Adjustments to reconcile net loss to net cash and cash equivalents provided</w:t>
            </w:r>
            <w:r>
              <w:rPr>
                <w:sz w:val="16"/>
                <w:szCs w:val="16"/>
              </w:rPr>
              <w:br/>
              <w:t>   by operating activities, net of acquisition</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Depreciation and amortizatio</w:t>
            </w:r>
            <w:r>
              <w:rPr>
                <w:sz w:val="16"/>
                <w:szCs w:val="16"/>
              </w:rPr>
              <w:t>n</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12,79</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11,20</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Stock-based compensatio</w:t>
            </w:r>
            <w:r>
              <w:rPr>
                <w:sz w:val="16"/>
                <w:szCs w:val="16"/>
              </w:rPr>
              <w:t>n</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45,70</w:t>
            </w:r>
            <w:r>
              <w:rPr>
                <w:sz w:val="16"/>
                <w:szCs w:val="16"/>
              </w:rPr>
              <w:t>4</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32,42</w:t>
            </w:r>
            <w:r>
              <w:rPr>
                <w:sz w:val="16"/>
                <w:szCs w:val="16"/>
              </w:rPr>
              <w:t>3</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Loss on early extinguishment of 2022 Convertible Note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2,40</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Repayment of 2022 Convertible Notes attributable to the debt discoun</w:t>
            </w:r>
            <w:r>
              <w:rPr>
                <w:sz w:val="16"/>
                <w:szCs w:val="16"/>
              </w:rPr>
              <w:t>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9,80</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Gain on strategic investment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4,22</w:t>
            </w:r>
            <w:r>
              <w:rPr>
                <w:sz w:val="16"/>
                <w:szCs w:val="16"/>
              </w:rPr>
              <w:t>1</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Benefit from deferred income taxe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24</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1,00</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Amortization of debt discount and issuance cost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50</w:t>
            </w:r>
            <w:r>
              <w:rPr>
                <w:sz w:val="16"/>
                <w:szCs w:val="16"/>
              </w:rPr>
              <w:t>7</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6,49</w:t>
            </w:r>
            <w:r>
              <w:rPr>
                <w:sz w:val="16"/>
                <w:szCs w:val="16"/>
              </w:rPr>
              <w:t>3</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Amortization of bond discoun</w:t>
            </w:r>
            <w:r>
              <w:rPr>
                <w:sz w:val="16"/>
                <w:szCs w:val="16"/>
              </w:rPr>
              <w:t>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58</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51</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Unrealized currency translatio</w:t>
            </w:r>
            <w:r>
              <w:rPr>
                <w:sz w:val="16"/>
                <w:szCs w:val="16"/>
              </w:rPr>
              <w:t>n</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70</w:t>
            </w:r>
            <w:r>
              <w:rPr>
                <w:sz w:val="16"/>
                <w:szCs w:val="16"/>
              </w:rPr>
              <w:t>3</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4</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400"/>
              <w:rPr>
                <w:sz w:val="16"/>
                <w:szCs w:val="16"/>
              </w:rPr>
            </w:pPr>
            <w:r>
              <w:rPr>
                <w:sz w:val="16"/>
                <w:szCs w:val="16"/>
              </w:rPr>
              <w:t>Changes in assets and liabilitie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Accounts receivabl</w:t>
            </w:r>
            <w:r>
              <w:rPr>
                <w:sz w:val="16"/>
                <w:szCs w:val="16"/>
              </w:rPr>
              <w:t>e</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3,55</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16,47</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Prepaid expenses and other asset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3,92</w:t>
            </w:r>
            <w:r>
              <w:rPr>
                <w:sz w:val="16"/>
                <w:szCs w:val="16"/>
              </w:rPr>
              <w:t>7</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2,71</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Deferred commission expens</w:t>
            </w:r>
            <w:r>
              <w:rPr>
                <w:sz w:val="16"/>
                <w:szCs w:val="16"/>
              </w:rPr>
              <w:t>e</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8,35</w:t>
            </w:r>
            <w:r>
              <w:rPr>
                <w:sz w:val="16"/>
                <w:szCs w:val="16"/>
              </w:rPr>
              <w:t>4</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6,30</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Right-of-use asset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6,52</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10,35</w:t>
            </w:r>
            <w:r>
              <w:rPr>
                <w:sz w:val="16"/>
                <w:szCs w:val="16"/>
              </w:rPr>
              <w:t>4</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Accounts payabl</w:t>
            </w:r>
            <w:r>
              <w:rPr>
                <w:sz w:val="16"/>
                <w:szCs w:val="16"/>
              </w:rPr>
              <w:t>e</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3,62</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4,59</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Accrued expenses and other liabilitie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7,13</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2,42</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Operating lease liabilitie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2,31</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9,27</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600"/>
              <w:rPr>
                <w:sz w:val="16"/>
                <w:szCs w:val="16"/>
              </w:rPr>
            </w:pPr>
            <w:r>
              <w:rPr>
                <w:sz w:val="16"/>
                <w:szCs w:val="16"/>
              </w:rPr>
              <w:t>Deferred revenu</w:t>
            </w:r>
            <w:r>
              <w:rPr>
                <w:sz w:val="16"/>
                <w:szCs w:val="16"/>
              </w:rPr>
              <w:t>e</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29,49</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27,53</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800"/>
              <w:rPr>
                <w:sz w:val="16"/>
                <w:szCs w:val="16"/>
              </w:rPr>
            </w:pPr>
            <w:r>
              <w:rPr>
                <w:sz w:val="16"/>
                <w:szCs w:val="16"/>
              </w:rPr>
              <w:t>Net cash and cash equivalents provided by operating activitie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82,22</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62,70</w:t>
            </w:r>
            <w:r>
              <w:rPr>
                <w:sz w:val="16"/>
                <w:szCs w:val="16"/>
              </w:rPr>
              <w:t>0</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Investing Activities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Purchases of investment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435,54</w:t>
            </w:r>
            <w:r>
              <w:rPr>
                <w:sz w:val="16"/>
                <w:szCs w:val="16"/>
              </w:rPr>
              <w:t>7</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362,28</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Maturities of investment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405,21</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376,91</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Purchases of property and equipmen</w:t>
            </w:r>
            <w:r>
              <w:rPr>
                <w:sz w:val="16"/>
                <w:szCs w:val="16"/>
              </w:rPr>
              <w:t>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9,94</w:t>
            </w:r>
            <w:r>
              <w:rPr>
                <w:sz w:val="16"/>
                <w:szCs w:val="16"/>
              </w:rPr>
              <w:t>0</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3,96</w:t>
            </w:r>
            <w:r>
              <w:rPr>
                <w:sz w:val="16"/>
                <w:szCs w:val="16"/>
              </w:rPr>
              <w:t>7</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Acquisition of a business, net of cash acquire</w:t>
            </w:r>
            <w:r>
              <w:rPr>
                <w:sz w:val="16"/>
                <w:szCs w:val="16"/>
              </w:rPr>
              <w:t>d</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16,81</w:t>
            </w:r>
            <w:r>
              <w:rPr>
                <w:sz w:val="16"/>
                <w:szCs w:val="16"/>
              </w:rPr>
              <w:t>0</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Purchases of strategic investment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5,04</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1,85</w:t>
            </w:r>
            <w:r>
              <w:rPr>
                <w:sz w:val="16"/>
                <w:szCs w:val="16"/>
              </w:rPr>
              <w:t>0</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Equity method investmen</w:t>
            </w:r>
            <w:r>
              <w:rPr>
                <w:sz w:val="16"/>
                <w:szCs w:val="16"/>
              </w:rPr>
              <w:t>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2,30</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Capitalization of software development cost</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9,72</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7,34</w:t>
            </w:r>
            <w:r>
              <w:rPr>
                <w:sz w:val="16"/>
                <w:szCs w:val="16"/>
              </w:rPr>
              <w:t>1</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800"/>
              <w:rPr>
                <w:sz w:val="16"/>
                <w:szCs w:val="16"/>
              </w:rPr>
            </w:pPr>
            <w:r>
              <w:rPr>
                <w:sz w:val="16"/>
                <w:szCs w:val="16"/>
              </w:rPr>
              <w:t>Net cash and cash equivalents used in investing activitie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55,03</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17,64</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Financing Activities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Proceeds from settlement of Convertible Note Hedges related to the 2022 Convertible Note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72</w:t>
            </w:r>
            <w:r>
              <w:rPr>
                <w:sz w:val="16"/>
                <w:szCs w:val="16"/>
              </w:rPr>
              <w:t>3</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Repayment of 2022 Convertible Notes attributable to the principa</w:t>
            </w:r>
            <w:r>
              <w:rPr>
                <w:sz w:val="16"/>
                <w:szCs w:val="16"/>
              </w:rPr>
              <w:t>l</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35,90</w:t>
            </w:r>
            <w:r>
              <w:rPr>
                <w:sz w:val="16"/>
                <w:szCs w:val="16"/>
              </w:rPr>
              <w:t>0</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Repayment of 2025 Convertible Notes attributable to the principa</w:t>
            </w:r>
            <w:r>
              <w:rPr>
                <w:sz w:val="16"/>
                <w:szCs w:val="16"/>
              </w:rPr>
              <w:t>l</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1,61</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Employee taxes paid related to the net share settlement of stock-based award</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4,35</w:t>
            </w:r>
            <w:r>
              <w:rPr>
                <w:sz w:val="16"/>
                <w:szCs w:val="16"/>
              </w:rPr>
              <w:t>4</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2,96</w:t>
            </w:r>
            <w:r>
              <w:rPr>
                <w:sz w:val="16"/>
                <w:szCs w:val="16"/>
              </w:rPr>
              <w:t>4</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200"/>
              <w:rPr>
                <w:sz w:val="16"/>
                <w:szCs w:val="16"/>
              </w:rPr>
            </w:pPr>
            <w:r>
              <w:rPr>
                <w:sz w:val="16"/>
                <w:szCs w:val="16"/>
              </w:rPr>
              <w:t>Proceeds related to the issuance of common stock under stock plan</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11,85</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16,33</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ind w:left="800"/>
              <w:rPr>
                <w:sz w:val="16"/>
                <w:szCs w:val="16"/>
              </w:rPr>
            </w:pPr>
            <w:r>
              <w:rPr>
                <w:sz w:val="16"/>
                <w:szCs w:val="16"/>
              </w:rPr>
              <w:t>Net cash and cash equivalents provided by (used in) financing activitie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5,87</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21,80</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Effect of exchange rate changes on cash, cash equivalents, and restricted cas</w:t>
            </w:r>
            <w:r>
              <w:rPr>
                <w:sz w:val="16"/>
                <w:szCs w:val="16"/>
              </w:rPr>
              <w:t>h</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1,64</w:t>
            </w:r>
            <w:r>
              <w:rPr>
                <w:sz w:val="16"/>
                <w:szCs w:val="16"/>
              </w:rPr>
              <w:t>9</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w:t>
            </w:r>
            <w:r>
              <w:rPr>
                <w:sz w:val="16"/>
                <w:szCs w:val="16"/>
              </w:rPr>
              <w:t>3,87</w:t>
            </w:r>
            <w:r>
              <w:rPr>
                <w:sz w:val="16"/>
                <w:szCs w:val="16"/>
              </w:rPr>
              <w:t>7</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Net increase in cash, cash equivalents and restricted cas</w:t>
            </w:r>
            <w:r>
              <w:rPr>
                <w:sz w:val="16"/>
                <w:szCs w:val="16"/>
              </w:rPr>
              <w:t>h</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31,42</w:t>
            </w:r>
            <w:r>
              <w:rPr>
                <w:sz w:val="16"/>
                <w:szCs w:val="16"/>
              </w:rPr>
              <w:t>0</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19,37</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Cash, cash equivalents and restricted cash, beginning of perio</w:t>
            </w:r>
            <w:r>
              <w:rPr>
                <w:sz w:val="16"/>
                <w:szCs w:val="16"/>
              </w:rPr>
              <w:t>d</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380,04</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381,15</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Cash, cash equivalents and restricted cash, end of perio</w:t>
            </w:r>
            <w:r>
              <w:rPr>
                <w:sz w:val="16"/>
                <w:szCs w:val="16"/>
              </w:rPr>
              <w:t>d</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411,46</w:t>
            </w:r>
            <w:r>
              <w:rPr>
                <w:sz w:val="16"/>
                <w:szCs w:val="16"/>
              </w:rPr>
              <w:t>2</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400,52</w:t>
            </w:r>
            <w:r>
              <w:rPr>
                <w:sz w:val="16"/>
                <w:szCs w:val="16"/>
              </w:rPr>
              <w:t>7</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Supplemental cash flow disclosure</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Cash paid for income taxe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1,68</w:t>
            </w:r>
            <w:r>
              <w:rPr>
                <w:sz w:val="16"/>
                <w:szCs w:val="16"/>
              </w:rPr>
              <w:t>3</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2,21</w:t>
            </w:r>
            <w:r>
              <w:rPr>
                <w:sz w:val="16"/>
                <w:szCs w:val="16"/>
              </w:rPr>
              <w:t>5</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Right-of-use assets obtained in exchange for operating lease liabilitie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3,75</w:t>
            </w:r>
            <w:r>
              <w:rPr>
                <w:sz w:val="16"/>
                <w:szCs w:val="16"/>
              </w:rPr>
              <w:t>4</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1,27</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Non-cash investing and financing activities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Issuance of common stock for repayment of 2022 Convertible Note</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155,25</w:t>
            </w:r>
            <w:r>
              <w:rPr>
                <w:sz w:val="16"/>
                <w:szCs w:val="16"/>
              </w:rPr>
              <w:t>0</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Capital expenditures incurred but not yet pai</w:t>
            </w:r>
            <w:r>
              <w:rPr>
                <w:sz w:val="16"/>
                <w:szCs w:val="16"/>
              </w:rPr>
              <w:t>d</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2,28</w:t>
            </w:r>
            <w:r>
              <w:rPr>
                <w:sz w:val="16"/>
                <w:szCs w:val="16"/>
              </w:rPr>
              <w:t>7</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62</w:t>
            </w:r>
            <w:r>
              <w:rPr>
                <w:sz w:val="16"/>
                <w:szCs w:val="16"/>
              </w:rPr>
              <w:t>6</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Asset retirement obligation</w:t>
            </w:r>
            <w:r>
              <w:rPr>
                <w:sz w:val="16"/>
                <w:szCs w:val="16"/>
              </w:rPr>
              <w:t>s</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6"/>
                <w:szCs w:val="16"/>
              </w:rPr>
              <w:t>1,18</w:t>
            </w:r>
            <w:r>
              <w:rPr>
                <w:sz w:val="16"/>
                <w:szCs w:val="16"/>
              </w:rPr>
              <w:t>8</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r>
      <w:tr w:rsidR="00000000">
        <w:trPr>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r>
    </w:tbl>
    <w:p w:rsidR="00000000" w:rsidRDefault="00211603">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211603">
      <w:pPr>
        <w:pStyle w:val="a3"/>
        <w:spacing w:before="240" w:beforeAutospacing="0" w:after="0" w:afterAutospacing="0"/>
        <w:jc w:val="center"/>
        <w:rPr>
          <w:sz w:val="20"/>
          <w:szCs w:val="20"/>
        </w:rPr>
      </w:pPr>
      <w:r>
        <w:rPr>
          <w:sz w:val="20"/>
          <w:szCs w:val="20"/>
        </w:rPr>
        <w:t>9</w:t>
      </w:r>
    </w:p>
    <w:p w:rsidR="00000000" w:rsidRDefault="00211603">
      <w:pPr>
        <w:rPr>
          <w:rFonts w:eastAsia="Times New Roman"/>
        </w:rPr>
      </w:pPr>
      <w:r>
        <w:rPr>
          <w:rFonts w:eastAsia="Times New Roman"/>
        </w:rPr>
        <w:pict>
          <v:rect id="_x0000_i1033"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211603">
      <w:pPr>
        <w:pStyle w:val="a3"/>
        <w:spacing w:before="0" w:beforeAutospacing="0" w:after="0" w:afterAutospacing="0"/>
        <w:jc w:val="center"/>
        <w:rPr>
          <w:sz w:val="20"/>
          <w:szCs w:val="20"/>
        </w:rPr>
      </w:pPr>
      <w:r>
        <w:rPr>
          <w:b/>
          <w:bCs/>
          <w:sz w:val="20"/>
          <w:szCs w:val="20"/>
        </w:rPr>
        <w:t>Notes to Unaudited Consoli</w:t>
      </w:r>
      <w:r>
        <w:rPr>
          <w:b/>
          <w:bCs/>
          <w:sz w:val="20"/>
          <w:szCs w:val="20"/>
        </w:rPr>
        <w:t>d</w:t>
      </w:r>
      <w:r>
        <w:rPr>
          <w:b/>
          <w:bCs/>
          <w:sz w:val="20"/>
          <w:szCs w:val="20"/>
        </w:rPr>
        <w:t>ated Financial Statement</w:t>
      </w:r>
      <w:r>
        <w:rPr>
          <w:b/>
          <w:bCs/>
          <w:sz w:val="20"/>
          <w:szCs w:val="20"/>
        </w:rPr>
        <w:t>s</w:t>
      </w:r>
    </w:p>
    <w:p w:rsidR="00000000" w:rsidRDefault="00211603">
      <w:pPr>
        <w:pStyle w:val="a3"/>
        <w:spacing w:before="0" w:beforeAutospacing="0" w:after="0" w:afterAutospacing="0"/>
        <w:rPr>
          <w:sz w:val="20"/>
          <w:szCs w:val="20"/>
        </w:rPr>
      </w:pPr>
      <w:r>
        <w:rPr>
          <w:sz w:val="12"/>
          <w:szCs w:val="12"/>
        </w:rPr>
        <w:t> </w:t>
      </w:r>
    </w:p>
    <w:p w:rsidR="00000000" w:rsidRDefault="00211603">
      <w:pPr>
        <w:pStyle w:val="a3"/>
        <w:spacing w:before="0" w:beforeAutospacing="0" w:after="0" w:afterAutospacing="0"/>
        <w:rPr>
          <w:sz w:val="20"/>
          <w:szCs w:val="20"/>
        </w:rPr>
      </w:pPr>
      <w:r>
        <w:rPr>
          <w:sz w:val="12"/>
          <w:szCs w:val="12"/>
        </w:rPr>
        <w:t> </w:t>
      </w:r>
    </w:p>
    <w:p w:rsidR="00000000" w:rsidRDefault="00211603">
      <w:pPr>
        <w:pStyle w:val="a3"/>
        <w:spacing w:before="200" w:beforeAutospacing="0" w:after="0" w:afterAutospacing="0"/>
        <w:divId w:val="554045185"/>
        <w:rPr>
          <w:sz w:val="20"/>
          <w:szCs w:val="20"/>
        </w:rPr>
      </w:pPr>
      <w:r>
        <w:rPr>
          <w:b/>
          <w:bCs/>
          <w:sz w:val="20"/>
          <w:szCs w:val="20"/>
        </w:rPr>
        <w:t>1. Organization and Operation</w:t>
      </w:r>
      <w:r>
        <w:rPr>
          <w:b/>
          <w:bCs/>
          <w:sz w:val="20"/>
          <w:szCs w:val="20"/>
        </w:rPr>
        <w:t>s</w:t>
      </w:r>
    </w:p>
    <w:p w:rsidR="00000000" w:rsidRDefault="00211603">
      <w:pPr>
        <w:pStyle w:val="a3"/>
        <w:spacing w:before="200" w:beforeAutospacing="0" w:after="0" w:afterAutospacing="0"/>
        <w:ind w:firstLine="555"/>
        <w:divId w:val="554045185"/>
        <w:rPr>
          <w:sz w:val="20"/>
          <w:szCs w:val="20"/>
        </w:rPr>
      </w:pPr>
      <w:r>
        <w:rPr>
          <w:sz w:val="20"/>
          <w:szCs w:val="20"/>
        </w:rPr>
        <w:t>HubSpot, Inc. (the “Company”</w:t>
      </w:r>
      <w:r>
        <w:rPr>
          <w:sz w:val="20"/>
          <w:szCs w:val="20"/>
        </w:rPr>
        <w:t>) provides a cloud-based customer relationship management (“CRM”) Platform, that enables companies to attract, engage, and delight customers throughout the customer experience. The Company’s CRM Platform, comprised of Marketing Hub, Sales Hub, Service Hub,</w:t>
      </w:r>
      <w:r>
        <w:rPr>
          <w:sz w:val="20"/>
          <w:szCs w:val="20"/>
        </w:rPr>
        <w:t xml:space="preserve"> content management system ("CMS") Hub and Operations Hub, features integrated applications, tools, and a native payment solution, that enable businesses to create a cohesive and adaptable customer experience</w:t>
      </w:r>
      <w:r>
        <w:rPr>
          <w:sz w:val="20"/>
          <w:szCs w:val="20"/>
        </w:rPr>
        <w:t>.</w:t>
      </w:r>
      <w:r>
        <w:rPr>
          <w:sz w:val="20"/>
          <w:szCs w:val="20"/>
        </w:rPr>
        <w:t xml:space="preserve"> </w:t>
      </w:r>
    </w:p>
    <w:p w:rsidR="00000000" w:rsidRDefault="00211603">
      <w:pPr>
        <w:pStyle w:val="a3"/>
        <w:spacing w:before="200" w:beforeAutospacing="0" w:after="0" w:afterAutospacing="0"/>
        <w:ind w:firstLine="555"/>
        <w:divId w:val="554045185"/>
        <w:rPr>
          <w:sz w:val="20"/>
          <w:szCs w:val="20"/>
        </w:rPr>
      </w:pPr>
      <w:r>
        <w:rPr>
          <w:sz w:val="20"/>
          <w:szCs w:val="20"/>
        </w:rPr>
        <w:t>The accompanying unaudited consolidated</w:t>
      </w:r>
      <w:r>
        <w:rPr>
          <w:sz w:val="20"/>
          <w:szCs w:val="20"/>
        </w:rPr>
        <w:t xml:space="preserve"> </w:t>
      </w:r>
      <w:r>
        <w:rPr>
          <w:sz w:val="20"/>
          <w:szCs w:val="20"/>
        </w:rPr>
        <w:t>finan</w:t>
      </w:r>
      <w:r>
        <w:rPr>
          <w:sz w:val="20"/>
          <w:szCs w:val="20"/>
        </w:rPr>
        <w:t xml:space="preserve">cial statements have been prepared in accordance with generally accepted accounting principles in the United States (“GAAP”) applicable to interim periods, under the rules and regulations of the United States Securities and Exchange Commission (“SEC”). In </w:t>
      </w:r>
      <w:r>
        <w:rPr>
          <w:sz w:val="20"/>
          <w:szCs w:val="20"/>
        </w:rPr>
        <w:t>the opinion of management, the Company has prepared the accompanying unaudited consolidated financial statements on a basis substantially consistent with the audited consolidated financial statements of the Company as of and for the year ended</w:t>
      </w:r>
      <w:r>
        <w:rPr>
          <w:sz w:val="20"/>
          <w:szCs w:val="20"/>
        </w:rPr>
        <w:t xml:space="preserve"> </w:t>
      </w:r>
      <w:r>
        <w:rPr>
          <w:sz w:val="20"/>
          <w:szCs w:val="20"/>
        </w:rPr>
        <w:t>December 31,</w:t>
      </w:r>
      <w:r>
        <w:rPr>
          <w:sz w:val="20"/>
          <w:szCs w:val="20"/>
        </w:rPr>
        <w:t xml:space="preserve"> 2021, and these consolidated financial statements include all adjustments, consisting only of normal recurring adjustments, necessary for a fair statement of the results of the interim periods presented. All intercompany balances and transactions have bee</w:t>
      </w:r>
      <w:r>
        <w:rPr>
          <w:sz w:val="20"/>
          <w:szCs w:val="20"/>
        </w:rPr>
        <w:t>n eliminated in consolidation</w:t>
      </w:r>
      <w:r>
        <w:rPr>
          <w:sz w:val="20"/>
          <w:szCs w:val="20"/>
        </w:rPr>
        <w:t>.</w:t>
      </w:r>
      <w:r>
        <w:rPr>
          <w:sz w:val="20"/>
          <w:szCs w:val="20"/>
        </w:rPr>
        <w:t xml:space="preserve"> </w:t>
      </w:r>
    </w:p>
    <w:p w:rsidR="00000000" w:rsidRDefault="00211603">
      <w:pPr>
        <w:pStyle w:val="a3"/>
        <w:spacing w:before="200" w:beforeAutospacing="0" w:after="0" w:afterAutospacing="0"/>
        <w:ind w:firstLine="555"/>
        <w:divId w:val="554045185"/>
        <w:rPr>
          <w:sz w:val="20"/>
          <w:szCs w:val="20"/>
        </w:rPr>
      </w:pPr>
      <w:r>
        <w:rPr>
          <w:sz w:val="20"/>
          <w:szCs w:val="20"/>
        </w:rPr>
        <w:t xml:space="preserve">The results of operations for the interim periods presented are not necessarily indicative of the results to be expected for any subsequent quarter or for the entire year ending December 31, 2022. The year-end balance sheet </w:t>
      </w:r>
      <w:r>
        <w:rPr>
          <w:sz w:val="20"/>
          <w:szCs w:val="20"/>
        </w:rPr>
        <w:t>data was derived from audited financial statements, but this Form 10-Q does not include all disclosures required under GAAP. Certain information and note disclosures normally included in annual financial statements prepared in accordance with GAAP have bee</w:t>
      </w:r>
      <w:r>
        <w:rPr>
          <w:sz w:val="20"/>
          <w:szCs w:val="20"/>
        </w:rPr>
        <w:t>n omitted under the rules and regulations of the SEC</w:t>
      </w:r>
      <w:r>
        <w:rPr>
          <w:sz w:val="20"/>
          <w:szCs w:val="20"/>
        </w:rPr>
        <w:t>.</w:t>
      </w:r>
    </w:p>
    <w:p w:rsidR="00000000" w:rsidRDefault="00211603">
      <w:pPr>
        <w:pStyle w:val="a3"/>
        <w:spacing w:before="200" w:beforeAutospacing="0" w:after="0" w:afterAutospacing="0"/>
        <w:ind w:firstLine="555"/>
        <w:divId w:val="554045185"/>
        <w:rPr>
          <w:sz w:val="20"/>
          <w:szCs w:val="20"/>
        </w:rPr>
      </w:pPr>
      <w:r>
        <w:rPr>
          <w:sz w:val="20"/>
          <w:szCs w:val="20"/>
        </w:rPr>
        <w:t>These interim financial statements should be read in conjunction with the audited consolidated financial statements and related notes contained in the Company’s Annual Report on Form 10-K filed with the</w:t>
      </w:r>
      <w:r>
        <w:rPr>
          <w:sz w:val="20"/>
          <w:szCs w:val="20"/>
        </w:rPr>
        <w:t xml:space="preserve"> SEC on February 14, 2022. There have been no changes in the Company’s significant accounting policies from those that were disclosed in the Company’s Annual Report on Form 10-K that have had a material impact on our consolidated financial statements and r</w:t>
      </w:r>
      <w:r>
        <w:rPr>
          <w:sz w:val="20"/>
          <w:szCs w:val="20"/>
        </w:rPr>
        <w:t>elated notes, except the adoption of updated guidance related to accounting for convertible debt as described within Note 2 of these consolidated financial statements</w:t>
      </w:r>
      <w:r>
        <w:rPr>
          <w:sz w:val="20"/>
          <w:szCs w:val="20"/>
        </w:rPr>
        <w:t>.</w:t>
      </w:r>
    </w:p>
    <w:p w:rsidR="00000000" w:rsidRDefault="00211603">
      <w:pPr>
        <w:pStyle w:val="a3"/>
        <w:spacing w:before="200" w:beforeAutospacing="0" w:after="0" w:afterAutospacing="0"/>
        <w:ind w:firstLine="555"/>
        <w:divId w:val="554045185"/>
        <w:rPr>
          <w:sz w:val="20"/>
          <w:szCs w:val="20"/>
        </w:rPr>
      </w:pPr>
      <w:r>
        <w:rPr>
          <w:sz w:val="20"/>
          <w:szCs w:val="20"/>
        </w:rPr>
        <w:t>In February 2022, Russian forces launched a military invasion of Ukraine. While the broa</w:t>
      </w:r>
      <w:r>
        <w:rPr>
          <w:sz w:val="20"/>
          <w:szCs w:val="20"/>
        </w:rPr>
        <w:t>der implications of the conflict on the Company's results of operations and overall financial performance remain uncertain, the Company assessed the potential impact on the March 31, 2022 financial statements and determined there were no material adjustmen</w:t>
      </w:r>
      <w:r>
        <w:rPr>
          <w:sz w:val="20"/>
          <w:szCs w:val="20"/>
        </w:rPr>
        <w:t>ts necessary with respect to these consolidated financial statements</w:t>
      </w:r>
      <w:r>
        <w:rPr>
          <w:sz w:val="20"/>
          <w:szCs w:val="20"/>
        </w:rPr>
        <w:t>.</w:t>
      </w:r>
    </w:p>
    <w:p w:rsidR="00000000" w:rsidRDefault="00211603">
      <w:pPr>
        <w:pStyle w:val="a3"/>
        <w:spacing w:before="200" w:beforeAutospacing="0" w:after="0" w:afterAutospacing="0"/>
        <w:ind w:firstLine="555"/>
        <w:divId w:val="2120879986"/>
        <w:rPr>
          <w:sz w:val="20"/>
          <w:szCs w:val="20"/>
        </w:rPr>
      </w:pPr>
      <w:r>
        <w:rPr>
          <w:b/>
          <w:bCs/>
          <w:i/>
          <w:iCs/>
          <w:sz w:val="20"/>
          <w:szCs w:val="20"/>
        </w:rPr>
        <w:t>Recent Accounting Pronouncement</w:t>
      </w:r>
      <w:r>
        <w:rPr>
          <w:b/>
          <w:bCs/>
          <w:i/>
          <w:iCs/>
          <w:sz w:val="20"/>
          <w:szCs w:val="20"/>
        </w:rPr>
        <w:t>s</w:t>
      </w:r>
    </w:p>
    <w:p w:rsidR="00000000" w:rsidRDefault="00211603">
      <w:pPr>
        <w:pStyle w:val="a3"/>
        <w:spacing w:before="200" w:beforeAutospacing="0" w:after="0" w:afterAutospacing="0"/>
        <w:ind w:firstLine="555"/>
        <w:divId w:val="2120879986"/>
        <w:rPr>
          <w:sz w:val="20"/>
          <w:szCs w:val="20"/>
        </w:rPr>
      </w:pPr>
      <w:r>
        <w:rPr>
          <w:sz w:val="20"/>
          <w:szCs w:val="20"/>
        </w:rPr>
        <w:t>Recent accounting standards not included below are not expected to have a material impact on our consolidated financial position and results of operations</w:t>
      </w:r>
      <w:r>
        <w:rPr>
          <w:sz w:val="20"/>
          <w:szCs w:val="20"/>
        </w:rPr>
        <w:t>.</w:t>
      </w:r>
    </w:p>
    <w:p w:rsidR="00000000" w:rsidRDefault="00211603">
      <w:pPr>
        <w:pStyle w:val="a3"/>
        <w:spacing w:before="200" w:beforeAutospacing="0" w:after="0" w:afterAutospacing="0"/>
        <w:ind w:firstLine="555"/>
        <w:divId w:val="2120879986"/>
        <w:rPr>
          <w:sz w:val="20"/>
          <w:szCs w:val="20"/>
        </w:rPr>
      </w:pPr>
      <w:r>
        <w:rPr>
          <w:sz w:val="20"/>
          <w:szCs w:val="20"/>
        </w:rPr>
        <w:t>In August 2020, the FASB issued guidance simplifying the accounting for convertible instruments by r</w:t>
      </w:r>
      <w:r>
        <w:rPr>
          <w:sz w:val="20"/>
          <w:szCs w:val="20"/>
        </w:rPr>
        <w:t>educing the number of accounting models for convertible debt instruments and convertible preferred stock. Limiting the accounting models results in fewer embedded conversion features being bifurcated from the host contract and separately recognized as comp</w:t>
      </w:r>
      <w:r>
        <w:rPr>
          <w:sz w:val="20"/>
          <w:szCs w:val="20"/>
        </w:rPr>
        <w:t>ared with current GAAP. In addition, it eliminates the treasury stock method for calculating diluted earnings per share for convertible instruments and requires the use of the if-converted method. The Company adopted the updated guidance as of January 1, 2</w:t>
      </w:r>
      <w:r>
        <w:rPr>
          <w:sz w:val="20"/>
          <w:szCs w:val="20"/>
        </w:rPr>
        <w:t>022 using a modified retrospective method with a cumulative-effect adjustment as of the adoption date. Comparative periods are not adjusted. See Note 8 of these consolidated financial statements for further details</w:t>
      </w:r>
      <w:r>
        <w:rPr>
          <w:sz w:val="20"/>
          <w:szCs w:val="20"/>
        </w:rPr>
        <w:t>.</w:t>
      </w:r>
    </w:p>
    <w:p w:rsidR="00000000" w:rsidRDefault="00211603">
      <w:pPr>
        <w:pStyle w:val="a3"/>
        <w:spacing w:before="200" w:beforeAutospacing="0" w:after="0" w:afterAutospacing="0"/>
        <w:ind w:firstLine="555"/>
        <w:divId w:val="2120879986"/>
        <w:rPr>
          <w:sz w:val="20"/>
          <w:szCs w:val="20"/>
        </w:rPr>
      </w:pPr>
      <w:r>
        <w:rPr>
          <w:sz w:val="20"/>
          <w:szCs w:val="20"/>
        </w:rPr>
        <w:t>In October 2021, the F</w:t>
      </w:r>
      <w:r>
        <w:rPr>
          <w:sz w:val="20"/>
          <w:szCs w:val="20"/>
        </w:rPr>
        <w:t>A</w:t>
      </w:r>
      <w:r>
        <w:rPr>
          <w:sz w:val="20"/>
          <w:szCs w:val="20"/>
        </w:rPr>
        <w:t>SB issued guidanc</w:t>
      </w:r>
      <w:r>
        <w:rPr>
          <w:sz w:val="20"/>
          <w:szCs w:val="20"/>
        </w:rPr>
        <w:t xml:space="preserve">e that requires companies to recognize and measure contract assets and contract liabilities acquired in a business combination, in accordance with the revenue recognition guidance, as if the acquirer had entered into the original contract at the same time </w:t>
      </w:r>
      <w:r>
        <w:rPr>
          <w:sz w:val="20"/>
          <w:szCs w:val="20"/>
        </w:rPr>
        <w:t>and on the same terms as the acquiree. Generally, this will result in the acquirer recognizing contract assets and liabilities at the same amounts recorded by the acquiree as of the acquisition date. Under the previous standard, an acquirer generally recog</w:t>
      </w:r>
      <w:r>
        <w:rPr>
          <w:sz w:val="20"/>
          <w:szCs w:val="20"/>
        </w:rPr>
        <w:t>nizes such items at fair value on the acquisition date.</w:t>
      </w:r>
      <w:r>
        <w:rPr>
          <w:sz w:val="20"/>
          <w:szCs w:val="20"/>
        </w:rPr>
        <w:t xml:space="preserve"> </w:t>
      </w:r>
      <w:r>
        <w:rPr>
          <w:sz w:val="20"/>
          <w:szCs w:val="20"/>
        </w:rPr>
        <w:t>The Company adopted the updated guidance as of January 1, 2022 and the ongoin</w:t>
      </w:r>
      <w:r>
        <w:rPr>
          <w:sz w:val="20"/>
          <w:szCs w:val="20"/>
        </w:rPr>
        <w:t>g</w:t>
      </w:r>
      <w:r>
        <w:rPr>
          <w:sz w:val="20"/>
          <w:szCs w:val="20"/>
        </w:rPr>
        <w:t xml:space="preserve"> impact of this guidance will depend on the contract assets and liabilities acquired in future business combinations.</w:t>
      </w:r>
      <w:r>
        <w:rPr>
          <w:sz w:val="20"/>
          <w:szCs w:val="20"/>
        </w:rPr>
        <w:t xml:space="preserve"> </w:t>
      </w:r>
      <w:r>
        <w:rPr>
          <w:sz w:val="20"/>
          <w:szCs w:val="20"/>
        </w:rPr>
        <w:br/>
      </w:r>
      <w:r>
        <w:rPr>
          <w:sz w:val="20"/>
          <w:szCs w:val="20"/>
        </w:rPr>
        <w:t> </w:t>
      </w:r>
    </w:p>
    <w:p w:rsidR="00000000" w:rsidRDefault="00211603">
      <w:pPr>
        <w:pStyle w:val="a3"/>
        <w:spacing w:before="240" w:beforeAutospacing="0" w:after="0" w:afterAutospacing="0"/>
        <w:jc w:val="center"/>
        <w:rPr>
          <w:sz w:val="20"/>
          <w:szCs w:val="20"/>
        </w:rPr>
      </w:pPr>
      <w:r>
        <w:rPr>
          <w:sz w:val="20"/>
          <w:szCs w:val="20"/>
        </w:rPr>
        <w:t>1</w:t>
      </w:r>
      <w:r>
        <w:rPr>
          <w:sz w:val="20"/>
          <w:szCs w:val="20"/>
        </w:rPr>
        <w:t>0</w:t>
      </w:r>
    </w:p>
    <w:p w:rsidR="00000000" w:rsidRDefault="00211603">
      <w:pPr>
        <w:rPr>
          <w:rFonts w:eastAsia="Times New Roman"/>
        </w:rPr>
      </w:pPr>
      <w:r>
        <w:rPr>
          <w:rFonts w:eastAsia="Times New Roman"/>
        </w:rPr>
        <w:pict>
          <v:rect id="_x0000_i1034"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jc w:val="both"/>
        <w:divId w:val="2081054747"/>
        <w:rPr>
          <w:sz w:val="20"/>
          <w:szCs w:val="20"/>
        </w:rPr>
      </w:pPr>
      <w:r>
        <w:rPr>
          <w:b/>
          <w:bCs/>
          <w:sz w:val="20"/>
          <w:szCs w:val="20"/>
        </w:rPr>
        <w:t>2. Revenue</w:t>
      </w:r>
      <w:r>
        <w:rPr>
          <w:b/>
          <w:bCs/>
          <w:sz w:val="20"/>
          <w:szCs w:val="20"/>
        </w:rPr>
        <w:t>s</w:t>
      </w:r>
    </w:p>
    <w:p w:rsidR="00000000" w:rsidRDefault="00211603">
      <w:pPr>
        <w:pStyle w:val="a3"/>
        <w:spacing w:before="240" w:beforeAutospacing="0" w:after="0" w:afterAutospacing="0"/>
        <w:ind w:left="476"/>
        <w:jc w:val="both"/>
        <w:divId w:val="2081054747"/>
        <w:rPr>
          <w:sz w:val="20"/>
          <w:szCs w:val="20"/>
        </w:rPr>
      </w:pPr>
      <w:r>
        <w:rPr>
          <w:b/>
          <w:bCs/>
          <w:i/>
          <w:iCs/>
          <w:sz w:val="20"/>
          <w:szCs w:val="20"/>
        </w:rPr>
        <w:t>D</w:t>
      </w:r>
      <w:r>
        <w:rPr>
          <w:b/>
          <w:bCs/>
          <w:i/>
          <w:iCs/>
          <w:sz w:val="20"/>
          <w:szCs w:val="20"/>
        </w:rPr>
        <w:t>isaggregation of Revenue</w:t>
      </w:r>
      <w:r>
        <w:rPr>
          <w:b/>
          <w:bCs/>
          <w:i/>
          <w:iCs/>
          <w:sz w:val="20"/>
          <w:szCs w:val="20"/>
        </w:rPr>
        <w:t xml:space="preserve"> </w:t>
      </w:r>
    </w:p>
    <w:p w:rsidR="00000000" w:rsidRDefault="00211603">
      <w:pPr>
        <w:pStyle w:val="a3"/>
        <w:spacing w:before="240" w:beforeAutospacing="0" w:after="0" w:afterAutospacing="0"/>
        <w:ind w:firstLine="555"/>
        <w:divId w:val="947083844"/>
        <w:rPr>
          <w:sz w:val="20"/>
          <w:szCs w:val="20"/>
        </w:rPr>
      </w:pPr>
      <w:r>
        <w:rPr>
          <w:sz w:val="20"/>
          <w:szCs w:val="20"/>
        </w:rPr>
        <w:t>The Company provides disaggregation of revenue based on geographic region (Note 13) and based on the subscription versus professional services and other classification on the co</w:t>
      </w:r>
      <w:r>
        <w:rPr>
          <w:sz w:val="20"/>
          <w:szCs w:val="20"/>
        </w:rPr>
        <w:t>nsolidated statements of operations as it believes these best depict how the nature, amount, timing and uncertainty of revenue and cash flows are affected by economic factors</w:t>
      </w:r>
      <w:r>
        <w:rPr>
          <w:sz w:val="20"/>
          <w:szCs w:val="20"/>
        </w:rPr>
        <w:t>.</w:t>
      </w:r>
    </w:p>
    <w:p w:rsidR="00000000" w:rsidRDefault="00211603">
      <w:pPr>
        <w:pStyle w:val="a3"/>
        <w:spacing w:before="240" w:beforeAutospacing="0" w:after="0" w:afterAutospacing="0"/>
        <w:ind w:firstLine="555"/>
        <w:divId w:val="947083844"/>
        <w:rPr>
          <w:sz w:val="20"/>
          <w:szCs w:val="20"/>
        </w:rPr>
      </w:pPr>
      <w:r>
        <w:rPr>
          <w:b/>
          <w:bCs/>
          <w:i/>
          <w:iCs/>
          <w:sz w:val="20"/>
          <w:szCs w:val="20"/>
        </w:rPr>
        <w:t>Deferred Revenue and Deferred Commission Expens</w:t>
      </w:r>
      <w:r>
        <w:rPr>
          <w:b/>
          <w:bCs/>
          <w:i/>
          <w:iCs/>
          <w:sz w:val="20"/>
          <w:szCs w:val="20"/>
        </w:rPr>
        <w:t>e</w:t>
      </w:r>
    </w:p>
    <w:p w:rsidR="00000000" w:rsidRDefault="00211603">
      <w:pPr>
        <w:pStyle w:val="a3"/>
        <w:spacing w:before="240" w:beforeAutospacing="0" w:after="0" w:afterAutospacing="0"/>
        <w:ind w:firstLine="555"/>
        <w:divId w:val="947083844"/>
        <w:rPr>
          <w:sz w:val="20"/>
          <w:szCs w:val="20"/>
        </w:rPr>
      </w:pPr>
      <w:r>
        <w:rPr>
          <w:sz w:val="20"/>
          <w:szCs w:val="20"/>
        </w:rPr>
        <w:t>Amounts that have been invoiced</w:t>
      </w:r>
      <w:r>
        <w:rPr>
          <w:sz w:val="20"/>
          <w:szCs w:val="20"/>
        </w:rPr>
        <w:t xml:space="preserve"> are recorded in accounts receivable and deferred revenue or revenue, depending on whether the revenue recognition criteria have been met. Deferred revenue represents amounts billed for which revenue has not yet been recognized. Deferred revenue that will </w:t>
      </w:r>
      <w:r>
        <w:rPr>
          <w:sz w:val="20"/>
          <w:szCs w:val="20"/>
        </w:rPr>
        <w:t>be recognized during the succeeding 12-month period is recorded as current deferred revenue, and the remaining portion is recorded as long-term deferred revenue. Deferred revenue during the three months ended March 31, 2022 increased by</w:t>
      </w:r>
      <w:r>
        <w:rPr>
          <w:sz w:val="20"/>
          <w:szCs w:val="20"/>
        </w:rPr>
        <w:t xml:space="preserve"> </w:t>
      </w:r>
      <w:r>
        <w:rPr>
          <w:sz w:val="20"/>
          <w:szCs w:val="20"/>
        </w:rPr>
        <w:t>$</w:t>
      </w:r>
      <w:r>
        <w:rPr>
          <w:sz w:val="20"/>
          <w:szCs w:val="20"/>
        </w:rPr>
        <w:t>27.</w:t>
      </w:r>
      <w:r>
        <w:rPr>
          <w:sz w:val="20"/>
          <w:szCs w:val="20"/>
        </w:rPr>
        <w:t>7</w:t>
      </w:r>
      <w:r>
        <w:rPr>
          <w:sz w:val="20"/>
          <w:szCs w:val="20"/>
        </w:rPr>
        <w:t xml:space="preserve"> million resul</w:t>
      </w:r>
      <w:r>
        <w:rPr>
          <w:sz w:val="20"/>
          <w:szCs w:val="20"/>
        </w:rPr>
        <w:t>ting from</w:t>
      </w:r>
      <w:r>
        <w:rPr>
          <w:sz w:val="20"/>
          <w:szCs w:val="20"/>
        </w:rPr>
        <w:t xml:space="preserve"> </w:t>
      </w:r>
      <w:r>
        <w:rPr>
          <w:sz w:val="20"/>
          <w:szCs w:val="20"/>
        </w:rPr>
        <w:t>$</w:t>
      </w:r>
      <w:r>
        <w:rPr>
          <w:sz w:val="20"/>
          <w:szCs w:val="20"/>
        </w:rPr>
        <w:t>423.</w:t>
      </w:r>
      <w:r>
        <w:rPr>
          <w:sz w:val="20"/>
          <w:szCs w:val="20"/>
        </w:rPr>
        <w:t>3</w:t>
      </w:r>
      <w:r>
        <w:rPr>
          <w:sz w:val="20"/>
          <w:szCs w:val="20"/>
        </w:rPr>
        <w:t xml:space="preserve"> million of additional invoicing and was offset by revenue recognized of </w:t>
      </w:r>
      <w:r>
        <w:rPr>
          <w:sz w:val="20"/>
          <w:szCs w:val="20"/>
        </w:rPr>
        <w:t>$</w:t>
      </w:r>
      <w:r>
        <w:rPr>
          <w:sz w:val="20"/>
          <w:szCs w:val="20"/>
        </w:rPr>
        <w:t>395.</w:t>
      </w:r>
      <w:r>
        <w:rPr>
          <w:sz w:val="20"/>
          <w:szCs w:val="20"/>
        </w:rPr>
        <w:t>6</w:t>
      </w:r>
      <w:r>
        <w:rPr>
          <w:sz w:val="20"/>
          <w:szCs w:val="20"/>
        </w:rPr>
        <w:t xml:space="preserve"> million during the same period.</w:t>
      </w:r>
      <w:r>
        <w:rPr>
          <w:sz w:val="20"/>
          <w:szCs w:val="20"/>
        </w:rPr>
        <w:t xml:space="preserve"> </w:t>
      </w:r>
      <w:r>
        <w:rPr>
          <w:sz w:val="20"/>
          <w:szCs w:val="20"/>
        </w:rPr>
        <w:t>$</w:t>
      </w:r>
      <w:r>
        <w:rPr>
          <w:sz w:val="20"/>
          <w:szCs w:val="20"/>
        </w:rPr>
        <w:t>227.</w:t>
      </w:r>
      <w:r>
        <w:rPr>
          <w:sz w:val="20"/>
          <w:szCs w:val="20"/>
        </w:rPr>
        <w:t>1</w:t>
      </w:r>
      <w:r>
        <w:rPr>
          <w:sz w:val="20"/>
          <w:szCs w:val="20"/>
        </w:rPr>
        <w:t xml:space="preserve"> million of revenue was recognized during the three months ended March 31, 2022 that was included in deferred revenue at t</w:t>
      </w:r>
      <w:r>
        <w:rPr>
          <w:sz w:val="20"/>
          <w:szCs w:val="20"/>
        </w:rPr>
        <w:t xml:space="preserve">he beginning of the period. As of March 31, 2022, approximately </w:t>
      </w:r>
      <w:r>
        <w:rPr>
          <w:sz w:val="20"/>
          <w:szCs w:val="20"/>
        </w:rPr>
        <w:t>$</w:t>
      </w:r>
      <w:r>
        <w:rPr>
          <w:sz w:val="20"/>
          <w:szCs w:val="20"/>
        </w:rPr>
        <w:t>406.</w:t>
      </w:r>
      <w:r>
        <w:rPr>
          <w:sz w:val="20"/>
          <w:szCs w:val="20"/>
        </w:rPr>
        <w:t>9</w:t>
      </w:r>
      <w:r>
        <w:rPr>
          <w:sz w:val="20"/>
          <w:szCs w:val="20"/>
        </w:rPr>
        <w:t xml:space="preserve"> million of revenue is expected to be recognized from remaining performance obligations for contracts with original performance obligations that exceed</w:t>
      </w:r>
      <w:r>
        <w:rPr>
          <w:sz w:val="20"/>
          <w:szCs w:val="20"/>
        </w:rPr>
        <w:t xml:space="preserve"> </w:t>
      </w:r>
      <w:r>
        <w:rPr>
          <w:sz w:val="20"/>
          <w:szCs w:val="20"/>
        </w:rPr>
        <w:t>one yea</w:t>
      </w:r>
      <w:r>
        <w:rPr>
          <w:sz w:val="20"/>
          <w:szCs w:val="20"/>
        </w:rPr>
        <w:t>r</w:t>
      </w:r>
      <w:r>
        <w:rPr>
          <w:sz w:val="20"/>
          <w:szCs w:val="20"/>
        </w:rPr>
        <w:t>. The Company expects to r</w:t>
      </w:r>
      <w:r>
        <w:rPr>
          <w:sz w:val="20"/>
          <w:szCs w:val="20"/>
        </w:rPr>
        <w:t>ecognize revenue on approximately</w:t>
      </w:r>
      <w:r>
        <w:rPr>
          <w:sz w:val="20"/>
          <w:szCs w:val="20"/>
        </w:rPr>
        <w:t xml:space="preserve"> </w:t>
      </w:r>
      <w:r>
        <w:rPr>
          <w:sz w:val="20"/>
          <w:szCs w:val="20"/>
        </w:rPr>
        <w:t>9</w:t>
      </w:r>
      <w:r>
        <w:rPr>
          <w:sz w:val="20"/>
          <w:szCs w:val="20"/>
        </w:rPr>
        <w:t>3</w:t>
      </w:r>
      <w:r>
        <w:rPr>
          <w:sz w:val="20"/>
          <w:szCs w:val="20"/>
        </w:rPr>
        <w:t>%</w:t>
      </w:r>
      <w:r>
        <w:rPr>
          <w:sz w:val="20"/>
          <w:szCs w:val="20"/>
        </w:rPr>
        <w:t xml:space="preserve"> of these remaining performance obligations over the next</w:t>
      </w:r>
      <w:r>
        <w:rPr>
          <w:sz w:val="20"/>
          <w:szCs w:val="20"/>
        </w:rPr>
        <w:t xml:space="preserve"> </w:t>
      </w:r>
      <w:r>
        <w:rPr>
          <w:sz w:val="20"/>
          <w:szCs w:val="20"/>
        </w:rPr>
        <w:t>24 month</w:t>
      </w:r>
      <w:r>
        <w:rPr>
          <w:sz w:val="20"/>
          <w:szCs w:val="20"/>
        </w:rPr>
        <w:t>s</w:t>
      </w:r>
      <w:r>
        <w:rPr>
          <w:sz w:val="20"/>
          <w:szCs w:val="20"/>
        </w:rPr>
        <w:t>, with the balance recognized thereafter</w:t>
      </w:r>
      <w:r>
        <w:rPr>
          <w:sz w:val="20"/>
          <w:szCs w:val="20"/>
        </w:rPr>
        <w:t>.</w:t>
      </w:r>
      <w:r>
        <w:rPr>
          <w:sz w:val="20"/>
          <w:szCs w:val="20"/>
        </w:rPr>
        <w:t xml:space="preserve"> </w:t>
      </w:r>
    </w:p>
    <w:p w:rsidR="00000000" w:rsidRDefault="00211603">
      <w:pPr>
        <w:pStyle w:val="a3"/>
        <w:spacing w:before="240" w:beforeAutospacing="0" w:after="0" w:afterAutospacing="0"/>
        <w:ind w:firstLine="555"/>
        <w:divId w:val="947083844"/>
        <w:rPr>
          <w:sz w:val="20"/>
          <w:szCs w:val="20"/>
        </w:rPr>
      </w:pPr>
      <w:r>
        <w:rPr>
          <w:sz w:val="20"/>
          <w:szCs w:val="20"/>
        </w:rPr>
        <w:t xml:space="preserve">Additional contract liabilities of </w:t>
      </w:r>
      <w:r>
        <w:rPr>
          <w:sz w:val="20"/>
          <w:szCs w:val="20"/>
        </w:rPr>
        <w:t>$</w:t>
      </w:r>
      <w:r>
        <w:rPr>
          <w:sz w:val="20"/>
          <w:szCs w:val="20"/>
        </w:rPr>
        <w:t>2.</w:t>
      </w:r>
      <w:r>
        <w:rPr>
          <w:sz w:val="20"/>
          <w:szCs w:val="20"/>
        </w:rPr>
        <w:t>9</w:t>
      </w:r>
      <w:r>
        <w:rPr>
          <w:sz w:val="20"/>
          <w:szCs w:val="20"/>
        </w:rPr>
        <w:t xml:space="preserve"> million and </w:t>
      </w:r>
      <w:r>
        <w:rPr>
          <w:sz w:val="20"/>
          <w:szCs w:val="20"/>
        </w:rPr>
        <w:t>$</w:t>
      </w:r>
      <w:r>
        <w:rPr>
          <w:sz w:val="20"/>
          <w:szCs w:val="20"/>
        </w:rPr>
        <w:t>2.</w:t>
      </w:r>
      <w:r>
        <w:rPr>
          <w:sz w:val="20"/>
          <w:szCs w:val="20"/>
        </w:rPr>
        <w:t>5</w:t>
      </w:r>
      <w:r>
        <w:rPr>
          <w:sz w:val="20"/>
          <w:szCs w:val="20"/>
        </w:rPr>
        <w:t xml:space="preserve"> were included in accrued expenses and other current </w:t>
      </w:r>
      <w:r>
        <w:rPr>
          <w:sz w:val="20"/>
          <w:szCs w:val="20"/>
        </w:rPr>
        <w:t>liabilities on the consolidated balance sheet as of March 31, 2022 and December 31, 2021</w:t>
      </w:r>
      <w:r>
        <w:rPr>
          <w:sz w:val="20"/>
          <w:szCs w:val="20"/>
        </w:rPr>
        <w:t>.</w:t>
      </w:r>
      <w:r>
        <w:rPr>
          <w:sz w:val="20"/>
          <w:szCs w:val="20"/>
        </w:rPr>
        <w:t xml:space="preserve"> </w:t>
      </w:r>
    </w:p>
    <w:p w:rsidR="00000000" w:rsidRDefault="00211603">
      <w:pPr>
        <w:pStyle w:val="a3"/>
        <w:spacing w:before="240" w:beforeAutospacing="0" w:after="0" w:afterAutospacing="0"/>
        <w:ind w:firstLine="555"/>
        <w:divId w:val="947083844"/>
        <w:rPr>
          <w:sz w:val="20"/>
          <w:szCs w:val="20"/>
        </w:rPr>
      </w:pPr>
      <w:r>
        <w:rPr>
          <w:sz w:val="20"/>
          <w:szCs w:val="20"/>
        </w:rPr>
        <w:t>The incremental direct costs of obtaining a contract, which primarily consist of sales commissions paid for new subscription contracts, are deferred and amortized on</w:t>
      </w:r>
      <w:r>
        <w:rPr>
          <w:sz w:val="20"/>
          <w:szCs w:val="20"/>
        </w:rPr>
        <w:t xml:space="preserve"> a straight-line basis over a period of approximately one to three years. The</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three-yea</w:t>
      </w:r>
      <w:r>
        <w:rPr>
          <w:sz w:val="20"/>
          <w:szCs w:val="20"/>
        </w:rPr>
        <w:t>r</w:t>
      </w:r>
      <w:r>
        <w:rPr>
          <w:sz w:val="20"/>
          <w:szCs w:val="20"/>
        </w:rPr>
        <w:t xml:space="preserve"> period has been determined by taking into consideration the type of product sold, the commitment term of the customer contract, the nature of the Company’s tech</w:t>
      </w:r>
      <w:r>
        <w:rPr>
          <w:sz w:val="20"/>
          <w:szCs w:val="20"/>
        </w:rPr>
        <w:t>nology development life-cycle, and an estimated customer relationship period. Sales commissions for upgrade contracts are deferred and amortized on a straight-line basis over the remaining estimated customer relationship period of the related customer. Def</w:t>
      </w:r>
      <w:r>
        <w:rPr>
          <w:sz w:val="20"/>
          <w:szCs w:val="20"/>
        </w:rPr>
        <w:t>erred commission expense that will be recorded as expense during the succeeding 12-month period is recorded as current deferred commission expense, and the remaining portion is recorded as long-term deferred commission expense</w:t>
      </w:r>
      <w:r>
        <w:rPr>
          <w:sz w:val="20"/>
          <w:szCs w:val="20"/>
        </w:rPr>
        <w:t>.</w:t>
      </w:r>
      <w:r>
        <w:rPr>
          <w:sz w:val="20"/>
          <w:szCs w:val="20"/>
        </w:rPr>
        <w:t xml:space="preserve"> </w:t>
      </w:r>
    </w:p>
    <w:p w:rsidR="00000000" w:rsidRDefault="00211603">
      <w:pPr>
        <w:pStyle w:val="a3"/>
        <w:spacing w:before="240" w:beforeAutospacing="0" w:after="0" w:afterAutospacing="0"/>
        <w:ind w:firstLine="555"/>
        <w:divId w:val="947083844"/>
        <w:rPr>
          <w:sz w:val="20"/>
          <w:szCs w:val="20"/>
        </w:rPr>
      </w:pPr>
      <w:r>
        <w:rPr>
          <w:sz w:val="20"/>
          <w:szCs w:val="20"/>
        </w:rPr>
        <w:t>Deferred commission expense</w:t>
      </w:r>
      <w:r>
        <w:rPr>
          <w:sz w:val="20"/>
          <w:szCs w:val="20"/>
        </w:rPr>
        <w:t xml:space="preserve"> during the three months ended March 31, 2022 increased by </w:t>
      </w:r>
      <w:r>
        <w:rPr>
          <w:sz w:val="20"/>
          <w:szCs w:val="20"/>
        </w:rPr>
        <w:t>$</w:t>
      </w:r>
      <w:r>
        <w:rPr>
          <w:sz w:val="20"/>
          <w:szCs w:val="20"/>
        </w:rPr>
        <w:t>7.</w:t>
      </w:r>
      <w:r>
        <w:rPr>
          <w:sz w:val="20"/>
          <w:szCs w:val="20"/>
        </w:rPr>
        <w:t>9</w:t>
      </w:r>
      <w:r>
        <w:rPr>
          <w:sz w:val="20"/>
          <w:szCs w:val="20"/>
        </w:rPr>
        <w:t xml:space="preserve"> million as a result of deferring incremental costs of obtaining a contract of </w:t>
      </w:r>
      <w:r>
        <w:rPr>
          <w:sz w:val="20"/>
          <w:szCs w:val="20"/>
        </w:rPr>
        <w:t>$</w:t>
      </w:r>
      <w:r>
        <w:rPr>
          <w:sz w:val="20"/>
          <w:szCs w:val="20"/>
        </w:rPr>
        <w:t>26.</w:t>
      </w:r>
      <w:r>
        <w:rPr>
          <w:sz w:val="20"/>
          <w:szCs w:val="20"/>
        </w:rPr>
        <w:t>7</w:t>
      </w:r>
      <w:r>
        <w:rPr>
          <w:sz w:val="20"/>
          <w:szCs w:val="20"/>
        </w:rPr>
        <w:t xml:space="preserve"> million and was offset by amortization of </w:t>
      </w:r>
      <w:r>
        <w:rPr>
          <w:sz w:val="20"/>
          <w:szCs w:val="20"/>
        </w:rPr>
        <w:t>$</w:t>
      </w:r>
      <w:r>
        <w:rPr>
          <w:sz w:val="20"/>
          <w:szCs w:val="20"/>
        </w:rPr>
        <w:t>18.</w:t>
      </w:r>
      <w:r>
        <w:rPr>
          <w:sz w:val="20"/>
          <w:szCs w:val="20"/>
        </w:rPr>
        <w:t>8</w:t>
      </w:r>
      <w:r>
        <w:rPr>
          <w:sz w:val="20"/>
          <w:szCs w:val="20"/>
        </w:rPr>
        <w:t xml:space="preserve"> million during the same period</w:t>
      </w:r>
      <w:r>
        <w:rPr>
          <w:sz w:val="20"/>
          <w:szCs w:val="20"/>
        </w:rPr>
        <w:t>.</w:t>
      </w:r>
      <w:r>
        <w:rPr>
          <w:sz w:val="20"/>
          <w:szCs w:val="20"/>
        </w:rPr>
        <w:t xml:space="preserve"> </w:t>
      </w:r>
    </w:p>
    <w:p w:rsidR="00000000" w:rsidRDefault="00211603">
      <w:pPr>
        <w:pStyle w:val="a3"/>
        <w:spacing w:before="240" w:beforeAutospacing="0" w:after="0" w:afterAutospacing="0"/>
        <w:divId w:val="1638098872"/>
        <w:rPr>
          <w:sz w:val="20"/>
          <w:szCs w:val="20"/>
        </w:rPr>
      </w:pPr>
      <w:r>
        <w:rPr>
          <w:b/>
          <w:bCs/>
          <w:sz w:val="20"/>
          <w:szCs w:val="20"/>
        </w:rPr>
        <w:t>3. Net Loss per Shar</w:t>
      </w:r>
      <w:r>
        <w:rPr>
          <w:b/>
          <w:bCs/>
          <w:sz w:val="20"/>
          <w:szCs w:val="20"/>
        </w:rPr>
        <w:t>e</w:t>
      </w:r>
    </w:p>
    <w:p w:rsidR="00000000" w:rsidRDefault="00211603">
      <w:pPr>
        <w:pStyle w:val="a3"/>
        <w:spacing w:before="240" w:beforeAutospacing="0" w:after="0" w:afterAutospacing="0"/>
        <w:ind w:firstLine="555"/>
        <w:divId w:val="1638098872"/>
        <w:rPr>
          <w:sz w:val="20"/>
          <w:szCs w:val="20"/>
        </w:rPr>
      </w:pPr>
      <w:r>
        <w:rPr>
          <w:sz w:val="20"/>
          <w:szCs w:val="20"/>
        </w:rPr>
        <w:t>Basic</w:t>
      </w:r>
      <w:r>
        <w:rPr>
          <w:sz w:val="20"/>
          <w:szCs w:val="20"/>
        </w:rPr>
        <w:t xml:space="preserve"> net loss per share is computed by dividing net loss by the weighted average number of common shares outstanding for the period. Diluted net loss per share is computed by giving effect to all potential dilutive common stock equivalents outstanding for the </w:t>
      </w:r>
      <w:r>
        <w:rPr>
          <w:sz w:val="20"/>
          <w:szCs w:val="20"/>
        </w:rPr>
        <w:t>period. For purposes of this calculation, options to purchase common stock, restricted stock units (“RSUs”), shares issued pursuant to the Employee Stock Purchase Plan (“ESPP”), the Warrants (defined in Note 8), the Conversion Option of the 2022 Notes, and</w:t>
      </w:r>
      <w:r>
        <w:rPr>
          <w:sz w:val="20"/>
          <w:szCs w:val="20"/>
        </w:rPr>
        <w:t xml:space="preserve"> the Conversion Option of the 2025 Notes (the “Conversion Options”) (Note 8) are considered to be potential common stock equivalents</w:t>
      </w:r>
      <w:r>
        <w:rPr>
          <w:sz w:val="20"/>
          <w:szCs w:val="20"/>
        </w:rPr>
        <w:t>.</w:t>
      </w:r>
      <w:r>
        <w:rPr>
          <w:sz w:val="20"/>
          <w:szCs w:val="20"/>
        </w:rPr>
        <w:t xml:space="preserve"> </w:t>
      </w:r>
    </w:p>
    <w:p w:rsidR="00000000" w:rsidRDefault="00211603">
      <w:pPr>
        <w:pStyle w:val="a3"/>
        <w:spacing w:before="240" w:beforeAutospacing="0" w:after="0" w:afterAutospacing="0"/>
        <w:ind w:firstLine="555"/>
        <w:divId w:val="673536008"/>
        <w:rPr>
          <w:sz w:val="20"/>
          <w:szCs w:val="20"/>
        </w:rPr>
      </w:pPr>
      <w:r>
        <w:rPr>
          <w:sz w:val="20"/>
          <w:szCs w:val="20"/>
        </w:rPr>
        <w:t>A reconciliation of the denominator used in the calculation of basic and diluted net loss per share is as follows</w:t>
      </w:r>
      <w:r>
        <w:rPr>
          <w:sz w:val="20"/>
          <w:szCs w:val="20"/>
        </w:rPr>
        <w:t>:</w:t>
      </w:r>
    </w:p>
    <w:p w:rsidR="00000000" w:rsidRDefault="00211603">
      <w:pPr>
        <w:pStyle w:val="a3"/>
        <w:spacing w:before="0" w:beforeAutospacing="0" w:after="0" w:afterAutospacing="0"/>
        <w:ind w:firstLine="555"/>
        <w:divId w:val="673536008"/>
        <w:rPr>
          <w:sz w:val="20"/>
          <w:szCs w:val="20"/>
        </w:rPr>
      </w:pPr>
      <w:r>
        <w:rPr>
          <w:sz w:val="20"/>
          <w:szCs w:val="20"/>
        </w:rPr>
        <w:t> </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4049"/>
        <w:gridCol w:w="160"/>
        <w:gridCol w:w="1171"/>
        <w:gridCol w:w="127"/>
        <w:gridCol w:w="110"/>
        <w:gridCol w:w="160"/>
        <w:gridCol w:w="1141"/>
        <w:gridCol w:w="142"/>
      </w:tblGrid>
      <w:tr w:rsidR="00000000">
        <w:trPr>
          <w:divId w:val="673536008"/>
          <w:tblCellSpacing w:w="15" w:type="dxa"/>
        </w:trPr>
        <w:tc>
          <w:tcPr>
            <w:tcW w:w="2966" w:type="pct"/>
            <w:vAlign w:val="center"/>
            <w:hideMark/>
          </w:tcPr>
          <w:p w:rsidR="00000000" w:rsidRDefault="00211603">
            <w:pPr>
              <w:rPr>
                <w:sz w:val="20"/>
                <w:szCs w:val="20"/>
              </w:rPr>
            </w:pPr>
          </w:p>
        </w:tc>
        <w:tc>
          <w:tcPr>
            <w:tcW w:w="77" w:type="pct"/>
            <w:vAlign w:val="center"/>
            <w:hideMark/>
          </w:tcPr>
          <w:p w:rsidR="00000000" w:rsidRDefault="00211603">
            <w:pPr>
              <w:rPr>
                <w:rFonts w:eastAsia="Times New Roman"/>
                <w:sz w:val="20"/>
                <w:szCs w:val="20"/>
              </w:rPr>
            </w:pPr>
          </w:p>
        </w:tc>
        <w:tc>
          <w:tcPr>
            <w:tcW w:w="859" w:type="pct"/>
            <w:vAlign w:val="center"/>
            <w:hideMark/>
          </w:tcPr>
          <w:p w:rsidR="00000000" w:rsidRDefault="00211603">
            <w:pPr>
              <w:rPr>
                <w:rFonts w:eastAsia="Times New Roman"/>
                <w:sz w:val="20"/>
                <w:szCs w:val="20"/>
              </w:rPr>
            </w:pPr>
          </w:p>
        </w:tc>
        <w:tc>
          <w:tcPr>
            <w:tcW w:w="51" w:type="pct"/>
            <w:vAlign w:val="center"/>
            <w:hideMark/>
          </w:tcPr>
          <w:p w:rsidR="00000000" w:rsidRDefault="00211603">
            <w:pPr>
              <w:rPr>
                <w:rFonts w:eastAsia="Times New Roman"/>
                <w:sz w:val="20"/>
                <w:szCs w:val="20"/>
              </w:rPr>
            </w:pPr>
          </w:p>
        </w:tc>
        <w:tc>
          <w:tcPr>
            <w:tcW w:w="74" w:type="pct"/>
            <w:vAlign w:val="center"/>
            <w:hideMark/>
          </w:tcPr>
          <w:p w:rsidR="00000000" w:rsidRDefault="00211603">
            <w:pPr>
              <w:rPr>
                <w:rFonts w:eastAsia="Times New Roman"/>
                <w:sz w:val="20"/>
                <w:szCs w:val="20"/>
              </w:rPr>
            </w:pPr>
          </w:p>
        </w:tc>
        <w:tc>
          <w:tcPr>
            <w:tcW w:w="77" w:type="pct"/>
            <w:vAlign w:val="center"/>
            <w:hideMark/>
          </w:tcPr>
          <w:p w:rsidR="00000000" w:rsidRDefault="00211603">
            <w:pPr>
              <w:rPr>
                <w:rFonts w:eastAsia="Times New Roman"/>
                <w:sz w:val="20"/>
                <w:szCs w:val="20"/>
              </w:rPr>
            </w:pPr>
          </w:p>
        </w:tc>
        <w:tc>
          <w:tcPr>
            <w:tcW w:w="841" w:type="pct"/>
            <w:vAlign w:val="center"/>
            <w:hideMark/>
          </w:tcPr>
          <w:p w:rsidR="00000000" w:rsidRDefault="00211603">
            <w:pPr>
              <w:rPr>
                <w:rFonts w:eastAsia="Times New Roman"/>
                <w:sz w:val="20"/>
                <w:szCs w:val="20"/>
              </w:rPr>
            </w:pPr>
          </w:p>
        </w:tc>
        <w:tc>
          <w:tcPr>
            <w:tcW w:w="51" w:type="pct"/>
            <w:vAlign w:val="center"/>
            <w:hideMark/>
          </w:tcPr>
          <w:p w:rsidR="00000000" w:rsidRDefault="00211603">
            <w:pPr>
              <w:rPr>
                <w:rFonts w:eastAsia="Times New Roman"/>
                <w:sz w:val="20"/>
                <w:szCs w:val="20"/>
              </w:rPr>
            </w:pPr>
          </w:p>
        </w:tc>
      </w:tr>
      <w:tr w:rsidR="00000000">
        <w:trPr>
          <w:divId w:val="67353600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67353600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6735360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9,34</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23,15</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6735360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Weighted-average common shares outstanding — basi</w:t>
            </w:r>
            <w:r>
              <w:rPr>
                <w:sz w:val="20"/>
                <w:szCs w:val="20"/>
              </w:rPr>
              <w:t>c</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47,57</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46,42</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735360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xml:space="preserve">Dilutive effect of share equivalents resulting from stock </w:t>
            </w:r>
            <w:r>
              <w:rPr>
                <w:sz w:val="20"/>
                <w:szCs w:val="20"/>
              </w:rPr>
              <w:br/>
              <w:t>   options, RSUs, ESPP, Warrants and the Conversion Option</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735360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Weighted-average common shares, outstanding — dilute</w:t>
            </w:r>
            <w:r>
              <w:rPr>
                <w:sz w:val="20"/>
                <w:szCs w:val="20"/>
              </w:rPr>
              <w:t>d</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47,57</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46,42</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735360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0.2</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0.5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0" w:beforeAutospacing="0" w:after="0" w:afterAutospacing="0"/>
        <w:divId w:val="673536008"/>
        <w:rPr>
          <w:sz w:val="20"/>
          <w:szCs w:val="20"/>
        </w:rPr>
      </w:pPr>
      <w:r>
        <w:rPr>
          <w:sz w:val="20"/>
          <w:szCs w:val="20"/>
        </w:rPr>
        <w:t> </w:t>
      </w:r>
    </w:p>
    <w:p w:rsidR="00000000" w:rsidRDefault="00211603">
      <w:pPr>
        <w:pStyle w:val="a3"/>
        <w:spacing w:before="240" w:beforeAutospacing="0" w:after="0" w:afterAutospacing="0"/>
        <w:jc w:val="center"/>
        <w:divId w:val="673536008"/>
        <w:rPr>
          <w:sz w:val="20"/>
          <w:szCs w:val="20"/>
        </w:rPr>
      </w:pPr>
      <w:r>
        <w:rPr>
          <w:sz w:val="20"/>
          <w:szCs w:val="20"/>
        </w:rPr>
        <w:t>1</w:t>
      </w:r>
      <w:r>
        <w:rPr>
          <w:sz w:val="20"/>
          <w:szCs w:val="20"/>
        </w:rPr>
        <w:t>1</w:t>
      </w:r>
    </w:p>
    <w:p w:rsidR="00000000" w:rsidRDefault="00211603">
      <w:pPr>
        <w:divId w:val="673536008"/>
        <w:rPr>
          <w:rFonts w:ascii="Calibri" w:eastAsia="Times New Roman" w:hAnsi="Calibri" w:cs="Calibri"/>
          <w:sz w:val="22"/>
          <w:szCs w:val="22"/>
        </w:rPr>
      </w:pPr>
      <w:r>
        <w:rPr>
          <w:rFonts w:ascii="Calibri" w:eastAsia="Times New Roman" w:hAnsi="Calibri" w:cs="Calibri"/>
          <w:sz w:val="22"/>
          <w:szCs w:val="22"/>
        </w:rPr>
        <w:pict>
          <v:rect id="_x0000_i1035" style="width:0;height:1.5pt" o:hralign="center" o:hrstd="t" o:hr="t" fillcolor="#a0a0a0" stroked="f"/>
        </w:pict>
      </w:r>
    </w:p>
    <w:p w:rsidR="00000000" w:rsidRDefault="00211603">
      <w:pPr>
        <w:pStyle w:val="a3"/>
        <w:spacing w:before="0" w:beforeAutospacing="0" w:after="0" w:afterAutospacing="0"/>
        <w:divId w:val="673536008"/>
        <w:rPr>
          <w:sz w:val="20"/>
          <w:szCs w:val="20"/>
        </w:rPr>
      </w:pPr>
      <w:r>
        <w:rPr>
          <w:sz w:val="20"/>
          <w:szCs w:val="20"/>
        </w:rPr>
        <w:t> </w:t>
      </w:r>
    </w:p>
    <w:p w:rsidR="00000000" w:rsidRDefault="00211603">
      <w:pPr>
        <w:pStyle w:val="a3"/>
        <w:spacing w:before="240" w:beforeAutospacing="0" w:after="0" w:afterAutospacing="0"/>
        <w:ind w:firstLine="555"/>
        <w:divId w:val="1638098872"/>
        <w:rPr>
          <w:sz w:val="20"/>
          <w:szCs w:val="20"/>
        </w:rPr>
      </w:pPr>
      <w:r>
        <w:rPr>
          <w:sz w:val="20"/>
          <w:szCs w:val="20"/>
        </w:rPr>
        <w:t>Since the Company incurred net losses for each of the periods presented, diluted net loss per share is the same as basic net loss per share. All of the Company’s outstanding stock options, RSUs, and shares issuable und</w:t>
      </w:r>
      <w:r>
        <w:rPr>
          <w:sz w:val="20"/>
          <w:szCs w:val="20"/>
        </w:rPr>
        <w:t>er the ESPP, as well as the Warrants and Conversion Options were excluded in the calculation of diluted net loss per share as the effect would be anti-dilutive</w:t>
      </w:r>
      <w:r>
        <w:rPr>
          <w:sz w:val="20"/>
          <w:szCs w:val="20"/>
        </w:rPr>
        <w:t>.</w:t>
      </w:r>
    </w:p>
    <w:p w:rsidR="00000000" w:rsidRDefault="00211603">
      <w:pPr>
        <w:pStyle w:val="a3"/>
        <w:spacing w:before="240" w:beforeAutospacing="0" w:after="0" w:afterAutospacing="0"/>
        <w:ind w:firstLine="555"/>
        <w:divId w:val="1638098872"/>
        <w:rPr>
          <w:sz w:val="20"/>
          <w:szCs w:val="20"/>
        </w:rPr>
      </w:pPr>
      <w:r>
        <w:rPr>
          <w:sz w:val="20"/>
          <w:szCs w:val="20"/>
        </w:rPr>
        <w:t>The Company uses the treasury stock method and the average market price per share during the pe</w:t>
      </w:r>
      <w:r>
        <w:rPr>
          <w:sz w:val="20"/>
          <w:szCs w:val="20"/>
        </w:rPr>
        <w:t>riod for calculating any potential dilutive effect of the Warrants. The average stock price for the three months ended March 31, 202</w:t>
      </w:r>
      <w:r>
        <w:rPr>
          <w:sz w:val="20"/>
          <w:szCs w:val="20"/>
        </w:rPr>
        <w:t>2</w:t>
      </w:r>
      <w:r>
        <w:rPr>
          <w:sz w:val="20"/>
          <w:szCs w:val="20"/>
        </w:rPr>
        <w:t xml:space="preserve"> was </w:t>
      </w:r>
      <w:r>
        <w:rPr>
          <w:sz w:val="20"/>
          <w:szCs w:val="20"/>
        </w:rPr>
        <w:t>$</w:t>
      </w:r>
      <w:r>
        <w:rPr>
          <w:sz w:val="20"/>
          <w:szCs w:val="20"/>
        </w:rPr>
        <w:t>484.4</w:t>
      </w:r>
      <w:r>
        <w:rPr>
          <w:sz w:val="20"/>
          <w:szCs w:val="20"/>
        </w:rPr>
        <w:t>7</w:t>
      </w:r>
      <w:r>
        <w:rPr>
          <w:sz w:val="20"/>
          <w:szCs w:val="20"/>
        </w:rPr>
        <w:t>. The Company uses the if-converted method when calculating any potential dilutive effect of the Conversion Opt</w:t>
      </w:r>
      <w:r>
        <w:rPr>
          <w:sz w:val="20"/>
          <w:szCs w:val="20"/>
        </w:rPr>
        <w:t>ions, which assumes conversion of outstanding convertible securities at the beginning of the reporting period or date of issuance, if the convertible security was issued during the period</w:t>
      </w:r>
      <w:r>
        <w:rPr>
          <w:sz w:val="20"/>
          <w:szCs w:val="20"/>
        </w:rPr>
        <w:t>.</w:t>
      </w:r>
    </w:p>
    <w:p w:rsidR="00000000" w:rsidRDefault="00211603">
      <w:pPr>
        <w:pStyle w:val="a3"/>
        <w:spacing w:before="240" w:beforeAutospacing="0" w:after="0" w:afterAutospacing="0"/>
        <w:ind w:firstLine="555"/>
        <w:divId w:val="1638098872"/>
        <w:rPr>
          <w:sz w:val="20"/>
          <w:szCs w:val="20"/>
        </w:rPr>
      </w:pPr>
      <w:r>
        <w:rPr>
          <w:sz w:val="20"/>
          <w:szCs w:val="20"/>
        </w:rPr>
        <w:t xml:space="preserve">Because the last reported sale price of the Company’s common stock </w:t>
      </w:r>
      <w:r>
        <w:rPr>
          <w:sz w:val="20"/>
          <w:szCs w:val="20"/>
        </w:rPr>
        <w:t>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w:t>
      </w:r>
      <w:r>
        <w:rPr>
          <w:sz w:val="20"/>
          <w:szCs w:val="20"/>
        </w:rPr>
        <w:t xml:space="preserve"> </w:t>
      </w:r>
      <w:r>
        <w:rPr>
          <w:sz w:val="20"/>
          <w:szCs w:val="20"/>
        </w:rPr>
        <w:t>March 31, 202</w:t>
      </w:r>
      <w:r>
        <w:rPr>
          <w:sz w:val="20"/>
          <w:szCs w:val="20"/>
        </w:rPr>
        <w:t>2</w:t>
      </w:r>
      <w:r>
        <w:rPr>
          <w:sz w:val="20"/>
          <w:szCs w:val="20"/>
        </w:rPr>
        <w:t xml:space="preserve"> was equal to or greater than</w:t>
      </w:r>
      <w:r>
        <w:rPr>
          <w:sz w:val="20"/>
          <w:szCs w:val="20"/>
        </w:rPr>
        <w:t xml:space="preserve"> </w:t>
      </w:r>
      <w:r>
        <w:rPr>
          <w:sz w:val="20"/>
          <w:szCs w:val="20"/>
        </w:rPr>
        <w:t>13</w:t>
      </w:r>
      <w:r>
        <w:rPr>
          <w:sz w:val="20"/>
          <w:szCs w:val="20"/>
        </w:rPr>
        <w:t>0</w:t>
      </w:r>
      <w:r>
        <w:rPr>
          <w:sz w:val="20"/>
          <w:szCs w:val="20"/>
        </w:rPr>
        <w:t xml:space="preserve">% of the applicable conversion price of </w:t>
      </w:r>
      <w:r>
        <w:rPr>
          <w:sz w:val="20"/>
          <w:szCs w:val="20"/>
        </w:rPr>
        <w:t>$</w:t>
      </w:r>
      <w:r>
        <w:rPr>
          <w:sz w:val="20"/>
          <w:szCs w:val="20"/>
        </w:rPr>
        <w:t>282.5</w:t>
      </w:r>
      <w:r>
        <w:rPr>
          <w:sz w:val="20"/>
          <w:szCs w:val="20"/>
        </w:rPr>
        <w:t>2</w:t>
      </w:r>
      <w:r>
        <w:rPr>
          <w:sz w:val="20"/>
          <w:szCs w:val="20"/>
        </w:rPr>
        <w:t xml:space="preserve"> on each applicable tra</w:t>
      </w:r>
      <w:r>
        <w:rPr>
          <w:sz w:val="20"/>
          <w:szCs w:val="20"/>
        </w:rPr>
        <w:t>ding day, the 2025 Notes are convertible at the option of the holders thereof during the calendar quarter ending June 30, 2022. During the quarter ended</w:t>
      </w:r>
      <w:r>
        <w:rPr>
          <w:sz w:val="20"/>
          <w:szCs w:val="20"/>
        </w:rPr>
        <w:t xml:space="preserve"> </w:t>
      </w:r>
      <w:r>
        <w:rPr>
          <w:sz w:val="20"/>
          <w:szCs w:val="20"/>
        </w:rPr>
        <w:t>March 31, 202</w:t>
      </w:r>
      <w:r>
        <w:rPr>
          <w:sz w:val="20"/>
          <w:szCs w:val="20"/>
        </w:rPr>
        <w:t>2</w:t>
      </w:r>
      <w:r>
        <w:rPr>
          <w:sz w:val="20"/>
          <w:szCs w:val="20"/>
        </w:rPr>
        <w:t xml:space="preserve">, upon the election of the holders to convert, the Company settled </w:t>
      </w:r>
      <w:r>
        <w:rPr>
          <w:sz w:val="20"/>
          <w:szCs w:val="20"/>
        </w:rPr>
        <w:t>$</w:t>
      </w:r>
      <w:r>
        <w:rPr>
          <w:sz w:val="20"/>
          <w:szCs w:val="20"/>
        </w:rPr>
        <w:t>0.</w:t>
      </w:r>
      <w:r>
        <w:rPr>
          <w:sz w:val="20"/>
          <w:szCs w:val="20"/>
        </w:rPr>
        <w:t>9</w:t>
      </w:r>
      <w:r>
        <w:rPr>
          <w:sz w:val="20"/>
          <w:szCs w:val="20"/>
        </w:rPr>
        <w:t xml:space="preserve"> million of princi</w:t>
      </w:r>
      <w:r>
        <w:rPr>
          <w:sz w:val="20"/>
          <w:szCs w:val="20"/>
        </w:rPr>
        <w:t>pal balance of the 2025 Notes in cash. Between the end of the most recently completed fiscal quarter and April 29, 2022, the Company has</w:t>
      </w:r>
      <w:r>
        <w:rPr>
          <w:sz w:val="20"/>
          <w:szCs w:val="20"/>
        </w:rPr>
        <w:t xml:space="preserve"> </w:t>
      </w:r>
      <w:r>
        <w:rPr>
          <w:sz w:val="20"/>
          <w:szCs w:val="20"/>
        </w:rPr>
        <w:t>n</w:t>
      </w:r>
      <w:r>
        <w:rPr>
          <w:sz w:val="20"/>
          <w:szCs w:val="20"/>
        </w:rPr>
        <w:t>o</w:t>
      </w:r>
      <w:r>
        <w:rPr>
          <w:sz w:val="20"/>
          <w:szCs w:val="20"/>
        </w:rPr>
        <w:t>t received additional conversion notices</w:t>
      </w:r>
      <w:r>
        <w:rPr>
          <w:sz w:val="20"/>
          <w:szCs w:val="20"/>
        </w:rPr>
        <w:t>.</w:t>
      </w:r>
      <w:r>
        <w:rPr>
          <w:sz w:val="20"/>
          <w:szCs w:val="20"/>
        </w:rPr>
        <w:t xml:space="preserve"> </w:t>
      </w:r>
    </w:p>
    <w:p w:rsidR="00000000" w:rsidRDefault="00211603">
      <w:pPr>
        <w:pStyle w:val="a3"/>
        <w:spacing w:before="240" w:beforeAutospacing="0" w:after="0" w:afterAutospacing="0"/>
        <w:ind w:firstLine="555"/>
        <w:divId w:val="1638098872"/>
        <w:rPr>
          <w:sz w:val="20"/>
          <w:szCs w:val="20"/>
        </w:rPr>
      </w:pPr>
      <w:r>
        <w:rPr>
          <w:sz w:val="20"/>
          <w:szCs w:val="20"/>
        </w:rPr>
        <w:t>On or after February 1, 2022, until the close of business on the second sc</w:t>
      </w:r>
      <w:r>
        <w:rPr>
          <w:sz w:val="20"/>
          <w:szCs w:val="20"/>
        </w:rPr>
        <w:t>heduled trading day immediately preceding the maturity date, holders may convert the 2022 Notes at any time.</w:t>
      </w:r>
      <w:r>
        <w:rPr>
          <w:sz w:val="20"/>
          <w:szCs w:val="20"/>
        </w:rPr>
        <w:t xml:space="preserve"> </w:t>
      </w:r>
      <w:r>
        <w:rPr>
          <w:sz w:val="20"/>
          <w:szCs w:val="20"/>
        </w:rPr>
        <w:t>In the quarter ended March 31, 202</w:t>
      </w:r>
      <w:r>
        <w:rPr>
          <w:sz w:val="20"/>
          <w:szCs w:val="20"/>
        </w:rPr>
        <w:t>2</w:t>
      </w:r>
      <w:r>
        <w:rPr>
          <w:sz w:val="20"/>
          <w:szCs w:val="20"/>
        </w:rPr>
        <w:t xml:space="preserve"> and through April 29, 2022, the Company did</w:t>
      </w:r>
      <w:r>
        <w:rPr>
          <w:sz w:val="20"/>
          <w:szCs w:val="20"/>
        </w:rPr>
        <w:t xml:space="preserve"> </w:t>
      </w:r>
      <w:r>
        <w:rPr>
          <w:sz w:val="20"/>
          <w:szCs w:val="20"/>
        </w:rPr>
        <w:t>n</w:t>
      </w:r>
      <w:r>
        <w:rPr>
          <w:sz w:val="20"/>
          <w:szCs w:val="20"/>
        </w:rPr>
        <w:t>o</w:t>
      </w:r>
      <w:r>
        <w:rPr>
          <w:sz w:val="20"/>
          <w:szCs w:val="20"/>
        </w:rPr>
        <w:t>t receiv</w:t>
      </w:r>
      <w:r>
        <w:rPr>
          <w:sz w:val="20"/>
          <w:szCs w:val="20"/>
        </w:rPr>
        <w:t>e</w:t>
      </w:r>
      <w:r>
        <w:rPr>
          <w:sz w:val="20"/>
          <w:szCs w:val="20"/>
        </w:rPr>
        <w:t xml:space="preserve"> any conversion notices. As of March 31, 2022,</w:t>
      </w:r>
      <w:r>
        <w:rPr>
          <w:sz w:val="20"/>
          <w:szCs w:val="20"/>
        </w:rPr>
        <w:t xml:space="preserve"> </w:t>
      </w:r>
      <w:r>
        <w:rPr>
          <w:sz w:val="20"/>
          <w:szCs w:val="20"/>
        </w:rPr>
        <w:t>$</w:t>
      </w:r>
      <w:r>
        <w:rPr>
          <w:sz w:val="20"/>
          <w:szCs w:val="20"/>
        </w:rPr>
        <w:t>19.</w:t>
      </w:r>
      <w:r>
        <w:rPr>
          <w:sz w:val="20"/>
          <w:szCs w:val="20"/>
        </w:rPr>
        <w:t>4</w:t>
      </w:r>
      <w:r>
        <w:rPr>
          <w:sz w:val="20"/>
          <w:szCs w:val="20"/>
        </w:rPr>
        <w:t xml:space="preserve"> mil</w:t>
      </w:r>
      <w:r>
        <w:rPr>
          <w:sz w:val="20"/>
          <w:szCs w:val="20"/>
        </w:rPr>
        <w:t>lio</w:t>
      </w:r>
      <w:r>
        <w:rPr>
          <w:sz w:val="20"/>
          <w:szCs w:val="20"/>
        </w:rPr>
        <w:t>n</w:t>
      </w:r>
      <w:r>
        <w:rPr>
          <w:sz w:val="20"/>
          <w:szCs w:val="20"/>
        </w:rPr>
        <w:t xml:space="preserve"> of principal remains outstanding on the 2022 Notes. For disclosure purposes, the potentially dilutive effect of the conversion spread is calculated and included in the table below</w:t>
      </w:r>
      <w:r>
        <w:rPr>
          <w:sz w:val="20"/>
          <w:szCs w:val="20"/>
        </w:rPr>
        <w:t>.</w:t>
      </w:r>
    </w:p>
    <w:p w:rsidR="00000000" w:rsidRDefault="00211603">
      <w:pPr>
        <w:pStyle w:val="a3"/>
        <w:spacing w:before="240" w:beforeAutospacing="0" w:after="0" w:afterAutospacing="0"/>
        <w:ind w:firstLine="555"/>
        <w:divId w:val="520051397"/>
        <w:rPr>
          <w:sz w:val="20"/>
          <w:szCs w:val="20"/>
        </w:rPr>
      </w:pPr>
      <w:r>
        <w:rPr>
          <w:sz w:val="20"/>
          <w:szCs w:val="20"/>
        </w:rPr>
        <w:t>The following table contains all potentially dilutive common stock equ</w:t>
      </w:r>
      <w:r>
        <w:rPr>
          <w:sz w:val="20"/>
          <w:szCs w:val="20"/>
        </w:rPr>
        <w:t>ivalents</w:t>
      </w:r>
      <w:r>
        <w:rPr>
          <w:sz w:val="20"/>
          <w:szCs w:val="20"/>
        </w:rPr>
        <w:t>.</w:t>
      </w:r>
      <w:r>
        <w:rPr>
          <w:sz w:val="20"/>
          <w:szCs w:val="20"/>
        </w:rPr>
        <w:t xml:space="preserve"> </w:t>
      </w:r>
    </w:p>
    <w:p w:rsidR="00000000" w:rsidRDefault="00211603">
      <w:pPr>
        <w:pStyle w:val="a3"/>
        <w:spacing w:before="40" w:beforeAutospacing="0" w:after="0" w:afterAutospacing="0"/>
        <w:ind w:firstLine="555"/>
        <w:divId w:val="52005139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56"/>
        <w:gridCol w:w="123"/>
        <w:gridCol w:w="110"/>
        <w:gridCol w:w="1094"/>
        <w:gridCol w:w="110"/>
        <w:gridCol w:w="123"/>
        <w:gridCol w:w="110"/>
        <w:gridCol w:w="1094"/>
        <w:gridCol w:w="125"/>
      </w:tblGrid>
      <w:tr w:rsidR="00000000">
        <w:trPr>
          <w:divId w:val="520051397"/>
          <w:tblCellSpacing w:w="15" w:type="dxa"/>
        </w:trPr>
        <w:tc>
          <w:tcPr>
            <w:tcW w:w="2944" w:type="pct"/>
            <w:vAlign w:val="center"/>
            <w:hideMark/>
          </w:tcPr>
          <w:p w:rsidR="00000000" w:rsidRDefault="00211603">
            <w:pPr>
              <w:rPr>
                <w:sz w:val="20"/>
                <w:szCs w:val="20"/>
              </w:rPr>
            </w:pPr>
          </w:p>
        </w:tc>
        <w:tc>
          <w:tcPr>
            <w:tcW w:w="94"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858"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94"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858"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r>
      <w:tr w:rsidR="00000000">
        <w:trPr>
          <w:divId w:val="520051397"/>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As of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520051397"/>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520051397"/>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52005139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Options to purchase common share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52</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76</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52005139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1,45</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52005139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Conversion Option of the 2022 Notes and Warrant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1,23</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52005139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Conversion Option of the 2025 Note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1,62</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52005139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0" w:beforeAutospacing="0" w:after="0" w:afterAutospacing="0"/>
        <w:ind w:firstLine="726"/>
        <w:rPr>
          <w:sz w:val="20"/>
          <w:szCs w:val="20"/>
        </w:rPr>
      </w:pPr>
      <w:r>
        <w:rPr>
          <w:sz w:val="20"/>
          <w:szCs w:val="20"/>
        </w:rPr>
        <w:t> </w:t>
      </w:r>
    </w:p>
    <w:p w:rsidR="00000000" w:rsidRDefault="00211603">
      <w:pPr>
        <w:pStyle w:val="a3"/>
        <w:spacing w:before="200" w:beforeAutospacing="0" w:after="0" w:afterAutospacing="0"/>
        <w:divId w:val="1615087859"/>
        <w:rPr>
          <w:sz w:val="20"/>
          <w:szCs w:val="20"/>
        </w:rPr>
      </w:pPr>
      <w:r>
        <w:rPr>
          <w:b/>
          <w:bCs/>
          <w:sz w:val="20"/>
          <w:szCs w:val="20"/>
        </w:rPr>
        <w:t>4. Fair Value of Financial Instrument</w:t>
      </w:r>
      <w:r>
        <w:rPr>
          <w:b/>
          <w:bCs/>
          <w:sz w:val="20"/>
          <w:szCs w:val="20"/>
        </w:rPr>
        <w:t>s</w:t>
      </w:r>
    </w:p>
    <w:p w:rsidR="00000000" w:rsidRDefault="00211603">
      <w:pPr>
        <w:pStyle w:val="a3"/>
        <w:spacing w:before="200" w:beforeAutospacing="0" w:after="0" w:afterAutospacing="0"/>
        <w:ind w:firstLine="555"/>
        <w:divId w:val="1615087859"/>
        <w:rPr>
          <w:sz w:val="20"/>
          <w:szCs w:val="20"/>
        </w:rPr>
      </w:pPr>
      <w:r>
        <w:rPr>
          <w:sz w:val="20"/>
          <w:szCs w:val="20"/>
        </w:rPr>
        <w:t xml:space="preserve">The Company measures certain financial assets at fair value. Fair value is determined based upon the exit price that would be received to sell an asset or paid to transfer a liability in an orderly transaction between market participants, as determined by </w:t>
      </w:r>
      <w:r>
        <w:rPr>
          <w:sz w:val="20"/>
          <w:szCs w:val="20"/>
        </w:rPr>
        <w:t>either the principal market or the most advantageous market. Inputs used in the valuation techniques to derive fair values are classified based on a three-level hierarchy, as follows</w:t>
      </w:r>
      <w:r>
        <w:rPr>
          <w:sz w:val="20"/>
          <w:szCs w:val="20"/>
        </w:rPr>
        <w:t>:</w:t>
      </w:r>
    </w:p>
    <w:p w:rsidR="00000000" w:rsidRDefault="00211603">
      <w:pPr>
        <w:divId w:val="1759785551"/>
        <w:rPr>
          <w:rFonts w:eastAsia="Times New Roman"/>
          <w:sz w:val="20"/>
          <w:szCs w:val="20"/>
        </w:rPr>
      </w:pPr>
      <w:r>
        <w:rPr>
          <w:rFonts w:eastAsia="Times New Roman"/>
          <w:sz w:val="20"/>
          <w:szCs w:val="20"/>
        </w:rPr>
        <w:t>•</w:t>
      </w:r>
    </w:p>
    <w:p w:rsidR="00000000" w:rsidRDefault="00211603">
      <w:pPr>
        <w:divId w:val="328096480"/>
        <w:rPr>
          <w:rFonts w:eastAsia="Times New Roman"/>
          <w:sz w:val="20"/>
          <w:szCs w:val="20"/>
        </w:rPr>
      </w:pPr>
      <w:r>
        <w:rPr>
          <w:rFonts w:eastAsia="Times New Roman"/>
          <w:sz w:val="20"/>
          <w:szCs w:val="20"/>
        </w:rPr>
        <w:t>Level 1 — Quoted prices in active markets for identical assets or liab</w:t>
      </w:r>
      <w:r>
        <w:rPr>
          <w:rFonts w:eastAsia="Times New Roman"/>
          <w:sz w:val="20"/>
          <w:szCs w:val="20"/>
        </w:rPr>
        <w:t>ilities</w:t>
      </w:r>
      <w:r>
        <w:rPr>
          <w:rFonts w:eastAsia="Times New Roman"/>
          <w:sz w:val="20"/>
          <w:szCs w:val="20"/>
        </w:rPr>
        <w:t>.</w:t>
      </w:r>
    </w:p>
    <w:p w:rsidR="00000000" w:rsidRDefault="00211603">
      <w:pPr>
        <w:divId w:val="21322344"/>
        <w:rPr>
          <w:rFonts w:eastAsia="Times New Roman"/>
          <w:sz w:val="20"/>
          <w:szCs w:val="20"/>
        </w:rPr>
      </w:pPr>
      <w:r>
        <w:rPr>
          <w:rFonts w:eastAsia="Times New Roman"/>
          <w:sz w:val="20"/>
          <w:szCs w:val="20"/>
        </w:rPr>
        <w:t>•</w:t>
      </w:r>
    </w:p>
    <w:p w:rsidR="00000000" w:rsidRDefault="00211603">
      <w:pPr>
        <w:divId w:val="325520772"/>
        <w:rPr>
          <w:rFonts w:eastAsia="Times New Roman"/>
          <w:sz w:val="20"/>
          <w:szCs w:val="20"/>
        </w:rPr>
      </w:pPr>
      <w:r>
        <w:rPr>
          <w:rFonts w:eastAsia="Times New Roman"/>
          <w:sz w:val="20"/>
          <w:szCs w:val="20"/>
        </w:rPr>
        <w:t>Level 2 — Observable inputs other than Level 1 prices such as quoted prices for similar assets or liabilities; quoted prices in markets with insufficient volume or infrequent transactions (less active markets); or model-derived valuations in whi</w:t>
      </w:r>
      <w:r>
        <w:rPr>
          <w:rFonts w:eastAsia="Times New Roman"/>
          <w:sz w:val="20"/>
          <w:szCs w:val="20"/>
        </w:rPr>
        <w:t>ch all significant inputs are observable or can be derived principally from or corroborated by observable market data for substantially the full term of the assets or liabilities</w:t>
      </w:r>
      <w:r>
        <w:rPr>
          <w:rFonts w:eastAsia="Times New Roman"/>
          <w:sz w:val="20"/>
          <w:szCs w:val="20"/>
        </w:rPr>
        <w:t>.</w:t>
      </w:r>
    </w:p>
    <w:p w:rsidR="00000000" w:rsidRDefault="00211603">
      <w:pPr>
        <w:divId w:val="955218279"/>
        <w:rPr>
          <w:rFonts w:eastAsia="Times New Roman"/>
          <w:sz w:val="20"/>
          <w:szCs w:val="20"/>
        </w:rPr>
      </w:pPr>
      <w:r>
        <w:rPr>
          <w:rFonts w:eastAsia="Times New Roman"/>
          <w:sz w:val="20"/>
          <w:szCs w:val="20"/>
        </w:rPr>
        <w:t>•</w:t>
      </w:r>
    </w:p>
    <w:p w:rsidR="00000000" w:rsidRDefault="00211603">
      <w:pPr>
        <w:divId w:val="1701125771"/>
        <w:rPr>
          <w:rFonts w:eastAsia="Times New Roman"/>
          <w:sz w:val="20"/>
          <w:szCs w:val="20"/>
        </w:rPr>
      </w:pPr>
      <w:r>
        <w:rPr>
          <w:rFonts w:eastAsia="Times New Roman"/>
          <w:sz w:val="20"/>
          <w:szCs w:val="20"/>
        </w:rPr>
        <w:t xml:space="preserve">Level 3 — </w:t>
      </w:r>
      <w:r>
        <w:rPr>
          <w:rFonts w:eastAsia="Times New Roman"/>
          <w:sz w:val="20"/>
          <w:szCs w:val="20"/>
        </w:rPr>
        <w:t>Unobservable inputs to the valuation methodology that are significant to the measurement of fair value of assets or liabilities</w:t>
      </w:r>
      <w:r>
        <w:rPr>
          <w:rFonts w:eastAsia="Times New Roman"/>
          <w:sz w:val="20"/>
          <w:szCs w:val="20"/>
        </w:rPr>
        <w:t>.</w:t>
      </w:r>
    </w:p>
    <w:p w:rsidR="00000000" w:rsidRDefault="00211603">
      <w:pPr>
        <w:pStyle w:val="a3"/>
        <w:spacing w:before="240" w:beforeAutospacing="0" w:after="0" w:afterAutospacing="0"/>
        <w:jc w:val="center"/>
        <w:divId w:val="1615087859"/>
        <w:rPr>
          <w:sz w:val="20"/>
          <w:szCs w:val="20"/>
        </w:rPr>
      </w:pPr>
      <w:r>
        <w:rPr>
          <w:sz w:val="20"/>
          <w:szCs w:val="20"/>
        </w:rPr>
        <w:t>1</w:t>
      </w:r>
      <w:r>
        <w:rPr>
          <w:sz w:val="20"/>
          <w:szCs w:val="20"/>
        </w:rPr>
        <w:t>2</w:t>
      </w:r>
    </w:p>
    <w:p w:rsidR="00000000" w:rsidRDefault="00211603">
      <w:pPr>
        <w:divId w:val="1615087859"/>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211603">
      <w:pPr>
        <w:pStyle w:val="a3"/>
        <w:spacing w:before="0" w:beforeAutospacing="0" w:after="0" w:afterAutospacing="0"/>
        <w:divId w:val="1615087859"/>
        <w:rPr>
          <w:sz w:val="20"/>
          <w:szCs w:val="20"/>
        </w:rPr>
      </w:pPr>
      <w:r>
        <w:rPr>
          <w:sz w:val="20"/>
          <w:szCs w:val="20"/>
        </w:rPr>
        <w:t> </w:t>
      </w:r>
    </w:p>
    <w:p w:rsidR="00000000" w:rsidRDefault="00211603">
      <w:pPr>
        <w:pStyle w:val="a3"/>
        <w:spacing w:before="200" w:beforeAutospacing="0" w:after="0" w:afterAutospacing="0"/>
        <w:ind w:firstLine="555"/>
        <w:divId w:val="398869591"/>
        <w:rPr>
          <w:sz w:val="20"/>
          <w:szCs w:val="20"/>
        </w:rPr>
      </w:pPr>
      <w:r>
        <w:rPr>
          <w:sz w:val="20"/>
          <w:szCs w:val="20"/>
        </w:rPr>
        <w:t>The following table details the fair value measurements within the fair value hierarchy of the Company’s financial assets and liabilities at</w:t>
      </w:r>
      <w:r>
        <w:rPr>
          <w:sz w:val="20"/>
          <w:szCs w:val="20"/>
        </w:rPr>
        <w:t xml:space="preserve"> </w:t>
      </w:r>
      <w:r>
        <w:rPr>
          <w:sz w:val="20"/>
          <w:szCs w:val="20"/>
        </w:rPr>
        <w:t>March 31, 2022 and December 31, 2021:</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46"/>
        <w:gridCol w:w="110"/>
        <w:gridCol w:w="160"/>
        <w:gridCol w:w="710"/>
        <w:gridCol w:w="110"/>
        <w:gridCol w:w="110"/>
        <w:gridCol w:w="160"/>
        <w:gridCol w:w="860"/>
        <w:gridCol w:w="110"/>
        <w:gridCol w:w="110"/>
        <w:gridCol w:w="161"/>
        <w:gridCol w:w="363"/>
        <w:gridCol w:w="110"/>
        <w:gridCol w:w="110"/>
        <w:gridCol w:w="160"/>
        <w:gridCol w:w="860"/>
        <w:gridCol w:w="125"/>
      </w:tblGrid>
      <w:tr w:rsidR="00000000">
        <w:trPr>
          <w:divId w:val="398869591"/>
          <w:tblCellSpacing w:w="15" w:type="dxa"/>
        </w:trPr>
        <w:tc>
          <w:tcPr>
            <w:tcW w:w="2309" w:type="pct"/>
            <w:vAlign w:val="center"/>
            <w:hideMark/>
          </w:tcPr>
          <w:p w:rsidR="00000000" w:rsidRDefault="00211603">
            <w:pPr>
              <w:rPr>
                <w:sz w:val="20"/>
                <w:szCs w:val="20"/>
              </w:rPr>
            </w:pPr>
          </w:p>
        </w:tc>
        <w:tc>
          <w:tcPr>
            <w:tcW w:w="6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96"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8"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11"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8"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61"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8"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11"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r>
      <w:tr w:rsidR="00000000">
        <w:trPr>
          <w:divId w:val="398869591"/>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98869591"/>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98869591"/>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100,25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100,25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25,66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25,66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252,54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252,54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28,52</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28,52</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714,75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714,75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100,25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1,024,52</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1,124,77</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divId w:val="39886959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46"/>
        <w:gridCol w:w="110"/>
        <w:gridCol w:w="160"/>
        <w:gridCol w:w="710"/>
        <w:gridCol w:w="110"/>
        <w:gridCol w:w="110"/>
        <w:gridCol w:w="160"/>
        <w:gridCol w:w="860"/>
        <w:gridCol w:w="110"/>
        <w:gridCol w:w="110"/>
        <w:gridCol w:w="161"/>
        <w:gridCol w:w="363"/>
        <w:gridCol w:w="110"/>
        <w:gridCol w:w="110"/>
        <w:gridCol w:w="160"/>
        <w:gridCol w:w="860"/>
        <w:gridCol w:w="125"/>
      </w:tblGrid>
      <w:tr w:rsidR="00000000">
        <w:trPr>
          <w:divId w:val="398869591"/>
          <w:tblCellSpacing w:w="15" w:type="dxa"/>
        </w:trPr>
        <w:tc>
          <w:tcPr>
            <w:tcW w:w="2309" w:type="pct"/>
            <w:vAlign w:val="center"/>
            <w:hideMark/>
          </w:tcPr>
          <w:p w:rsidR="00000000" w:rsidRDefault="00211603">
            <w:pPr>
              <w:rPr>
                <w:sz w:val="20"/>
                <w:szCs w:val="20"/>
              </w:rPr>
            </w:pPr>
          </w:p>
        </w:tc>
        <w:tc>
          <w:tcPr>
            <w:tcW w:w="6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96"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8"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11"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8"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61"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8"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11"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r>
      <w:tr w:rsidR="00000000">
        <w:trPr>
          <w:divId w:val="398869591"/>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98869591"/>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98869591"/>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125,94</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125,94</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28,33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28,33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249,84</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249,84</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22,46</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22,46</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698,30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698,30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9886959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125,94</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1,001,97</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1,127,91</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1615087859"/>
        <w:rPr>
          <w:sz w:val="20"/>
          <w:szCs w:val="20"/>
        </w:rPr>
      </w:pPr>
      <w:r>
        <w:rPr>
          <w:sz w:val="20"/>
          <w:szCs w:val="20"/>
        </w:rPr>
        <w:t>The Company considers all highly liquid investments purchased with an original maturity of three months or less to be cash equivalents. The fair value of the Company’s investments in certain money market funds is their face value and such instruments are c</w:t>
      </w:r>
      <w:r>
        <w:rPr>
          <w:sz w:val="20"/>
          <w:szCs w:val="20"/>
        </w:rPr>
        <w:t>lassified as Level 1 and are included in cash and cash equivalents on the consolidated balance sheets. At March 31, 2022 and December 31, 2021, Level 2 securities were priced by pricing vendors. These pricing vendors utilize the most recent observable mark</w:t>
      </w:r>
      <w:r>
        <w:rPr>
          <w:sz w:val="20"/>
          <w:szCs w:val="20"/>
        </w:rPr>
        <w:t>et information in pricing these securities or, if specific prices are not available for these securities, use other observable inputs like market transactions involving identical or comparable securities</w:t>
      </w:r>
      <w:r>
        <w:rPr>
          <w:sz w:val="20"/>
          <w:szCs w:val="20"/>
        </w:rPr>
        <w:t>.</w:t>
      </w:r>
      <w:r>
        <w:rPr>
          <w:sz w:val="20"/>
          <w:szCs w:val="20"/>
        </w:rPr>
        <w:t xml:space="preserve"> </w:t>
      </w:r>
    </w:p>
    <w:p w:rsidR="00000000" w:rsidRDefault="00211603">
      <w:pPr>
        <w:pStyle w:val="a3"/>
        <w:spacing w:before="200" w:beforeAutospacing="0" w:after="0" w:afterAutospacing="0"/>
        <w:ind w:firstLine="555"/>
        <w:divId w:val="1615087859"/>
        <w:rPr>
          <w:sz w:val="20"/>
          <w:szCs w:val="20"/>
        </w:rPr>
      </w:pPr>
      <w:r>
        <w:rPr>
          <w:sz w:val="20"/>
          <w:szCs w:val="20"/>
        </w:rPr>
        <w:t>As of March 31, 2022, the fair value of the 2022 N</w:t>
      </w:r>
      <w:r>
        <w:rPr>
          <w:sz w:val="20"/>
          <w:szCs w:val="20"/>
        </w:rPr>
        <w:t>otes was</w:t>
      </w:r>
      <w:r>
        <w:rPr>
          <w:sz w:val="20"/>
          <w:szCs w:val="20"/>
        </w:rPr>
        <w:t xml:space="preserve"> </w:t>
      </w:r>
      <w:r>
        <w:rPr>
          <w:sz w:val="20"/>
          <w:szCs w:val="20"/>
        </w:rPr>
        <w:t>$</w:t>
      </w:r>
      <w:r>
        <w:rPr>
          <w:sz w:val="20"/>
          <w:szCs w:val="20"/>
        </w:rPr>
        <w:t>96.</w:t>
      </w:r>
      <w:r>
        <w:rPr>
          <w:sz w:val="20"/>
          <w:szCs w:val="20"/>
        </w:rPr>
        <w:t>9</w:t>
      </w:r>
      <w:r>
        <w:rPr>
          <w:sz w:val="20"/>
          <w:szCs w:val="20"/>
        </w:rPr>
        <w:t xml:space="preserve"> million and the fair value of the 2025 Notes was</w:t>
      </w:r>
      <w:r>
        <w:rPr>
          <w:sz w:val="20"/>
          <w:szCs w:val="20"/>
        </w:rPr>
        <w:t xml:space="preserve"> </w:t>
      </w:r>
      <w:r>
        <w:rPr>
          <w:sz w:val="20"/>
          <w:szCs w:val="20"/>
        </w:rPr>
        <w:t>$</w:t>
      </w:r>
      <w:r>
        <w:rPr>
          <w:sz w:val="20"/>
          <w:szCs w:val="20"/>
        </w:rPr>
        <w:t>821.</w:t>
      </w:r>
      <w:r>
        <w:rPr>
          <w:sz w:val="20"/>
          <w:szCs w:val="20"/>
        </w:rPr>
        <w:t>4</w:t>
      </w:r>
      <w:r>
        <w:rPr>
          <w:sz w:val="20"/>
          <w:szCs w:val="20"/>
        </w:rPr>
        <w:t xml:space="preserve"> millio</w:t>
      </w:r>
      <w:r>
        <w:rPr>
          <w:sz w:val="20"/>
          <w:szCs w:val="20"/>
        </w:rPr>
        <w:t>n</w:t>
      </w:r>
      <w:r>
        <w:rPr>
          <w:sz w:val="20"/>
          <w:szCs w:val="20"/>
        </w:rPr>
        <w:t>. The fair value was determined based on the quoted price of the 2022 and 2025 Notes in an inactive market on the last trading day of the reporting period and has been classified</w:t>
      </w:r>
      <w:r>
        <w:rPr>
          <w:sz w:val="20"/>
          <w:szCs w:val="20"/>
        </w:rPr>
        <w:t xml:space="preserve"> as Level 2 within the fair value hierarchy</w:t>
      </w:r>
      <w:r>
        <w:rPr>
          <w:sz w:val="20"/>
          <w:szCs w:val="20"/>
        </w:rPr>
        <w:t>.</w:t>
      </w:r>
    </w:p>
    <w:p w:rsidR="00000000" w:rsidRDefault="00211603">
      <w:pPr>
        <w:pStyle w:val="a3"/>
        <w:spacing w:before="200" w:beforeAutospacing="0" w:after="0" w:afterAutospacing="0"/>
        <w:ind w:firstLine="555"/>
        <w:divId w:val="1615087859"/>
        <w:rPr>
          <w:sz w:val="20"/>
          <w:szCs w:val="20"/>
        </w:rPr>
      </w:pPr>
      <w:r>
        <w:rPr>
          <w:sz w:val="20"/>
          <w:szCs w:val="20"/>
        </w:rPr>
        <w:t xml:space="preserve">For certain other financial instruments, including accounts receivable, accounts payable, and other current liabilities, the carrying amounts approximate their fair value due to the relatively short maturity of </w:t>
      </w:r>
      <w:r>
        <w:rPr>
          <w:sz w:val="20"/>
          <w:szCs w:val="20"/>
        </w:rPr>
        <w:t>these balances</w:t>
      </w:r>
      <w:r>
        <w:rPr>
          <w:sz w:val="20"/>
          <w:szCs w:val="20"/>
        </w:rPr>
        <w:t>.</w:t>
      </w:r>
    </w:p>
    <w:p w:rsidR="00000000" w:rsidRDefault="00211603">
      <w:pPr>
        <w:pStyle w:val="a3"/>
        <w:spacing w:before="200" w:beforeAutospacing="0" w:after="0" w:afterAutospacing="0"/>
        <w:ind w:firstLine="555"/>
        <w:divId w:val="1615087859"/>
        <w:rPr>
          <w:sz w:val="20"/>
          <w:szCs w:val="20"/>
        </w:rPr>
      </w:pPr>
      <w:r>
        <w:rPr>
          <w:sz w:val="20"/>
          <w:szCs w:val="20"/>
        </w:rPr>
        <w:t>Restricted cash is comprised of money market funds related to landlord guarantees for leased facilities. These restricted cash balances have been excluded from our cash and cash equivalents balance on our consolidated balance sheets</w:t>
      </w:r>
      <w:r>
        <w:rPr>
          <w:sz w:val="20"/>
          <w:szCs w:val="20"/>
        </w:rPr>
        <w:t>.</w:t>
      </w:r>
    </w:p>
    <w:p w:rsidR="00000000" w:rsidRDefault="00211603">
      <w:pPr>
        <w:pStyle w:val="a3"/>
        <w:spacing w:before="200" w:beforeAutospacing="0" w:after="0" w:afterAutospacing="0"/>
        <w:ind w:firstLine="555"/>
        <w:divId w:val="1615087859"/>
        <w:rPr>
          <w:sz w:val="20"/>
          <w:szCs w:val="20"/>
        </w:rPr>
      </w:pPr>
      <w:r>
        <w:rPr>
          <w:sz w:val="20"/>
          <w:szCs w:val="20"/>
        </w:rPr>
        <w:t>Strate</w:t>
      </w:r>
      <w:r>
        <w:rPr>
          <w:sz w:val="20"/>
          <w:szCs w:val="20"/>
        </w:rPr>
        <w:t>gic investments consist of non-controlling equity investments in privately held companies. The Company elected the measurement alternative for these investments without readily determinable fair values and for which the Company does not have the ability to</w:t>
      </w:r>
      <w:r>
        <w:rPr>
          <w:sz w:val="20"/>
          <w:szCs w:val="20"/>
        </w:rPr>
        <w:t xml:space="preserve"> exercise significant influence. These investments are accounted for under the cost method of accounting. Under the cost method of accounting, the non-marketable equity securities are carried at cost less any impairment, plus or minus adjustments resulting</w:t>
      </w:r>
      <w:r>
        <w:rPr>
          <w:sz w:val="20"/>
          <w:szCs w:val="20"/>
        </w:rPr>
        <w:t xml:space="preserve"> from observable price changes in orderly transactions for the identical or a similar investment of the same issuer, which is recorded within the statement of operations. The Company holds</w:t>
      </w:r>
      <w:r>
        <w:rPr>
          <w:sz w:val="20"/>
          <w:szCs w:val="20"/>
        </w:rPr>
        <w:t xml:space="preserve"> </w:t>
      </w:r>
      <w:r>
        <w:rPr>
          <w:sz w:val="20"/>
          <w:szCs w:val="20"/>
        </w:rPr>
        <w:t>$</w:t>
      </w:r>
      <w:r>
        <w:rPr>
          <w:sz w:val="20"/>
          <w:szCs w:val="20"/>
        </w:rPr>
        <w:t>28.</w:t>
      </w:r>
      <w:r>
        <w:rPr>
          <w:sz w:val="20"/>
          <w:szCs w:val="20"/>
        </w:rPr>
        <w:t>1</w:t>
      </w:r>
      <w:r>
        <w:rPr>
          <w:sz w:val="20"/>
          <w:szCs w:val="20"/>
        </w:rPr>
        <w:t xml:space="preserve"> million of strategic investments without readily determinable</w:t>
      </w:r>
      <w:r>
        <w:rPr>
          <w:sz w:val="20"/>
          <w:szCs w:val="20"/>
        </w:rPr>
        <w:t xml:space="preserve"> fair values at March 31, 2022 and</w:t>
      </w:r>
      <w:r>
        <w:rPr>
          <w:sz w:val="20"/>
          <w:szCs w:val="20"/>
        </w:rPr>
        <w:t xml:space="preserve"> </w:t>
      </w:r>
      <w:r>
        <w:rPr>
          <w:sz w:val="20"/>
          <w:szCs w:val="20"/>
        </w:rPr>
        <w:t>$</w:t>
      </w:r>
      <w:r>
        <w:rPr>
          <w:sz w:val="20"/>
          <w:szCs w:val="20"/>
        </w:rPr>
        <w:t>17.</w:t>
      </w:r>
      <w:r>
        <w:rPr>
          <w:sz w:val="20"/>
          <w:szCs w:val="20"/>
        </w:rPr>
        <w:t>8</w:t>
      </w:r>
      <w:r>
        <w:rPr>
          <w:sz w:val="20"/>
          <w:szCs w:val="20"/>
        </w:rPr>
        <w:t xml:space="preserve"> million of strategic investments without readily determinable fair values at December 31, 2021. These investments are included in prepaid and other current assets and other assets on the consolidated balance sheets.</w:t>
      </w:r>
      <w:r>
        <w:rPr>
          <w:sz w:val="20"/>
          <w:szCs w:val="20"/>
        </w:rPr>
        <w:t xml:space="preserve"> During the three months ended March 31, 202</w:t>
      </w:r>
      <w:r>
        <w:rPr>
          <w:sz w:val="20"/>
          <w:szCs w:val="20"/>
        </w:rPr>
        <w:t>2</w:t>
      </w:r>
      <w:r>
        <w:rPr>
          <w:sz w:val="20"/>
          <w:szCs w:val="20"/>
        </w:rPr>
        <w:t xml:space="preserve">, an acquisition of an entity in which the Company held a strategic investment was completed, which resulted in an observable price change. The Company adjusted the fair value of its investment and recognized a </w:t>
      </w:r>
      <w:r>
        <w:rPr>
          <w:sz w:val="20"/>
          <w:szCs w:val="20"/>
        </w:rPr>
        <w:t xml:space="preserve">gain of </w:t>
      </w:r>
      <w:r>
        <w:rPr>
          <w:sz w:val="20"/>
          <w:szCs w:val="20"/>
        </w:rPr>
        <w:t>$</w:t>
      </w:r>
      <w:r>
        <w:rPr>
          <w:sz w:val="20"/>
          <w:szCs w:val="20"/>
        </w:rPr>
        <w:t>4.</w:t>
      </w:r>
      <w:r>
        <w:rPr>
          <w:sz w:val="20"/>
          <w:szCs w:val="20"/>
        </w:rPr>
        <w:t>2</w:t>
      </w:r>
      <w:r>
        <w:rPr>
          <w:sz w:val="20"/>
          <w:szCs w:val="20"/>
        </w:rPr>
        <w:t xml:space="preserve"> million reported in the consolidated statements of operations as other income. There were no other adjustments to the carrying value of the strategic investments resulting from impairments or observable price changes in the</w:t>
      </w:r>
      <w:r>
        <w:rPr>
          <w:sz w:val="20"/>
          <w:szCs w:val="20"/>
        </w:rPr>
        <w:t xml:space="preserve"> </w:t>
      </w:r>
      <w:r>
        <w:rPr>
          <w:sz w:val="20"/>
          <w:szCs w:val="20"/>
        </w:rPr>
        <w:t xml:space="preserve">three months ended </w:t>
      </w:r>
      <w:r>
        <w:rPr>
          <w:sz w:val="20"/>
          <w:szCs w:val="20"/>
        </w:rPr>
        <w:t>March 31, 2022</w:t>
      </w:r>
      <w:r>
        <w:rPr>
          <w:sz w:val="20"/>
          <w:szCs w:val="20"/>
        </w:rPr>
        <w:t>.</w:t>
      </w:r>
    </w:p>
    <w:p w:rsidR="00000000" w:rsidRDefault="00211603">
      <w:pPr>
        <w:pStyle w:val="a3"/>
        <w:spacing w:before="240" w:beforeAutospacing="0" w:after="0" w:afterAutospacing="0"/>
        <w:jc w:val="center"/>
        <w:divId w:val="1615087859"/>
        <w:rPr>
          <w:sz w:val="20"/>
          <w:szCs w:val="20"/>
        </w:rPr>
      </w:pPr>
      <w:r>
        <w:rPr>
          <w:sz w:val="20"/>
          <w:szCs w:val="20"/>
        </w:rPr>
        <w:t>1</w:t>
      </w:r>
      <w:r>
        <w:rPr>
          <w:sz w:val="20"/>
          <w:szCs w:val="20"/>
        </w:rPr>
        <w:t>3</w:t>
      </w:r>
    </w:p>
    <w:p w:rsidR="00000000" w:rsidRDefault="00211603">
      <w:pPr>
        <w:divId w:val="1615087859"/>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211603">
      <w:pPr>
        <w:pStyle w:val="a3"/>
        <w:spacing w:before="0" w:beforeAutospacing="0" w:after="0" w:afterAutospacing="0"/>
        <w:divId w:val="1615087859"/>
        <w:rPr>
          <w:sz w:val="20"/>
          <w:szCs w:val="20"/>
        </w:rPr>
      </w:pPr>
      <w:r>
        <w:rPr>
          <w:sz w:val="20"/>
          <w:szCs w:val="20"/>
        </w:rPr>
        <w:t> </w:t>
      </w:r>
    </w:p>
    <w:p w:rsidR="00000000" w:rsidRDefault="00211603">
      <w:pPr>
        <w:pStyle w:val="a3"/>
        <w:spacing w:before="200" w:beforeAutospacing="0" w:after="0" w:afterAutospacing="0"/>
        <w:ind w:firstLine="555"/>
        <w:divId w:val="414863996"/>
        <w:rPr>
          <w:sz w:val="20"/>
          <w:szCs w:val="20"/>
        </w:rPr>
      </w:pPr>
      <w:r>
        <w:rPr>
          <w:sz w:val="20"/>
          <w:szCs w:val="20"/>
        </w:rPr>
        <w:t>The following tables summarize the composition of our short- and long-term investments at</w:t>
      </w:r>
      <w:r>
        <w:rPr>
          <w:sz w:val="20"/>
          <w:szCs w:val="20"/>
        </w:rPr>
        <w:t xml:space="preserve"> </w:t>
      </w:r>
      <w:r>
        <w:rPr>
          <w:sz w:val="20"/>
          <w:szCs w:val="20"/>
        </w:rPr>
        <w:t>March 31, 2022 and December 31, 2021</w:t>
      </w:r>
      <w:r>
        <w:rPr>
          <w:sz w:val="20"/>
          <w:szCs w:val="20"/>
        </w:rPr>
        <w:t>.</w:t>
      </w:r>
      <w:r>
        <w:rPr>
          <w:sz w:val="20"/>
          <w:szCs w:val="20"/>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43"/>
        <w:gridCol w:w="310"/>
        <w:gridCol w:w="160"/>
        <w:gridCol w:w="860"/>
        <w:gridCol w:w="110"/>
        <w:gridCol w:w="110"/>
        <w:gridCol w:w="161"/>
        <w:gridCol w:w="679"/>
        <w:gridCol w:w="110"/>
        <w:gridCol w:w="110"/>
        <w:gridCol w:w="161"/>
        <w:gridCol w:w="679"/>
        <w:gridCol w:w="127"/>
        <w:gridCol w:w="110"/>
        <w:gridCol w:w="160"/>
        <w:gridCol w:w="860"/>
        <w:gridCol w:w="125"/>
      </w:tblGrid>
      <w:tr w:rsidR="00000000">
        <w:trPr>
          <w:divId w:val="414863996"/>
          <w:tblCellSpacing w:w="15" w:type="dxa"/>
        </w:trPr>
        <w:tc>
          <w:tcPr>
            <w:tcW w:w="2343" w:type="pct"/>
            <w:vAlign w:val="center"/>
            <w:hideMark/>
          </w:tcPr>
          <w:p w:rsidR="00000000" w:rsidRDefault="00211603">
            <w:pPr>
              <w:rPr>
                <w:sz w:val="20"/>
                <w:szCs w:val="20"/>
              </w:rPr>
            </w:pPr>
          </w:p>
        </w:tc>
        <w:tc>
          <w:tcPr>
            <w:tcW w:w="10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81"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52"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67"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c>
          <w:tcPr>
            <w:tcW w:w="52"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67"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2"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36"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r>
      <w:tr w:rsidR="00000000">
        <w:trPr>
          <w:divId w:val="414863996"/>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14863996"/>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14863996"/>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25,66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25,66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255,44</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2,89</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252,54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28,98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45</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28,52</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716,18</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1,43</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714,75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211603">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1,026,27</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4,78</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1,021,49</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divId w:val="41486399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43"/>
        <w:gridCol w:w="310"/>
        <w:gridCol w:w="160"/>
        <w:gridCol w:w="710"/>
        <w:gridCol w:w="110"/>
        <w:gridCol w:w="110"/>
        <w:gridCol w:w="161"/>
        <w:gridCol w:w="679"/>
        <w:gridCol w:w="110"/>
        <w:gridCol w:w="110"/>
        <w:gridCol w:w="161"/>
        <w:gridCol w:w="679"/>
        <w:gridCol w:w="127"/>
        <w:gridCol w:w="110"/>
        <w:gridCol w:w="160"/>
        <w:gridCol w:w="710"/>
        <w:gridCol w:w="125"/>
      </w:tblGrid>
      <w:tr w:rsidR="00000000">
        <w:trPr>
          <w:divId w:val="414863996"/>
          <w:tblCellSpacing w:w="15" w:type="dxa"/>
        </w:trPr>
        <w:tc>
          <w:tcPr>
            <w:tcW w:w="2328" w:type="pct"/>
            <w:vAlign w:val="center"/>
            <w:hideMark/>
          </w:tcPr>
          <w:p w:rsidR="00000000" w:rsidRDefault="00211603">
            <w:pPr>
              <w:rPr>
                <w:sz w:val="20"/>
                <w:szCs w:val="20"/>
              </w:rPr>
            </w:pPr>
          </w:p>
        </w:tc>
        <w:tc>
          <w:tcPr>
            <w:tcW w:w="10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69"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69"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69" w:type="pct"/>
            <w:vAlign w:val="center"/>
            <w:hideMark/>
          </w:tcPr>
          <w:p w:rsidR="00000000" w:rsidRDefault="00211603">
            <w:pPr>
              <w:rPr>
                <w:rFonts w:eastAsia="Times New Roman"/>
                <w:sz w:val="20"/>
                <w:szCs w:val="20"/>
              </w:rPr>
            </w:pPr>
          </w:p>
        </w:tc>
        <w:tc>
          <w:tcPr>
            <w:tcW w:w="51"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23" w:type="pct"/>
            <w:vAlign w:val="center"/>
            <w:hideMark/>
          </w:tcPr>
          <w:p w:rsidR="00000000" w:rsidRDefault="00211603">
            <w:pPr>
              <w:rPr>
                <w:rFonts w:eastAsia="Times New Roman"/>
                <w:sz w:val="20"/>
                <w:szCs w:val="20"/>
              </w:rPr>
            </w:pPr>
          </w:p>
        </w:tc>
        <w:tc>
          <w:tcPr>
            <w:tcW w:w="46" w:type="pct"/>
            <w:vAlign w:val="center"/>
            <w:hideMark/>
          </w:tcPr>
          <w:p w:rsidR="00000000" w:rsidRDefault="00211603">
            <w:pPr>
              <w:rPr>
                <w:rFonts w:eastAsia="Times New Roman"/>
                <w:sz w:val="20"/>
                <w:szCs w:val="20"/>
              </w:rPr>
            </w:pPr>
          </w:p>
        </w:tc>
      </w:tr>
      <w:tr w:rsidR="00000000">
        <w:trPr>
          <w:divId w:val="414863996"/>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14863996"/>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14863996"/>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25,24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25,24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250,44</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60</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249,84</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22,50</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3</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22,46</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698,44</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698,30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414863996"/>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211603">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996,63</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79</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995,85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1615087859"/>
        <w:rPr>
          <w:sz w:val="20"/>
          <w:szCs w:val="20"/>
        </w:rPr>
      </w:pPr>
      <w:r>
        <w:rPr>
          <w:sz w:val="20"/>
          <w:szCs w:val="20"/>
        </w:rPr>
        <w:t>For all of our securities for which the amortized cost basis was greater than the fair value at March 31, 2022, the Company has concluded that there is no plan to sell the security nor is it more likely than not that the Company would be required to sell t</w:t>
      </w:r>
      <w:r>
        <w:rPr>
          <w:sz w:val="20"/>
          <w:szCs w:val="20"/>
        </w:rPr>
        <w:t>he security before its anticipated recovery. In making the determination as to whether the unrealized loss is other-than-temporary, the Company considered the length of time and extent the investment has been in an unrealized loss position, the financial c</w:t>
      </w:r>
      <w:r>
        <w:rPr>
          <w:sz w:val="20"/>
          <w:szCs w:val="20"/>
        </w:rPr>
        <w:t>ondition and near-term prospects of the issuers, the issuers’ credit rating and the time to maturity</w:t>
      </w:r>
      <w:r>
        <w:rPr>
          <w:sz w:val="20"/>
          <w:szCs w:val="20"/>
        </w:rPr>
        <w:t>.</w:t>
      </w:r>
    </w:p>
    <w:p w:rsidR="00000000" w:rsidRDefault="00211603">
      <w:pPr>
        <w:pStyle w:val="a3"/>
        <w:spacing w:before="200" w:beforeAutospacing="0" w:after="0" w:afterAutospacing="0"/>
        <w:ind w:left="476"/>
        <w:divId w:val="1615087859"/>
        <w:rPr>
          <w:sz w:val="20"/>
          <w:szCs w:val="20"/>
        </w:rPr>
      </w:pPr>
      <w:r>
        <w:rPr>
          <w:b/>
          <w:bCs/>
          <w:i/>
          <w:iCs/>
          <w:sz w:val="20"/>
          <w:szCs w:val="20"/>
        </w:rPr>
        <w:t>Contractual Maturitie</w:t>
      </w:r>
      <w:r>
        <w:rPr>
          <w:b/>
          <w:bCs/>
          <w:i/>
          <w:iCs/>
          <w:sz w:val="20"/>
          <w:szCs w:val="20"/>
        </w:rPr>
        <w:t>s</w:t>
      </w:r>
    </w:p>
    <w:p w:rsidR="00000000" w:rsidRDefault="00211603">
      <w:pPr>
        <w:pStyle w:val="a3"/>
        <w:spacing w:before="200" w:beforeAutospacing="0" w:after="0" w:afterAutospacing="0"/>
        <w:ind w:firstLine="555"/>
        <w:divId w:val="1488280858"/>
        <w:rPr>
          <w:sz w:val="20"/>
          <w:szCs w:val="20"/>
        </w:rPr>
      </w:pPr>
      <w:r>
        <w:rPr>
          <w:sz w:val="20"/>
          <w:szCs w:val="20"/>
        </w:rPr>
        <w:t>The contractual maturities of short-term and long-term investments held at</w:t>
      </w:r>
      <w:r>
        <w:rPr>
          <w:sz w:val="20"/>
          <w:szCs w:val="20"/>
        </w:rPr>
        <w:t xml:space="preserve"> </w:t>
      </w:r>
      <w:r>
        <w:rPr>
          <w:sz w:val="20"/>
          <w:szCs w:val="20"/>
        </w:rPr>
        <w:t>March 31, 2022 and December 31, 2021 are as follows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00"/>
        <w:gridCol w:w="110"/>
        <w:gridCol w:w="160"/>
        <w:gridCol w:w="860"/>
        <w:gridCol w:w="110"/>
        <w:gridCol w:w="110"/>
        <w:gridCol w:w="160"/>
        <w:gridCol w:w="860"/>
        <w:gridCol w:w="110"/>
        <w:gridCol w:w="110"/>
        <w:gridCol w:w="160"/>
        <w:gridCol w:w="710"/>
        <w:gridCol w:w="110"/>
        <w:gridCol w:w="110"/>
        <w:gridCol w:w="160"/>
        <w:gridCol w:w="710"/>
        <w:gridCol w:w="125"/>
      </w:tblGrid>
      <w:tr w:rsidR="00000000">
        <w:trPr>
          <w:divId w:val="1488280858"/>
          <w:tblCellSpacing w:w="15" w:type="dxa"/>
        </w:trPr>
        <w:tc>
          <w:tcPr>
            <w:tcW w:w="2055" w:type="pct"/>
            <w:vAlign w:val="center"/>
            <w:hideMark/>
          </w:tcPr>
          <w:p w:rsidR="00000000" w:rsidRDefault="00211603">
            <w:pPr>
              <w:rPr>
                <w:sz w:val="20"/>
                <w:szCs w:val="20"/>
              </w:rPr>
            </w:pPr>
          </w:p>
        </w:tc>
        <w:tc>
          <w:tcPr>
            <w:tcW w:w="6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649"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c>
          <w:tcPr>
            <w:tcW w:w="5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41"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c>
          <w:tcPr>
            <w:tcW w:w="6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28"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c>
          <w:tcPr>
            <w:tcW w:w="63"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28"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r>
      <w:tr w:rsidR="00000000">
        <w:trPr>
          <w:divId w:val="148828085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48828085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48828085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48828085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Due within one yea</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827,78</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826,44</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821,10</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820,96</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48828085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Due after 1 year through 2 year</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198,48</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195,04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175,53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174,89</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488280858"/>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1,026,27</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1,021,49</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996,63</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995,85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divId w:val="1615087859"/>
        <w:rPr>
          <w:sz w:val="20"/>
          <w:szCs w:val="20"/>
        </w:rPr>
      </w:pPr>
      <w:r>
        <w:rPr>
          <w:sz w:val="20"/>
          <w:szCs w:val="20"/>
        </w:rPr>
        <w:t> </w:t>
      </w:r>
    </w:p>
    <w:p w:rsidR="00000000" w:rsidRDefault="00211603">
      <w:pPr>
        <w:pStyle w:val="a3"/>
        <w:spacing w:before="200" w:beforeAutospacing="0" w:after="0" w:afterAutospacing="0"/>
        <w:ind w:firstLine="816"/>
        <w:rPr>
          <w:sz w:val="20"/>
          <w:szCs w:val="20"/>
        </w:rPr>
      </w:pPr>
      <w:r>
        <w:rPr>
          <w:sz w:val="20"/>
          <w:szCs w:val="20"/>
        </w:rPr>
        <w:t> </w:t>
      </w:r>
    </w:p>
    <w:p w:rsidR="00000000" w:rsidRDefault="00211603">
      <w:pPr>
        <w:pStyle w:val="a3"/>
        <w:spacing w:before="200" w:beforeAutospacing="0" w:after="0" w:afterAutospacing="0"/>
        <w:divId w:val="1654941720"/>
        <w:rPr>
          <w:sz w:val="20"/>
          <w:szCs w:val="20"/>
        </w:rPr>
      </w:pPr>
      <w:r>
        <w:rPr>
          <w:b/>
          <w:bCs/>
          <w:sz w:val="20"/>
          <w:szCs w:val="20"/>
        </w:rPr>
        <w:t>5. Restricted cas</w:t>
      </w:r>
      <w:r>
        <w:rPr>
          <w:b/>
          <w:bCs/>
          <w:sz w:val="20"/>
          <w:szCs w:val="20"/>
        </w:rPr>
        <w:t>h</w:t>
      </w:r>
    </w:p>
    <w:p w:rsidR="00000000" w:rsidRDefault="00211603">
      <w:pPr>
        <w:pStyle w:val="a3"/>
        <w:spacing w:before="200" w:beforeAutospacing="0" w:after="0" w:afterAutospacing="0"/>
        <w:ind w:firstLine="555"/>
        <w:divId w:val="222524033"/>
        <w:rPr>
          <w:sz w:val="20"/>
          <w:szCs w:val="20"/>
        </w:rPr>
      </w:pPr>
      <w:r>
        <w:rPr>
          <w:sz w:val="20"/>
          <w:szCs w:val="20"/>
        </w:rPr>
        <w:t>The following table provides a reconciliation of cash, cash equivalents, and restricted cash reported within the consolidated balance sheets that sum to the total of the same such amounts shown in the statement of cash flows for the thre</w:t>
      </w:r>
      <w:r>
        <w:rPr>
          <w:sz w:val="20"/>
          <w:szCs w:val="20"/>
        </w:rPr>
        <w:t>e months ended</w:t>
      </w:r>
      <w:r>
        <w:rPr>
          <w:sz w:val="20"/>
          <w:szCs w:val="20"/>
        </w:rPr>
        <w:t xml:space="preserve"> </w:t>
      </w:r>
      <w:r>
        <w:rPr>
          <w:sz w:val="20"/>
          <w:szCs w:val="20"/>
        </w:rPr>
        <w:t>March 31, 2022 and 2021</w:t>
      </w:r>
      <w:r>
        <w:rPr>
          <w:sz w:val="20"/>
          <w:szCs w:val="20"/>
        </w:rPr>
        <w:t>.</w:t>
      </w:r>
    </w:p>
    <w:p w:rsidR="00000000" w:rsidRDefault="00211603">
      <w:pPr>
        <w:pStyle w:val="a3"/>
        <w:spacing w:before="0" w:beforeAutospacing="0" w:after="0" w:afterAutospacing="0"/>
        <w:divId w:val="222524033"/>
        <w:rPr>
          <w:sz w:val="20"/>
          <w:szCs w:val="20"/>
        </w:rPr>
      </w:pPr>
      <w:r>
        <w:rPr>
          <w:sz w:val="20"/>
          <w:szCs w:val="20"/>
        </w:rPr>
        <w: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177"/>
        <w:gridCol w:w="173"/>
        <w:gridCol w:w="189"/>
        <w:gridCol w:w="747"/>
        <w:gridCol w:w="110"/>
        <w:gridCol w:w="110"/>
        <w:gridCol w:w="161"/>
        <w:gridCol w:w="825"/>
        <w:gridCol w:w="110"/>
        <w:gridCol w:w="110"/>
        <w:gridCol w:w="160"/>
        <w:gridCol w:w="894"/>
        <w:gridCol w:w="125"/>
      </w:tblGrid>
      <w:tr w:rsidR="00000000">
        <w:trPr>
          <w:divId w:val="222524033"/>
          <w:tblCellSpacing w:w="15" w:type="dxa"/>
        </w:trPr>
        <w:tc>
          <w:tcPr>
            <w:tcW w:w="2770" w:type="pct"/>
            <w:vAlign w:val="center"/>
            <w:hideMark/>
          </w:tcPr>
          <w:p w:rsidR="00000000" w:rsidRDefault="00211603">
            <w:pPr>
              <w:rPr>
                <w:sz w:val="20"/>
                <w:szCs w:val="20"/>
              </w:rPr>
            </w:pPr>
          </w:p>
        </w:tc>
        <w:tc>
          <w:tcPr>
            <w:tcW w:w="103" w:type="pct"/>
            <w:vAlign w:val="center"/>
            <w:hideMark/>
          </w:tcPr>
          <w:p w:rsidR="00000000" w:rsidRDefault="00211603">
            <w:pPr>
              <w:rPr>
                <w:rFonts w:eastAsia="Times New Roman"/>
                <w:sz w:val="20"/>
                <w:szCs w:val="20"/>
              </w:rPr>
            </w:pPr>
          </w:p>
        </w:tc>
        <w:tc>
          <w:tcPr>
            <w:tcW w:w="114" w:type="pct"/>
            <w:vAlign w:val="center"/>
            <w:hideMark/>
          </w:tcPr>
          <w:p w:rsidR="00000000" w:rsidRDefault="00211603">
            <w:pPr>
              <w:rPr>
                <w:rFonts w:eastAsia="Times New Roman"/>
                <w:sz w:val="20"/>
                <w:szCs w:val="20"/>
              </w:rPr>
            </w:pPr>
          </w:p>
        </w:tc>
        <w:tc>
          <w:tcPr>
            <w:tcW w:w="487"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52" w:type="pct"/>
            <w:vAlign w:val="center"/>
            <w:hideMark/>
          </w:tcPr>
          <w:p w:rsidR="00000000" w:rsidRDefault="00211603">
            <w:pPr>
              <w:rPr>
                <w:rFonts w:eastAsia="Times New Roman"/>
                <w:sz w:val="20"/>
                <w:szCs w:val="20"/>
              </w:rPr>
            </w:pPr>
          </w:p>
        </w:tc>
        <w:tc>
          <w:tcPr>
            <w:tcW w:w="95" w:type="pct"/>
            <w:vAlign w:val="center"/>
            <w:hideMark/>
          </w:tcPr>
          <w:p w:rsidR="00000000" w:rsidRDefault="00211603">
            <w:pPr>
              <w:rPr>
                <w:rFonts w:eastAsia="Times New Roman"/>
                <w:sz w:val="20"/>
                <w:szCs w:val="20"/>
              </w:rPr>
            </w:pPr>
          </w:p>
        </w:tc>
        <w:tc>
          <w:tcPr>
            <w:tcW w:w="538"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c>
          <w:tcPr>
            <w:tcW w:w="52" w:type="pct"/>
            <w:vAlign w:val="center"/>
            <w:hideMark/>
          </w:tcPr>
          <w:p w:rsidR="00000000" w:rsidRDefault="00211603">
            <w:pPr>
              <w:rPr>
                <w:rFonts w:eastAsia="Times New Roman"/>
                <w:sz w:val="20"/>
                <w:szCs w:val="20"/>
              </w:rPr>
            </w:pPr>
          </w:p>
        </w:tc>
        <w:tc>
          <w:tcPr>
            <w:tcW w:w="64" w:type="pct"/>
            <w:vAlign w:val="center"/>
            <w:hideMark/>
          </w:tcPr>
          <w:p w:rsidR="00000000" w:rsidRDefault="00211603">
            <w:pPr>
              <w:rPr>
                <w:rFonts w:eastAsia="Times New Roman"/>
                <w:sz w:val="20"/>
                <w:szCs w:val="20"/>
              </w:rPr>
            </w:pPr>
          </w:p>
        </w:tc>
        <w:tc>
          <w:tcPr>
            <w:tcW w:w="584" w:type="pct"/>
            <w:vAlign w:val="center"/>
            <w:hideMark/>
          </w:tcPr>
          <w:p w:rsidR="00000000" w:rsidRDefault="00211603">
            <w:pPr>
              <w:rPr>
                <w:rFonts w:eastAsia="Times New Roman"/>
                <w:sz w:val="20"/>
                <w:szCs w:val="20"/>
              </w:rPr>
            </w:pPr>
          </w:p>
        </w:tc>
        <w:tc>
          <w:tcPr>
            <w:tcW w:w="38" w:type="pct"/>
            <w:vAlign w:val="center"/>
            <w:hideMark/>
          </w:tcPr>
          <w:p w:rsidR="00000000" w:rsidRDefault="00211603">
            <w:pPr>
              <w:rPr>
                <w:rFonts w:eastAsia="Times New Roman"/>
                <w:sz w:val="20"/>
                <w:szCs w:val="20"/>
              </w:rPr>
            </w:pPr>
          </w:p>
        </w:tc>
      </w:tr>
      <w:tr w:rsidR="00000000">
        <w:trPr>
          <w:divId w:val="222524033"/>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March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222524033"/>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222524033"/>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408,43</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397,49</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377,01</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22524033"/>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Restricted cash, included in</w:t>
            </w:r>
            <w:r>
              <w:rPr>
                <w:sz w:val="20"/>
                <w:szCs w:val="20"/>
              </w:rPr>
              <w:t xml:space="preserve"> </w:t>
            </w:r>
            <w:r>
              <w:rPr>
                <w:sz w:val="20"/>
                <w:szCs w:val="20"/>
              </w:rPr>
              <w:t>other asset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22524033"/>
          <w:trHeight w:val="200"/>
          <w:tblCellSpacing w:w="15" w:type="dxa"/>
        </w:trPr>
        <w:tc>
          <w:tcPr>
            <w:tcW w:w="0" w:type="auto"/>
            <w:vAlign w:val="bottom"/>
            <w:hideMark/>
          </w:tcPr>
          <w:p w:rsidR="00000000" w:rsidRDefault="00211603">
            <w:pPr>
              <w:pStyle w:val="a3"/>
              <w:spacing w:before="0" w:beforeAutospacing="0" w:after="0" w:afterAutospacing="0"/>
              <w:ind w:left="100"/>
              <w:rPr>
                <w:sz w:val="20"/>
                <w:szCs w:val="20"/>
              </w:rPr>
            </w:pPr>
            <w:r>
              <w:rPr>
                <w:sz w:val="20"/>
                <w:szCs w:val="20"/>
              </w:rPr>
              <w:t>Total cash, cash equivalents, and restricted cas</w:t>
            </w:r>
            <w:r>
              <w:rPr>
                <w:sz w:val="20"/>
                <w:szCs w:val="20"/>
              </w:rPr>
              <w:t>h</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411,46</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400,52</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380,04</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1</w:t>
      </w:r>
      <w:r>
        <w:rPr>
          <w:sz w:val="20"/>
          <w:szCs w:val="20"/>
        </w:rPr>
        <w:t>4</w:t>
      </w:r>
    </w:p>
    <w:p w:rsidR="00000000" w:rsidRDefault="00211603">
      <w:pPr>
        <w:rPr>
          <w:rFonts w:eastAsia="Times New Roman"/>
        </w:rPr>
      </w:pPr>
      <w:r>
        <w:rPr>
          <w:rFonts w:eastAsia="Times New Roman"/>
        </w:rPr>
        <w:pict>
          <v:rect id="_x0000_i1038"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divId w:val="230777507"/>
        <w:rPr>
          <w:sz w:val="20"/>
          <w:szCs w:val="20"/>
        </w:rPr>
      </w:pPr>
      <w:r>
        <w:rPr>
          <w:b/>
          <w:bCs/>
          <w:sz w:val="20"/>
          <w:szCs w:val="20"/>
        </w:rPr>
        <w:t>6. Property and Equipment, Ne</w:t>
      </w:r>
      <w:r>
        <w:rPr>
          <w:b/>
          <w:bCs/>
          <w:sz w:val="20"/>
          <w:szCs w:val="20"/>
        </w:rPr>
        <w:t>t</w:t>
      </w:r>
    </w:p>
    <w:p w:rsidR="00000000" w:rsidRDefault="00211603">
      <w:pPr>
        <w:pStyle w:val="a3"/>
        <w:spacing w:before="200" w:beforeAutospacing="0" w:after="0" w:afterAutospacing="0"/>
        <w:ind w:left="476"/>
        <w:divId w:val="2140606028"/>
        <w:rPr>
          <w:sz w:val="20"/>
          <w:szCs w:val="20"/>
        </w:rPr>
      </w:pPr>
      <w:r>
        <w:rPr>
          <w:sz w:val="20"/>
          <w:szCs w:val="20"/>
        </w:rPr>
        <w:t>Property and equipment, net consists of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84"/>
        <w:gridCol w:w="110"/>
        <w:gridCol w:w="160"/>
        <w:gridCol w:w="1111"/>
        <w:gridCol w:w="127"/>
        <w:gridCol w:w="110"/>
        <w:gridCol w:w="160"/>
        <w:gridCol w:w="1141"/>
        <w:gridCol w:w="142"/>
      </w:tblGrid>
      <w:tr w:rsidR="00000000">
        <w:trPr>
          <w:divId w:val="2140606028"/>
          <w:tblCellSpacing w:w="15" w:type="dxa"/>
        </w:trPr>
        <w:tc>
          <w:tcPr>
            <w:tcW w:w="2803" w:type="pct"/>
            <w:vAlign w:val="center"/>
            <w:hideMark/>
          </w:tcPr>
          <w:p w:rsidR="00000000" w:rsidRDefault="00211603">
            <w:pPr>
              <w:rPr>
                <w:sz w:val="20"/>
                <w:szCs w:val="20"/>
              </w:rPr>
            </w:pPr>
          </w:p>
        </w:tc>
        <w:tc>
          <w:tcPr>
            <w:tcW w:w="71"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75"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98"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r>
      <w:tr w:rsidR="00000000">
        <w:trPr>
          <w:divId w:val="214060602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214060602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16,10</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15,52</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Employee related computer equipmen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36,70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32,23</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20,18</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20,18</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95,67</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90,07</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Internal-use softwar</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22,67</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20,61</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3,85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4,14</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Total property and equipmen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195,19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182,76</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92,44</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86,62</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2140606028"/>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102,75</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96,13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230777507"/>
        <w:rPr>
          <w:sz w:val="20"/>
          <w:szCs w:val="20"/>
        </w:rPr>
      </w:pPr>
      <w:r>
        <w:rPr>
          <w:sz w:val="20"/>
          <w:szCs w:val="20"/>
        </w:rPr>
        <w:t>Depreciation and amortization expense on property and equipment was</w:t>
      </w:r>
      <w:r>
        <w:rPr>
          <w:sz w:val="20"/>
          <w:szCs w:val="20"/>
        </w:rPr>
        <w:t xml:space="preserve"> </w:t>
      </w:r>
      <w:r>
        <w:rPr>
          <w:sz w:val="20"/>
          <w:szCs w:val="20"/>
        </w:rPr>
        <w:t>$</w:t>
      </w:r>
      <w:r>
        <w:rPr>
          <w:sz w:val="20"/>
          <w:szCs w:val="20"/>
        </w:rPr>
        <w:t>6.</w:t>
      </w:r>
      <w:r>
        <w:rPr>
          <w:sz w:val="20"/>
          <w:szCs w:val="20"/>
        </w:rPr>
        <w:t>3</w:t>
      </w:r>
      <w:r>
        <w:rPr>
          <w:sz w:val="20"/>
          <w:szCs w:val="20"/>
        </w:rPr>
        <w:t xml:space="preserve"> million for the three months ended March 31, 2022 and </w:t>
      </w:r>
      <w:r>
        <w:rPr>
          <w:sz w:val="20"/>
          <w:szCs w:val="20"/>
        </w:rPr>
        <w:t>$</w:t>
      </w:r>
      <w:r>
        <w:rPr>
          <w:sz w:val="20"/>
          <w:szCs w:val="20"/>
        </w:rPr>
        <w:t>6.</w:t>
      </w:r>
      <w:r>
        <w:rPr>
          <w:sz w:val="20"/>
          <w:szCs w:val="20"/>
        </w:rPr>
        <w:t>0</w:t>
      </w:r>
      <w:r>
        <w:rPr>
          <w:sz w:val="20"/>
          <w:szCs w:val="20"/>
        </w:rPr>
        <w:t xml:space="preserve"> million for the three months ended March 31, 202</w:t>
      </w:r>
      <w:r>
        <w:rPr>
          <w:sz w:val="20"/>
          <w:szCs w:val="20"/>
        </w:rPr>
        <w:t>1</w:t>
      </w:r>
      <w:r>
        <w:rPr>
          <w:sz w:val="20"/>
          <w:szCs w:val="20"/>
        </w:rPr>
        <w:t>.</w:t>
      </w:r>
    </w:p>
    <w:p w:rsidR="00000000" w:rsidRDefault="00211603">
      <w:pPr>
        <w:pStyle w:val="a3"/>
        <w:spacing w:before="200" w:beforeAutospacing="0" w:after="0" w:afterAutospacing="0"/>
        <w:divId w:val="509637786"/>
        <w:rPr>
          <w:sz w:val="20"/>
          <w:szCs w:val="20"/>
        </w:rPr>
      </w:pPr>
      <w:r>
        <w:rPr>
          <w:b/>
          <w:bCs/>
          <w:sz w:val="20"/>
          <w:szCs w:val="20"/>
        </w:rPr>
        <w:t>7. Capitalized Software Development Cost</w:t>
      </w:r>
      <w:r>
        <w:rPr>
          <w:b/>
          <w:bCs/>
          <w:sz w:val="20"/>
          <w:szCs w:val="20"/>
        </w:rPr>
        <w:t>s</w:t>
      </w:r>
    </w:p>
    <w:p w:rsidR="00000000" w:rsidRDefault="00211603">
      <w:pPr>
        <w:pStyle w:val="a3"/>
        <w:spacing w:before="200" w:beforeAutospacing="0" w:after="0" w:afterAutospacing="0"/>
        <w:ind w:firstLine="555"/>
        <w:divId w:val="1598904223"/>
        <w:rPr>
          <w:sz w:val="20"/>
          <w:szCs w:val="20"/>
        </w:rPr>
      </w:pPr>
      <w:r>
        <w:rPr>
          <w:sz w:val="20"/>
          <w:szCs w:val="20"/>
        </w:rPr>
        <w:t xml:space="preserve">Capitalized software development costs, exclusive of those recorded within property and equipment, consisted of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94"/>
        <w:gridCol w:w="110"/>
        <w:gridCol w:w="160"/>
        <w:gridCol w:w="1017"/>
        <w:gridCol w:w="127"/>
        <w:gridCol w:w="110"/>
        <w:gridCol w:w="160"/>
        <w:gridCol w:w="1125"/>
        <w:gridCol w:w="142"/>
      </w:tblGrid>
      <w:tr w:rsidR="00000000">
        <w:trPr>
          <w:divId w:val="1598904223"/>
          <w:tblCellSpacing w:w="15" w:type="dxa"/>
        </w:trPr>
        <w:tc>
          <w:tcPr>
            <w:tcW w:w="2904" w:type="pct"/>
            <w:vAlign w:val="center"/>
            <w:hideMark/>
          </w:tcPr>
          <w:p w:rsidR="00000000" w:rsidRDefault="00211603">
            <w:pPr>
              <w:rPr>
                <w:sz w:val="20"/>
                <w:szCs w:val="20"/>
              </w:rPr>
            </w:pPr>
          </w:p>
        </w:tc>
        <w:tc>
          <w:tcPr>
            <w:tcW w:w="78" w:type="pct"/>
            <w:vAlign w:val="center"/>
            <w:hideMark/>
          </w:tcPr>
          <w:p w:rsidR="00000000" w:rsidRDefault="00211603">
            <w:pPr>
              <w:rPr>
                <w:rFonts w:eastAsia="Times New Roman"/>
                <w:sz w:val="20"/>
                <w:szCs w:val="20"/>
              </w:rPr>
            </w:pPr>
          </w:p>
        </w:tc>
        <w:tc>
          <w:tcPr>
            <w:tcW w:w="83" w:type="pct"/>
            <w:vAlign w:val="center"/>
            <w:hideMark/>
          </w:tcPr>
          <w:p w:rsidR="00000000" w:rsidRDefault="00211603">
            <w:pPr>
              <w:rPr>
                <w:rFonts w:eastAsia="Times New Roman"/>
                <w:sz w:val="20"/>
                <w:szCs w:val="20"/>
              </w:rPr>
            </w:pPr>
          </w:p>
        </w:tc>
        <w:tc>
          <w:tcPr>
            <w:tcW w:w="823"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20" w:type="pct"/>
            <w:vAlign w:val="center"/>
            <w:hideMark/>
          </w:tcPr>
          <w:p w:rsidR="00000000" w:rsidRDefault="00211603">
            <w:pPr>
              <w:rPr>
                <w:rFonts w:eastAsia="Times New Roman"/>
                <w:sz w:val="20"/>
                <w:szCs w:val="20"/>
              </w:rPr>
            </w:pPr>
          </w:p>
        </w:tc>
        <w:tc>
          <w:tcPr>
            <w:tcW w:w="83" w:type="pct"/>
            <w:vAlign w:val="center"/>
            <w:hideMark/>
          </w:tcPr>
          <w:p w:rsidR="00000000" w:rsidRDefault="00211603">
            <w:pPr>
              <w:rPr>
                <w:rFonts w:eastAsia="Times New Roman"/>
                <w:sz w:val="20"/>
                <w:szCs w:val="20"/>
              </w:rPr>
            </w:pPr>
          </w:p>
        </w:tc>
        <w:tc>
          <w:tcPr>
            <w:tcW w:w="893"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r>
      <w:tr w:rsidR="00000000">
        <w:trPr>
          <w:divId w:val="1598904223"/>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598904223"/>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598904223"/>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Gross capitalized software development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132,59</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122,59</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598904223"/>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88,57</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82,73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1598904223"/>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Capitalized software development costs, ne</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44,02</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39,85</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509637786"/>
        <w:rPr>
          <w:sz w:val="20"/>
          <w:szCs w:val="20"/>
        </w:rPr>
      </w:pPr>
      <w:r>
        <w:rPr>
          <w:sz w:val="20"/>
          <w:szCs w:val="20"/>
        </w:rPr>
        <w:t>These capitalized software development costs are associated with software developed for customer purchase. Capitalized software development costs recorded within property and equipment are associated with software developed for Company use</w:t>
      </w:r>
      <w:r>
        <w:rPr>
          <w:sz w:val="20"/>
          <w:szCs w:val="20"/>
        </w:rPr>
        <w:t>.</w:t>
      </w:r>
      <w:r>
        <w:rPr>
          <w:sz w:val="20"/>
          <w:szCs w:val="20"/>
        </w:rPr>
        <w:t xml:space="preserve"> </w:t>
      </w:r>
    </w:p>
    <w:p w:rsidR="00000000" w:rsidRDefault="00211603">
      <w:pPr>
        <w:pStyle w:val="a3"/>
        <w:spacing w:before="200" w:beforeAutospacing="0" w:after="0" w:afterAutospacing="0"/>
        <w:ind w:firstLine="555"/>
        <w:divId w:val="509637786"/>
        <w:rPr>
          <w:sz w:val="20"/>
          <w:szCs w:val="20"/>
        </w:rPr>
      </w:pPr>
      <w:r>
        <w:rPr>
          <w:sz w:val="20"/>
          <w:szCs w:val="20"/>
        </w:rPr>
        <w:t>Amortization of capitalized software development costs, exclusive of costs recorded within property and equipment, was</w:t>
      </w:r>
      <w:r>
        <w:rPr>
          <w:sz w:val="20"/>
          <w:szCs w:val="20"/>
        </w:rPr>
        <w:t xml:space="preserve"> </w:t>
      </w:r>
      <w:r>
        <w:rPr>
          <w:sz w:val="20"/>
          <w:szCs w:val="20"/>
        </w:rPr>
        <w:t>$</w:t>
      </w:r>
      <w:r>
        <w:rPr>
          <w:sz w:val="20"/>
          <w:szCs w:val="20"/>
        </w:rPr>
        <w:t>7.</w:t>
      </w:r>
      <w:r>
        <w:rPr>
          <w:sz w:val="20"/>
          <w:szCs w:val="20"/>
        </w:rPr>
        <w:t>1</w:t>
      </w:r>
      <w:r>
        <w:rPr>
          <w:sz w:val="20"/>
          <w:szCs w:val="20"/>
        </w:rPr>
        <w:t xml:space="preserve"> million for the three months ended March 31, 2022 and</w:t>
      </w:r>
      <w:r>
        <w:rPr>
          <w:sz w:val="20"/>
          <w:szCs w:val="20"/>
        </w:rPr>
        <w:t xml:space="preserve"> </w:t>
      </w:r>
      <w:r>
        <w:rPr>
          <w:sz w:val="20"/>
          <w:szCs w:val="20"/>
        </w:rPr>
        <w:t>$</w:t>
      </w:r>
      <w:r>
        <w:rPr>
          <w:sz w:val="20"/>
          <w:szCs w:val="20"/>
        </w:rPr>
        <w:t>4.</w:t>
      </w:r>
      <w:r>
        <w:rPr>
          <w:sz w:val="20"/>
          <w:szCs w:val="20"/>
        </w:rPr>
        <w:t>9</w:t>
      </w:r>
      <w:r>
        <w:rPr>
          <w:sz w:val="20"/>
          <w:szCs w:val="20"/>
        </w:rPr>
        <w:t xml:space="preserve"> million for three months ended March 31, 202</w:t>
      </w:r>
      <w:r>
        <w:rPr>
          <w:sz w:val="20"/>
          <w:szCs w:val="20"/>
        </w:rPr>
        <w:t>1</w:t>
      </w:r>
      <w:r>
        <w:rPr>
          <w:sz w:val="20"/>
          <w:szCs w:val="20"/>
        </w:rPr>
        <w:t>.</w:t>
      </w:r>
    </w:p>
    <w:p w:rsidR="00000000" w:rsidRDefault="00211603">
      <w:pPr>
        <w:pStyle w:val="a3"/>
        <w:spacing w:before="40" w:beforeAutospacing="0" w:after="0" w:afterAutospacing="0"/>
        <w:ind w:firstLine="555"/>
        <w:rPr>
          <w:sz w:val="20"/>
          <w:szCs w:val="20"/>
        </w:rPr>
      </w:pPr>
      <w:r>
        <w:rPr>
          <w:sz w:val="20"/>
          <w:szCs w:val="20"/>
        </w:rPr>
        <w:t> </w:t>
      </w:r>
    </w:p>
    <w:p w:rsidR="00000000" w:rsidRDefault="00211603">
      <w:pPr>
        <w:pStyle w:val="a3"/>
        <w:spacing w:before="200" w:beforeAutospacing="0" w:after="0" w:afterAutospacing="0"/>
        <w:divId w:val="662464432"/>
        <w:rPr>
          <w:sz w:val="20"/>
          <w:szCs w:val="20"/>
        </w:rPr>
      </w:pPr>
      <w:r>
        <w:rPr>
          <w:b/>
          <w:bCs/>
          <w:sz w:val="20"/>
          <w:szCs w:val="20"/>
        </w:rPr>
        <w:t>8. Convertible Senior No</w:t>
      </w:r>
      <w:r>
        <w:rPr>
          <w:b/>
          <w:bCs/>
          <w:sz w:val="20"/>
          <w:szCs w:val="20"/>
        </w:rPr>
        <w:t>te</w:t>
      </w:r>
      <w:r>
        <w:rPr>
          <w:b/>
          <w:bCs/>
          <w:sz w:val="20"/>
          <w:szCs w:val="20"/>
        </w:rPr>
        <w:t>s</w:t>
      </w:r>
    </w:p>
    <w:p w:rsidR="00000000" w:rsidRDefault="00211603">
      <w:pPr>
        <w:pStyle w:val="a3"/>
        <w:spacing w:before="200" w:beforeAutospacing="0" w:after="0" w:afterAutospacing="0"/>
        <w:ind w:firstLine="555"/>
        <w:divId w:val="662464432"/>
        <w:rPr>
          <w:sz w:val="20"/>
          <w:szCs w:val="20"/>
        </w:rPr>
      </w:pPr>
      <w:r>
        <w:rPr>
          <w:b/>
          <w:bCs/>
          <w:i/>
          <w:iCs/>
          <w:sz w:val="20"/>
          <w:szCs w:val="20"/>
        </w:rPr>
        <w:t>Adoption of Updated Debt Guidanc</w:t>
      </w:r>
      <w:r>
        <w:rPr>
          <w:b/>
          <w:bCs/>
          <w:i/>
          <w:iCs/>
          <w:sz w:val="20"/>
          <w:szCs w:val="20"/>
        </w:rPr>
        <w:t>e</w:t>
      </w:r>
      <w:r>
        <w:rPr>
          <w:b/>
          <w:bCs/>
          <w:i/>
          <w:iCs/>
          <w:sz w:val="20"/>
          <w:szCs w:val="20"/>
        </w:rPr>
        <w:t xml:space="preserve"> </w:t>
      </w:r>
    </w:p>
    <w:p w:rsidR="00000000" w:rsidRDefault="00211603">
      <w:pPr>
        <w:pStyle w:val="a3"/>
        <w:spacing w:before="200" w:beforeAutospacing="0" w:after="0" w:afterAutospacing="0"/>
        <w:ind w:firstLine="555"/>
        <w:divId w:val="662464432"/>
        <w:rPr>
          <w:sz w:val="20"/>
          <w:szCs w:val="20"/>
        </w:rPr>
      </w:pPr>
      <w:r>
        <w:rPr>
          <w:sz w:val="20"/>
          <w:szCs w:val="20"/>
        </w:rPr>
        <w:t>On January 1, 2022, the Company adopted the new guidance for convertible instruments using a modified retrospective method. Results for reporting periods beginning after December 31, 2021 are presented under the new g</w:t>
      </w:r>
      <w:r>
        <w:rPr>
          <w:sz w:val="20"/>
          <w:szCs w:val="20"/>
        </w:rPr>
        <w:t>uidance, while prior period comparative amounts are not adjusted and continue to be reported in accordance with historical guidance</w:t>
      </w:r>
      <w:r>
        <w:rPr>
          <w:sz w:val="20"/>
          <w:szCs w:val="20"/>
        </w:rPr>
        <w:t>.</w:t>
      </w:r>
      <w:r>
        <w:rPr>
          <w:sz w:val="20"/>
          <w:szCs w:val="20"/>
        </w:rPr>
        <w:t xml:space="preserve"> </w:t>
      </w:r>
    </w:p>
    <w:p w:rsidR="00000000" w:rsidRDefault="00211603">
      <w:pPr>
        <w:pStyle w:val="a3"/>
        <w:spacing w:before="200" w:beforeAutospacing="0" w:after="0" w:afterAutospacing="0"/>
        <w:ind w:firstLine="555"/>
        <w:divId w:val="662464432"/>
        <w:rPr>
          <w:sz w:val="20"/>
          <w:szCs w:val="20"/>
        </w:rPr>
      </w:pPr>
      <w:r>
        <w:rPr>
          <w:sz w:val="20"/>
          <w:szCs w:val="20"/>
        </w:rPr>
        <w:t>The new guidance eliminates the bifurcation and separate recognition of the embedded cash conversion feature from the host</w:t>
      </w:r>
      <w:r>
        <w:rPr>
          <w:sz w:val="20"/>
          <w:szCs w:val="20"/>
        </w:rPr>
        <w:t xml:space="preserve"> contract and allows for the entire amount attributable to the debt to be presented as a liability. The carrying amount of the debt liability will be reduced by the issuance costs associated with the debt issuance as a contra-liability. As there is no long</w:t>
      </w:r>
      <w:r>
        <w:rPr>
          <w:sz w:val="20"/>
          <w:szCs w:val="20"/>
        </w:rPr>
        <w:t xml:space="preserve">er an equity component of the convertible debt, the discount created by accretion of a component of the convertible debt in equity is eliminated and interest expense is reduced. The deferred tax liability recognized as a result of a difference between the </w:t>
      </w:r>
      <w:r>
        <w:rPr>
          <w:sz w:val="20"/>
          <w:szCs w:val="20"/>
        </w:rPr>
        <w:t>carrying amount and tax basis of the 2022 Notes that was recorded to additional paid-in capital as a component of equity was also reversed. There is no change in the accounting for the Capped Call Options, Warrants, or Convertible Note Hedges as they are c</w:t>
      </w:r>
      <w:r>
        <w:rPr>
          <w:sz w:val="20"/>
          <w:szCs w:val="20"/>
        </w:rPr>
        <w:t>lassified as equity under both the historical and new guidance</w:t>
      </w:r>
      <w:r>
        <w:rPr>
          <w:sz w:val="20"/>
          <w:szCs w:val="20"/>
        </w:rPr>
        <w:t>.</w:t>
      </w:r>
      <w:r>
        <w:rPr>
          <w:sz w:val="20"/>
          <w:szCs w:val="20"/>
        </w:rPr>
        <w:t xml:space="preserve"> </w:t>
      </w:r>
    </w:p>
    <w:p w:rsidR="00000000" w:rsidRDefault="00211603">
      <w:pPr>
        <w:pStyle w:val="a3"/>
        <w:spacing w:before="200" w:beforeAutospacing="0" w:after="0" w:afterAutospacing="0"/>
        <w:ind w:firstLine="555"/>
        <w:divId w:val="662464432"/>
        <w:rPr>
          <w:sz w:val="20"/>
          <w:szCs w:val="20"/>
        </w:rPr>
      </w:pPr>
      <w:r>
        <w:rPr>
          <w:sz w:val="20"/>
          <w:szCs w:val="20"/>
        </w:rPr>
        <w:t xml:space="preserve">As a result of the impact of applying the new guidance, the Company recorded an increase to opening retained earnings of </w:t>
      </w:r>
      <w:r>
        <w:rPr>
          <w:sz w:val="20"/>
          <w:szCs w:val="20"/>
        </w:rPr>
        <w:t>$</w:t>
      </w:r>
      <w:r>
        <w:rPr>
          <w:sz w:val="20"/>
          <w:szCs w:val="20"/>
        </w:rPr>
        <w:t>31.</w:t>
      </w:r>
      <w:r>
        <w:rPr>
          <w:sz w:val="20"/>
          <w:szCs w:val="20"/>
        </w:rPr>
        <w:t>4</w:t>
      </w:r>
      <w:r>
        <w:rPr>
          <w:sz w:val="20"/>
          <w:szCs w:val="20"/>
        </w:rPr>
        <w:t xml:space="preserve"> million as of January 1, 2022, related to the difference in inte</w:t>
      </w:r>
      <w:r>
        <w:rPr>
          <w:sz w:val="20"/>
          <w:szCs w:val="20"/>
        </w:rPr>
        <w:t>rest expense due to the amortization of the convertible debt discount and reversal of the deferred tax liability under the historical guidance. The resulting impact on the consolidated balance sheet to derecognize the debt issuance cost and conversion opti</w:t>
      </w:r>
      <w:r>
        <w:rPr>
          <w:sz w:val="20"/>
          <w:szCs w:val="20"/>
        </w:rPr>
        <w:t xml:space="preserve">on that was allocated to the equity component and to derecognize the remaining convertible debt discount was an increase to debt liability of </w:t>
      </w:r>
      <w:r>
        <w:rPr>
          <w:sz w:val="20"/>
          <w:szCs w:val="20"/>
        </w:rPr>
        <w:t>$</w:t>
      </w:r>
      <w:r>
        <w:rPr>
          <w:sz w:val="20"/>
          <w:szCs w:val="20"/>
        </w:rPr>
        <w:t>69.</w:t>
      </w:r>
      <w:r>
        <w:rPr>
          <w:sz w:val="20"/>
          <w:szCs w:val="20"/>
        </w:rPr>
        <w:t>8</w:t>
      </w:r>
      <w:r>
        <w:rPr>
          <w:sz w:val="20"/>
          <w:szCs w:val="20"/>
        </w:rPr>
        <w:t xml:space="preserve"> million, of which </w:t>
      </w:r>
      <w:r>
        <w:rPr>
          <w:sz w:val="20"/>
          <w:szCs w:val="20"/>
        </w:rPr>
        <w:t>$</w:t>
      </w:r>
      <w:r>
        <w:rPr>
          <w:sz w:val="20"/>
          <w:szCs w:val="20"/>
        </w:rPr>
        <w:t>0.</w:t>
      </w:r>
      <w:r>
        <w:rPr>
          <w:sz w:val="20"/>
          <w:szCs w:val="20"/>
        </w:rPr>
        <w:t>5</w:t>
      </w:r>
      <w:r>
        <w:rPr>
          <w:sz w:val="20"/>
          <w:szCs w:val="20"/>
        </w:rPr>
        <w:t xml:space="preserve"> million was recorded to short term debt and </w:t>
      </w:r>
      <w:r>
        <w:rPr>
          <w:sz w:val="20"/>
          <w:szCs w:val="20"/>
        </w:rPr>
        <w:t>$</w:t>
      </w:r>
      <w:r>
        <w:rPr>
          <w:sz w:val="20"/>
          <w:szCs w:val="20"/>
        </w:rPr>
        <w:t>69.</w:t>
      </w:r>
      <w:r>
        <w:rPr>
          <w:sz w:val="20"/>
          <w:szCs w:val="20"/>
        </w:rPr>
        <w:t>3</w:t>
      </w:r>
      <w:r>
        <w:rPr>
          <w:sz w:val="20"/>
          <w:szCs w:val="20"/>
        </w:rPr>
        <w:t xml:space="preserve"> million was recorded to long-term d</w:t>
      </w:r>
      <w:r>
        <w:rPr>
          <w:sz w:val="20"/>
          <w:szCs w:val="20"/>
        </w:rPr>
        <w:t xml:space="preserve">ebt, and a decrease in additional paid-in capital of </w:t>
      </w:r>
      <w:r>
        <w:rPr>
          <w:sz w:val="20"/>
          <w:szCs w:val="20"/>
        </w:rPr>
        <w:t>$</w:t>
      </w:r>
      <w:r>
        <w:rPr>
          <w:sz w:val="20"/>
          <w:szCs w:val="20"/>
        </w:rPr>
        <w:t>101.</w:t>
      </w:r>
      <w:r>
        <w:rPr>
          <w:sz w:val="20"/>
          <w:szCs w:val="20"/>
        </w:rPr>
        <w:t>2</w:t>
      </w:r>
      <w:r>
        <w:rPr>
          <w:sz w:val="20"/>
          <w:szCs w:val="20"/>
        </w:rPr>
        <w:t xml:space="preserve"> million</w:t>
      </w:r>
      <w:r>
        <w:rPr>
          <w:sz w:val="20"/>
          <w:szCs w:val="20"/>
        </w:rPr>
        <w:t>.</w:t>
      </w:r>
      <w:r>
        <w:rPr>
          <w:sz w:val="20"/>
          <w:szCs w:val="20"/>
        </w:rPr>
        <w:t xml:space="preserve"> </w:t>
      </w:r>
    </w:p>
    <w:p w:rsidR="00000000" w:rsidRDefault="00211603">
      <w:pPr>
        <w:pStyle w:val="a3"/>
        <w:spacing w:before="200" w:beforeAutospacing="0" w:after="0" w:afterAutospacing="0"/>
        <w:ind w:firstLine="555"/>
        <w:divId w:val="662464432"/>
        <w:rPr>
          <w:sz w:val="20"/>
          <w:szCs w:val="20"/>
        </w:rPr>
      </w:pPr>
      <w:r>
        <w:rPr>
          <w:b/>
          <w:bCs/>
          <w:i/>
          <w:iCs/>
          <w:sz w:val="20"/>
          <w:szCs w:val="20"/>
        </w:rPr>
        <w:t>2025 Convertible Senior Notes and Capped Call Option</w:t>
      </w:r>
      <w:r>
        <w:rPr>
          <w:b/>
          <w:bCs/>
          <w:i/>
          <w:iCs/>
          <w:sz w:val="20"/>
          <w:szCs w:val="20"/>
        </w:rPr>
        <w:t>s</w:t>
      </w:r>
      <w:r>
        <w:rPr>
          <w:b/>
          <w:bCs/>
          <w:i/>
          <w:iCs/>
          <w:sz w:val="20"/>
          <w:szCs w:val="20"/>
        </w:rPr>
        <w:t xml:space="preserve"> </w:t>
      </w:r>
    </w:p>
    <w:p w:rsidR="00000000" w:rsidRDefault="00211603">
      <w:pPr>
        <w:pStyle w:val="a3"/>
        <w:spacing w:before="240" w:beforeAutospacing="0" w:after="0" w:afterAutospacing="0"/>
        <w:jc w:val="center"/>
        <w:divId w:val="662464432"/>
        <w:rPr>
          <w:sz w:val="20"/>
          <w:szCs w:val="20"/>
        </w:rPr>
      </w:pPr>
      <w:r>
        <w:rPr>
          <w:sz w:val="20"/>
          <w:szCs w:val="20"/>
        </w:rPr>
        <w:t>1</w:t>
      </w:r>
      <w:r>
        <w:rPr>
          <w:sz w:val="20"/>
          <w:szCs w:val="20"/>
        </w:rPr>
        <w:t>5</w:t>
      </w:r>
    </w:p>
    <w:p w:rsidR="00000000" w:rsidRDefault="00211603">
      <w:pPr>
        <w:divId w:val="662464432"/>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211603">
      <w:pPr>
        <w:pStyle w:val="a3"/>
        <w:spacing w:before="0" w:beforeAutospacing="0" w:after="0" w:afterAutospacing="0"/>
        <w:divId w:val="662464432"/>
        <w:rPr>
          <w:sz w:val="20"/>
          <w:szCs w:val="20"/>
        </w:rPr>
      </w:pPr>
      <w:r>
        <w:rPr>
          <w:sz w:val="20"/>
          <w:szCs w:val="20"/>
        </w:rPr>
        <w:t> </w:t>
      </w:r>
    </w:p>
    <w:p w:rsidR="00000000" w:rsidRDefault="00211603">
      <w:pPr>
        <w:pStyle w:val="a3"/>
        <w:spacing w:before="200" w:beforeAutospacing="0" w:after="0" w:afterAutospacing="0"/>
        <w:ind w:firstLine="555"/>
        <w:divId w:val="662464432"/>
        <w:rPr>
          <w:sz w:val="20"/>
          <w:szCs w:val="20"/>
        </w:rPr>
      </w:pPr>
      <w:r>
        <w:rPr>
          <w:sz w:val="20"/>
          <w:szCs w:val="20"/>
        </w:rPr>
        <w:t xml:space="preserve">In June 2020, the Company issued </w:t>
      </w:r>
      <w:r>
        <w:rPr>
          <w:sz w:val="20"/>
          <w:szCs w:val="20"/>
        </w:rPr>
        <w:t>$</w:t>
      </w:r>
      <w:r>
        <w:rPr>
          <w:sz w:val="20"/>
          <w:szCs w:val="20"/>
        </w:rPr>
        <w:t>40</w:t>
      </w:r>
      <w:r>
        <w:rPr>
          <w:sz w:val="20"/>
          <w:szCs w:val="20"/>
        </w:rPr>
        <w:t>0</w:t>
      </w:r>
      <w:r>
        <w:rPr>
          <w:sz w:val="20"/>
          <w:szCs w:val="20"/>
        </w:rPr>
        <w:t xml:space="preserve"> million aggregate principal amount of</w:t>
      </w:r>
      <w:r>
        <w:rPr>
          <w:sz w:val="20"/>
          <w:szCs w:val="20"/>
        </w:rPr>
        <w:t xml:space="preserve"> </w:t>
      </w:r>
      <w:r>
        <w:rPr>
          <w:sz w:val="20"/>
          <w:szCs w:val="20"/>
        </w:rPr>
        <w:t>0.37</w:t>
      </w:r>
      <w:r>
        <w:rPr>
          <w:sz w:val="20"/>
          <w:szCs w:val="20"/>
        </w:rPr>
        <w:t>5</w:t>
      </w:r>
      <w:r>
        <w:rPr>
          <w:sz w:val="20"/>
          <w:szCs w:val="20"/>
        </w:rPr>
        <w:t>% convert</w:t>
      </w:r>
      <w:r>
        <w:rPr>
          <w:sz w:val="20"/>
          <w:szCs w:val="20"/>
        </w:rPr>
        <w:t>ible senior notes due</w:t>
      </w:r>
      <w:r>
        <w:rPr>
          <w:sz w:val="20"/>
          <w:szCs w:val="20"/>
        </w:rPr>
        <w:t xml:space="preserve"> </w:t>
      </w:r>
      <w:r>
        <w:rPr>
          <w:sz w:val="20"/>
          <w:szCs w:val="20"/>
        </w:rPr>
        <w:t>June 1, 202</w:t>
      </w:r>
      <w:r>
        <w:rPr>
          <w:sz w:val="20"/>
          <w:szCs w:val="20"/>
        </w:rPr>
        <w:t>5</w:t>
      </w:r>
      <w:r>
        <w:rPr>
          <w:sz w:val="20"/>
          <w:szCs w:val="20"/>
        </w:rPr>
        <w:t xml:space="preserve"> (the “2025 Notes”) in a private offering and an additional </w:t>
      </w:r>
      <w:r>
        <w:rPr>
          <w:sz w:val="20"/>
          <w:szCs w:val="20"/>
        </w:rPr>
        <w:t>$</w:t>
      </w:r>
      <w:r>
        <w:rPr>
          <w:sz w:val="20"/>
          <w:szCs w:val="20"/>
        </w:rPr>
        <w:t>6</w:t>
      </w:r>
      <w:r>
        <w:rPr>
          <w:sz w:val="20"/>
          <w:szCs w:val="20"/>
        </w:rPr>
        <w:t>0</w:t>
      </w:r>
      <w:r>
        <w:rPr>
          <w:sz w:val="20"/>
          <w:szCs w:val="20"/>
        </w:rPr>
        <w:t xml:space="preserve"> million aggregate principal amount of the 2025 Notes pursuant to the exercise in full of the over-allotment options of the initial purchasers.</w:t>
      </w:r>
      <w:r>
        <w:rPr>
          <w:sz w:val="20"/>
          <w:szCs w:val="20"/>
        </w:rPr>
        <w:t xml:space="preserve"> </w:t>
      </w:r>
      <w:r>
        <w:rPr>
          <w:sz w:val="20"/>
          <w:szCs w:val="20"/>
        </w:rPr>
        <w:t>The interest ra</w:t>
      </w:r>
      <w:r>
        <w:rPr>
          <w:sz w:val="20"/>
          <w:szCs w:val="20"/>
        </w:rPr>
        <w:t>te is fixed at</w:t>
      </w:r>
      <w:r>
        <w:rPr>
          <w:sz w:val="20"/>
          <w:szCs w:val="20"/>
        </w:rPr>
        <w:t xml:space="preserve"> </w:t>
      </w:r>
      <w:r>
        <w:rPr>
          <w:sz w:val="20"/>
          <w:szCs w:val="20"/>
        </w:rPr>
        <w:t>0.37</w:t>
      </w:r>
      <w:r>
        <w:rPr>
          <w:sz w:val="20"/>
          <w:szCs w:val="20"/>
        </w:rPr>
        <w:t>5</w:t>
      </w:r>
      <w:r>
        <w:rPr>
          <w:sz w:val="20"/>
          <w:szCs w:val="20"/>
        </w:rPr>
        <w:t>% per annum and is payable semi-annually in arrears on June 1 and December 1 of each year</w:t>
      </w:r>
      <w:r>
        <w:rPr>
          <w:sz w:val="20"/>
          <w:szCs w:val="20"/>
        </w:rPr>
        <w:t>.</w:t>
      </w:r>
      <w:r>
        <w:rPr>
          <w:sz w:val="20"/>
          <w:szCs w:val="20"/>
        </w:rPr>
        <w:t xml:space="preserve"> The total net proceeds from the debt offering, after deducting initial purchase discounts and debt issuance costs, were approximately </w:t>
      </w:r>
      <w:r>
        <w:rPr>
          <w:sz w:val="20"/>
          <w:szCs w:val="20"/>
        </w:rPr>
        <w:t>$</w:t>
      </w:r>
      <w:r>
        <w:rPr>
          <w:sz w:val="20"/>
          <w:szCs w:val="20"/>
        </w:rPr>
        <w:t>450.</w:t>
      </w:r>
      <w:r>
        <w:rPr>
          <w:sz w:val="20"/>
          <w:szCs w:val="20"/>
        </w:rPr>
        <w:t>1</w:t>
      </w:r>
      <w:r>
        <w:rPr>
          <w:sz w:val="20"/>
          <w:szCs w:val="20"/>
        </w:rPr>
        <w:t xml:space="preserve"> mill</w:t>
      </w:r>
      <w:r>
        <w:rPr>
          <w:sz w:val="20"/>
          <w:szCs w:val="20"/>
        </w:rPr>
        <w:t>ion</w:t>
      </w:r>
      <w:r>
        <w:rPr>
          <w:sz w:val="20"/>
          <w:szCs w:val="20"/>
        </w:rPr>
        <w:t>.</w:t>
      </w:r>
    </w:p>
    <w:p w:rsidR="00000000" w:rsidRDefault="00211603">
      <w:pPr>
        <w:pStyle w:val="a3"/>
        <w:spacing w:before="200" w:beforeAutospacing="0" w:after="0" w:afterAutospacing="0"/>
        <w:ind w:firstLine="555"/>
        <w:divId w:val="662464432"/>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of principal amount of the 2025 Notes will initially be convertible into</w:t>
      </w:r>
      <w:r>
        <w:rPr>
          <w:sz w:val="20"/>
          <w:szCs w:val="20"/>
        </w:rPr>
        <w:t xml:space="preserve"> </w:t>
      </w:r>
      <w:r>
        <w:rPr>
          <w:sz w:val="20"/>
          <w:szCs w:val="20"/>
        </w:rPr>
        <w:t>3.539</w:t>
      </w:r>
      <w:r>
        <w:rPr>
          <w:sz w:val="20"/>
          <w:szCs w:val="20"/>
        </w:rPr>
        <w:t>6</w:t>
      </w:r>
      <w:r>
        <w:rPr>
          <w:sz w:val="20"/>
          <w:szCs w:val="20"/>
        </w:rPr>
        <w:t xml:space="preserve"> shares of the Company’s common stock (the “Conversion Option of the 2025 Notes”), which is equivalent to an initial conversion price of approximately </w:t>
      </w:r>
      <w:r>
        <w:rPr>
          <w:sz w:val="20"/>
          <w:szCs w:val="20"/>
        </w:rPr>
        <w:t>$</w:t>
      </w:r>
      <w:r>
        <w:rPr>
          <w:sz w:val="20"/>
          <w:szCs w:val="20"/>
        </w:rPr>
        <w:t>282.5</w:t>
      </w:r>
      <w:r>
        <w:rPr>
          <w:sz w:val="20"/>
          <w:szCs w:val="20"/>
        </w:rPr>
        <w:t>2</w:t>
      </w:r>
      <w:r>
        <w:rPr>
          <w:sz w:val="20"/>
          <w:szCs w:val="20"/>
        </w:rPr>
        <w:t xml:space="preserve"> p</w:t>
      </w:r>
      <w:r>
        <w:rPr>
          <w:sz w:val="20"/>
          <w:szCs w:val="20"/>
        </w:rPr>
        <w:t xml:space="preserve">er share, subject to adjustment upon the occurrence of certain specified events. On or after March 1, 2025 until the close of business on the second scheduled trading day immediately preceding the maturity date, holders may convert their 2025 Notes at any </w:t>
      </w:r>
      <w:r>
        <w:rPr>
          <w:sz w:val="20"/>
          <w:szCs w:val="20"/>
        </w:rPr>
        <w:t>time. The 2025 Notes will be convertible at the option of the holders prior to the close of business on the business day immediately preceding March 1, 2025 under certain circumstances as described in the indenture governing the 2025 Notes (the “Indenture”</w:t>
      </w:r>
      <w:r>
        <w:rPr>
          <w:sz w:val="20"/>
          <w:szCs w:val="20"/>
        </w:rPr>
        <w:t>). Upon conversion, the Company will pay or deliver, as the case may be, cash, shares of the Company’s common stock or a combination of cash and shares of the Company’s common stock, at the Company’s election.</w:t>
      </w:r>
      <w:r>
        <w:rPr>
          <w:sz w:val="20"/>
          <w:szCs w:val="20"/>
        </w:rPr>
        <w:t xml:space="preserve"> </w:t>
      </w:r>
      <w:r>
        <w:rPr>
          <w:sz w:val="20"/>
          <w:szCs w:val="20"/>
        </w:rPr>
        <w:t>The Company expects to settle the principal am</w:t>
      </w:r>
      <w:r>
        <w:rPr>
          <w:sz w:val="20"/>
          <w:szCs w:val="20"/>
        </w:rPr>
        <w:t>ount of the 2025 Notes in cash</w:t>
      </w:r>
      <w:r>
        <w:rPr>
          <w:sz w:val="20"/>
          <w:szCs w:val="20"/>
        </w:rPr>
        <w:t>.</w:t>
      </w:r>
      <w:r>
        <w:rPr>
          <w:sz w:val="20"/>
          <w:szCs w:val="20"/>
        </w:rPr>
        <w:t xml:space="preserve"> Because the last reported sale price of the Company’s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w:t>
      </w:r>
      <w:r>
        <w:rPr>
          <w:sz w:val="20"/>
          <w:szCs w:val="20"/>
        </w:rPr>
        <w:t xml:space="preserve"> </w:t>
      </w:r>
      <w:r>
        <w:rPr>
          <w:sz w:val="20"/>
          <w:szCs w:val="20"/>
        </w:rPr>
        <w:t>March 31, 202</w:t>
      </w:r>
      <w:r>
        <w:rPr>
          <w:sz w:val="20"/>
          <w:szCs w:val="20"/>
        </w:rPr>
        <w:t>2</w:t>
      </w:r>
      <w:r>
        <w:rPr>
          <w:sz w:val="20"/>
          <w:szCs w:val="20"/>
        </w:rPr>
        <w:t xml:space="preserve"> was</w:t>
      </w:r>
      <w:r>
        <w:rPr>
          <w:sz w:val="20"/>
          <w:szCs w:val="20"/>
        </w:rPr>
        <w:t xml:space="preserve"> equal to or greater than</w:t>
      </w:r>
      <w:r>
        <w:rPr>
          <w:sz w:val="20"/>
          <w:szCs w:val="20"/>
        </w:rPr>
        <w:t xml:space="preserve"> </w:t>
      </w:r>
      <w:r>
        <w:rPr>
          <w:sz w:val="20"/>
          <w:szCs w:val="20"/>
        </w:rPr>
        <w:t>13</w:t>
      </w:r>
      <w:r>
        <w:rPr>
          <w:sz w:val="20"/>
          <w:szCs w:val="20"/>
        </w:rPr>
        <w:t>0</w:t>
      </w:r>
      <w:r>
        <w:rPr>
          <w:sz w:val="20"/>
          <w:szCs w:val="20"/>
        </w:rPr>
        <w:t>% of the applicable conversion price on each applicable trading</w:t>
      </w:r>
      <w:r>
        <w:rPr>
          <w:sz w:val="20"/>
          <w:szCs w:val="20"/>
        </w:rPr>
        <w:t xml:space="preserve"> </w:t>
      </w:r>
      <w:r>
        <w:rPr>
          <w:sz w:val="20"/>
          <w:szCs w:val="20"/>
        </w:rPr>
        <w:t xml:space="preserve">day, the 2025 Notes are convertible at the option of the holders thereof during the calendar quarter ending June 30, 2022. During the three months ended March 31, </w:t>
      </w:r>
      <w:r>
        <w:rPr>
          <w:sz w:val="20"/>
          <w:szCs w:val="20"/>
        </w:rPr>
        <w:t>202</w:t>
      </w:r>
      <w:r>
        <w:rPr>
          <w:sz w:val="20"/>
          <w:szCs w:val="20"/>
        </w:rPr>
        <w:t>2</w:t>
      </w:r>
      <w:r>
        <w:rPr>
          <w:sz w:val="20"/>
          <w:szCs w:val="20"/>
        </w:rPr>
        <w:t xml:space="preserve">, upon the election of the holders to convert, the Company settled </w:t>
      </w:r>
      <w:r>
        <w:rPr>
          <w:sz w:val="20"/>
          <w:szCs w:val="20"/>
        </w:rPr>
        <w:t>$</w:t>
      </w:r>
      <w:r>
        <w:rPr>
          <w:sz w:val="20"/>
          <w:szCs w:val="20"/>
        </w:rPr>
        <w:t>0.</w:t>
      </w:r>
      <w:r>
        <w:rPr>
          <w:sz w:val="20"/>
          <w:szCs w:val="20"/>
        </w:rPr>
        <w:t>9</w:t>
      </w:r>
      <w:r>
        <w:rPr>
          <w:sz w:val="20"/>
          <w:szCs w:val="20"/>
        </w:rPr>
        <w:t xml:space="preserve"> million of principal balance of the 2025 Notes in cash. Between the end of the most recently completed fiscal quarter and April 29, 2022, the Company has</w:t>
      </w:r>
      <w:r>
        <w:rPr>
          <w:sz w:val="20"/>
          <w:szCs w:val="20"/>
        </w:rPr>
        <w:t xml:space="preserve"> </w:t>
      </w:r>
      <w:r>
        <w:rPr>
          <w:sz w:val="20"/>
          <w:szCs w:val="20"/>
        </w:rPr>
        <w:t>n</w:t>
      </w:r>
      <w:r>
        <w:rPr>
          <w:sz w:val="20"/>
          <w:szCs w:val="20"/>
        </w:rPr>
        <w:t>o</w:t>
      </w:r>
      <w:r>
        <w:rPr>
          <w:sz w:val="20"/>
          <w:szCs w:val="20"/>
        </w:rPr>
        <w:t>t received additional co</w:t>
      </w:r>
      <w:r>
        <w:rPr>
          <w:sz w:val="20"/>
          <w:szCs w:val="20"/>
        </w:rPr>
        <w:t>nversion notices</w:t>
      </w:r>
      <w:r>
        <w:rPr>
          <w:sz w:val="20"/>
          <w:szCs w:val="20"/>
        </w:rPr>
        <w:t>.</w:t>
      </w:r>
      <w:r>
        <w:rPr>
          <w:sz w:val="20"/>
          <w:szCs w:val="20"/>
        </w:rPr>
        <w:t xml:space="preserve"> </w:t>
      </w:r>
    </w:p>
    <w:p w:rsidR="00000000" w:rsidRDefault="00211603">
      <w:pPr>
        <w:pStyle w:val="a3"/>
        <w:spacing w:before="200" w:beforeAutospacing="0" w:after="0" w:afterAutospacing="0"/>
        <w:ind w:firstLine="555"/>
        <w:divId w:val="662464432"/>
        <w:rPr>
          <w:sz w:val="20"/>
          <w:szCs w:val="20"/>
        </w:rPr>
      </w:pPr>
      <w:r>
        <w:rPr>
          <w:sz w:val="20"/>
          <w:szCs w:val="20"/>
        </w:rPr>
        <w:t xml:space="preserve">In accordance with GAAP relating to the embedded conversion feature, the Company bifurcated the conversion feature associated with the 2025 Notes and recorded </w:t>
      </w:r>
      <w:r>
        <w:rPr>
          <w:sz w:val="20"/>
          <w:szCs w:val="20"/>
        </w:rPr>
        <w:t>$</w:t>
      </w:r>
      <w:r>
        <w:rPr>
          <w:sz w:val="20"/>
          <w:szCs w:val="20"/>
        </w:rPr>
        <w:t>96.</w:t>
      </w:r>
      <w:r>
        <w:rPr>
          <w:sz w:val="20"/>
          <w:szCs w:val="20"/>
        </w:rPr>
        <w:t>6</w:t>
      </w:r>
      <w:r>
        <w:rPr>
          <w:sz w:val="20"/>
          <w:szCs w:val="20"/>
        </w:rPr>
        <w:t xml:space="preserve"> million to additional paid-in capital for the conversion feature and the</w:t>
      </w:r>
      <w:r>
        <w:rPr>
          <w:sz w:val="20"/>
          <w:szCs w:val="20"/>
        </w:rPr>
        <w:t xml:space="preserve"> resulting debt discount was being amortized to interest expense. As there is no longer an equity component of the convertible debt under the new standard, the debt issuance cost and conversion option that was allocated to the equity component was derecogn</w:t>
      </w:r>
      <w:r>
        <w:rPr>
          <w:sz w:val="20"/>
          <w:szCs w:val="20"/>
        </w:rPr>
        <w:t>ized through an adjustment to opening retained earnings</w:t>
      </w:r>
      <w:r>
        <w:rPr>
          <w:sz w:val="20"/>
          <w:szCs w:val="20"/>
        </w:rPr>
        <w:t>.</w:t>
      </w:r>
      <w:r>
        <w:rPr>
          <w:sz w:val="20"/>
          <w:szCs w:val="20"/>
        </w:rPr>
        <w:t xml:space="preserve"> </w:t>
      </w:r>
    </w:p>
    <w:p w:rsidR="00000000" w:rsidRDefault="00211603">
      <w:pPr>
        <w:pStyle w:val="a3"/>
        <w:spacing w:before="200" w:beforeAutospacing="0" w:after="0" w:afterAutospacing="0"/>
        <w:ind w:firstLine="555"/>
        <w:divId w:val="873227102"/>
        <w:rPr>
          <w:sz w:val="20"/>
          <w:szCs w:val="20"/>
        </w:rPr>
      </w:pPr>
      <w:r>
        <w:rPr>
          <w:sz w:val="20"/>
          <w:szCs w:val="20"/>
        </w:rPr>
        <w:t>The net carrying amount of the liability component of the 2025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70"/>
        <w:gridCol w:w="115"/>
        <w:gridCol w:w="160"/>
        <w:gridCol w:w="1128"/>
        <w:gridCol w:w="127"/>
        <w:gridCol w:w="115"/>
        <w:gridCol w:w="160"/>
        <w:gridCol w:w="1128"/>
        <w:gridCol w:w="142"/>
      </w:tblGrid>
      <w:tr w:rsidR="00000000">
        <w:trPr>
          <w:divId w:val="873227102"/>
          <w:tblCellSpacing w:w="15" w:type="dxa"/>
        </w:trPr>
        <w:tc>
          <w:tcPr>
            <w:tcW w:w="2791" w:type="pct"/>
            <w:vAlign w:val="center"/>
            <w:hideMark/>
          </w:tcPr>
          <w:p w:rsidR="00000000" w:rsidRDefault="00211603">
            <w:pPr>
              <w:rPr>
                <w:sz w:val="20"/>
                <w:szCs w:val="20"/>
              </w:rPr>
            </w:pPr>
          </w:p>
        </w:tc>
        <w:tc>
          <w:tcPr>
            <w:tcW w:w="83"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80"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83"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80"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r>
      <w:tr w:rsidR="00000000">
        <w:trPr>
          <w:divId w:val="873227102"/>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As of 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As of 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873227102"/>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873227102"/>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Principa</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459,08</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459,99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873227102"/>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Unamortized debt discoun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70,59</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873227102"/>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Unamortized issuance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6,33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5,54</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873227102"/>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Net carrying amoun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452,74</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383,86</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126122836"/>
        <w:rPr>
          <w:sz w:val="20"/>
          <w:szCs w:val="20"/>
        </w:rPr>
      </w:pPr>
      <w:r>
        <w:rPr>
          <w:sz w:val="20"/>
          <w:szCs w:val="20"/>
        </w:rPr>
        <w:t>Interest expense related to the 2025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32"/>
        <w:gridCol w:w="115"/>
        <w:gridCol w:w="160"/>
        <w:gridCol w:w="1098"/>
        <w:gridCol w:w="110"/>
        <w:gridCol w:w="116"/>
        <w:gridCol w:w="160"/>
        <w:gridCol w:w="1129"/>
        <w:gridCol w:w="125"/>
      </w:tblGrid>
      <w:tr w:rsidR="00000000">
        <w:trPr>
          <w:divId w:val="126122836"/>
          <w:tblCellSpacing w:w="15" w:type="dxa"/>
        </w:trPr>
        <w:tc>
          <w:tcPr>
            <w:tcW w:w="2843" w:type="pct"/>
            <w:vAlign w:val="center"/>
            <w:hideMark/>
          </w:tcPr>
          <w:p w:rsidR="00000000" w:rsidRDefault="00211603">
            <w:pPr>
              <w:rPr>
                <w:sz w:val="20"/>
                <w:szCs w:val="20"/>
              </w:rPr>
            </w:pPr>
          </w:p>
        </w:tc>
        <w:tc>
          <w:tcPr>
            <w:tcW w:w="85"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59"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85"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82"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r>
      <w:tr w:rsidR="00000000">
        <w:trPr>
          <w:divId w:val="126122836"/>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26122836"/>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26122836"/>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2612283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2612283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4,39</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2612283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34</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26122836"/>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91</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5,16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662464432"/>
        <w:rPr>
          <w:sz w:val="20"/>
          <w:szCs w:val="20"/>
        </w:rPr>
      </w:pPr>
      <w:r>
        <w:rPr>
          <w:sz w:val="20"/>
          <w:szCs w:val="20"/>
        </w:rPr>
        <w:t xml:space="preserve">In connection with the offering of the 2025 Notes, the Company purchased capped call options (“Capped Call Options”) with respect to its common stock for </w:t>
      </w:r>
      <w:r>
        <w:rPr>
          <w:sz w:val="20"/>
          <w:szCs w:val="20"/>
        </w:rPr>
        <w:t>$</w:t>
      </w:r>
      <w:r>
        <w:rPr>
          <w:sz w:val="20"/>
          <w:szCs w:val="20"/>
        </w:rPr>
        <w:t>50.</w:t>
      </w:r>
      <w:r>
        <w:rPr>
          <w:sz w:val="20"/>
          <w:szCs w:val="20"/>
        </w:rPr>
        <w:t>6</w:t>
      </w:r>
      <w:r>
        <w:rPr>
          <w:sz w:val="20"/>
          <w:szCs w:val="20"/>
        </w:rPr>
        <w:t xml:space="preserve"> million. The Capped Call Options are purchased call options that give the Company the option to </w:t>
      </w:r>
      <w:r>
        <w:rPr>
          <w:sz w:val="20"/>
          <w:szCs w:val="20"/>
        </w:rPr>
        <w:t>purchase up to approximately</w:t>
      </w:r>
      <w:r>
        <w:rPr>
          <w:sz w:val="20"/>
          <w:szCs w:val="20"/>
        </w:rPr>
        <w:t xml:space="preserve"> </w:t>
      </w:r>
      <w:r>
        <w:rPr>
          <w:sz w:val="20"/>
          <w:szCs w:val="20"/>
        </w:rPr>
        <w:t>1.</w:t>
      </w:r>
      <w:r>
        <w:rPr>
          <w:sz w:val="20"/>
          <w:szCs w:val="20"/>
        </w:rPr>
        <w:t>6</w:t>
      </w:r>
      <w:r>
        <w:rPr>
          <w:sz w:val="20"/>
          <w:szCs w:val="20"/>
        </w:rPr>
        <w:t xml:space="preserve"> million shares of its common stock for </w:t>
      </w:r>
      <w:r>
        <w:rPr>
          <w:sz w:val="20"/>
          <w:szCs w:val="20"/>
        </w:rPr>
        <w:t>$</w:t>
      </w:r>
      <w:r>
        <w:rPr>
          <w:sz w:val="20"/>
          <w:szCs w:val="20"/>
        </w:rPr>
        <w:t>282.5</w:t>
      </w:r>
      <w:r>
        <w:rPr>
          <w:sz w:val="20"/>
          <w:szCs w:val="20"/>
        </w:rPr>
        <w:t>2</w:t>
      </w:r>
      <w:r>
        <w:rPr>
          <w:sz w:val="20"/>
          <w:szCs w:val="20"/>
        </w:rPr>
        <w:t xml:space="preserve"> per share, which corresponds to the approximate initial conversion price of the 2025 Notes. The Capped Call Options were purchased in order to offset potential dilution to the </w:t>
      </w:r>
      <w:r>
        <w:rPr>
          <w:sz w:val="20"/>
          <w:szCs w:val="20"/>
        </w:rPr>
        <w:t xml:space="preserve">Company’s common stock upon any conversion of the 2025 Notes, subject to a cap of </w:t>
      </w:r>
      <w:r>
        <w:rPr>
          <w:sz w:val="20"/>
          <w:szCs w:val="20"/>
        </w:rPr>
        <w:t>$</w:t>
      </w:r>
      <w:r>
        <w:rPr>
          <w:sz w:val="20"/>
          <w:szCs w:val="20"/>
        </w:rPr>
        <w:t>426.4</w:t>
      </w:r>
      <w:r>
        <w:rPr>
          <w:sz w:val="20"/>
          <w:szCs w:val="20"/>
        </w:rPr>
        <w:t>4</w:t>
      </w:r>
      <w:r>
        <w:rPr>
          <w:sz w:val="20"/>
          <w:szCs w:val="20"/>
        </w:rPr>
        <w:t xml:space="preserve"> per share, and expire concurrently with the 2025 Notes. The </w:t>
      </w:r>
      <w:r>
        <w:rPr>
          <w:sz w:val="20"/>
          <w:szCs w:val="20"/>
        </w:rPr>
        <w:t>$</w:t>
      </w:r>
      <w:r>
        <w:rPr>
          <w:sz w:val="20"/>
          <w:szCs w:val="20"/>
        </w:rPr>
        <w:t>50.</w:t>
      </w:r>
      <w:r>
        <w:rPr>
          <w:sz w:val="20"/>
          <w:szCs w:val="20"/>
        </w:rPr>
        <w:t>6</w:t>
      </w:r>
      <w:r>
        <w:rPr>
          <w:sz w:val="20"/>
          <w:szCs w:val="20"/>
        </w:rPr>
        <w:t xml:space="preserve"> million paid for the Capped Call Options is recorded in stockholders’ equity as a reduction in addit</w:t>
      </w:r>
      <w:r>
        <w:rPr>
          <w:sz w:val="20"/>
          <w:szCs w:val="20"/>
        </w:rPr>
        <w:t>ional paid-in capital and are not accounted for as separate derivative financial instruments</w:t>
      </w:r>
      <w:r>
        <w:rPr>
          <w:sz w:val="20"/>
          <w:szCs w:val="20"/>
        </w:rPr>
        <w:t>.</w:t>
      </w:r>
    </w:p>
    <w:p w:rsidR="00000000" w:rsidRDefault="00211603">
      <w:pPr>
        <w:pStyle w:val="a3"/>
        <w:spacing w:before="200" w:beforeAutospacing="0" w:after="0" w:afterAutospacing="0"/>
        <w:ind w:firstLine="555"/>
        <w:divId w:val="662464432"/>
        <w:rPr>
          <w:sz w:val="20"/>
          <w:szCs w:val="20"/>
        </w:rPr>
      </w:pPr>
      <w:r>
        <w:rPr>
          <w:b/>
          <w:bCs/>
          <w:i/>
          <w:iCs/>
          <w:sz w:val="20"/>
          <w:szCs w:val="20"/>
        </w:rPr>
        <w:t>2022 Convertible Senior Notes, Convertible Note Hedge and Warran</w:t>
      </w:r>
      <w:r>
        <w:rPr>
          <w:b/>
          <w:bCs/>
          <w:i/>
          <w:iCs/>
          <w:sz w:val="20"/>
          <w:szCs w:val="20"/>
        </w:rPr>
        <w:t>t</w:t>
      </w:r>
    </w:p>
    <w:p w:rsidR="00000000" w:rsidRDefault="00211603">
      <w:pPr>
        <w:pStyle w:val="a3"/>
        <w:spacing w:before="200" w:beforeAutospacing="0" w:after="0" w:afterAutospacing="0"/>
        <w:ind w:firstLine="555"/>
        <w:divId w:val="662464432"/>
        <w:rPr>
          <w:sz w:val="20"/>
          <w:szCs w:val="20"/>
        </w:rPr>
      </w:pPr>
      <w:r>
        <w:rPr>
          <w:sz w:val="20"/>
          <w:szCs w:val="20"/>
        </w:rPr>
        <w:t xml:space="preserve">In May 2017, the Company issued </w:t>
      </w:r>
      <w:r>
        <w:rPr>
          <w:sz w:val="20"/>
          <w:szCs w:val="20"/>
        </w:rPr>
        <w:t>$</w:t>
      </w:r>
      <w:r>
        <w:rPr>
          <w:sz w:val="20"/>
          <w:szCs w:val="20"/>
        </w:rPr>
        <w:t>350.</w:t>
      </w:r>
      <w:r>
        <w:rPr>
          <w:sz w:val="20"/>
          <w:szCs w:val="20"/>
        </w:rPr>
        <w:t>0</w:t>
      </w:r>
      <w:r>
        <w:rPr>
          <w:sz w:val="20"/>
          <w:szCs w:val="20"/>
        </w:rPr>
        <w:t xml:space="preserve"> million aggregate principal amount of</w:t>
      </w:r>
      <w:r>
        <w:rPr>
          <w:sz w:val="20"/>
          <w:szCs w:val="20"/>
        </w:rPr>
        <w:t xml:space="preserve"> </w:t>
      </w:r>
      <w:r>
        <w:rPr>
          <w:sz w:val="20"/>
          <w:szCs w:val="20"/>
        </w:rPr>
        <w:t>0.2</w:t>
      </w:r>
      <w:r>
        <w:rPr>
          <w:sz w:val="20"/>
          <w:szCs w:val="20"/>
        </w:rPr>
        <w:t>5</w:t>
      </w:r>
      <w:r>
        <w:rPr>
          <w:sz w:val="20"/>
          <w:szCs w:val="20"/>
        </w:rPr>
        <w:t>% convertible s</w:t>
      </w:r>
      <w:r>
        <w:rPr>
          <w:sz w:val="20"/>
          <w:szCs w:val="20"/>
        </w:rPr>
        <w:t>enior notes due</w:t>
      </w:r>
      <w:r>
        <w:rPr>
          <w:sz w:val="20"/>
          <w:szCs w:val="20"/>
        </w:rPr>
        <w:t xml:space="preserve"> </w:t>
      </w:r>
      <w:r>
        <w:rPr>
          <w:sz w:val="20"/>
          <w:szCs w:val="20"/>
        </w:rPr>
        <w:t>June 1, 202</w:t>
      </w:r>
      <w:r>
        <w:rPr>
          <w:sz w:val="20"/>
          <w:szCs w:val="20"/>
        </w:rPr>
        <w:t>2</w:t>
      </w:r>
      <w:r>
        <w:rPr>
          <w:sz w:val="20"/>
          <w:szCs w:val="20"/>
        </w:rPr>
        <w:t xml:space="preserve"> (the “2022 Notes”) in a private offering and an additional </w:t>
      </w:r>
      <w:r>
        <w:rPr>
          <w:sz w:val="20"/>
          <w:szCs w:val="20"/>
        </w:rPr>
        <w:t>$</w:t>
      </w:r>
      <w:r>
        <w:rPr>
          <w:sz w:val="20"/>
          <w:szCs w:val="20"/>
        </w:rPr>
        <w:t>5</w:t>
      </w:r>
      <w:r>
        <w:rPr>
          <w:sz w:val="20"/>
          <w:szCs w:val="20"/>
        </w:rPr>
        <w:t>0</w:t>
      </w:r>
      <w:r>
        <w:rPr>
          <w:sz w:val="20"/>
          <w:szCs w:val="20"/>
        </w:rPr>
        <w:t xml:space="preserve"> million aggregate principal amount of the 2022 Notes pursuant to the exercise in full of the over-allotment options of the initial purchasers. of the 2022 Notes.</w:t>
      </w:r>
      <w:r>
        <w:rPr>
          <w:sz w:val="20"/>
          <w:szCs w:val="20"/>
        </w:rPr>
        <w:t xml:space="preserve"> </w:t>
      </w:r>
      <w:r>
        <w:rPr>
          <w:sz w:val="20"/>
          <w:szCs w:val="20"/>
        </w:rPr>
        <w:t>Th</w:t>
      </w:r>
      <w:r>
        <w:rPr>
          <w:sz w:val="20"/>
          <w:szCs w:val="20"/>
        </w:rPr>
        <w:t>e interest rate is fixed at</w:t>
      </w:r>
      <w:r>
        <w:rPr>
          <w:sz w:val="20"/>
          <w:szCs w:val="20"/>
        </w:rPr>
        <w:t xml:space="preserve"> </w:t>
      </w:r>
      <w:r>
        <w:rPr>
          <w:sz w:val="20"/>
          <w:szCs w:val="20"/>
        </w:rPr>
        <w:t>0.2</w:t>
      </w:r>
      <w:r>
        <w:rPr>
          <w:sz w:val="20"/>
          <w:szCs w:val="20"/>
        </w:rPr>
        <w:t>5</w:t>
      </w:r>
      <w:r>
        <w:rPr>
          <w:sz w:val="20"/>
          <w:szCs w:val="20"/>
        </w:rPr>
        <w:t>%</w:t>
      </w:r>
      <w:r>
        <w:rPr>
          <w:sz w:val="20"/>
          <w:szCs w:val="20"/>
        </w:rPr>
        <w:t xml:space="preserve"> </w:t>
      </w:r>
      <w:r>
        <w:rPr>
          <w:sz w:val="20"/>
          <w:szCs w:val="20"/>
        </w:rPr>
        <w:t>per</w:t>
      </w:r>
      <w:r>
        <w:rPr>
          <w:sz w:val="20"/>
          <w:szCs w:val="20"/>
        </w:rPr>
        <w:t xml:space="preserve"> </w:t>
      </w:r>
    </w:p>
    <w:p w:rsidR="00000000" w:rsidRDefault="00211603">
      <w:pPr>
        <w:pStyle w:val="a3"/>
        <w:spacing w:before="240" w:beforeAutospacing="0" w:after="0" w:afterAutospacing="0"/>
        <w:jc w:val="center"/>
        <w:divId w:val="662464432"/>
        <w:rPr>
          <w:sz w:val="20"/>
          <w:szCs w:val="20"/>
        </w:rPr>
      </w:pPr>
      <w:r>
        <w:rPr>
          <w:sz w:val="20"/>
          <w:szCs w:val="20"/>
        </w:rPr>
        <w:t>1</w:t>
      </w:r>
      <w:r>
        <w:rPr>
          <w:sz w:val="20"/>
          <w:szCs w:val="20"/>
        </w:rPr>
        <w:t>6</w:t>
      </w:r>
    </w:p>
    <w:p w:rsidR="00000000" w:rsidRDefault="00211603">
      <w:pPr>
        <w:divId w:val="662464432"/>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211603">
      <w:pPr>
        <w:pStyle w:val="a3"/>
        <w:spacing w:before="0" w:beforeAutospacing="0" w:after="0" w:afterAutospacing="0"/>
        <w:divId w:val="662464432"/>
        <w:rPr>
          <w:sz w:val="20"/>
          <w:szCs w:val="20"/>
        </w:rPr>
      </w:pPr>
      <w:r>
        <w:rPr>
          <w:sz w:val="20"/>
          <w:szCs w:val="20"/>
        </w:rPr>
        <w:t> </w:t>
      </w:r>
    </w:p>
    <w:p w:rsidR="00000000" w:rsidRDefault="00211603">
      <w:pPr>
        <w:pStyle w:val="a3"/>
        <w:spacing w:before="200" w:beforeAutospacing="0" w:after="0" w:afterAutospacing="0"/>
        <w:divId w:val="662464432"/>
        <w:rPr>
          <w:sz w:val="20"/>
          <w:szCs w:val="20"/>
        </w:rPr>
      </w:pPr>
      <w:r>
        <w:rPr>
          <w:sz w:val="20"/>
          <w:szCs w:val="20"/>
        </w:rPr>
        <w:t>annum</w:t>
      </w:r>
      <w:r>
        <w:rPr>
          <w:sz w:val="20"/>
          <w:szCs w:val="20"/>
        </w:rPr>
        <w:t xml:space="preserve"> </w:t>
      </w:r>
      <w:r>
        <w:rPr>
          <w:sz w:val="20"/>
          <w:szCs w:val="20"/>
        </w:rPr>
        <w:t>and is payable semi-annually in arrears on June 1 and December 1 of each year</w:t>
      </w:r>
      <w:r>
        <w:rPr>
          <w:sz w:val="20"/>
          <w:szCs w:val="20"/>
        </w:rPr>
        <w:t>.</w:t>
      </w:r>
      <w:r>
        <w:rPr>
          <w:sz w:val="20"/>
          <w:szCs w:val="20"/>
        </w:rPr>
        <w:t xml:space="preserve"> The total net proceeds from the debt offering, after deducting initial purchase discounts a</w:t>
      </w:r>
      <w:r>
        <w:rPr>
          <w:sz w:val="20"/>
          <w:szCs w:val="20"/>
        </w:rPr>
        <w:t xml:space="preserve">nd debt issuance costs, were approximately </w:t>
      </w:r>
      <w:r>
        <w:rPr>
          <w:sz w:val="20"/>
          <w:szCs w:val="20"/>
        </w:rPr>
        <w:t>$</w:t>
      </w:r>
      <w:r>
        <w:rPr>
          <w:sz w:val="20"/>
          <w:szCs w:val="20"/>
        </w:rPr>
        <w:t>389.</w:t>
      </w:r>
      <w:r>
        <w:rPr>
          <w:sz w:val="20"/>
          <w:szCs w:val="20"/>
        </w:rPr>
        <w:t>2</w:t>
      </w:r>
      <w:r>
        <w:rPr>
          <w:sz w:val="20"/>
          <w:szCs w:val="20"/>
        </w:rPr>
        <w:t xml:space="preserve"> million</w:t>
      </w:r>
      <w:r>
        <w:rPr>
          <w:sz w:val="20"/>
          <w:szCs w:val="20"/>
        </w:rPr>
        <w:t>.</w:t>
      </w:r>
      <w:r>
        <w:rPr>
          <w:sz w:val="20"/>
          <w:szCs w:val="20"/>
        </w:rPr>
        <w:t xml:space="preserve"> </w:t>
      </w:r>
    </w:p>
    <w:p w:rsidR="00000000" w:rsidRDefault="00211603">
      <w:pPr>
        <w:pStyle w:val="a3"/>
        <w:spacing w:before="200" w:beforeAutospacing="0" w:after="0" w:afterAutospacing="0"/>
        <w:ind w:firstLine="555"/>
        <w:divId w:val="662464432"/>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principal amount of the 2022 Notes are currently convertible into</w:t>
      </w:r>
      <w:r>
        <w:rPr>
          <w:sz w:val="20"/>
          <w:szCs w:val="20"/>
        </w:rPr>
        <w:t xml:space="preserve"> </w:t>
      </w:r>
      <w:r>
        <w:rPr>
          <w:sz w:val="20"/>
          <w:szCs w:val="20"/>
        </w:rPr>
        <w:t>10.551</w:t>
      </w:r>
      <w:r>
        <w:rPr>
          <w:sz w:val="20"/>
          <w:szCs w:val="20"/>
        </w:rPr>
        <w:t>9</w:t>
      </w:r>
      <w:r>
        <w:rPr>
          <w:sz w:val="20"/>
          <w:szCs w:val="20"/>
        </w:rPr>
        <w:t xml:space="preserve"> shares of the Company’s common stock (the “Conversion Option of the 2022 Notes”), which is equivalent to an in</w:t>
      </w:r>
      <w:r>
        <w:rPr>
          <w:sz w:val="20"/>
          <w:szCs w:val="20"/>
        </w:rPr>
        <w:t xml:space="preserve">itial conversion price of approximately </w:t>
      </w:r>
      <w:r>
        <w:rPr>
          <w:sz w:val="20"/>
          <w:szCs w:val="20"/>
        </w:rPr>
        <w:t>$</w:t>
      </w:r>
      <w:r>
        <w:rPr>
          <w:sz w:val="20"/>
          <w:szCs w:val="20"/>
        </w:rPr>
        <w:t>94.7</w:t>
      </w:r>
      <w:r>
        <w:rPr>
          <w:sz w:val="20"/>
          <w:szCs w:val="20"/>
        </w:rPr>
        <w:t>7</w:t>
      </w:r>
      <w:r>
        <w:rPr>
          <w:sz w:val="20"/>
          <w:szCs w:val="20"/>
        </w:rPr>
        <w:t xml:space="preserve"> per share, subject to adjustment upon the occurrence of specified events. On or after February 1, 2022 until the close of business on the second scheduled trading day immediately preceding the maturity date, h</w:t>
      </w:r>
      <w:r>
        <w:rPr>
          <w:sz w:val="20"/>
          <w:szCs w:val="20"/>
        </w:rPr>
        <w:t>olders may convert their notes at any time. Upon conversion, the Company will pay or deliver, as the case may be, cash, shares of the Company’s common stock or a combination of cash and shares of the Company’s common stock, at the Company’s election.</w:t>
      </w:r>
      <w:r>
        <w:rPr>
          <w:sz w:val="20"/>
          <w:szCs w:val="20"/>
        </w:rPr>
        <w:t xml:space="preserve"> </w:t>
      </w:r>
      <w:r>
        <w:rPr>
          <w:sz w:val="20"/>
          <w:szCs w:val="20"/>
        </w:rPr>
        <w:t>The C</w:t>
      </w:r>
      <w:r>
        <w:rPr>
          <w:sz w:val="20"/>
          <w:szCs w:val="20"/>
        </w:rPr>
        <w:t>ompany expects to settle the principal amount of the 2022 Notes in cash</w:t>
      </w:r>
      <w:r>
        <w:rPr>
          <w:sz w:val="20"/>
          <w:szCs w:val="20"/>
        </w:rPr>
        <w:t>.</w:t>
      </w:r>
      <w:r>
        <w:rPr>
          <w:sz w:val="20"/>
          <w:szCs w:val="20"/>
        </w:rPr>
        <w:t xml:space="preserve"> </w:t>
      </w:r>
      <w:r>
        <w:rPr>
          <w:sz w:val="20"/>
          <w:szCs w:val="20"/>
        </w:rPr>
        <w:t>In the quarter ended</w:t>
      </w:r>
      <w:r>
        <w:rPr>
          <w:sz w:val="20"/>
          <w:szCs w:val="20"/>
        </w:rPr>
        <w:t xml:space="preserve"> </w:t>
      </w:r>
      <w:r>
        <w:rPr>
          <w:sz w:val="20"/>
          <w:szCs w:val="20"/>
        </w:rPr>
        <w:t>March 31, 2022 and through April 29, 2022, the Company did not receiv</w:t>
      </w:r>
      <w:r>
        <w:rPr>
          <w:sz w:val="20"/>
          <w:szCs w:val="20"/>
        </w:rPr>
        <w:t>e</w:t>
      </w:r>
      <w:r>
        <w:rPr>
          <w:sz w:val="20"/>
          <w:szCs w:val="20"/>
        </w:rPr>
        <w:t xml:space="preserve"> any conversion notices</w:t>
      </w:r>
      <w:r>
        <w:rPr>
          <w:sz w:val="20"/>
          <w:szCs w:val="20"/>
        </w:rPr>
        <w:t>.</w:t>
      </w:r>
      <w:r>
        <w:rPr>
          <w:sz w:val="20"/>
          <w:szCs w:val="20"/>
        </w:rPr>
        <w:t xml:space="preserve"> The 2022 Notes are classified as short-term debt</w:t>
      </w:r>
      <w:r>
        <w:rPr>
          <w:sz w:val="20"/>
          <w:szCs w:val="20"/>
        </w:rPr>
        <w:t>.</w:t>
      </w:r>
      <w:r>
        <w:rPr>
          <w:sz w:val="20"/>
          <w:szCs w:val="20"/>
        </w:rPr>
        <w:t xml:space="preserve"> As of March 31, 2</w:t>
      </w:r>
      <w:r>
        <w:rPr>
          <w:sz w:val="20"/>
          <w:szCs w:val="20"/>
        </w:rPr>
        <w:t>022,</w:t>
      </w:r>
      <w:r>
        <w:rPr>
          <w:sz w:val="20"/>
          <w:szCs w:val="20"/>
        </w:rPr>
        <w:t xml:space="preserve"> </w:t>
      </w:r>
      <w:r>
        <w:rPr>
          <w:sz w:val="20"/>
          <w:szCs w:val="20"/>
        </w:rPr>
        <w:t>$</w:t>
      </w:r>
      <w:r>
        <w:rPr>
          <w:sz w:val="20"/>
          <w:szCs w:val="20"/>
        </w:rPr>
        <w:t>19.</w:t>
      </w:r>
      <w:r>
        <w:rPr>
          <w:sz w:val="20"/>
          <w:szCs w:val="20"/>
        </w:rPr>
        <w:t>4</w:t>
      </w:r>
      <w:r>
        <w:rPr>
          <w:sz w:val="20"/>
          <w:szCs w:val="20"/>
        </w:rPr>
        <w:t xml:space="preserve"> millio</w:t>
      </w:r>
      <w:r>
        <w:rPr>
          <w:sz w:val="20"/>
          <w:szCs w:val="20"/>
        </w:rPr>
        <w:t>n</w:t>
      </w:r>
      <w:r>
        <w:rPr>
          <w:sz w:val="20"/>
          <w:szCs w:val="20"/>
        </w:rPr>
        <w:t xml:space="preserve"> of principal remains outstanding on the 2022 Notes</w:t>
      </w:r>
      <w:r>
        <w:rPr>
          <w:sz w:val="20"/>
          <w:szCs w:val="20"/>
        </w:rPr>
        <w:t>.</w:t>
      </w:r>
      <w:r>
        <w:rPr>
          <w:sz w:val="20"/>
          <w:szCs w:val="20"/>
        </w:rPr>
        <w:t xml:space="preserve"> </w:t>
      </w:r>
    </w:p>
    <w:p w:rsidR="00000000" w:rsidRDefault="00211603">
      <w:pPr>
        <w:pStyle w:val="a3"/>
        <w:spacing w:before="200" w:beforeAutospacing="0" w:after="0" w:afterAutospacing="0"/>
        <w:ind w:firstLine="555"/>
        <w:divId w:val="662464432"/>
        <w:rPr>
          <w:sz w:val="20"/>
          <w:szCs w:val="20"/>
        </w:rPr>
      </w:pPr>
      <w:r>
        <w:rPr>
          <w:sz w:val="20"/>
          <w:szCs w:val="20"/>
        </w:rPr>
        <w:t>In connection with the offering of the 2022 Notes, the Company entered into convertible note hedge transactions (the “Convertible Note Hedges”) with certain counterparties in which the Company has the option to purchase (subject to adjustment for certain s</w:t>
      </w:r>
      <w:r>
        <w:rPr>
          <w:sz w:val="20"/>
          <w:szCs w:val="20"/>
        </w:rPr>
        <w:t>pecified events) up to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approximately </w:t>
      </w:r>
      <w:r>
        <w:rPr>
          <w:sz w:val="20"/>
          <w:szCs w:val="20"/>
        </w:rPr>
        <w:t>$</w:t>
      </w:r>
      <w:r>
        <w:rPr>
          <w:sz w:val="20"/>
          <w:szCs w:val="20"/>
        </w:rPr>
        <w:t>94.7</w:t>
      </w:r>
      <w:r>
        <w:rPr>
          <w:sz w:val="20"/>
          <w:szCs w:val="20"/>
        </w:rPr>
        <w:t>7</w:t>
      </w:r>
      <w:r>
        <w:rPr>
          <w:sz w:val="20"/>
          <w:szCs w:val="20"/>
        </w:rPr>
        <w:t xml:space="preserve"> per share. The Convertible Note Hedges will be settled in cash or shares, or any combination thereof, in accordance with the settlement</w:t>
      </w:r>
      <w:r>
        <w:rPr>
          <w:sz w:val="20"/>
          <w:szCs w:val="20"/>
        </w:rPr>
        <w:t xml:space="preserve"> method of the 2022 Notes in excess of the par amount, and are expected to settle concurrently with the conversion of the 2022 Notes. In addition, the Company sold warrants (the “Warrants”) to certain bank counterparties whereby the holders of the Warrants</w:t>
      </w:r>
      <w:r>
        <w:rPr>
          <w:sz w:val="20"/>
          <w:szCs w:val="20"/>
        </w:rPr>
        <w:t xml:space="preserve"> have the option to initially purchase (subject to adjustment for certain specified events) a total of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w:t>
      </w:r>
      <w:r>
        <w:rPr>
          <w:sz w:val="20"/>
          <w:szCs w:val="20"/>
        </w:rPr>
        <w:t>$</w:t>
      </w:r>
      <w:r>
        <w:rPr>
          <w:sz w:val="20"/>
          <w:szCs w:val="20"/>
        </w:rPr>
        <w:t>115.</w:t>
      </w:r>
      <w:r>
        <w:rPr>
          <w:sz w:val="20"/>
          <w:szCs w:val="20"/>
        </w:rPr>
        <w:t>8</w:t>
      </w:r>
      <w:r>
        <w:rPr>
          <w:sz w:val="20"/>
          <w:szCs w:val="20"/>
        </w:rPr>
        <w:t xml:space="preserve"> per share. The amount by which the settlement price exceeds the strik</w:t>
      </w:r>
      <w:r>
        <w:rPr>
          <w:sz w:val="20"/>
          <w:szCs w:val="20"/>
        </w:rPr>
        <w:t>e price may be settled in shares or cash at the Company’s election.</w:t>
      </w:r>
      <w:r>
        <w:rPr>
          <w:sz w:val="20"/>
          <w:szCs w:val="20"/>
        </w:rPr>
        <w:t xml:space="preserve"> </w:t>
      </w:r>
      <w:r>
        <w:rPr>
          <w:sz w:val="20"/>
          <w:szCs w:val="20"/>
        </w:rPr>
        <w:t>The Warrants are expected to settle</w:t>
      </w:r>
      <w:r>
        <w:rPr>
          <w:sz w:val="20"/>
          <w:szCs w:val="20"/>
        </w:rPr>
        <w:t xml:space="preserve"> </w:t>
      </w:r>
      <w:r>
        <w:rPr>
          <w:sz w:val="20"/>
          <w:szCs w:val="20"/>
        </w:rPr>
        <w:t>thre</w:t>
      </w:r>
      <w:r>
        <w:rPr>
          <w:sz w:val="20"/>
          <w:szCs w:val="20"/>
        </w:rPr>
        <w:t>e</w:t>
      </w:r>
      <w:r>
        <w:rPr>
          <w:sz w:val="20"/>
          <w:szCs w:val="20"/>
        </w:rPr>
        <w:t xml:space="preserve"> business days from each trading day commencing on</w:t>
      </w:r>
      <w:r>
        <w:rPr>
          <w:sz w:val="20"/>
          <w:szCs w:val="20"/>
        </w:rPr>
        <w:t xml:space="preserve"> </w:t>
      </w:r>
      <w:r>
        <w:rPr>
          <w:sz w:val="20"/>
          <w:szCs w:val="20"/>
        </w:rPr>
        <w:t>September 1, 202</w:t>
      </w:r>
      <w:r>
        <w:rPr>
          <w:sz w:val="20"/>
          <w:szCs w:val="20"/>
        </w:rPr>
        <w:t>2</w:t>
      </w:r>
      <w:r>
        <w:rPr>
          <w:sz w:val="20"/>
          <w:szCs w:val="20"/>
        </w:rPr>
        <w:t xml:space="preserve"> and ending on the 79th trading day thereafter.</w:t>
      </w:r>
      <w:r>
        <w:rPr>
          <w:sz w:val="20"/>
          <w:szCs w:val="20"/>
        </w:rPr>
        <w:t xml:space="preserve"> </w:t>
      </w:r>
      <w:r>
        <w:rPr>
          <w:sz w:val="20"/>
          <w:szCs w:val="20"/>
        </w:rPr>
        <w:t>As of</w:t>
      </w:r>
      <w:r>
        <w:rPr>
          <w:sz w:val="20"/>
          <w:szCs w:val="20"/>
        </w:rPr>
        <w:t xml:space="preserve"> </w:t>
      </w:r>
      <w:r>
        <w:rPr>
          <w:sz w:val="20"/>
          <w:szCs w:val="20"/>
        </w:rPr>
        <w:t>March 31, 202</w:t>
      </w:r>
      <w:r>
        <w:rPr>
          <w:sz w:val="20"/>
          <w:szCs w:val="20"/>
        </w:rPr>
        <w:t>2</w:t>
      </w:r>
      <w:r>
        <w:rPr>
          <w:sz w:val="20"/>
          <w:szCs w:val="20"/>
        </w:rPr>
        <w:t>, Convertib</w:t>
      </w:r>
      <w:r>
        <w:rPr>
          <w:sz w:val="20"/>
          <w:szCs w:val="20"/>
        </w:rPr>
        <w:t>le Note Hedges giving the Company the option to purchase approximately</w:t>
      </w:r>
      <w:r>
        <w:rPr>
          <w:sz w:val="20"/>
          <w:szCs w:val="20"/>
        </w:rPr>
        <w:t xml:space="preserve"> </w:t>
      </w:r>
      <w:r>
        <w:rPr>
          <w:sz w:val="20"/>
          <w:szCs w:val="20"/>
        </w:rPr>
        <w:t>0.</w:t>
      </w:r>
      <w:r>
        <w:rPr>
          <w:sz w:val="20"/>
          <w:szCs w:val="20"/>
        </w:rPr>
        <w:t>2</w:t>
      </w:r>
      <w:r>
        <w:rPr>
          <w:sz w:val="20"/>
          <w:szCs w:val="20"/>
        </w:rPr>
        <w:t xml:space="preserve"> million shares of the Company’s common stock and Warrants giving certain counterparties the option to acquire up to</w:t>
      </w:r>
      <w:r>
        <w:rPr>
          <w:sz w:val="20"/>
          <w:szCs w:val="20"/>
        </w:rPr>
        <w:t xml:space="preserve"> </w:t>
      </w:r>
      <w:r>
        <w:rPr>
          <w:sz w:val="20"/>
          <w:szCs w:val="20"/>
        </w:rPr>
        <w:t>1.</w:t>
      </w:r>
      <w:r>
        <w:rPr>
          <w:sz w:val="20"/>
          <w:szCs w:val="20"/>
        </w:rPr>
        <w:t>3</w:t>
      </w:r>
      <w:r>
        <w:rPr>
          <w:sz w:val="20"/>
          <w:szCs w:val="20"/>
        </w:rPr>
        <w:t xml:space="preserve"> million shares of the Company’s common stock remain outstandi</w:t>
      </w:r>
      <w:r>
        <w:rPr>
          <w:sz w:val="20"/>
          <w:szCs w:val="20"/>
        </w:rPr>
        <w:t>ng</w:t>
      </w:r>
      <w:r>
        <w:rPr>
          <w:sz w:val="20"/>
          <w:szCs w:val="20"/>
        </w:rPr>
        <w:t>.</w:t>
      </w:r>
    </w:p>
    <w:p w:rsidR="00000000" w:rsidRDefault="00211603">
      <w:pPr>
        <w:pStyle w:val="a3"/>
        <w:spacing w:before="200" w:beforeAutospacing="0" w:after="0" w:afterAutospacing="0"/>
        <w:ind w:firstLine="555"/>
        <w:divId w:val="662464432"/>
        <w:rPr>
          <w:sz w:val="20"/>
          <w:szCs w:val="20"/>
        </w:rPr>
      </w:pPr>
      <w:r>
        <w:rPr>
          <w:sz w:val="20"/>
          <w:szCs w:val="20"/>
        </w:rPr>
        <w:t xml:space="preserve">In accordance with GAAP relating to the embedded conversion feature, the Company bifurcated the conversion feature associated with the 2022 Notes and recorded </w:t>
      </w:r>
      <w:r>
        <w:rPr>
          <w:sz w:val="20"/>
          <w:szCs w:val="20"/>
        </w:rPr>
        <w:t>$</w:t>
      </w:r>
      <w:r>
        <w:rPr>
          <w:sz w:val="20"/>
          <w:szCs w:val="20"/>
        </w:rPr>
        <w:t>18.</w:t>
      </w:r>
      <w:r>
        <w:rPr>
          <w:sz w:val="20"/>
          <w:szCs w:val="20"/>
        </w:rPr>
        <w:t>9</w:t>
      </w:r>
      <w:r>
        <w:rPr>
          <w:sz w:val="20"/>
          <w:szCs w:val="20"/>
        </w:rPr>
        <w:t xml:space="preserve"> million to additional paid-in capital for the conversion feature and the resulting debt</w:t>
      </w:r>
      <w:r>
        <w:rPr>
          <w:sz w:val="20"/>
          <w:szCs w:val="20"/>
        </w:rPr>
        <w:t xml:space="preserve"> discount was being amortized to interest expense. As there is no longer an equity component of the convertible debt under the new standard, the debt issuance cost and conversion option that was allocated to the equity component was derecognized through an</w:t>
      </w:r>
      <w:r>
        <w:rPr>
          <w:sz w:val="20"/>
          <w:szCs w:val="20"/>
        </w:rPr>
        <w:t xml:space="preserve"> adjustment to opening retained earnings</w:t>
      </w:r>
      <w:r>
        <w:rPr>
          <w:sz w:val="20"/>
          <w:szCs w:val="20"/>
        </w:rPr>
        <w:t>.</w:t>
      </w:r>
      <w:r>
        <w:rPr>
          <w:sz w:val="20"/>
          <w:szCs w:val="20"/>
        </w:rPr>
        <w:t xml:space="preserve"> </w:t>
      </w:r>
    </w:p>
    <w:p w:rsidR="00000000" w:rsidRDefault="00211603">
      <w:pPr>
        <w:pStyle w:val="a3"/>
        <w:spacing w:before="200" w:beforeAutospacing="0" w:after="0" w:afterAutospacing="0"/>
        <w:ind w:firstLine="555"/>
        <w:divId w:val="567813376"/>
        <w:rPr>
          <w:sz w:val="20"/>
          <w:szCs w:val="20"/>
        </w:rPr>
      </w:pPr>
      <w:r>
        <w:rPr>
          <w:sz w:val="20"/>
          <w:szCs w:val="20"/>
        </w:rPr>
        <w:t>The net carrying amount of the liability component of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47"/>
        <w:gridCol w:w="160"/>
        <w:gridCol w:w="1206"/>
        <w:gridCol w:w="127"/>
        <w:gridCol w:w="110"/>
        <w:gridCol w:w="160"/>
        <w:gridCol w:w="1093"/>
        <w:gridCol w:w="142"/>
      </w:tblGrid>
      <w:tr w:rsidR="00000000">
        <w:trPr>
          <w:divId w:val="567813376"/>
          <w:tblCellSpacing w:w="15" w:type="dxa"/>
        </w:trPr>
        <w:tc>
          <w:tcPr>
            <w:tcW w:w="2856" w:type="pct"/>
            <w:vAlign w:val="center"/>
            <w:hideMark/>
          </w:tcPr>
          <w:p w:rsidR="00000000" w:rsidRDefault="00211603">
            <w:pPr>
              <w:rPr>
                <w:sz w:val="20"/>
                <w:szCs w:val="20"/>
              </w:rPr>
            </w:pPr>
          </w:p>
        </w:tc>
        <w:tc>
          <w:tcPr>
            <w:tcW w:w="84" w:type="pct"/>
            <w:vAlign w:val="center"/>
            <w:hideMark/>
          </w:tcPr>
          <w:p w:rsidR="00000000" w:rsidRDefault="00211603">
            <w:pPr>
              <w:rPr>
                <w:rFonts w:eastAsia="Times New Roman"/>
                <w:sz w:val="20"/>
                <w:szCs w:val="20"/>
              </w:rPr>
            </w:pPr>
          </w:p>
        </w:tc>
        <w:tc>
          <w:tcPr>
            <w:tcW w:w="954" w:type="pct"/>
            <w:vAlign w:val="center"/>
            <w:hideMark/>
          </w:tcPr>
          <w:p w:rsidR="00000000" w:rsidRDefault="00211603">
            <w:pPr>
              <w:rPr>
                <w:rFonts w:eastAsia="Times New Roman"/>
                <w:sz w:val="20"/>
                <w:szCs w:val="20"/>
              </w:rPr>
            </w:pPr>
          </w:p>
        </w:tc>
        <w:tc>
          <w:tcPr>
            <w:tcW w:w="56" w:type="pct"/>
            <w:vAlign w:val="center"/>
            <w:hideMark/>
          </w:tcPr>
          <w:p w:rsidR="00000000" w:rsidRDefault="00211603">
            <w:pPr>
              <w:rPr>
                <w:rFonts w:eastAsia="Times New Roman"/>
                <w:sz w:val="20"/>
                <w:szCs w:val="20"/>
              </w:rPr>
            </w:pPr>
          </w:p>
        </w:tc>
        <w:tc>
          <w:tcPr>
            <w:tcW w:w="41"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66" w:type="pct"/>
            <w:vAlign w:val="center"/>
            <w:hideMark/>
          </w:tcPr>
          <w:p w:rsidR="00000000" w:rsidRDefault="00211603">
            <w:pPr>
              <w:rPr>
                <w:rFonts w:eastAsia="Times New Roman"/>
                <w:sz w:val="20"/>
                <w:szCs w:val="20"/>
              </w:rPr>
            </w:pPr>
          </w:p>
        </w:tc>
        <w:tc>
          <w:tcPr>
            <w:tcW w:w="56" w:type="pct"/>
            <w:vAlign w:val="center"/>
            <w:hideMark/>
          </w:tcPr>
          <w:p w:rsidR="00000000" w:rsidRDefault="00211603">
            <w:pPr>
              <w:rPr>
                <w:rFonts w:eastAsia="Times New Roman"/>
                <w:sz w:val="20"/>
                <w:szCs w:val="20"/>
              </w:rPr>
            </w:pPr>
          </w:p>
        </w:tc>
      </w:tr>
      <w:tr w:rsidR="00000000">
        <w:trPr>
          <w:divId w:val="567813376"/>
          <w:trHeight w:val="160"/>
          <w:tblCellSpacing w:w="15" w:type="dxa"/>
        </w:trPr>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As of 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As of 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567813376"/>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56781337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Principa</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19,38</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19,38</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56781337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Unamortized debt discoun</w:t>
            </w:r>
            <w:r>
              <w:rPr>
                <w:sz w:val="20"/>
                <w:szCs w:val="20"/>
              </w:rPr>
              <w:t>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47</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567813376"/>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Unamortized issuance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3</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567813376"/>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Net carrying amoun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19,36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18,87</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371655341"/>
        <w:rPr>
          <w:sz w:val="20"/>
          <w:szCs w:val="20"/>
        </w:rPr>
      </w:pPr>
      <w:r>
        <w:rPr>
          <w:sz w:val="20"/>
          <w:szCs w:val="20"/>
        </w:rPr>
        <w:t>Interest expense related to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99"/>
        <w:gridCol w:w="160"/>
        <w:gridCol w:w="1180"/>
        <w:gridCol w:w="110"/>
        <w:gridCol w:w="110"/>
        <w:gridCol w:w="160"/>
        <w:gridCol w:w="1101"/>
        <w:gridCol w:w="125"/>
      </w:tblGrid>
      <w:tr w:rsidR="00000000">
        <w:trPr>
          <w:divId w:val="371655341"/>
          <w:tblCellSpacing w:w="15" w:type="dxa"/>
        </w:trPr>
        <w:tc>
          <w:tcPr>
            <w:tcW w:w="2900" w:type="pct"/>
            <w:vAlign w:val="center"/>
            <w:hideMark/>
          </w:tcPr>
          <w:p w:rsidR="00000000" w:rsidRDefault="00211603">
            <w:pPr>
              <w:rPr>
                <w:sz w:val="20"/>
                <w:szCs w:val="20"/>
              </w:rPr>
            </w:pPr>
          </w:p>
        </w:tc>
        <w:tc>
          <w:tcPr>
            <w:tcW w:w="84" w:type="pct"/>
            <w:vAlign w:val="center"/>
            <w:hideMark/>
          </w:tcPr>
          <w:p w:rsidR="00000000" w:rsidRDefault="00211603">
            <w:pPr>
              <w:rPr>
                <w:rFonts w:eastAsia="Times New Roman"/>
                <w:sz w:val="20"/>
                <w:szCs w:val="20"/>
              </w:rPr>
            </w:pPr>
          </w:p>
        </w:tc>
        <w:tc>
          <w:tcPr>
            <w:tcW w:w="937"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75"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r>
      <w:tr w:rsidR="00000000">
        <w:trPr>
          <w:divId w:val="371655341"/>
          <w:trHeight w:val="160"/>
          <w:tblCellSpacing w:w="15" w:type="dxa"/>
        </w:trPr>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71655341"/>
          <w:trHeight w:val="160"/>
          <w:tblCellSpacing w:w="15" w:type="dxa"/>
        </w:trPr>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71655341"/>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7165534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7165534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1,63</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71655341"/>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71655341"/>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1,82</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divId w:val="1761373115"/>
        <w:rPr>
          <w:sz w:val="20"/>
          <w:szCs w:val="20"/>
        </w:rPr>
      </w:pPr>
      <w:r>
        <w:rPr>
          <w:b/>
          <w:bCs/>
          <w:sz w:val="20"/>
          <w:szCs w:val="20"/>
        </w:rPr>
        <w:t>9. Lease</w:t>
      </w:r>
      <w:r>
        <w:rPr>
          <w:b/>
          <w:bCs/>
          <w:sz w:val="20"/>
          <w:szCs w:val="20"/>
        </w:rPr>
        <w:t>s</w:t>
      </w:r>
    </w:p>
    <w:p w:rsidR="00000000" w:rsidRDefault="00211603">
      <w:pPr>
        <w:pStyle w:val="a3"/>
        <w:spacing w:before="200" w:beforeAutospacing="0" w:after="0" w:afterAutospacing="0"/>
        <w:ind w:firstLine="555"/>
        <w:divId w:val="1761373115"/>
        <w:rPr>
          <w:sz w:val="20"/>
          <w:szCs w:val="20"/>
        </w:rPr>
      </w:pPr>
      <w:r>
        <w:rPr>
          <w:sz w:val="20"/>
          <w:szCs w:val="20"/>
        </w:rPr>
        <w:t>The Company leases office facilities under non-cancelable operating leases that expire at various dates through February 2035</w:t>
      </w:r>
      <w:r>
        <w:rPr>
          <w:sz w:val="20"/>
          <w:szCs w:val="20"/>
        </w:rPr>
        <w:t>.</w:t>
      </w:r>
      <w:r>
        <w:rPr>
          <w:sz w:val="20"/>
          <w:szCs w:val="20"/>
        </w:rPr>
        <w:t xml:space="preserve"> </w:t>
      </w:r>
    </w:p>
    <w:p w:rsidR="00000000" w:rsidRDefault="00211603">
      <w:pPr>
        <w:pStyle w:val="a3"/>
        <w:spacing w:before="200" w:beforeAutospacing="0" w:after="0" w:afterAutospacing="0"/>
        <w:ind w:firstLine="555"/>
        <w:divId w:val="1761373115"/>
        <w:rPr>
          <w:sz w:val="20"/>
          <w:szCs w:val="20"/>
        </w:rPr>
      </w:pPr>
      <w:r>
        <w:rPr>
          <w:sz w:val="20"/>
          <w:szCs w:val="20"/>
        </w:rPr>
        <w:t>During the three months ended March 31, 2022, the lease term began, was amended, or extended for various leases of office spaces</w:t>
      </w:r>
      <w:r>
        <w:rPr>
          <w:sz w:val="20"/>
          <w:szCs w:val="20"/>
        </w:rPr>
        <w:t xml:space="preserve"> globally. The Compa</w:t>
      </w:r>
      <w:r>
        <w:rPr>
          <w:sz w:val="20"/>
          <w:szCs w:val="20"/>
        </w:rPr>
        <w:t>n</w:t>
      </w:r>
      <w:r>
        <w:rPr>
          <w:sz w:val="20"/>
          <w:szCs w:val="20"/>
        </w:rPr>
        <w:t xml:space="preserve">y recorded a net </w:t>
      </w:r>
      <w:r>
        <w:rPr>
          <w:sz w:val="20"/>
          <w:szCs w:val="20"/>
        </w:rPr>
        <w:t>$</w:t>
      </w:r>
      <w:r>
        <w:rPr>
          <w:sz w:val="20"/>
          <w:szCs w:val="20"/>
        </w:rPr>
        <w:t>4.</w:t>
      </w:r>
      <w:r>
        <w:rPr>
          <w:sz w:val="20"/>
          <w:szCs w:val="20"/>
        </w:rPr>
        <w:t>8</w:t>
      </w:r>
      <w:r>
        <w:rPr>
          <w:sz w:val="20"/>
          <w:szCs w:val="20"/>
        </w:rPr>
        <w:t xml:space="preserve"> million of right-of-use assets and </w:t>
      </w:r>
      <w:r>
        <w:rPr>
          <w:sz w:val="20"/>
          <w:szCs w:val="20"/>
        </w:rPr>
        <w:t>$</w:t>
      </w:r>
      <w:r>
        <w:rPr>
          <w:sz w:val="20"/>
          <w:szCs w:val="20"/>
        </w:rPr>
        <w:t>4.</w:t>
      </w:r>
      <w:r>
        <w:rPr>
          <w:sz w:val="20"/>
          <w:szCs w:val="20"/>
        </w:rPr>
        <w:t>8</w:t>
      </w:r>
      <w:r>
        <w:rPr>
          <w:sz w:val="20"/>
          <w:szCs w:val="20"/>
        </w:rPr>
        <w:t xml:space="preserve"> million of lease liabilities for these leases during the period upon the lease commencement, amendment, or extension</w:t>
      </w:r>
      <w:r>
        <w:rPr>
          <w:sz w:val="20"/>
          <w:szCs w:val="20"/>
        </w:rPr>
        <w:t>.</w:t>
      </w:r>
    </w:p>
    <w:p w:rsidR="00000000" w:rsidRDefault="00211603">
      <w:pPr>
        <w:pStyle w:val="a3"/>
        <w:spacing w:before="240" w:beforeAutospacing="0" w:after="0" w:afterAutospacing="0"/>
        <w:jc w:val="center"/>
        <w:divId w:val="1761373115"/>
        <w:rPr>
          <w:sz w:val="20"/>
          <w:szCs w:val="20"/>
        </w:rPr>
      </w:pPr>
      <w:r>
        <w:rPr>
          <w:sz w:val="20"/>
          <w:szCs w:val="20"/>
        </w:rPr>
        <w:t>1</w:t>
      </w:r>
      <w:r>
        <w:rPr>
          <w:sz w:val="20"/>
          <w:szCs w:val="20"/>
        </w:rPr>
        <w:t>7</w:t>
      </w:r>
    </w:p>
    <w:p w:rsidR="00000000" w:rsidRDefault="00211603">
      <w:pPr>
        <w:divId w:val="1761373115"/>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211603">
      <w:pPr>
        <w:pStyle w:val="a3"/>
        <w:spacing w:before="0" w:beforeAutospacing="0" w:after="0" w:afterAutospacing="0"/>
        <w:divId w:val="1761373115"/>
        <w:rPr>
          <w:sz w:val="20"/>
          <w:szCs w:val="20"/>
        </w:rPr>
      </w:pPr>
      <w:r>
        <w:rPr>
          <w:sz w:val="20"/>
          <w:szCs w:val="20"/>
        </w:rPr>
        <w:t> </w:t>
      </w:r>
    </w:p>
    <w:p w:rsidR="00000000" w:rsidRDefault="00211603">
      <w:pPr>
        <w:pStyle w:val="a3"/>
        <w:spacing w:before="200" w:beforeAutospacing="0" w:after="0" w:afterAutospacing="0"/>
        <w:ind w:firstLine="555"/>
        <w:divId w:val="1761373115"/>
        <w:rPr>
          <w:sz w:val="20"/>
          <w:szCs w:val="20"/>
        </w:rPr>
      </w:pPr>
      <w:r>
        <w:rPr>
          <w:sz w:val="20"/>
          <w:szCs w:val="20"/>
        </w:rPr>
        <w:t>The Company us</w:t>
      </w:r>
      <w:r>
        <w:rPr>
          <w:sz w:val="20"/>
          <w:szCs w:val="20"/>
        </w:rPr>
        <w:t>es its estimated incremental borrowing rate, which is derived from information available at the lease commencement date, in determining the present value of operating lease payments. To determine the estimated incremental borrowing rate, the Company uses p</w:t>
      </w:r>
      <w:r>
        <w:rPr>
          <w:sz w:val="20"/>
          <w:szCs w:val="20"/>
        </w:rPr>
        <w:t>ublicly available credit ratings for peer companies. The Company estimates the incremental borrowing rate using yields for maturities that are in line with the duration of the lease payments. The weighted average discount rate for operating leases as of Ma</w:t>
      </w:r>
      <w:r>
        <w:rPr>
          <w:sz w:val="20"/>
          <w:szCs w:val="20"/>
        </w:rPr>
        <w:t>rch 31, 202</w:t>
      </w:r>
      <w:r>
        <w:rPr>
          <w:sz w:val="20"/>
          <w:szCs w:val="20"/>
        </w:rPr>
        <w:t>2</w:t>
      </w:r>
      <w:r>
        <w:rPr>
          <w:sz w:val="20"/>
          <w:szCs w:val="20"/>
        </w:rPr>
        <w:t xml:space="preserve"> was</w:t>
      </w:r>
      <w:r>
        <w:rPr>
          <w:sz w:val="20"/>
          <w:szCs w:val="20"/>
        </w:rPr>
        <w:t xml:space="preserve"> </w:t>
      </w:r>
      <w:r>
        <w:rPr>
          <w:sz w:val="20"/>
          <w:szCs w:val="20"/>
        </w:rPr>
        <w:t>4.</w:t>
      </w:r>
      <w:r>
        <w:rPr>
          <w:sz w:val="20"/>
          <w:szCs w:val="20"/>
        </w:rPr>
        <w:t>5</w:t>
      </w:r>
      <w:r>
        <w:rPr>
          <w:sz w:val="20"/>
          <w:szCs w:val="20"/>
        </w:rPr>
        <w:t>%</w:t>
      </w:r>
      <w:r>
        <w:rPr>
          <w:sz w:val="20"/>
          <w:szCs w:val="20"/>
        </w:rPr>
        <w:t>.</w:t>
      </w:r>
      <w:r>
        <w:rPr>
          <w:sz w:val="20"/>
          <w:szCs w:val="20"/>
        </w:rPr>
        <w:t xml:space="preserve"> </w:t>
      </w:r>
    </w:p>
    <w:p w:rsidR="00000000" w:rsidRDefault="00211603">
      <w:pPr>
        <w:pStyle w:val="a3"/>
        <w:spacing w:before="200" w:beforeAutospacing="0" w:after="0" w:afterAutospacing="0"/>
        <w:ind w:firstLine="555"/>
        <w:divId w:val="1761373115"/>
        <w:rPr>
          <w:sz w:val="20"/>
          <w:szCs w:val="20"/>
        </w:rPr>
      </w:pPr>
      <w:r>
        <w:rPr>
          <w:sz w:val="20"/>
          <w:szCs w:val="20"/>
        </w:rPr>
        <w:t>Operating lease expense costs were</w:t>
      </w:r>
      <w:r>
        <w:rPr>
          <w:sz w:val="20"/>
          <w:szCs w:val="20"/>
        </w:rPr>
        <w:t xml:space="preserve"> </w:t>
      </w:r>
      <w:r>
        <w:rPr>
          <w:sz w:val="20"/>
          <w:szCs w:val="20"/>
        </w:rPr>
        <w:t>$</w:t>
      </w:r>
      <w:r>
        <w:rPr>
          <w:sz w:val="20"/>
          <w:szCs w:val="20"/>
        </w:rPr>
        <w:t>10.</w:t>
      </w:r>
      <w:r>
        <w:rPr>
          <w:sz w:val="20"/>
          <w:szCs w:val="20"/>
        </w:rPr>
        <w:t>9</w:t>
      </w:r>
      <w:r>
        <w:rPr>
          <w:sz w:val="20"/>
          <w:szCs w:val="20"/>
        </w:rPr>
        <w:t xml:space="preserve"> million for the three months ended March 31, 2022 and</w:t>
      </w:r>
      <w:r>
        <w:rPr>
          <w:sz w:val="20"/>
          <w:szCs w:val="20"/>
        </w:rPr>
        <w:t xml:space="preserve"> </w:t>
      </w:r>
      <w:r>
        <w:rPr>
          <w:sz w:val="20"/>
          <w:szCs w:val="20"/>
        </w:rPr>
        <w:t>$</w:t>
      </w:r>
      <w:r>
        <w:rPr>
          <w:sz w:val="20"/>
          <w:szCs w:val="20"/>
        </w:rPr>
        <w:t>12.</w:t>
      </w:r>
      <w:r>
        <w:rPr>
          <w:sz w:val="20"/>
          <w:szCs w:val="20"/>
        </w:rPr>
        <w:t>0</w:t>
      </w:r>
      <w:r>
        <w:rPr>
          <w:sz w:val="20"/>
          <w:szCs w:val="20"/>
        </w:rPr>
        <w:t xml:space="preserve"> million for the three months ended March 31, 2021</w:t>
      </w:r>
      <w:r>
        <w:rPr>
          <w:sz w:val="20"/>
          <w:szCs w:val="20"/>
        </w:rPr>
        <w:t>.</w:t>
      </w:r>
      <w:r>
        <w:rPr>
          <w:sz w:val="20"/>
          <w:szCs w:val="20"/>
        </w:rPr>
        <w:t xml:space="preserve"> </w:t>
      </w:r>
    </w:p>
    <w:p w:rsidR="00000000" w:rsidRDefault="00211603">
      <w:pPr>
        <w:pStyle w:val="a3"/>
        <w:spacing w:before="200" w:beforeAutospacing="0" w:after="0" w:afterAutospacing="0"/>
        <w:ind w:firstLine="555"/>
        <w:divId w:val="736437617"/>
        <w:rPr>
          <w:sz w:val="20"/>
          <w:szCs w:val="20"/>
        </w:rPr>
      </w:pPr>
      <w:r>
        <w:rPr>
          <w:sz w:val="20"/>
          <w:szCs w:val="20"/>
        </w:rPr>
        <w:t>The Company subleases some of its unused spaces to third parties. Operating sublease income generated under all operating lease agreements for the three and nine months ended</w:t>
      </w:r>
      <w:r>
        <w:rPr>
          <w:sz w:val="20"/>
          <w:szCs w:val="20"/>
        </w:rPr>
        <w:t xml:space="preserve"> </w:t>
      </w:r>
      <w:r>
        <w:rPr>
          <w:sz w:val="20"/>
          <w:szCs w:val="20"/>
        </w:rPr>
        <w:t xml:space="preserve">March 31, 2022 and 2021 are as follows: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88"/>
        <w:gridCol w:w="130"/>
        <w:gridCol w:w="160"/>
        <w:gridCol w:w="1202"/>
        <w:gridCol w:w="110"/>
        <w:gridCol w:w="122"/>
        <w:gridCol w:w="160"/>
        <w:gridCol w:w="1043"/>
        <w:gridCol w:w="110"/>
        <w:gridCol w:w="120"/>
      </w:tblGrid>
      <w:tr w:rsidR="00000000">
        <w:trPr>
          <w:divId w:val="736437617"/>
          <w:tblCellSpacing w:w="15" w:type="dxa"/>
        </w:trPr>
        <w:tc>
          <w:tcPr>
            <w:tcW w:w="2739" w:type="pct"/>
            <w:vAlign w:val="center"/>
            <w:hideMark/>
          </w:tcPr>
          <w:p w:rsidR="00000000" w:rsidRDefault="00211603">
            <w:pPr>
              <w:rPr>
                <w:sz w:val="20"/>
                <w:szCs w:val="20"/>
              </w:rPr>
            </w:pPr>
          </w:p>
        </w:tc>
        <w:tc>
          <w:tcPr>
            <w:tcW w:w="95"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942"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88" w:type="pct"/>
            <w:vAlign w:val="center"/>
            <w:hideMark/>
          </w:tcPr>
          <w:p w:rsidR="00000000" w:rsidRDefault="00211603">
            <w:pPr>
              <w:rPr>
                <w:rFonts w:eastAsia="Times New Roman"/>
                <w:sz w:val="20"/>
                <w:szCs w:val="20"/>
              </w:rPr>
            </w:pPr>
          </w:p>
        </w:tc>
        <w:tc>
          <w:tcPr>
            <w:tcW w:w="84" w:type="pct"/>
            <w:vAlign w:val="center"/>
            <w:hideMark/>
          </w:tcPr>
          <w:p w:rsidR="00000000" w:rsidRDefault="00211603">
            <w:pPr>
              <w:rPr>
                <w:rFonts w:eastAsia="Times New Roman"/>
                <w:sz w:val="20"/>
                <w:szCs w:val="20"/>
              </w:rPr>
            </w:pPr>
          </w:p>
        </w:tc>
        <w:tc>
          <w:tcPr>
            <w:tcW w:w="816"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72" w:type="pct"/>
            <w:vAlign w:val="center"/>
            <w:hideMark/>
          </w:tcPr>
          <w:p w:rsidR="00000000" w:rsidRDefault="00211603">
            <w:pPr>
              <w:rPr>
                <w:rFonts w:eastAsia="Times New Roman"/>
                <w:sz w:val="20"/>
                <w:szCs w:val="20"/>
              </w:rPr>
            </w:pPr>
          </w:p>
        </w:tc>
      </w:tr>
      <w:tr w:rsidR="00000000">
        <w:trPr>
          <w:divId w:val="736437617"/>
          <w:trHeight w:val="160"/>
          <w:tblCellSpacing w:w="15" w:type="dxa"/>
        </w:trPr>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w:t>
            </w:r>
            <w:r>
              <w:rPr>
                <w:b/>
                <w:bCs/>
                <w:sz w:val="16"/>
                <w:szCs w:val="16"/>
              </w:rPr>
              <w:t>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r>
      <w:tr w:rsidR="00000000">
        <w:trPr>
          <w:divId w:val="736437617"/>
          <w:trHeight w:val="160"/>
          <w:tblCellSpacing w:w="15" w:type="dxa"/>
        </w:trPr>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r>
      <w:tr w:rsidR="00000000">
        <w:trPr>
          <w:divId w:val="736437617"/>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r>
      <w:tr w:rsidR="00000000">
        <w:trPr>
          <w:divId w:val="73643761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Operating sublease incom</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1,18</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1,25</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r>
    </w:tbl>
    <w:p w:rsidR="00000000" w:rsidRDefault="00211603">
      <w:pPr>
        <w:pStyle w:val="a3"/>
        <w:spacing w:before="200" w:beforeAutospacing="0" w:after="0" w:afterAutospacing="0"/>
        <w:ind w:firstLine="555"/>
        <w:rPr>
          <w:sz w:val="20"/>
          <w:szCs w:val="20"/>
        </w:rPr>
      </w:pPr>
      <w:r>
        <w:rPr>
          <w:sz w:val="20"/>
          <w:szCs w:val="20"/>
        </w:rPr>
        <w:t>Cash payments related to operating lease liabilities were</w:t>
      </w:r>
      <w:r>
        <w:rPr>
          <w:sz w:val="20"/>
          <w:szCs w:val="20"/>
        </w:rPr>
        <w:t xml:space="preserve"> </w:t>
      </w:r>
      <w:r>
        <w:rPr>
          <w:sz w:val="20"/>
          <w:szCs w:val="20"/>
        </w:rPr>
        <w:t>$</w:t>
      </w:r>
      <w:r>
        <w:rPr>
          <w:sz w:val="20"/>
          <w:szCs w:val="20"/>
        </w:rPr>
        <w:t>7.</w:t>
      </w:r>
      <w:r>
        <w:rPr>
          <w:sz w:val="20"/>
          <w:szCs w:val="20"/>
        </w:rPr>
        <w:t>6</w:t>
      </w:r>
      <w:r>
        <w:rPr>
          <w:sz w:val="20"/>
          <w:szCs w:val="20"/>
        </w:rPr>
        <w:t xml:space="preserve"> </w:t>
      </w:r>
      <w:r>
        <w:rPr>
          <w:sz w:val="20"/>
          <w:szCs w:val="20"/>
        </w:rPr>
        <w:t>million for the three months ended March 31, 2022 and</w:t>
      </w:r>
      <w:r>
        <w:rPr>
          <w:sz w:val="20"/>
          <w:szCs w:val="20"/>
        </w:rPr>
        <w:t xml:space="preserve"> </w:t>
      </w:r>
      <w:r>
        <w:rPr>
          <w:sz w:val="20"/>
          <w:szCs w:val="20"/>
        </w:rPr>
        <w:t>$</w:t>
      </w:r>
      <w:r>
        <w:rPr>
          <w:sz w:val="20"/>
          <w:szCs w:val="20"/>
        </w:rPr>
        <w:t>17.</w:t>
      </w:r>
      <w:r>
        <w:rPr>
          <w:sz w:val="20"/>
          <w:szCs w:val="20"/>
        </w:rPr>
        <w:t>9</w:t>
      </w:r>
      <w:r>
        <w:rPr>
          <w:sz w:val="20"/>
          <w:szCs w:val="20"/>
        </w:rPr>
        <w:t xml:space="preserve"> million for the three months ended March 31, 202</w:t>
      </w:r>
      <w:r>
        <w:rPr>
          <w:sz w:val="20"/>
          <w:szCs w:val="20"/>
        </w:rPr>
        <w:t>1</w:t>
      </w:r>
      <w:r>
        <w:rPr>
          <w:sz w:val="20"/>
          <w:szCs w:val="20"/>
        </w:rPr>
        <w:t>.</w:t>
      </w:r>
      <w:r>
        <w:rPr>
          <w:sz w:val="20"/>
          <w:szCs w:val="20"/>
        </w:rPr>
        <w:t xml:space="preserve"> </w:t>
      </w:r>
    </w:p>
    <w:p w:rsidR="00000000" w:rsidRDefault="00211603">
      <w:pPr>
        <w:pStyle w:val="a3"/>
        <w:spacing w:before="200" w:beforeAutospacing="0" w:after="0" w:afterAutospacing="0"/>
        <w:divId w:val="499858910"/>
        <w:rPr>
          <w:sz w:val="20"/>
          <w:szCs w:val="20"/>
        </w:rPr>
      </w:pPr>
      <w:r>
        <w:rPr>
          <w:b/>
          <w:bCs/>
          <w:sz w:val="20"/>
          <w:szCs w:val="20"/>
        </w:rPr>
        <w:t>10. Commitments and Contingencie</w:t>
      </w:r>
      <w:r>
        <w:rPr>
          <w:b/>
          <w:bCs/>
          <w:sz w:val="20"/>
          <w:szCs w:val="20"/>
        </w:rPr>
        <w:t>s</w:t>
      </w:r>
    </w:p>
    <w:p w:rsidR="00000000" w:rsidRDefault="00211603">
      <w:pPr>
        <w:pStyle w:val="a3"/>
        <w:spacing w:before="200" w:beforeAutospacing="0" w:after="0" w:afterAutospacing="0"/>
        <w:ind w:firstLine="556"/>
        <w:divId w:val="499858910"/>
        <w:rPr>
          <w:sz w:val="20"/>
          <w:szCs w:val="20"/>
        </w:rPr>
      </w:pPr>
      <w:r>
        <w:rPr>
          <w:b/>
          <w:bCs/>
          <w:i/>
          <w:iCs/>
          <w:sz w:val="20"/>
          <w:szCs w:val="20"/>
        </w:rPr>
        <w:t>Contractual Obligation</w:t>
      </w:r>
      <w:r>
        <w:rPr>
          <w:b/>
          <w:bCs/>
          <w:i/>
          <w:iCs/>
          <w:sz w:val="20"/>
          <w:szCs w:val="20"/>
        </w:rPr>
        <w:t>s</w:t>
      </w:r>
    </w:p>
    <w:p w:rsidR="00000000" w:rsidRDefault="00211603">
      <w:pPr>
        <w:pStyle w:val="a3"/>
        <w:spacing w:before="200" w:beforeAutospacing="0" w:after="0" w:afterAutospacing="0"/>
        <w:ind w:firstLine="555"/>
        <w:divId w:val="499858910"/>
        <w:rPr>
          <w:sz w:val="20"/>
          <w:szCs w:val="20"/>
        </w:rPr>
      </w:pPr>
      <w:r>
        <w:rPr>
          <w:sz w:val="20"/>
          <w:szCs w:val="20"/>
        </w:rPr>
        <w:t>The Company leases its office facilities under non-cancelable operating leases that ex</w:t>
      </w:r>
      <w:r>
        <w:rPr>
          <w:sz w:val="20"/>
          <w:szCs w:val="20"/>
        </w:rPr>
        <w:t>pire at various dates through February 2035. Certain leases contain optional termination dates. The table below only includes payments up to the optional termination date. If the Company were to extend leases beyond the optional termination date, the futur</w:t>
      </w:r>
      <w:r>
        <w:rPr>
          <w:sz w:val="20"/>
          <w:szCs w:val="20"/>
        </w:rPr>
        <w:t>e commitments would increase by approximately</w:t>
      </w:r>
      <w:r>
        <w:rPr>
          <w:sz w:val="20"/>
          <w:szCs w:val="20"/>
        </w:rPr>
        <w:t xml:space="preserve"> </w:t>
      </w:r>
      <w:r>
        <w:rPr>
          <w:sz w:val="20"/>
          <w:szCs w:val="20"/>
        </w:rPr>
        <w:t>$</w:t>
      </w:r>
      <w:r>
        <w:rPr>
          <w:sz w:val="20"/>
          <w:szCs w:val="20"/>
        </w:rPr>
        <w:t>81.</w:t>
      </w:r>
      <w:r>
        <w:rPr>
          <w:sz w:val="20"/>
          <w:szCs w:val="20"/>
        </w:rPr>
        <w:t>6</w:t>
      </w:r>
      <w:r>
        <w:rPr>
          <w:sz w:val="20"/>
          <w:szCs w:val="20"/>
        </w:rPr>
        <w:t xml:space="preserve"> million</w:t>
      </w:r>
      <w:r>
        <w:rPr>
          <w:sz w:val="20"/>
          <w:szCs w:val="20"/>
        </w:rPr>
        <w:t>.</w:t>
      </w:r>
      <w:r>
        <w:rPr>
          <w:sz w:val="20"/>
          <w:szCs w:val="20"/>
        </w:rPr>
        <w:t xml:space="preserve"> </w:t>
      </w:r>
    </w:p>
    <w:p w:rsidR="00000000" w:rsidRDefault="00211603">
      <w:pPr>
        <w:pStyle w:val="a3"/>
        <w:spacing w:before="200" w:beforeAutospacing="0" w:after="0" w:afterAutospacing="0"/>
        <w:ind w:firstLine="555"/>
        <w:divId w:val="766803143"/>
        <w:rPr>
          <w:sz w:val="20"/>
          <w:szCs w:val="20"/>
        </w:rPr>
      </w:pPr>
      <w:r>
        <w:rPr>
          <w:sz w:val="20"/>
          <w:szCs w:val="20"/>
        </w:rPr>
        <w:t>Future minimum payments under all operating lease agreements as of</w:t>
      </w:r>
      <w:r>
        <w:rPr>
          <w:sz w:val="20"/>
          <w:szCs w:val="20"/>
        </w:rPr>
        <w:t xml:space="preserve"> </w:t>
      </w:r>
      <w:r>
        <w:rPr>
          <w:sz w:val="20"/>
          <w:szCs w:val="20"/>
        </w:rPr>
        <w:t>March 31, 2022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954"/>
        <w:gridCol w:w="152"/>
        <w:gridCol w:w="160"/>
        <w:gridCol w:w="1423"/>
        <w:gridCol w:w="125"/>
      </w:tblGrid>
      <w:tr w:rsidR="00000000">
        <w:trPr>
          <w:divId w:val="766803143"/>
          <w:tblCellSpacing w:w="15" w:type="dxa"/>
        </w:trPr>
        <w:tc>
          <w:tcPr>
            <w:tcW w:w="3480" w:type="pct"/>
            <w:vAlign w:val="center"/>
            <w:hideMark/>
          </w:tcPr>
          <w:p w:rsidR="00000000" w:rsidRDefault="00211603">
            <w:pPr>
              <w:rPr>
                <w:sz w:val="20"/>
                <w:szCs w:val="20"/>
              </w:rPr>
            </w:pPr>
          </w:p>
        </w:tc>
        <w:tc>
          <w:tcPr>
            <w:tcW w:w="120" w:type="pct"/>
            <w:vAlign w:val="center"/>
            <w:hideMark/>
          </w:tcPr>
          <w:p w:rsidR="00000000" w:rsidRDefault="00211603">
            <w:pPr>
              <w:rPr>
                <w:rFonts w:eastAsia="Times New Roman"/>
                <w:sz w:val="20"/>
                <w:szCs w:val="20"/>
              </w:rPr>
            </w:pPr>
          </w:p>
        </w:tc>
        <w:tc>
          <w:tcPr>
            <w:tcW w:w="102" w:type="pct"/>
            <w:vAlign w:val="center"/>
            <w:hideMark/>
          </w:tcPr>
          <w:p w:rsidR="00000000" w:rsidRDefault="00211603">
            <w:pPr>
              <w:rPr>
                <w:rFonts w:eastAsia="Times New Roman"/>
                <w:sz w:val="20"/>
                <w:szCs w:val="20"/>
              </w:rPr>
            </w:pPr>
          </w:p>
        </w:tc>
        <w:tc>
          <w:tcPr>
            <w:tcW w:w="1247" w:type="pct"/>
            <w:vAlign w:val="center"/>
            <w:hideMark/>
          </w:tcPr>
          <w:p w:rsidR="00000000" w:rsidRDefault="00211603">
            <w:pPr>
              <w:rPr>
                <w:rFonts w:eastAsia="Times New Roman"/>
                <w:sz w:val="20"/>
                <w:szCs w:val="20"/>
              </w:rPr>
            </w:pPr>
          </w:p>
        </w:tc>
        <w:tc>
          <w:tcPr>
            <w:tcW w:w="49" w:type="pct"/>
            <w:vAlign w:val="center"/>
            <w:hideMark/>
          </w:tcPr>
          <w:p w:rsidR="00000000" w:rsidRDefault="00211603">
            <w:pPr>
              <w:rPr>
                <w:rFonts w:eastAsia="Times New Roman"/>
                <w:sz w:val="20"/>
                <w:szCs w:val="20"/>
              </w:rPr>
            </w:pPr>
          </w:p>
        </w:tc>
      </w:tr>
      <w:tr w:rsidR="00000000">
        <w:trPr>
          <w:divId w:val="766803143"/>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Operatin</w:t>
            </w:r>
            <w:r>
              <w:rPr>
                <w:b/>
                <w:bCs/>
                <w:sz w:val="16"/>
                <w:szCs w:val="16"/>
              </w:rPr>
              <w:t>g</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766803143"/>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766803143"/>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Remainder of 202</w:t>
            </w:r>
            <w:r>
              <w:rPr>
                <w:sz w:val="20"/>
                <w:szCs w:val="20"/>
              </w:rPr>
              <w:t>2</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34,03</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766803143"/>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44,47</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766803143"/>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42,11</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766803143"/>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42,14</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766803143"/>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202</w:t>
            </w:r>
            <w:r>
              <w:rPr>
                <w:sz w:val="20"/>
                <w:szCs w:val="20"/>
              </w:rPr>
              <w:t>6</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42,10</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766803143"/>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172,12</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766803143"/>
          <w:trHeight w:val="200"/>
          <w:tblCellSpacing w:w="15" w:type="dxa"/>
        </w:trPr>
        <w:tc>
          <w:tcPr>
            <w:tcW w:w="0" w:type="auto"/>
            <w:hideMark/>
          </w:tcPr>
          <w:p w:rsidR="00000000" w:rsidRDefault="00211603">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376,99</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499858910"/>
        <w:rPr>
          <w:sz w:val="20"/>
          <w:szCs w:val="20"/>
        </w:rPr>
      </w:pPr>
      <w:r>
        <w:rPr>
          <w:sz w:val="20"/>
          <w:szCs w:val="20"/>
        </w:rPr>
        <w:t>In May 2022, the Company entered into a new</w:t>
      </w:r>
      <w:r>
        <w:rPr>
          <w:sz w:val="20"/>
          <w:szCs w:val="20"/>
        </w:rPr>
        <w:t xml:space="preserve"> </w:t>
      </w:r>
      <w:r>
        <w:rPr>
          <w:sz w:val="20"/>
          <w:szCs w:val="20"/>
        </w:rPr>
        <w:t>2</w:t>
      </w:r>
      <w:r>
        <w:rPr>
          <w:sz w:val="20"/>
          <w:szCs w:val="20"/>
        </w:rPr>
        <w:t xml:space="preserve"> </w:t>
      </w:r>
      <w:r>
        <w:rPr>
          <w:sz w:val="20"/>
          <w:szCs w:val="20"/>
        </w:rPr>
        <w:t xml:space="preserve">year lease in the Netherlands. The new lease commences on or near July 1, 2022 and the Company will pay an aggregate of approximately </w:t>
      </w:r>
      <w:r>
        <w:rPr>
          <w:sz w:val="20"/>
          <w:szCs w:val="20"/>
        </w:rPr>
        <w:t>$</w:t>
      </w:r>
      <w:r>
        <w:rPr>
          <w:sz w:val="20"/>
          <w:szCs w:val="20"/>
        </w:rPr>
        <w:t>0.</w:t>
      </w:r>
      <w:r>
        <w:rPr>
          <w:sz w:val="20"/>
          <w:szCs w:val="20"/>
        </w:rPr>
        <w:t>9</w:t>
      </w:r>
      <w:r>
        <w:rPr>
          <w:sz w:val="20"/>
          <w:szCs w:val="20"/>
        </w:rPr>
        <w:t xml:space="preserve"> million in incremental rent over the lease term</w:t>
      </w:r>
      <w:r>
        <w:rPr>
          <w:sz w:val="20"/>
          <w:szCs w:val="20"/>
        </w:rPr>
        <w:t>.</w:t>
      </w:r>
    </w:p>
    <w:p w:rsidR="00000000" w:rsidRDefault="00211603">
      <w:pPr>
        <w:pStyle w:val="a3"/>
        <w:spacing w:before="200" w:beforeAutospacing="0" w:after="0" w:afterAutospacing="0"/>
        <w:ind w:firstLine="555"/>
        <w:divId w:val="460617143"/>
        <w:rPr>
          <w:sz w:val="20"/>
          <w:szCs w:val="20"/>
        </w:rPr>
      </w:pPr>
      <w:r>
        <w:rPr>
          <w:sz w:val="20"/>
          <w:szCs w:val="20"/>
        </w:rPr>
        <w:t>Future minimum payments under al</w:t>
      </w:r>
      <w:r>
        <w:rPr>
          <w:sz w:val="20"/>
          <w:szCs w:val="20"/>
        </w:rPr>
        <w:t>l</w:t>
      </w:r>
      <w:r>
        <w:rPr>
          <w:sz w:val="20"/>
          <w:szCs w:val="20"/>
        </w:rPr>
        <w:t xml:space="preserve"> non-cancelable arrangements</w:t>
      </w:r>
      <w:r>
        <w:rPr>
          <w:sz w:val="20"/>
          <w:szCs w:val="20"/>
        </w:rPr>
        <w:t xml:space="preserve"> </w:t>
      </w:r>
      <w:r>
        <w:rPr>
          <w:sz w:val="20"/>
          <w:szCs w:val="20"/>
        </w:rPr>
        <w:t xml:space="preserve">as of </w:t>
      </w:r>
      <w:r>
        <w:rPr>
          <w:sz w:val="20"/>
          <w:szCs w:val="20"/>
        </w:rPr>
        <w:t>March 31, 2022 and agreements entered into since then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950"/>
        <w:gridCol w:w="110"/>
        <w:gridCol w:w="155"/>
        <w:gridCol w:w="1111"/>
        <w:gridCol w:w="108"/>
        <w:gridCol w:w="108"/>
        <w:gridCol w:w="156"/>
        <w:gridCol w:w="993"/>
        <w:gridCol w:w="123"/>
      </w:tblGrid>
      <w:tr w:rsidR="00000000">
        <w:trPr>
          <w:divId w:val="460617143"/>
          <w:tblCellSpacing w:w="15" w:type="dxa"/>
        </w:trPr>
        <w:tc>
          <w:tcPr>
            <w:tcW w:w="2653" w:type="pct"/>
            <w:vAlign w:val="center"/>
            <w:hideMark/>
          </w:tcPr>
          <w:p w:rsidR="00000000" w:rsidRDefault="00211603">
            <w:pPr>
              <w:rPr>
                <w:sz w:val="20"/>
                <w:szCs w:val="20"/>
              </w:rPr>
            </w:pPr>
          </w:p>
        </w:tc>
        <w:tc>
          <w:tcPr>
            <w:tcW w:w="90" w:type="pct"/>
            <w:vAlign w:val="center"/>
            <w:hideMark/>
          </w:tcPr>
          <w:p w:rsidR="00000000" w:rsidRDefault="00211603">
            <w:pPr>
              <w:rPr>
                <w:rFonts w:eastAsia="Times New Roman"/>
                <w:sz w:val="20"/>
                <w:szCs w:val="20"/>
              </w:rPr>
            </w:pPr>
          </w:p>
        </w:tc>
        <w:tc>
          <w:tcPr>
            <w:tcW w:w="95" w:type="pct"/>
            <w:vAlign w:val="center"/>
            <w:hideMark/>
          </w:tcPr>
          <w:p w:rsidR="00000000" w:rsidRDefault="00211603">
            <w:pPr>
              <w:rPr>
                <w:rFonts w:eastAsia="Times New Roman"/>
                <w:sz w:val="20"/>
                <w:szCs w:val="20"/>
              </w:rPr>
            </w:pPr>
          </w:p>
        </w:tc>
        <w:tc>
          <w:tcPr>
            <w:tcW w:w="1004"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c>
          <w:tcPr>
            <w:tcW w:w="83" w:type="pct"/>
            <w:vAlign w:val="center"/>
            <w:hideMark/>
          </w:tcPr>
          <w:p w:rsidR="00000000" w:rsidRDefault="00211603">
            <w:pPr>
              <w:rPr>
                <w:rFonts w:eastAsia="Times New Roman"/>
                <w:sz w:val="20"/>
                <w:szCs w:val="20"/>
              </w:rPr>
            </w:pPr>
          </w:p>
        </w:tc>
        <w:tc>
          <w:tcPr>
            <w:tcW w:w="95" w:type="pct"/>
            <w:vAlign w:val="center"/>
            <w:hideMark/>
          </w:tcPr>
          <w:p w:rsidR="00000000" w:rsidRDefault="00211603">
            <w:pPr>
              <w:rPr>
                <w:rFonts w:eastAsia="Times New Roman"/>
                <w:sz w:val="20"/>
                <w:szCs w:val="20"/>
              </w:rPr>
            </w:pPr>
          </w:p>
        </w:tc>
        <w:tc>
          <w:tcPr>
            <w:tcW w:w="899"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r>
      <w:tr w:rsidR="00000000">
        <w:trPr>
          <w:divId w:val="460617143"/>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Product</w:t>
            </w:r>
            <w:r>
              <w:rPr>
                <w:b/>
                <w:bCs/>
                <w:sz w:val="16"/>
                <w:szCs w:val="16"/>
              </w:rPr>
              <w:br/>
              <w:t>related</w:t>
            </w:r>
            <w:r>
              <w:rPr>
                <w:b/>
                <w:bCs/>
                <w:sz w:val="16"/>
                <w:szCs w:val="16"/>
              </w:rPr>
              <w:br/>
              <w:t>obligation</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INBOUND</w:t>
            </w:r>
            <w:r>
              <w:rPr>
                <w:b/>
                <w:bCs/>
                <w:sz w:val="16"/>
                <w:szCs w:val="16"/>
              </w:rPr>
              <w:br/>
              <w:t>event</w:t>
            </w:r>
            <w:r>
              <w:rPr>
                <w:b/>
                <w:bCs/>
                <w:sz w:val="16"/>
                <w:szCs w:val="16"/>
              </w:rPr>
              <w:br/>
              <w:t>obligation</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60617143"/>
          <w:trHeight w:val="160"/>
          <w:tblCellSpacing w:w="15" w:type="dxa"/>
        </w:trPr>
        <w:tc>
          <w:tcPr>
            <w:tcW w:w="0" w:type="auto"/>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460617143"/>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Remainder of 202</w:t>
            </w:r>
            <w:r>
              <w:rPr>
                <w:sz w:val="19"/>
                <w:szCs w:val="19"/>
              </w:rPr>
              <w:t>2</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106,91</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2,31</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divId w:val="460617143"/>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202</w:t>
            </w:r>
            <w:r>
              <w:rPr>
                <w:sz w:val="19"/>
                <w:szCs w:val="19"/>
              </w:rPr>
              <w:t>3</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155,15</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97</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divId w:val="460617143"/>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202</w:t>
            </w:r>
            <w:r>
              <w:rPr>
                <w:sz w:val="19"/>
                <w:szCs w:val="19"/>
              </w:rPr>
              <w:t>4</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176,11</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divId w:val="460617143"/>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202</w:t>
            </w:r>
            <w:r>
              <w:rPr>
                <w:sz w:val="19"/>
                <w:szCs w:val="19"/>
              </w:rPr>
              <w:t>5</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195,97</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divId w:val="460617143"/>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202</w:t>
            </w:r>
            <w:r>
              <w:rPr>
                <w:sz w:val="19"/>
                <w:szCs w:val="19"/>
              </w:rPr>
              <w:t>6</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220,00</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divId w:val="460617143"/>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 Thereafte</w:t>
            </w:r>
            <w:r>
              <w:rPr>
                <w:sz w:val="19"/>
                <w:szCs w:val="19"/>
              </w:rPr>
              <w:t>r</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187,50</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divId w:val="460617143"/>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1,041,65</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20"/>
                <w:szCs w:val="20"/>
              </w:rPr>
            </w:pPr>
            <w:r>
              <w:rPr>
                <w:sz w:val="19"/>
                <w:szCs w:val="19"/>
              </w:rPr>
              <w:t>3,29</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bl>
    <w:p w:rsidR="00000000" w:rsidRDefault="00211603">
      <w:pPr>
        <w:pStyle w:val="a3"/>
        <w:spacing w:before="200" w:beforeAutospacing="0" w:after="0" w:afterAutospacing="0"/>
        <w:ind w:firstLine="555"/>
        <w:divId w:val="499858910"/>
        <w:rPr>
          <w:sz w:val="20"/>
          <w:szCs w:val="20"/>
        </w:rPr>
      </w:pPr>
      <w:r>
        <w:rPr>
          <w:b/>
          <w:bCs/>
          <w:i/>
          <w:iCs/>
          <w:sz w:val="20"/>
          <w:szCs w:val="20"/>
        </w:rPr>
        <w:t>Legal Contingencie</w:t>
      </w:r>
      <w:r>
        <w:rPr>
          <w:b/>
          <w:bCs/>
          <w:i/>
          <w:iCs/>
          <w:sz w:val="20"/>
          <w:szCs w:val="20"/>
        </w:rPr>
        <w:t>s</w:t>
      </w:r>
    </w:p>
    <w:p w:rsidR="00000000" w:rsidRDefault="00211603">
      <w:pPr>
        <w:pStyle w:val="a3"/>
        <w:spacing w:before="240" w:beforeAutospacing="0" w:after="0" w:afterAutospacing="0"/>
        <w:jc w:val="center"/>
        <w:divId w:val="499858910"/>
        <w:rPr>
          <w:sz w:val="20"/>
          <w:szCs w:val="20"/>
        </w:rPr>
      </w:pPr>
      <w:r>
        <w:rPr>
          <w:sz w:val="20"/>
          <w:szCs w:val="20"/>
        </w:rPr>
        <w:t>1</w:t>
      </w:r>
      <w:r>
        <w:rPr>
          <w:sz w:val="20"/>
          <w:szCs w:val="20"/>
        </w:rPr>
        <w:t>8</w:t>
      </w:r>
    </w:p>
    <w:p w:rsidR="00000000" w:rsidRDefault="00211603">
      <w:pPr>
        <w:divId w:val="499858910"/>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211603">
      <w:pPr>
        <w:pStyle w:val="a3"/>
        <w:spacing w:before="0" w:beforeAutospacing="0" w:after="0" w:afterAutospacing="0"/>
        <w:divId w:val="499858910"/>
        <w:rPr>
          <w:sz w:val="20"/>
          <w:szCs w:val="20"/>
        </w:rPr>
      </w:pPr>
      <w:r>
        <w:rPr>
          <w:sz w:val="20"/>
          <w:szCs w:val="20"/>
        </w:rPr>
        <w:t> </w:t>
      </w:r>
    </w:p>
    <w:p w:rsidR="00000000" w:rsidRDefault="00211603">
      <w:pPr>
        <w:pStyle w:val="a3"/>
        <w:spacing w:before="200" w:beforeAutospacing="0" w:after="0" w:afterAutospacing="0"/>
        <w:ind w:firstLine="555"/>
        <w:divId w:val="499858910"/>
        <w:rPr>
          <w:sz w:val="20"/>
          <w:szCs w:val="20"/>
        </w:rPr>
      </w:pPr>
      <w:r>
        <w:rPr>
          <w:sz w:val="20"/>
          <w:szCs w:val="20"/>
        </w:rPr>
        <w:t>From time to time, the Company may become a party to litigation and subject to claims incident to the ordinary course of business, including intellectual property claims, labor and employment claims, and threatened cla</w:t>
      </w:r>
      <w:r>
        <w:rPr>
          <w:sz w:val="20"/>
          <w:szCs w:val="20"/>
        </w:rPr>
        <w:t>ims, breach of contract claims, tax, and other matters. The Company currently has no material pending litigation</w:t>
      </w:r>
      <w:r>
        <w:rPr>
          <w:sz w:val="20"/>
          <w:szCs w:val="20"/>
        </w:rPr>
        <w:t>.</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divId w:val="2130662075"/>
        <w:rPr>
          <w:sz w:val="20"/>
          <w:szCs w:val="20"/>
        </w:rPr>
      </w:pPr>
      <w:r>
        <w:rPr>
          <w:b/>
          <w:bCs/>
          <w:sz w:val="20"/>
          <w:szCs w:val="20"/>
        </w:rPr>
        <w:t>11. Changes in Accumulated Other Comprehensive Los</w:t>
      </w:r>
      <w:r>
        <w:rPr>
          <w:b/>
          <w:bCs/>
          <w:sz w:val="20"/>
          <w:szCs w:val="20"/>
        </w:rPr>
        <w:t>s</w:t>
      </w:r>
    </w:p>
    <w:p w:rsidR="00000000" w:rsidRDefault="00211603">
      <w:pPr>
        <w:pStyle w:val="a3"/>
        <w:spacing w:before="200" w:beforeAutospacing="0" w:after="0" w:afterAutospacing="0"/>
        <w:ind w:firstLine="555"/>
        <w:divId w:val="813837158"/>
        <w:rPr>
          <w:sz w:val="20"/>
          <w:szCs w:val="20"/>
        </w:rPr>
      </w:pPr>
      <w:r>
        <w:rPr>
          <w:sz w:val="20"/>
          <w:szCs w:val="20"/>
        </w:rPr>
        <w:t>The following table summarizes the changes in accumulated other comprehensive loss, whic</w:t>
      </w:r>
      <w:r>
        <w:rPr>
          <w:sz w:val="20"/>
          <w:szCs w:val="20"/>
        </w:rPr>
        <w:t>h is reported as a component of stockholders’ equity, for the</w:t>
      </w:r>
      <w:r>
        <w:rPr>
          <w:sz w:val="20"/>
          <w:szCs w:val="20"/>
        </w:rPr>
        <w:t xml:space="preserve"> </w:t>
      </w:r>
      <w:r>
        <w:rPr>
          <w:sz w:val="20"/>
          <w:szCs w:val="20"/>
        </w:rPr>
        <w:t>three months ended March 31, 2022.</w:t>
      </w:r>
      <w:r>
        <w:rPr>
          <w:sz w:val="20"/>
          <w:szCs w:val="20"/>
        </w:rPr>
        <w:br/>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25"/>
        <w:gridCol w:w="110"/>
        <w:gridCol w:w="111"/>
        <w:gridCol w:w="791"/>
        <w:gridCol w:w="127"/>
        <w:gridCol w:w="110"/>
        <w:gridCol w:w="111"/>
        <w:gridCol w:w="803"/>
        <w:gridCol w:w="127"/>
        <w:gridCol w:w="115"/>
        <w:gridCol w:w="110"/>
        <w:gridCol w:w="663"/>
        <w:gridCol w:w="142"/>
      </w:tblGrid>
      <w:tr w:rsidR="00000000">
        <w:trPr>
          <w:divId w:val="813837158"/>
          <w:tblCellSpacing w:w="15" w:type="dxa"/>
        </w:trPr>
        <w:tc>
          <w:tcPr>
            <w:tcW w:w="2666" w:type="pct"/>
            <w:vAlign w:val="center"/>
            <w:hideMark/>
          </w:tcPr>
          <w:p w:rsidR="00000000" w:rsidRDefault="00211603">
            <w:pPr>
              <w:rPr>
                <w:sz w:val="20"/>
                <w:szCs w:val="20"/>
              </w:rPr>
            </w:pPr>
          </w:p>
        </w:tc>
        <w:tc>
          <w:tcPr>
            <w:tcW w:w="60" w:type="pct"/>
            <w:vAlign w:val="center"/>
            <w:hideMark/>
          </w:tcPr>
          <w:p w:rsidR="00000000" w:rsidRDefault="00211603">
            <w:pPr>
              <w:rPr>
                <w:rFonts w:eastAsia="Times New Roman"/>
                <w:sz w:val="20"/>
                <w:szCs w:val="20"/>
              </w:rPr>
            </w:pPr>
          </w:p>
        </w:tc>
        <w:tc>
          <w:tcPr>
            <w:tcW w:w="54" w:type="pct"/>
            <w:vAlign w:val="center"/>
            <w:hideMark/>
          </w:tcPr>
          <w:p w:rsidR="00000000" w:rsidRDefault="00211603">
            <w:pPr>
              <w:rPr>
                <w:rFonts w:eastAsia="Times New Roman"/>
                <w:sz w:val="20"/>
                <w:szCs w:val="20"/>
              </w:rPr>
            </w:pPr>
          </w:p>
        </w:tc>
        <w:tc>
          <w:tcPr>
            <w:tcW w:w="645"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60" w:type="pct"/>
            <w:vAlign w:val="center"/>
            <w:hideMark/>
          </w:tcPr>
          <w:p w:rsidR="00000000" w:rsidRDefault="00211603">
            <w:pPr>
              <w:rPr>
                <w:rFonts w:eastAsia="Times New Roman"/>
                <w:sz w:val="20"/>
                <w:szCs w:val="20"/>
              </w:rPr>
            </w:pPr>
          </w:p>
        </w:tc>
        <w:tc>
          <w:tcPr>
            <w:tcW w:w="54" w:type="pct"/>
            <w:vAlign w:val="center"/>
            <w:hideMark/>
          </w:tcPr>
          <w:p w:rsidR="00000000" w:rsidRDefault="00211603">
            <w:pPr>
              <w:rPr>
                <w:rFonts w:eastAsia="Times New Roman"/>
                <w:sz w:val="20"/>
                <w:szCs w:val="20"/>
              </w:rPr>
            </w:pPr>
          </w:p>
        </w:tc>
        <w:tc>
          <w:tcPr>
            <w:tcW w:w="654"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51" w:type="pct"/>
            <w:vAlign w:val="center"/>
            <w:hideMark/>
          </w:tcPr>
          <w:p w:rsidR="00000000" w:rsidRDefault="00211603">
            <w:pPr>
              <w:rPr>
                <w:rFonts w:eastAsia="Times New Roman"/>
                <w:sz w:val="20"/>
                <w:szCs w:val="20"/>
              </w:rPr>
            </w:pPr>
          </w:p>
        </w:tc>
        <w:tc>
          <w:tcPr>
            <w:tcW w:w="45" w:type="pct"/>
            <w:vAlign w:val="center"/>
            <w:hideMark/>
          </w:tcPr>
          <w:p w:rsidR="00000000" w:rsidRDefault="00211603">
            <w:pPr>
              <w:rPr>
                <w:rFonts w:eastAsia="Times New Roman"/>
                <w:sz w:val="20"/>
                <w:szCs w:val="20"/>
              </w:rPr>
            </w:pPr>
          </w:p>
        </w:tc>
        <w:tc>
          <w:tcPr>
            <w:tcW w:w="541"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r>
      <w:tr w:rsidR="00000000">
        <w:trPr>
          <w:divId w:val="81383715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Cumulative Translation Adjustmen</w:t>
            </w:r>
            <w:r>
              <w:rPr>
                <w:b/>
                <w:bCs/>
                <w:sz w:val="16"/>
                <w:szCs w:val="16"/>
              </w:rPr>
              <w:t>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xml:space="preserve">Unrealized </w:t>
            </w:r>
            <w:r>
              <w:rPr>
                <w:b/>
                <w:bCs/>
                <w:sz w:val="16"/>
                <w:szCs w:val="16"/>
              </w:rPr>
              <w:br/>
              <w:t>Gain on</w:t>
            </w:r>
            <w:r>
              <w:rPr>
                <w:b/>
                <w:bCs/>
                <w:sz w:val="16"/>
                <w:szCs w:val="16"/>
              </w:rPr>
              <w:br/>
              <w:t>Investment</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81383715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81383715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Beginning balance at January 1, 202</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53</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80</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813837158"/>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Other comprehensive loss before reclassification</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35</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4,00</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4,35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divId w:val="813837158"/>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 xml:space="preserve">Amounts reclassified from accumulated other </w:t>
            </w:r>
            <w:r>
              <w:rPr>
                <w:sz w:val="20"/>
                <w:szCs w:val="20"/>
              </w:rPr>
              <w:br/>
              <w:t>  comprehensive incom</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81383715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Ending balance at March 31, 202</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88</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4,80</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5,69</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divId w:val="402997020"/>
        <w:rPr>
          <w:sz w:val="20"/>
          <w:szCs w:val="20"/>
        </w:rPr>
      </w:pPr>
      <w:r>
        <w:rPr>
          <w:b/>
          <w:bCs/>
          <w:sz w:val="20"/>
          <w:szCs w:val="20"/>
        </w:rPr>
        <w:t>12. Stock-Based Compensation Expens</w:t>
      </w:r>
      <w:r>
        <w:rPr>
          <w:b/>
          <w:bCs/>
          <w:sz w:val="20"/>
          <w:szCs w:val="20"/>
        </w:rPr>
        <w:t>e</w:t>
      </w:r>
    </w:p>
    <w:p w:rsidR="00000000" w:rsidRDefault="00211603">
      <w:pPr>
        <w:pStyle w:val="a3"/>
        <w:spacing w:before="200" w:beforeAutospacing="0" w:after="0" w:afterAutospacing="0"/>
        <w:ind w:firstLine="555"/>
        <w:divId w:val="1825119608"/>
        <w:rPr>
          <w:sz w:val="20"/>
          <w:szCs w:val="20"/>
        </w:rPr>
      </w:pPr>
      <w:r>
        <w:rPr>
          <w:sz w:val="20"/>
          <w:szCs w:val="20"/>
        </w:rPr>
        <w:t>The following two tables show stock-based compensation expense by award type and where the stock-based compensation expense is recorded in the Company’s consolidated statements of operations:</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22"/>
        <w:gridCol w:w="115"/>
        <w:gridCol w:w="160"/>
        <w:gridCol w:w="995"/>
        <w:gridCol w:w="110"/>
        <w:gridCol w:w="116"/>
        <w:gridCol w:w="160"/>
        <w:gridCol w:w="972"/>
        <w:gridCol w:w="125"/>
      </w:tblGrid>
      <w:tr w:rsidR="00000000">
        <w:trPr>
          <w:divId w:val="1825119608"/>
          <w:tblCellSpacing w:w="15" w:type="dxa"/>
        </w:trPr>
        <w:tc>
          <w:tcPr>
            <w:tcW w:w="3274" w:type="pct"/>
            <w:vAlign w:val="center"/>
            <w:hideMark/>
          </w:tcPr>
          <w:p w:rsidR="00000000" w:rsidRDefault="00211603">
            <w:pPr>
              <w:rPr>
                <w:sz w:val="20"/>
                <w:szCs w:val="20"/>
              </w:rPr>
            </w:pPr>
          </w:p>
        </w:tc>
        <w:tc>
          <w:tcPr>
            <w:tcW w:w="77"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688" w:type="pct"/>
            <w:vAlign w:val="center"/>
            <w:hideMark/>
          </w:tcPr>
          <w:p w:rsidR="00000000" w:rsidRDefault="00211603">
            <w:pPr>
              <w:rPr>
                <w:rFonts w:eastAsia="Times New Roman"/>
                <w:sz w:val="20"/>
                <w:szCs w:val="20"/>
              </w:rPr>
            </w:pPr>
          </w:p>
        </w:tc>
        <w:tc>
          <w:tcPr>
            <w:tcW w:w="34" w:type="pct"/>
            <w:vAlign w:val="center"/>
            <w:hideMark/>
          </w:tcPr>
          <w:p w:rsidR="00000000" w:rsidRDefault="00211603">
            <w:pPr>
              <w:rPr>
                <w:rFonts w:eastAsia="Times New Roman"/>
                <w:sz w:val="20"/>
                <w:szCs w:val="20"/>
              </w:rPr>
            </w:pPr>
          </w:p>
        </w:tc>
        <w:tc>
          <w:tcPr>
            <w:tcW w:w="77"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672" w:type="pct"/>
            <w:vAlign w:val="center"/>
            <w:hideMark/>
          </w:tcPr>
          <w:p w:rsidR="00000000" w:rsidRDefault="00211603">
            <w:pPr>
              <w:rPr>
                <w:rFonts w:eastAsia="Times New Roman"/>
                <w:sz w:val="20"/>
                <w:szCs w:val="20"/>
              </w:rPr>
            </w:pPr>
          </w:p>
        </w:tc>
        <w:tc>
          <w:tcPr>
            <w:tcW w:w="32" w:type="pct"/>
            <w:vAlign w:val="center"/>
            <w:hideMark/>
          </w:tcPr>
          <w:p w:rsidR="00000000" w:rsidRDefault="00211603">
            <w:pPr>
              <w:rPr>
                <w:rFonts w:eastAsia="Times New Roman"/>
                <w:sz w:val="20"/>
                <w:szCs w:val="20"/>
              </w:rPr>
            </w:pPr>
          </w:p>
        </w:tc>
      </w:tr>
      <w:tr w:rsidR="00000000">
        <w:trPr>
          <w:divId w:val="182511960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82511960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825119608"/>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8251196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1,59</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8251196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40,80</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28,73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825119608"/>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2,89</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2,09</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825119608"/>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Total stock-based compensation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45,70</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32,42</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69541087"/>
        <w:rPr>
          <w:sz w:val="20"/>
          <w:szCs w:val="20"/>
        </w:rPr>
      </w:pPr>
      <w:r>
        <w:rPr>
          <w:sz w:val="20"/>
          <w:szCs w:val="20"/>
        </w:rPr>
        <w:t xml:space="preserve">Effect of stock-based compensation expense on income by line item: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47"/>
        <w:gridCol w:w="117"/>
        <w:gridCol w:w="160"/>
        <w:gridCol w:w="963"/>
        <w:gridCol w:w="110"/>
        <w:gridCol w:w="118"/>
        <w:gridCol w:w="160"/>
        <w:gridCol w:w="975"/>
        <w:gridCol w:w="125"/>
      </w:tblGrid>
      <w:tr w:rsidR="00000000">
        <w:trPr>
          <w:divId w:val="69541087"/>
          <w:tblCellSpacing w:w="15" w:type="dxa"/>
        </w:trPr>
        <w:tc>
          <w:tcPr>
            <w:tcW w:w="3291" w:type="pct"/>
            <w:vAlign w:val="center"/>
            <w:hideMark/>
          </w:tcPr>
          <w:p w:rsidR="00000000" w:rsidRDefault="00211603">
            <w:pPr>
              <w:rPr>
                <w:sz w:val="20"/>
                <w:szCs w:val="20"/>
              </w:rPr>
            </w:pPr>
          </w:p>
        </w:tc>
        <w:tc>
          <w:tcPr>
            <w:tcW w:w="78"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666" w:type="pct"/>
            <w:vAlign w:val="center"/>
            <w:hideMark/>
          </w:tcPr>
          <w:p w:rsidR="00000000" w:rsidRDefault="00211603">
            <w:pPr>
              <w:rPr>
                <w:rFonts w:eastAsia="Times New Roman"/>
                <w:sz w:val="20"/>
                <w:szCs w:val="20"/>
              </w:rPr>
            </w:pPr>
          </w:p>
        </w:tc>
        <w:tc>
          <w:tcPr>
            <w:tcW w:w="34" w:type="pct"/>
            <w:vAlign w:val="center"/>
            <w:hideMark/>
          </w:tcPr>
          <w:p w:rsidR="00000000" w:rsidRDefault="00211603">
            <w:pPr>
              <w:rPr>
                <w:rFonts w:eastAsia="Times New Roman"/>
                <w:sz w:val="20"/>
                <w:szCs w:val="20"/>
              </w:rPr>
            </w:pPr>
          </w:p>
        </w:tc>
        <w:tc>
          <w:tcPr>
            <w:tcW w:w="78"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674" w:type="pct"/>
            <w:vAlign w:val="center"/>
            <w:hideMark/>
          </w:tcPr>
          <w:p w:rsidR="00000000" w:rsidRDefault="00211603">
            <w:pPr>
              <w:rPr>
                <w:rFonts w:eastAsia="Times New Roman"/>
                <w:sz w:val="20"/>
                <w:szCs w:val="20"/>
              </w:rPr>
            </w:pPr>
          </w:p>
        </w:tc>
        <w:tc>
          <w:tcPr>
            <w:tcW w:w="32" w:type="pct"/>
            <w:vAlign w:val="center"/>
            <w:hideMark/>
          </w:tcPr>
          <w:p w:rsidR="00000000" w:rsidRDefault="00211603">
            <w:pPr>
              <w:rPr>
                <w:rFonts w:eastAsia="Times New Roman"/>
                <w:sz w:val="20"/>
                <w:szCs w:val="20"/>
              </w:rPr>
            </w:pPr>
          </w:p>
        </w:tc>
      </w:tr>
      <w:tr w:rsidR="00000000">
        <w:trPr>
          <w:divId w:val="69541087"/>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69541087"/>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69541087"/>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6954108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Cost of revenue, subscriptio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1,82</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1,31</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954108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Cost of revenue, professional services and othe</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83</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69</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954108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16,98</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11,48</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954108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16,86</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13,62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9541087"/>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9,19</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5,30</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69541087"/>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Total stock-based compensation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45,70</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32,42</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divId w:val="402997020"/>
        <w:rPr>
          <w:sz w:val="20"/>
          <w:szCs w:val="20"/>
        </w:rPr>
      </w:pPr>
      <w:r>
        <w:rPr>
          <w:sz w:val="20"/>
          <w:szCs w:val="20"/>
        </w:rPr>
        <w:t>Capitalized software development costs excluded from stock-based compensation expense is</w:t>
      </w:r>
      <w:r>
        <w:rPr>
          <w:sz w:val="20"/>
          <w:szCs w:val="20"/>
        </w:rPr>
        <w:t xml:space="preserve"> </w:t>
      </w:r>
      <w:r>
        <w:rPr>
          <w:sz w:val="20"/>
          <w:szCs w:val="20"/>
        </w:rPr>
        <w:t>$</w:t>
      </w:r>
      <w:r>
        <w:rPr>
          <w:sz w:val="20"/>
          <w:szCs w:val="20"/>
        </w:rPr>
        <w:t>1.</w:t>
      </w:r>
      <w:r>
        <w:rPr>
          <w:sz w:val="20"/>
          <w:szCs w:val="20"/>
        </w:rPr>
        <w:t>6</w:t>
      </w:r>
      <w:r>
        <w:rPr>
          <w:sz w:val="20"/>
          <w:szCs w:val="20"/>
        </w:rPr>
        <w:t xml:space="preserve"> million for the three months ended March 31, 2022 and</w:t>
      </w:r>
      <w:r>
        <w:rPr>
          <w:sz w:val="20"/>
          <w:szCs w:val="20"/>
        </w:rPr>
        <w:t xml:space="preserve"> </w:t>
      </w:r>
      <w:r>
        <w:rPr>
          <w:sz w:val="20"/>
          <w:szCs w:val="20"/>
        </w:rPr>
        <w:t>$</w:t>
      </w:r>
      <w:r>
        <w:rPr>
          <w:sz w:val="20"/>
          <w:szCs w:val="20"/>
        </w:rPr>
        <w:t>1.</w:t>
      </w:r>
      <w:r>
        <w:rPr>
          <w:sz w:val="20"/>
          <w:szCs w:val="20"/>
        </w:rPr>
        <w:t>1</w:t>
      </w:r>
      <w:r>
        <w:rPr>
          <w:sz w:val="20"/>
          <w:szCs w:val="20"/>
        </w:rPr>
        <w:t xml:space="preserve"> million for the three months ended March 31, 202</w:t>
      </w:r>
      <w:r>
        <w:rPr>
          <w:sz w:val="20"/>
          <w:szCs w:val="20"/>
        </w:rPr>
        <w:t>1</w:t>
      </w:r>
      <w:r>
        <w:rPr>
          <w:sz w:val="20"/>
          <w:szCs w:val="20"/>
        </w:rPr>
        <w:t>.</w:t>
      </w:r>
    </w:p>
    <w:p w:rsidR="00000000" w:rsidRDefault="00211603">
      <w:pPr>
        <w:pStyle w:val="a3"/>
        <w:spacing w:before="200" w:beforeAutospacing="0" w:after="0" w:afterAutospacing="0"/>
        <w:divId w:val="140468264"/>
        <w:rPr>
          <w:sz w:val="20"/>
          <w:szCs w:val="20"/>
        </w:rPr>
      </w:pPr>
      <w:r>
        <w:rPr>
          <w:b/>
          <w:bCs/>
          <w:sz w:val="20"/>
          <w:szCs w:val="20"/>
        </w:rPr>
        <w:t>13. Segment Information and Geographic Dat</w:t>
      </w:r>
      <w:r>
        <w:rPr>
          <w:b/>
          <w:bCs/>
          <w:sz w:val="20"/>
          <w:szCs w:val="20"/>
        </w:rPr>
        <w:t>a</w:t>
      </w:r>
    </w:p>
    <w:p w:rsidR="00000000" w:rsidRDefault="00211603">
      <w:pPr>
        <w:pStyle w:val="a3"/>
        <w:spacing w:before="200" w:beforeAutospacing="0" w:after="0" w:afterAutospacing="0"/>
        <w:ind w:firstLine="555"/>
        <w:divId w:val="140468264"/>
        <w:rPr>
          <w:sz w:val="20"/>
          <w:szCs w:val="20"/>
        </w:rPr>
      </w:pPr>
      <w:r>
        <w:rPr>
          <w:sz w:val="20"/>
          <w:szCs w:val="20"/>
        </w:rPr>
        <w:t>The Company operates as</w:t>
      </w:r>
      <w:r>
        <w:rPr>
          <w:sz w:val="20"/>
          <w:szCs w:val="20"/>
        </w:rPr>
        <w:t xml:space="preserve"> </w:t>
      </w:r>
      <w:r>
        <w:rPr>
          <w:sz w:val="20"/>
          <w:szCs w:val="20"/>
        </w:rPr>
        <w:t>on</w:t>
      </w:r>
      <w:r>
        <w:rPr>
          <w:sz w:val="20"/>
          <w:szCs w:val="20"/>
        </w:rPr>
        <w:t>e</w:t>
      </w:r>
      <w:r>
        <w:rPr>
          <w:sz w:val="20"/>
          <w:szCs w:val="20"/>
        </w:rPr>
        <w:t xml:space="preserve"> operating</w:t>
      </w:r>
      <w:r>
        <w:rPr>
          <w:sz w:val="20"/>
          <w:szCs w:val="20"/>
        </w:rPr>
        <w:t xml:space="preserve"> </w:t>
      </w:r>
      <w:r>
        <w:rPr>
          <w:sz w:val="20"/>
          <w:szCs w:val="20"/>
        </w:rPr>
        <w:t>segment. Operating segments are defined as components of an enterprise for which separate financial information is regularly evaluated by the chief operating decision maker (“CODM”), which is the Company’s chief execut</w:t>
      </w:r>
      <w:r>
        <w:rPr>
          <w:sz w:val="20"/>
          <w:szCs w:val="20"/>
        </w:rPr>
        <w:t>ive officer, in deciding how to allocate resources and assess performance. The Company’s CODM evaluates the Company’s financial information and resources and assesses the performance of these resources on a consolidated basis. Since the Company operates in</w:t>
      </w:r>
      <w:r>
        <w:rPr>
          <w:sz w:val="20"/>
          <w:szCs w:val="20"/>
        </w:rPr>
        <w:t xml:space="preserve"> one operating segment, all required financial segment information can be found in the consolidated financia</w:t>
      </w:r>
      <w:r>
        <w:rPr>
          <w:sz w:val="20"/>
          <w:szCs w:val="20"/>
        </w:rPr>
        <w:t>l</w:t>
      </w:r>
      <w:r>
        <w:rPr>
          <w:sz w:val="20"/>
          <w:szCs w:val="20"/>
        </w:rPr>
        <w:t xml:space="preserve"> </w:t>
      </w:r>
    </w:p>
    <w:p w:rsidR="00000000" w:rsidRDefault="00211603">
      <w:pPr>
        <w:pStyle w:val="a3"/>
        <w:spacing w:before="240" w:beforeAutospacing="0" w:after="0" w:afterAutospacing="0"/>
        <w:jc w:val="center"/>
        <w:divId w:val="140468264"/>
        <w:rPr>
          <w:sz w:val="20"/>
          <w:szCs w:val="20"/>
        </w:rPr>
      </w:pPr>
      <w:r>
        <w:rPr>
          <w:sz w:val="20"/>
          <w:szCs w:val="20"/>
        </w:rPr>
        <w:t>1</w:t>
      </w:r>
      <w:r>
        <w:rPr>
          <w:sz w:val="20"/>
          <w:szCs w:val="20"/>
        </w:rPr>
        <w:t>9</w:t>
      </w:r>
    </w:p>
    <w:p w:rsidR="00000000" w:rsidRDefault="00211603">
      <w:pPr>
        <w:divId w:val="140468264"/>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211603">
      <w:pPr>
        <w:pStyle w:val="a3"/>
        <w:spacing w:before="0" w:beforeAutospacing="0" w:after="0" w:afterAutospacing="0"/>
        <w:divId w:val="140468264"/>
        <w:rPr>
          <w:sz w:val="20"/>
          <w:szCs w:val="20"/>
        </w:rPr>
      </w:pPr>
      <w:r>
        <w:rPr>
          <w:sz w:val="20"/>
          <w:szCs w:val="20"/>
        </w:rPr>
        <w:t> </w:t>
      </w:r>
    </w:p>
    <w:p w:rsidR="00000000" w:rsidRDefault="00211603">
      <w:pPr>
        <w:pStyle w:val="a3"/>
        <w:spacing w:before="200" w:beforeAutospacing="0" w:after="0" w:afterAutospacing="0"/>
        <w:divId w:val="140468264"/>
        <w:rPr>
          <w:sz w:val="20"/>
          <w:szCs w:val="20"/>
        </w:rPr>
      </w:pPr>
      <w:r>
        <w:rPr>
          <w:sz w:val="20"/>
          <w:szCs w:val="20"/>
        </w:rPr>
        <w:t>statements. Revenue</w:t>
      </w:r>
      <w:r>
        <w:rPr>
          <w:sz w:val="20"/>
          <w:szCs w:val="20"/>
        </w:rPr>
        <w:t xml:space="preserve"> </w:t>
      </w:r>
      <w:r>
        <w:rPr>
          <w:sz w:val="20"/>
          <w:szCs w:val="20"/>
        </w:rPr>
        <w:t>and long-lived assets by geographic region, based on the physical location of the op</w:t>
      </w:r>
      <w:r>
        <w:rPr>
          <w:sz w:val="20"/>
          <w:szCs w:val="20"/>
        </w:rPr>
        <w:t>erations recording the sale or the asset, are as follows</w:t>
      </w:r>
      <w:r>
        <w:rPr>
          <w:sz w:val="20"/>
          <w:szCs w:val="20"/>
        </w:rPr>
        <w:t>:</w:t>
      </w:r>
      <w:r>
        <w:rPr>
          <w:sz w:val="20"/>
          <w:szCs w:val="20"/>
        </w:rPr>
        <w:t xml:space="preserve"> </w:t>
      </w:r>
    </w:p>
    <w:p w:rsidR="00000000" w:rsidRDefault="00211603">
      <w:pPr>
        <w:pStyle w:val="a3"/>
        <w:spacing w:before="200" w:beforeAutospacing="0" w:after="0" w:afterAutospacing="0"/>
        <w:ind w:firstLine="555"/>
        <w:divId w:val="1942250562"/>
        <w:rPr>
          <w:sz w:val="20"/>
          <w:szCs w:val="20"/>
        </w:rPr>
      </w:pPr>
      <w:r>
        <w:rPr>
          <w:sz w:val="20"/>
          <w:szCs w:val="20"/>
        </w:rPr>
        <w:t>Revenues by geographical region:</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71"/>
        <w:gridCol w:w="131"/>
        <w:gridCol w:w="160"/>
        <w:gridCol w:w="1196"/>
        <w:gridCol w:w="227"/>
        <w:gridCol w:w="121"/>
        <w:gridCol w:w="160"/>
        <w:gridCol w:w="1267"/>
        <w:gridCol w:w="242"/>
      </w:tblGrid>
      <w:tr w:rsidR="00000000">
        <w:trPr>
          <w:divId w:val="1942250562"/>
          <w:tblCellSpacing w:w="15" w:type="dxa"/>
        </w:trPr>
        <w:tc>
          <w:tcPr>
            <w:tcW w:w="2750" w:type="pct"/>
            <w:vAlign w:val="center"/>
            <w:hideMark/>
          </w:tcPr>
          <w:p w:rsidR="00000000" w:rsidRDefault="00211603">
            <w:pPr>
              <w:rPr>
                <w:sz w:val="20"/>
                <w:szCs w:val="20"/>
              </w:rPr>
            </w:pPr>
          </w:p>
        </w:tc>
        <w:tc>
          <w:tcPr>
            <w:tcW w:w="86"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828" w:type="pct"/>
            <w:vAlign w:val="center"/>
            <w:hideMark/>
          </w:tcPr>
          <w:p w:rsidR="00000000" w:rsidRDefault="00211603">
            <w:pPr>
              <w:rPr>
                <w:rFonts w:eastAsia="Times New Roman"/>
                <w:sz w:val="20"/>
                <w:szCs w:val="20"/>
              </w:rPr>
            </w:pPr>
          </w:p>
        </w:tc>
        <w:tc>
          <w:tcPr>
            <w:tcW w:w="118" w:type="pct"/>
            <w:vAlign w:val="center"/>
            <w:hideMark/>
          </w:tcPr>
          <w:p w:rsidR="00000000" w:rsidRDefault="00211603">
            <w:pPr>
              <w:rPr>
                <w:rFonts w:eastAsia="Times New Roman"/>
                <w:sz w:val="20"/>
                <w:szCs w:val="20"/>
              </w:rPr>
            </w:pPr>
          </w:p>
        </w:tc>
        <w:tc>
          <w:tcPr>
            <w:tcW w:w="79"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877" w:type="pct"/>
            <w:vAlign w:val="center"/>
            <w:hideMark/>
          </w:tcPr>
          <w:p w:rsidR="00000000" w:rsidRDefault="00211603">
            <w:pPr>
              <w:rPr>
                <w:rFonts w:eastAsia="Times New Roman"/>
                <w:sz w:val="20"/>
                <w:szCs w:val="20"/>
              </w:rPr>
            </w:pPr>
          </w:p>
        </w:tc>
        <w:tc>
          <w:tcPr>
            <w:tcW w:w="118" w:type="pct"/>
            <w:vAlign w:val="center"/>
            <w:hideMark/>
          </w:tcPr>
          <w:p w:rsidR="00000000" w:rsidRDefault="00211603">
            <w:pPr>
              <w:rPr>
                <w:rFonts w:eastAsia="Times New Roman"/>
                <w:sz w:val="20"/>
                <w:szCs w:val="20"/>
              </w:rPr>
            </w:pPr>
          </w:p>
        </w:tc>
      </w:tr>
      <w:tr w:rsidR="00000000">
        <w:trPr>
          <w:divId w:val="1942250562"/>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942250562"/>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942250562"/>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1942250562"/>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242,02</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173,87</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942250562"/>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119,18</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83,37</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942250562"/>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34,38</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24,12</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942250562"/>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395,59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281,36</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1942250562"/>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xml:space="preserve">Percentage of revenues generated outside of </w:t>
            </w:r>
            <w:r>
              <w:rPr>
                <w:sz w:val="20"/>
                <w:szCs w:val="20"/>
              </w:rPr>
              <w:br/>
              <w:t>  the America</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200" w:beforeAutospacing="0" w:after="0" w:afterAutospacing="0"/>
        <w:ind w:firstLine="555"/>
        <w:divId w:val="140468264"/>
        <w:rPr>
          <w:sz w:val="20"/>
          <w:szCs w:val="20"/>
        </w:rPr>
      </w:pPr>
      <w:r>
        <w:rPr>
          <w:sz w:val="20"/>
          <w:szCs w:val="20"/>
        </w:rPr>
        <w:t>Revenue derived from customers outside the United States (international) was approximately</w:t>
      </w:r>
      <w:r>
        <w:rPr>
          <w:sz w:val="20"/>
          <w:szCs w:val="20"/>
        </w:rPr>
        <w:t xml:space="preserve"> </w:t>
      </w:r>
      <w:r>
        <w:rPr>
          <w:sz w:val="20"/>
          <w:szCs w:val="20"/>
        </w:rPr>
        <w:t>4</w:t>
      </w:r>
      <w:r>
        <w:rPr>
          <w:sz w:val="20"/>
          <w:szCs w:val="20"/>
        </w:rPr>
        <w:t>6</w:t>
      </w:r>
      <w:r>
        <w:rPr>
          <w:sz w:val="20"/>
          <w:szCs w:val="20"/>
        </w:rPr>
        <w:t>%</w:t>
      </w:r>
      <w:r>
        <w:rPr>
          <w:sz w:val="20"/>
          <w:szCs w:val="20"/>
        </w:rPr>
        <w:t xml:space="preserve"> of total revenue in the three months ended March 31, 2022 and</w:t>
      </w:r>
      <w:r>
        <w:rPr>
          <w:sz w:val="20"/>
          <w:szCs w:val="20"/>
        </w:rPr>
        <w:t xml:space="preserve"> </w:t>
      </w:r>
      <w:r>
        <w:rPr>
          <w:sz w:val="20"/>
          <w:szCs w:val="20"/>
        </w:rPr>
        <w:t>4</w:t>
      </w:r>
      <w:r>
        <w:rPr>
          <w:sz w:val="20"/>
          <w:szCs w:val="20"/>
        </w:rPr>
        <w:t>5</w:t>
      </w:r>
      <w:r>
        <w:rPr>
          <w:sz w:val="20"/>
          <w:szCs w:val="20"/>
        </w:rPr>
        <w:t>%</w:t>
      </w:r>
      <w:r>
        <w:rPr>
          <w:sz w:val="20"/>
          <w:szCs w:val="20"/>
        </w:rPr>
        <w:t xml:space="preserve"> of total revenue in the three months ended March 31, 2021</w:t>
      </w:r>
      <w:r>
        <w:rPr>
          <w:sz w:val="20"/>
          <w:szCs w:val="20"/>
        </w:rPr>
        <w:t>.</w:t>
      </w:r>
    </w:p>
    <w:p w:rsidR="00000000" w:rsidRDefault="00211603">
      <w:pPr>
        <w:pStyle w:val="a3"/>
        <w:spacing w:before="200" w:beforeAutospacing="0" w:after="0" w:afterAutospacing="0"/>
        <w:ind w:firstLine="555"/>
        <w:divId w:val="321274795"/>
        <w:rPr>
          <w:sz w:val="20"/>
          <w:szCs w:val="20"/>
        </w:rPr>
      </w:pPr>
      <w:r>
        <w:rPr>
          <w:sz w:val="20"/>
          <w:szCs w:val="20"/>
        </w:rPr>
        <w:t>Total long-lived assets by geographi</w:t>
      </w:r>
      <w:r>
        <w:rPr>
          <w:sz w:val="20"/>
          <w:szCs w:val="20"/>
        </w:rPr>
        <w:t>cal region:</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81"/>
        <w:gridCol w:w="170"/>
        <w:gridCol w:w="164"/>
        <w:gridCol w:w="1330"/>
        <w:gridCol w:w="227"/>
        <w:gridCol w:w="131"/>
        <w:gridCol w:w="160"/>
        <w:gridCol w:w="1270"/>
        <w:gridCol w:w="242"/>
      </w:tblGrid>
      <w:tr w:rsidR="00000000">
        <w:trPr>
          <w:divId w:val="321274795"/>
          <w:tblCellSpacing w:w="15" w:type="dxa"/>
        </w:trPr>
        <w:tc>
          <w:tcPr>
            <w:tcW w:w="2611" w:type="pct"/>
            <w:vAlign w:val="center"/>
            <w:hideMark/>
          </w:tcPr>
          <w:p w:rsidR="00000000" w:rsidRDefault="00211603">
            <w:pPr>
              <w:rPr>
                <w:sz w:val="20"/>
                <w:szCs w:val="20"/>
              </w:rPr>
            </w:pPr>
          </w:p>
        </w:tc>
        <w:tc>
          <w:tcPr>
            <w:tcW w:w="107" w:type="pct"/>
            <w:vAlign w:val="center"/>
            <w:hideMark/>
          </w:tcPr>
          <w:p w:rsidR="00000000" w:rsidRDefault="00211603">
            <w:pPr>
              <w:rPr>
                <w:rFonts w:eastAsia="Times New Roman"/>
                <w:sz w:val="20"/>
                <w:szCs w:val="20"/>
              </w:rPr>
            </w:pPr>
          </w:p>
        </w:tc>
        <w:tc>
          <w:tcPr>
            <w:tcW w:w="103" w:type="pct"/>
            <w:vAlign w:val="center"/>
            <w:hideMark/>
          </w:tcPr>
          <w:p w:rsidR="00000000" w:rsidRDefault="00211603">
            <w:pPr>
              <w:rPr>
                <w:rFonts w:eastAsia="Times New Roman"/>
                <w:sz w:val="20"/>
                <w:szCs w:val="20"/>
              </w:rPr>
            </w:pPr>
          </w:p>
        </w:tc>
        <w:tc>
          <w:tcPr>
            <w:tcW w:w="915" w:type="pct"/>
            <w:vAlign w:val="center"/>
            <w:hideMark/>
          </w:tcPr>
          <w:p w:rsidR="00000000" w:rsidRDefault="00211603">
            <w:pPr>
              <w:rPr>
                <w:rFonts w:eastAsia="Times New Roman"/>
                <w:sz w:val="20"/>
                <w:szCs w:val="20"/>
              </w:rPr>
            </w:pPr>
          </w:p>
        </w:tc>
        <w:tc>
          <w:tcPr>
            <w:tcW w:w="118" w:type="pct"/>
            <w:vAlign w:val="center"/>
            <w:hideMark/>
          </w:tcPr>
          <w:p w:rsidR="00000000" w:rsidRDefault="00211603">
            <w:pPr>
              <w:rPr>
                <w:rFonts w:eastAsia="Times New Roman"/>
                <w:sz w:val="20"/>
                <w:szCs w:val="20"/>
              </w:rPr>
            </w:pPr>
          </w:p>
        </w:tc>
        <w:tc>
          <w:tcPr>
            <w:tcW w:w="80" w:type="pct"/>
            <w:vAlign w:val="center"/>
            <w:hideMark/>
          </w:tcPr>
          <w:p w:rsidR="00000000" w:rsidRDefault="00211603">
            <w:pPr>
              <w:rPr>
                <w:rFonts w:eastAsia="Times New Roman"/>
                <w:sz w:val="20"/>
                <w:szCs w:val="20"/>
              </w:rPr>
            </w:pPr>
          </w:p>
        </w:tc>
        <w:tc>
          <w:tcPr>
            <w:tcW w:w="71" w:type="pct"/>
            <w:vAlign w:val="center"/>
            <w:hideMark/>
          </w:tcPr>
          <w:p w:rsidR="00000000" w:rsidRDefault="00211603">
            <w:pPr>
              <w:rPr>
                <w:rFonts w:eastAsia="Times New Roman"/>
                <w:sz w:val="20"/>
                <w:szCs w:val="20"/>
              </w:rPr>
            </w:pPr>
          </w:p>
        </w:tc>
        <w:tc>
          <w:tcPr>
            <w:tcW w:w="873" w:type="pct"/>
            <w:vAlign w:val="center"/>
            <w:hideMark/>
          </w:tcPr>
          <w:p w:rsidR="00000000" w:rsidRDefault="00211603">
            <w:pPr>
              <w:rPr>
                <w:rFonts w:eastAsia="Times New Roman"/>
                <w:sz w:val="20"/>
                <w:szCs w:val="20"/>
              </w:rPr>
            </w:pPr>
          </w:p>
        </w:tc>
        <w:tc>
          <w:tcPr>
            <w:tcW w:w="118" w:type="pct"/>
            <w:vAlign w:val="center"/>
            <w:hideMark/>
          </w:tcPr>
          <w:p w:rsidR="00000000" w:rsidRDefault="00211603">
            <w:pPr>
              <w:rPr>
                <w:rFonts w:eastAsia="Times New Roman"/>
                <w:sz w:val="20"/>
                <w:szCs w:val="20"/>
              </w:rPr>
            </w:pPr>
          </w:p>
        </w:tc>
      </w:tr>
      <w:tr w:rsidR="00000000">
        <w:trPr>
          <w:divId w:val="321274795"/>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As of March 31, 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As of December 31, 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21274795"/>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divId w:val="321274795"/>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229,43</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226,84</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21274795"/>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137,22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139,84</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21274795"/>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12,63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10,26</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21274795"/>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Total long-lived asset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379,29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376,96</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divId w:val="321274795"/>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Percentage of long-lived assets held outside of the America</w:t>
            </w:r>
            <w:r>
              <w:rPr>
                <w:sz w:val="20"/>
                <w:szCs w:val="20"/>
              </w:rPr>
              <w:t>s</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2</w:t>
      </w:r>
      <w:r>
        <w:rPr>
          <w:sz w:val="20"/>
          <w:szCs w:val="20"/>
        </w:rPr>
        <w:t>0</w:t>
      </w:r>
    </w:p>
    <w:p w:rsidR="00000000" w:rsidRDefault="00211603">
      <w:pPr>
        <w:rPr>
          <w:rFonts w:eastAsia="Times New Roman"/>
        </w:rPr>
      </w:pPr>
      <w:r>
        <w:rPr>
          <w:rFonts w:eastAsia="Times New Roman"/>
        </w:rPr>
        <w:pict>
          <v:rect id="_x0000_i1044"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ind w:hanging="122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w:t>
      </w:r>
      <w:r>
        <w:rPr>
          <w:b/>
          <w:bCs/>
          <w:sz w:val="20"/>
          <w:szCs w:val="20"/>
        </w:rPr>
        <w:t>s</w:t>
      </w:r>
    </w:p>
    <w:p w:rsidR="00000000" w:rsidRDefault="00211603">
      <w:pPr>
        <w:pStyle w:val="a3"/>
        <w:spacing w:before="200" w:beforeAutospacing="0" w:after="0" w:afterAutospacing="0"/>
        <w:ind w:firstLine="555"/>
        <w:rPr>
          <w:sz w:val="20"/>
          <w:szCs w:val="20"/>
        </w:rPr>
      </w:pPr>
      <w:r>
        <w:rPr>
          <w:i/>
          <w:iCs/>
          <w:sz w:val="20"/>
          <w:szCs w:val="20"/>
        </w:rPr>
        <w:t>The following discussion and analysis of our financial condition and results of operations should be read in conjunction wit</w:t>
      </w:r>
      <w:r>
        <w:rPr>
          <w:i/>
          <w:iCs/>
          <w:sz w:val="20"/>
          <w:szCs w:val="20"/>
        </w:rPr>
        <w:t>h our consolidated financial statements and related notes appearing elsewhere in this Quarterly Report on Form 10-Q and our Annual Report on Form 10-K for the year ended December 31, 2021 filed with the SEC on February 14, 2022. As discussed in the section</w:t>
      </w:r>
      <w:r>
        <w:rPr>
          <w:i/>
          <w:iCs/>
          <w:sz w:val="20"/>
          <w:szCs w:val="20"/>
        </w:rPr>
        <w:t xml:space="preserve"> titled “Special Note Regarding Forward-Looking Statements,” the following discussion and analysis contains forward-looking statements that involve risks and uncertainties, as well as assumptions that, if they never materialize or prove incorrect, could ca</w:t>
      </w:r>
      <w:r>
        <w:rPr>
          <w:i/>
          <w:iCs/>
          <w:sz w:val="20"/>
          <w:szCs w:val="20"/>
        </w:rPr>
        <w:t xml:space="preserve">use our results to differ materially from those expressed or implied by such forward-looking statements. Factors that could cause or contribute to such differences include, but are not limited to, those identified below, and those discussed in the section </w:t>
      </w:r>
      <w:r>
        <w:rPr>
          <w:i/>
          <w:iCs/>
          <w:sz w:val="20"/>
          <w:szCs w:val="20"/>
        </w:rPr>
        <w:t>titled “Risk Factors” included under Part II, Item 1A below</w:t>
      </w:r>
      <w:r>
        <w:rPr>
          <w:i/>
          <w:iCs/>
          <w:sz w:val="20"/>
          <w:szCs w:val="20"/>
        </w:rPr>
        <w:t>.</w:t>
      </w:r>
    </w:p>
    <w:p w:rsidR="00000000" w:rsidRDefault="00211603">
      <w:pPr>
        <w:pStyle w:val="a3"/>
        <w:spacing w:before="200" w:beforeAutospacing="0" w:after="0" w:afterAutospacing="0"/>
        <w:rPr>
          <w:sz w:val="20"/>
          <w:szCs w:val="20"/>
        </w:rPr>
      </w:pPr>
      <w:r>
        <w:rPr>
          <w:b/>
          <w:bCs/>
          <w:sz w:val="20"/>
          <w:szCs w:val="20"/>
        </w:rPr>
        <w:t>Company Overvie</w:t>
      </w:r>
      <w:r>
        <w:rPr>
          <w:b/>
          <w:bCs/>
          <w:sz w:val="20"/>
          <w:szCs w:val="20"/>
        </w:rPr>
        <w:t>w</w:t>
      </w:r>
    </w:p>
    <w:p w:rsidR="00000000" w:rsidRDefault="00211603">
      <w:pPr>
        <w:pStyle w:val="a3"/>
        <w:spacing w:before="200" w:beforeAutospacing="0" w:after="0" w:afterAutospacing="0"/>
        <w:ind w:firstLine="592"/>
        <w:rPr>
          <w:sz w:val="20"/>
          <w:szCs w:val="20"/>
        </w:rPr>
      </w:pPr>
      <w:r>
        <w:rPr>
          <w:sz w:val="20"/>
          <w:szCs w:val="20"/>
        </w:rPr>
        <w:t>We provide a cloud-based customer relationship management (“CRM”</w:t>
      </w:r>
      <w:r>
        <w:rPr>
          <w:sz w:val="20"/>
          <w:szCs w:val="20"/>
        </w:rPr>
        <w:t xml:space="preserve">) Platform. Our CRM Platform is comprised of Marketing Hub, Sales Hub, Service Hub, content management system ("CMS") Hub, and Operations Hub as well as other tools, integrations, and a native payment solution that enable companies to attract, engage, and </w:t>
      </w:r>
      <w:r>
        <w:rPr>
          <w:sz w:val="20"/>
          <w:szCs w:val="20"/>
        </w:rPr>
        <w:t>delight customers throughout the customer experience</w:t>
      </w:r>
      <w:r>
        <w:rPr>
          <w:sz w:val="20"/>
          <w:szCs w:val="20"/>
        </w:rPr>
        <w:t>.</w:t>
      </w:r>
    </w:p>
    <w:p w:rsidR="00000000" w:rsidRDefault="00211603">
      <w:pPr>
        <w:pStyle w:val="a3"/>
        <w:spacing w:before="200" w:beforeAutospacing="0" w:after="0" w:afterAutospacing="0"/>
        <w:ind w:firstLine="592"/>
        <w:rPr>
          <w:sz w:val="20"/>
          <w:szCs w:val="20"/>
        </w:rPr>
      </w:pPr>
      <w:r>
        <w:rPr>
          <w:sz w:val="20"/>
          <w:szCs w:val="20"/>
        </w:rPr>
        <w:t xml:space="preserve">At the core of our CRM Platform is our CRM that our customers use which creates a single view of all interactions a prospective or existing customer has with their marketing, sales and customer service </w:t>
      </w:r>
      <w:r>
        <w:rPr>
          <w:sz w:val="20"/>
          <w:szCs w:val="20"/>
        </w:rPr>
        <w:t>teams. The CRM shares data across every application in the CRM Platform, automatically informing more personalized emails, website content, ads, and conversations, and enables more accurate timing cues for our customer’s internal teams. Our CRM Platform wa</w:t>
      </w:r>
      <w:r>
        <w:rPr>
          <w:sz w:val="20"/>
          <w:szCs w:val="20"/>
        </w:rPr>
        <w:t>s built to easily and seamlessly integrate third-party applications to further customize to an individual company’s industry or needs. In addition, an end-to-end native payment solution, Payments, is built within our CRM Platform which enables customers to</w:t>
      </w:r>
      <w:r>
        <w:rPr>
          <w:sz w:val="20"/>
          <w:szCs w:val="20"/>
        </w:rPr>
        <w:t xml:space="preserve"> streamline their payment process. Our CRM Platform starts completely free and grows with our customers to meet their needs at different stages in their life-cycles. It supports multiple languages and currencies and offers an array of sophisticated feature</w:t>
      </w:r>
      <w:r>
        <w:rPr>
          <w:sz w:val="20"/>
          <w:szCs w:val="20"/>
        </w:rPr>
        <w:t>s, including content partitioning at the enterprise level for companies operating in or serving multiple countries</w:t>
      </w:r>
      <w:r>
        <w:rPr>
          <w:sz w:val="20"/>
          <w:szCs w:val="20"/>
        </w:rPr>
        <w:t>.</w:t>
      </w:r>
    </w:p>
    <w:p w:rsidR="00000000" w:rsidRDefault="00211603">
      <w:pPr>
        <w:pStyle w:val="a3"/>
        <w:spacing w:before="200" w:beforeAutospacing="0" w:after="0" w:afterAutospacing="0"/>
        <w:ind w:firstLine="592"/>
        <w:rPr>
          <w:sz w:val="20"/>
          <w:szCs w:val="20"/>
        </w:rPr>
      </w:pPr>
      <w:r>
        <w:rPr>
          <w:sz w:val="20"/>
          <w:szCs w:val="20"/>
        </w:rPr>
        <w:t>We focus on selling to mid-market business-to-business, or B2B, companies, which we define as companies that have between two and 2,000 empl</w:t>
      </w:r>
      <w:r>
        <w:rPr>
          <w:sz w:val="20"/>
          <w:szCs w:val="20"/>
        </w:rPr>
        <w:t>oyees. While our CRM Platform was built to grow with any company, we focus on selling to mid-market businesses because we believe we have significant competitive advantages attracting and serving this market segment. These mid-market businesses seek an int</w:t>
      </w:r>
      <w:r>
        <w:rPr>
          <w:sz w:val="20"/>
          <w:szCs w:val="20"/>
        </w:rPr>
        <w:t>egrated, easy-to-implement and easy-to-use solution to reach customers and compete with organizations that have larger marketing, sales, and customer service budgets. We efficiently reach these businesses at scale through our proven inbound methodology, ou</w:t>
      </w:r>
      <w:r>
        <w:rPr>
          <w:sz w:val="20"/>
          <w:szCs w:val="20"/>
        </w:rPr>
        <w:t>r Solutions Partners, and our “freemium” model. A Solutions Partner is a service provider that helps businesses with strategy, execution, and implementation of go-to-market activities and technology solutions. Our freemium model attracts customers who begi</w:t>
      </w:r>
      <w:r>
        <w:rPr>
          <w:sz w:val="20"/>
          <w:szCs w:val="20"/>
        </w:rPr>
        <w:t>n using our CRM Platform through our free products and then upgrade to our paid products.</w:t>
      </w:r>
      <w:r>
        <w:rPr>
          <w:sz w:val="20"/>
          <w:szCs w:val="20"/>
        </w:rPr>
        <w:t xml:space="preserve"> </w:t>
      </w:r>
      <w:r>
        <w:rPr>
          <w:sz w:val="20"/>
          <w:szCs w:val="20"/>
        </w:rPr>
        <w:t>As of March 31, 2022, we had 6,404 full-time employees and 143,689 Customers of varying sizes in more than 120 countries, representing almost every industry</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sz w:val="20"/>
          <w:szCs w:val="20"/>
        </w:rPr>
        <w:t>We deri</w:t>
      </w:r>
      <w:r>
        <w:rPr>
          <w:sz w:val="20"/>
          <w:szCs w:val="20"/>
        </w:rPr>
        <w:t>ve most of our revenue from subscriptions to our cloud-based CRM Platform and related professional services, which consist of customer on-boarding, training and consulting services.</w:t>
      </w:r>
      <w:r>
        <w:rPr>
          <w:sz w:val="20"/>
          <w:szCs w:val="20"/>
        </w:rPr>
        <w:t xml:space="preserve"> </w:t>
      </w:r>
      <w:r>
        <w:rPr>
          <w:sz w:val="20"/>
          <w:szCs w:val="20"/>
        </w:rPr>
        <w:t xml:space="preserve">Subscription revenue accounted for 97% of our total revenue for the three </w:t>
      </w:r>
      <w:r>
        <w:rPr>
          <w:sz w:val="20"/>
          <w:szCs w:val="20"/>
        </w:rPr>
        <w:t>months ended March 31, 2022 and 96% of our total revenue for the three months ended March 31, 2021.</w:t>
      </w:r>
      <w:r>
        <w:rPr>
          <w:sz w:val="20"/>
          <w:szCs w:val="20"/>
        </w:rPr>
        <w:t xml:space="preserve"> </w:t>
      </w:r>
      <w:r>
        <w:rPr>
          <w:sz w:val="20"/>
          <w:szCs w:val="20"/>
        </w:rPr>
        <w:t>We sell multiple product plans at different base prices on a subscription basis, each of which includes our CRM and integrated applications to meet the need</w:t>
      </w:r>
      <w:r>
        <w:rPr>
          <w:sz w:val="20"/>
          <w:szCs w:val="20"/>
        </w:rPr>
        <w:t>s of the various customers we serve. Customers pay additional fees if the number of contacts stored and tracked in the customer’s database exceeds specified thresholds. We also generate additional revenue based on the purchase of additional subscriptions a</w:t>
      </w:r>
      <w:r>
        <w:rPr>
          <w:sz w:val="20"/>
          <w:szCs w:val="20"/>
        </w:rPr>
        <w:t>nd products, and the number of account users and subdomains. Most of our customers’ subscriptions are one year or less in duration</w:t>
      </w:r>
      <w:r>
        <w:rPr>
          <w:sz w:val="20"/>
          <w:szCs w:val="20"/>
        </w:rPr>
        <w:t>.</w:t>
      </w:r>
    </w:p>
    <w:p w:rsidR="00000000" w:rsidRDefault="00211603">
      <w:pPr>
        <w:pStyle w:val="a3"/>
        <w:spacing w:before="200" w:beforeAutospacing="0" w:after="0" w:afterAutospacing="0"/>
        <w:ind w:firstLine="592"/>
        <w:rPr>
          <w:sz w:val="20"/>
          <w:szCs w:val="20"/>
        </w:rPr>
      </w:pPr>
      <w:r>
        <w:rPr>
          <w:sz w:val="20"/>
          <w:szCs w:val="20"/>
        </w:rPr>
        <w:t>Subscriptions are billed in advance on various schedules. Because the mix of billing terms for orders can vary from period t</w:t>
      </w:r>
      <w:r>
        <w:rPr>
          <w:sz w:val="20"/>
          <w:szCs w:val="20"/>
        </w:rPr>
        <w:t>o period, the annualized value of the orders we enter into with our customers will not be completely reflected in deferred revenue at any single point in time. Accordingly, we do not believe that change in deferred revenue is an accurate indicator of futur</w:t>
      </w:r>
      <w:r>
        <w:rPr>
          <w:sz w:val="20"/>
          <w:szCs w:val="20"/>
        </w:rPr>
        <w:t>e revenue</w:t>
      </w:r>
      <w:r>
        <w:rPr>
          <w:sz w:val="20"/>
          <w:szCs w:val="20"/>
        </w:rPr>
        <w:t>.</w:t>
      </w:r>
    </w:p>
    <w:p w:rsidR="00000000" w:rsidRDefault="00211603">
      <w:pPr>
        <w:pStyle w:val="a3"/>
        <w:spacing w:before="200" w:beforeAutospacing="0" w:after="0" w:afterAutospacing="0"/>
        <w:ind w:firstLine="592"/>
        <w:rPr>
          <w:sz w:val="20"/>
          <w:szCs w:val="20"/>
        </w:rPr>
      </w:pPr>
      <w:r>
        <w:rPr>
          <w:sz w:val="20"/>
          <w:szCs w:val="20"/>
        </w:rPr>
        <w:t>Many of our customers purchase on-boarding, training, and consulting services, and utilize other tools and Payments, which are designed to help customers enhance their ability to attract, engage and delight their customers using our CRM Platform</w:t>
      </w:r>
      <w:r>
        <w:rPr>
          <w:sz w:val="20"/>
          <w:szCs w:val="20"/>
        </w:rPr>
        <w:t>. Professional services and other revenue accounted for 3% of total revenue for three months ended March 31, 2022 and 4% of our total revenue for the three months ended March 31, 2021</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sz w:val="20"/>
          <w:szCs w:val="20"/>
        </w:rPr>
        <w:t>We have focused on rapidly growing our business and plan to continue t</w:t>
      </w:r>
      <w:r>
        <w:rPr>
          <w:sz w:val="20"/>
          <w:szCs w:val="20"/>
        </w:rPr>
        <w:t>o make investments to help us address some of the challenges facing us to support this growth, such as demand for our CRM Platform by existing and new customers, significant competition from other providers of marketing, sales, customer service, operations</w:t>
      </w:r>
      <w:r>
        <w:rPr>
          <w:sz w:val="20"/>
          <w:szCs w:val="20"/>
        </w:rPr>
        <w:t>, and content management software and related applications and rapid technological change in our industry</w:t>
      </w:r>
      <w:r>
        <w:rPr>
          <w:sz w:val="20"/>
          <w:szCs w:val="20"/>
        </w:rPr>
        <w:t>.</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2</w:t>
      </w:r>
      <w:r>
        <w:rPr>
          <w:sz w:val="20"/>
          <w:szCs w:val="20"/>
        </w:rPr>
        <w:t>1</w:t>
      </w:r>
    </w:p>
    <w:p w:rsidR="00000000" w:rsidRDefault="00211603">
      <w:pPr>
        <w:rPr>
          <w:rFonts w:eastAsia="Times New Roman"/>
        </w:rPr>
      </w:pPr>
      <w:r>
        <w:rPr>
          <w:rFonts w:eastAsia="Times New Roman"/>
        </w:rPr>
        <w:pict>
          <v:rect id="_x0000_i1045"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ind w:firstLine="592"/>
        <w:rPr>
          <w:sz w:val="20"/>
          <w:szCs w:val="20"/>
        </w:rPr>
      </w:pPr>
      <w:r>
        <w:rPr>
          <w:sz w:val="20"/>
          <w:szCs w:val="20"/>
        </w:rPr>
        <w:t>We believe that the growth of our business is dependent on many factors, including our ability to expand o</w:t>
      </w:r>
      <w:r>
        <w:rPr>
          <w:sz w:val="20"/>
          <w:szCs w:val="20"/>
        </w:rPr>
        <w:t>ur customer base, increase adoption of our CRM Platform within existing customers, develop new products and applications to extend the functionality of our CRM Platform and provide a high level of customer service. We expect to increase our investment in s</w:t>
      </w:r>
      <w:r>
        <w:rPr>
          <w:sz w:val="20"/>
          <w:szCs w:val="20"/>
        </w:rPr>
        <w:t>ales and marketing as we continue to expand our sales teams, increase our marketing activities and grow our international operations. We also expect to increase our investment in research and development as we continue to introduce new products and applica</w:t>
      </w:r>
      <w:r>
        <w:rPr>
          <w:sz w:val="20"/>
          <w:szCs w:val="20"/>
        </w:rPr>
        <w:t>tions to extend the functionality of our CRM Platform. We also intend to invest in maintaining a high level of customer service and support which we consider critical for our continued success. We plan to continue investing in our data center infrastructur</w:t>
      </w:r>
      <w:r>
        <w:rPr>
          <w:sz w:val="20"/>
          <w:szCs w:val="20"/>
        </w:rPr>
        <w:t>e and services capabilities in order to support continued future customer growth. We also expect to continue to incur additional general and administrative expenses as a result of both our growth and the infrastructure required to be a public company. We e</w:t>
      </w:r>
      <w:r>
        <w:rPr>
          <w:sz w:val="20"/>
          <w:szCs w:val="20"/>
        </w:rPr>
        <w:t>xpect to use our cash flow from operations and the proceeds from our convertible debt and prior stock offerings to fund these growth strategies and support our business and do not expect to be profitable in the near term.</w:t>
      </w:r>
      <w:r>
        <w:rPr>
          <w:sz w:val="20"/>
          <w:szCs w:val="20"/>
        </w:rPr>
        <w:br/>
      </w:r>
      <w:r>
        <w:rPr>
          <w:sz w:val="20"/>
          <w:szCs w:val="20"/>
        </w:rPr>
        <w:br/>
      </w:r>
      <w:r>
        <w:rPr>
          <w:sz w:val="20"/>
          <w:szCs w:val="20"/>
        </w:rPr>
        <w:br/>
      </w:r>
      <w:r>
        <w:rPr>
          <w:sz w:val="20"/>
          <w:szCs w:val="20"/>
        </w:rPr>
        <w:br/>
      </w:r>
      <w:r>
        <w:rPr>
          <w:b/>
          <w:bCs/>
          <w:sz w:val="20"/>
          <w:szCs w:val="20"/>
        </w:rPr>
        <w:t>COVID-19 Updat</w:t>
      </w:r>
      <w:r>
        <w:rPr>
          <w:b/>
          <w:bCs/>
          <w:sz w:val="20"/>
          <w:szCs w:val="20"/>
        </w:rPr>
        <w:t>e</w:t>
      </w:r>
    </w:p>
    <w:p w:rsidR="00000000" w:rsidRDefault="00211603">
      <w:pPr>
        <w:pStyle w:val="a3"/>
        <w:spacing w:before="200" w:beforeAutospacing="0" w:after="0" w:afterAutospacing="0"/>
        <w:ind w:firstLine="592"/>
        <w:rPr>
          <w:sz w:val="20"/>
          <w:szCs w:val="20"/>
        </w:rPr>
      </w:pPr>
      <w:r>
        <w:rPr>
          <w:sz w:val="20"/>
          <w:szCs w:val="20"/>
        </w:rPr>
        <w:t xml:space="preserve">In March 2020, </w:t>
      </w:r>
      <w:r>
        <w:rPr>
          <w:sz w:val="20"/>
          <w:szCs w:val="20"/>
        </w:rPr>
        <w:t>the World Health Organization, or WHO, declared the outbreak of a disease caused by a novel strain of the coronavirus (“COVID-19”) to be a pandemic (the “pandemic”). This pandemic has had widespread, rapidly-evolving, and unpredictable impacts on global so</w:t>
      </w:r>
      <w:r>
        <w:rPr>
          <w:sz w:val="20"/>
          <w:szCs w:val="20"/>
        </w:rPr>
        <w:t>cieties, economies, financial markets, and business practices. Federal and state governments have implemented various measures in an effort to contain the virus, which have caused, and are continuing to cause, business slowdowns or shutdowns in affected ar</w:t>
      </w:r>
      <w:r>
        <w:rPr>
          <w:sz w:val="20"/>
          <w:szCs w:val="20"/>
        </w:rPr>
        <w:t>eas, both regionally and worldwide</w:t>
      </w:r>
      <w:r>
        <w:rPr>
          <w:sz w:val="20"/>
          <w:szCs w:val="20"/>
        </w:rPr>
        <w:t>.</w:t>
      </w:r>
    </w:p>
    <w:p w:rsidR="00000000" w:rsidRDefault="00211603">
      <w:pPr>
        <w:pStyle w:val="a3"/>
        <w:spacing w:before="200" w:beforeAutospacing="0" w:after="0" w:afterAutospacing="0"/>
        <w:ind w:firstLine="592"/>
        <w:rPr>
          <w:sz w:val="20"/>
          <w:szCs w:val="20"/>
        </w:rPr>
      </w:pPr>
      <w:r>
        <w:rPr>
          <w:sz w:val="20"/>
          <w:szCs w:val="20"/>
        </w:rPr>
        <w:t>Our focus remains on promoting employee health and safety, serving our customers, complying with regulations, and ensuring business continuity. As we continue to monitor local regulations and restrictions across the glob</w:t>
      </w:r>
      <w:r>
        <w:rPr>
          <w:sz w:val="20"/>
          <w:szCs w:val="20"/>
        </w:rPr>
        <w:t>e, the administration of vaccines and the number of new cases, we have reopened all of our offices globally in accordance with local authority guidelines while ensuring that our return to work is thoughtful, prudent, and handled with an abundance of cautio</w:t>
      </w:r>
      <w:r>
        <w:rPr>
          <w:sz w:val="20"/>
          <w:szCs w:val="20"/>
        </w:rPr>
        <w:t>n with the health of our employees being the top priority</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sz w:val="20"/>
          <w:szCs w:val="20"/>
        </w:rPr>
        <w:t>The pandemic has not had a material adverse financial impact on our business to date, the broader implications of the pandemic on our results of operations and overall financial performance will d</w:t>
      </w:r>
      <w:r>
        <w:rPr>
          <w:sz w:val="20"/>
          <w:szCs w:val="20"/>
        </w:rPr>
        <w:t>epend on future developments and conditions. See the section titled “Risk Factors” included under Part II, Item 1A below for further discussion of the possible impact of the pandemic on our business</w:t>
      </w:r>
      <w:r>
        <w:rPr>
          <w:sz w:val="20"/>
          <w:szCs w:val="20"/>
        </w:rPr>
        <w:t>.</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ind w:firstLine="592"/>
        <w:rPr>
          <w:sz w:val="20"/>
          <w:szCs w:val="20"/>
        </w:rPr>
      </w:pPr>
      <w:r>
        <w:rPr>
          <w:sz w:val="20"/>
          <w:szCs w:val="20"/>
        </w:rPr>
        <w:t> </w:t>
      </w:r>
    </w:p>
    <w:p w:rsidR="00000000" w:rsidRDefault="00211603">
      <w:pPr>
        <w:pStyle w:val="a3"/>
        <w:spacing w:before="200" w:beforeAutospacing="0" w:after="0" w:afterAutospacing="0"/>
        <w:ind w:firstLine="592"/>
        <w:rPr>
          <w:sz w:val="20"/>
          <w:szCs w:val="20"/>
        </w:rPr>
      </w:pPr>
      <w:r>
        <w:rPr>
          <w:sz w:val="20"/>
          <w:szCs w:val="20"/>
        </w:rPr>
        <w:t> </w:t>
      </w:r>
    </w:p>
    <w:p w:rsidR="00000000" w:rsidRDefault="00211603">
      <w:pPr>
        <w:pStyle w:val="a3"/>
        <w:spacing w:before="200" w:beforeAutospacing="0" w:after="0" w:afterAutospacing="0"/>
        <w:ind w:firstLine="592"/>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2</w:t>
      </w:r>
      <w:r>
        <w:rPr>
          <w:sz w:val="20"/>
          <w:szCs w:val="20"/>
        </w:rPr>
        <w:t>2</w:t>
      </w:r>
    </w:p>
    <w:p w:rsidR="00000000" w:rsidRDefault="00211603">
      <w:pPr>
        <w:rPr>
          <w:rFonts w:eastAsia="Times New Roman"/>
        </w:rPr>
      </w:pPr>
      <w:r>
        <w:rPr>
          <w:rFonts w:eastAsia="Times New Roman"/>
        </w:rPr>
        <w:pict>
          <v:rect id="_x0000_i1046"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Resu</w:t>
      </w:r>
      <w:r>
        <w:rPr>
          <w:b/>
          <w:bCs/>
          <w:sz w:val="20"/>
          <w:szCs w:val="20"/>
        </w:rPr>
        <w:t>lts of Operations for the Three Months Ended March 31, 2022 and 202</w:t>
      </w:r>
      <w:r>
        <w:rPr>
          <w:b/>
          <w:bCs/>
          <w:sz w:val="20"/>
          <w:szCs w:val="20"/>
        </w:rPr>
        <w:t>1</w:t>
      </w:r>
    </w:p>
    <w:p w:rsidR="00000000" w:rsidRDefault="00211603">
      <w:pPr>
        <w:pStyle w:val="a3"/>
        <w:spacing w:before="200" w:beforeAutospacing="0" w:after="0" w:afterAutospacing="0"/>
        <w:ind w:firstLine="555"/>
        <w:rPr>
          <w:sz w:val="20"/>
          <w:szCs w:val="20"/>
        </w:rPr>
      </w:pPr>
      <w:r>
        <w:rPr>
          <w:sz w:val="20"/>
          <w:szCs w:val="20"/>
        </w:rPr>
        <w:t>The following tables set forth our results of operations for the periods presented and as a percentage of our total revenue for those periods. The data has been derived from the unaudited</w:t>
      </w:r>
      <w:r>
        <w:rPr>
          <w:sz w:val="20"/>
          <w:szCs w:val="20"/>
        </w:rPr>
        <w:t xml:space="preserve"> consolidated financial statements contained in this Quarterly Report on Form 10-Q which include, in our opinion, all adjustments, consisting only of normal recurring adjustments, that we consider necessary for a fair statement of the financial position an</w:t>
      </w:r>
      <w:r>
        <w:rPr>
          <w:sz w:val="20"/>
          <w:szCs w:val="20"/>
        </w:rPr>
        <w:t>d results of operations for the interim periods presented. The period-to-period comparison of financial results is not necessarily indicative of financial results to be achieved in future periods</w:t>
      </w:r>
      <w:r>
        <w:rPr>
          <w:sz w:val="20"/>
          <w:szCs w:val="20"/>
        </w:rPr>
        <w:t>.</w:t>
      </w:r>
      <w:r>
        <w:rPr>
          <w:sz w:val="20"/>
          <w:szCs w:val="20"/>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55"/>
        <w:gridCol w:w="110"/>
        <w:gridCol w:w="160"/>
        <w:gridCol w:w="871"/>
        <w:gridCol w:w="127"/>
        <w:gridCol w:w="110"/>
        <w:gridCol w:w="160"/>
        <w:gridCol w:w="1010"/>
        <w:gridCol w:w="142"/>
      </w:tblGrid>
      <w:tr w:rsidR="00000000">
        <w:trPr>
          <w:tblCellSpacing w:w="15" w:type="dxa"/>
        </w:trPr>
        <w:tc>
          <w:tcPr>
            <w:tcW w:w="3108" w:type="pct"/>
            <w:vAlign w:val="center"/>
            <w:hideMark/>
          </w:tcPr>
          <w:p w:rsidR="00000000" w:rsidRDefault="00211603">
            <w:pPr>
              <w:rPr>
                <w:sz w:val="20"/>
                <w:szCs w:val="20"/>
              </w:rPr>
            </w:pPr>
          </w:p>
        </w:tc>
        <w:tc>
          <w:tcPr>
            <w:tcW w:w="31" w:type="pct"/>
            <w:vAlign w:val="center"/>
            <w:hideMark/>
          </w:tcPr>
          <w:p w:rsidR="00000000" w:rsidRDefault="00211603">
            <w:pPr>
              <w:rPr>
                <w:rFonts w:eastAsia="Times New Roman"/>
                <w:sz w:val="20"/>
                <w:szCs w:val="20"/>
              </w:rPr>
            </w:pPr>
          </w:p>
        </w:tc>
        <w:tc>
          <w:tcPr>
            <w:tcW w:w="83" w:type="pct"/>
            <w:vAlign w:val="center"/>
            <w:hideMark/>
          </w:tcPr>
          <w:p w:rsidR="00000000" w:rsidRDefault="00211603">
            <w:pPr>
              <w:rPr>
                <w:rFonts w:eastAsia="Times New Roman"/>
                <w:sz w:val="20"/>
                <w:szCs w:val="20"/>
              </w:rPr>
            </w:pPr>
          </w:p>
        </w:tc>
        <w:tc>
          <w:tcPr>
            <w:tcW w:w="690"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73" w:type="pct"/>
            <w:vAlign w:val="center"/>
            <w:hideMark/>
          </w:tcPr>
          <w:p w:rsidR="00000000" w:rsidRDefault="00211603">
            <w:pPr>
              <w:rPr>
                <w:rFonts w:eastAsia="Times New Roman"/>
                <w:sz w:val="20"/>
                <w:szCs w:val="20"/>
              </w:rPr>
            </w:pPr>
          </w:p>
        </w:tc>
        <w:tc>
          <w:tcPr>
            <w:tcW w:w="83" w:type="pct"/>
            <w:vAlign w:val="center"/>
            <w:hideMark/>
          </w:tcPr>
          <w:p w:rsidR="00000000" w:rsidRDefault="00211603">
            <w:pPr>
              <w:rPr>
                <w:rFonts w:eastAsia="Times New Roman"/>
                <w:sz w:val="20"/>
                <w:szCs w:val="20"/>
              </w:rPr>
            </w:pPr>
          </w:p>
        </w:tc>
        <w:tc>
          <w:tcPr>
            <w:tcW w:w="818"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w:t>
            </w:r>
            <w:r>
              <w:rPr>
                <w:b/>
                <w:bCs/>
                <w:sz w:val="16"/>
                <w:szCs w:val="16"/>
              </w:rPr>
              <w:t>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Revenues</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384,95</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270,26</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10,64</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11,10</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600"/>
              <w:rPr>
                <w:sz w:val="20"/>
                <w:szCs w:val="20"/>
              </w:rPr>
            </w:pPr>
            <w:r>
              <w:rPr>
                <w:sz w:val="20"/>
                <w:szCs w:val="20"/>
              </w:rPr>
              <w:t>Total revenu</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395,59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281,36</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Cost of revenues</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59,38</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43,85</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13,55</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10,88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72,93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54,73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322,66</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226,63</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92,73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68,39</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197,13</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141,01</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43,94</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32,25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333,81</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241,66</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(11,15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(15,03</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51</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47</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(9,39</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Other incom</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3,69</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66</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3,25</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(8,26</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(7,89</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(23,29</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Income tax (expense) benefi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(1,44</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(9,34</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(23,15</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0" w:beforeAutospacing="0" w:after="0" w:afterAutospacing="0"/>
        <w:rPr>
          <w:sz w:val="20"/>
          <w:szCs w:val="20"/>
        </w:rPr>
      </w:pPr>
      <w:r>
        <w:rPr>
          <w:sz w:val="2"/>
          <w:szCs w:val="2"/>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096"/>
        <w:gridCol w:w="112"/>
        <w:gridCol w:w="110"/>
        <w:gridCol w:w="809"/>
        <w:gridCol w:w="294"/>
        <w:gridCol w:w="112"/>
        <w:gridCol w:w="110"/>
        <w:gridCol w:w="693"/>
        <w:gridCol w:w="309"/>
      </w:tblGrid>
      <w:tr w:rsidR="00000000">
        <w:trPr>
          <w:tblCellSpacing w:w="15" w:type="dxa"/>
        </w:trPr>
        <w:tc>
          <w:tcPr>
            <w:tcW w:w="3205" w:type="pct"/>
            <w:vAlign w:val="center"/>
            <w:hideMark/>
          </w:tcPr>
          <w:p w:rsidR="00000000" w:rsidRDefault="00211603">
            <w:pPr>
              <w:rPr>
                <w:sz w:val="20"/>
                <w:szCs w:val="20"/>
              </w:rPr>
            </w:pPr>
          </w:p>
        </w:tc>
        <w:tc>
          <w:tcPr>
            <w:tcW w:w="80"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629" w:type="pct"/>
            <w:vAlign w:val="center"/>
            <w:hideMark/>
          </w:tcPr>
          <w:p w:rsidR="00000000" w:rsidRDefault="00211603">
            <w:pPr>
              <w:rPr>
                <w:rFonts w:eastAsia="Times New Roman"/>
                <w:sz w:val="20"/>
                <w:szCs w:val="20"/>
              </w:rPr>
            </w:pPr>
          </w:p>
        </w:tc>
        <w:tc>
          <w:tcPr>
            <w:tcW w:w="195" w:type="pct"/>
            <w:vAlign w:val="center"/>
            <w:hideMark/>
          </w:tcPr>
          <w:p w:rsidR="00000000" w:rsidRDefault="00211603">
            <w:pPr>
              <w:rPr>
                <w:rFonts w:eastAsia="Times New Roman"/>
                <w:sz w:val="20"/>
                <w:szCs w:val="20"/>
              </w:rPr>
            </w:pPr>
          </w:p>
        </w:tc>
        <w:tc>
          <w:tcPr>
            <w:tcW w:w="80" w:type="pct"/>
            <w:vAlign w:val="center"/>
            <w:hideMark/>
          </w:tcPr>
          <w:p w:rsidR="00000000" w:rsidRDefault="00211603">
            <w:pPr>
              <w:rPr>
                <w:rFonts w:eastAsia="Times New Roman"/>
                <w:sz w:val="20"/>
                <w:szCs w:val="20"/>
              </w:rPr>
            </w:pPr>
          </w:p>
        </w:tc>
        <w:tc>
          <w:tcPr>
            <w:tcW w:w="37" w:type="pct"/>
            <w:vAlign w:val="center"/>
            <w:hideMark/>
          </w:tcPr>
          <w:p w:rsidR="00000000" w:rsidRDefault="00211603">
            <w:pPr>
              <w:rPr>
                <w:rFonts w:eastAsia="Times New Roman"/>
                <w:sz w:val="20"/>
                <w:szCs w:val="20"/>
              </w:rPr>
            </w:pPr>
          </w:p>
        </w:tc>
        <w:tc>
          <w:tcPr>
            <w:tcW w:w="537" w:type="pct"/>
            <w:vAlign w:val="center"/>
            <w:hideMark/>
          </w:tcPr>
          <w:p w:rsidR="00000000" w:rsidRDefault="00211603">
            <w:pPr>
              <w:rPr>
                <w:rFonts w:eastAsia="Times New Roman"/>
                <w:sz w:val="20"/>
                <w:szCs w:val="20"/>
              </w:rPr>
            </w:pPr>
          </w:p>
        </w:tc>
        <w:tc>
          <w:tcPr>
            <w:tcW w:w="195"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ind w:left="400"/>
              <w:rPr>
                <w:sz w:val="20"/>
                <w:szCs w:val="20"/>
              </w:rPr>
            </w:pPr>
            <w:r>
              <w:rPr>
                <w:sz w:val="20"/>
                <w:szCs w:val="20"/>
              </w:rPr>
              <w:t>Income tax (expense) benefi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r>
              <w:rPr>
                <w:sz w:val="20"/>
                <w:szCs w:val="20"/>
              </w:rPr>
              <w:t>%</w:t>
            </w:r>
          </w:p>
        </w:tc>
      </w:tr>
    </w:tbl>
    <w:p w:rsidR="00000000" w:rsidRDefault="00211603">
      <w:pPr>
        <w:pStyle w:val="a3"/>
        <w:spacing w:before="0" w:beforeAutospacing="0" w:after="0" w:afterAutospacing="0"/>
        <w:ind w:firstLine="555"/>
        <w:rPr>
          <w:sz w:val="20"/>
          <w:szCs w:val="20"/>
        </w:rPr>
      </w:pPr>
      <w:r>
        <w:rPr>
          <w:sz w:val="20"/>
          <w:szCs w:val="20"/>
        </w:rPr>
        <w:t>Percentages are based on actual values. Totals may not sum due to rounding</w:t>
      </w:r>
      <w:r>
        <w:rPr>
          <w:sz w:val="20"/>
          <w:szCs w:val="20"/>
        </w:rPr>
        <w:t>.</w:t>
      </w:r>
    </w:p>
    <w:p w:rsidR="00000000" w:rsidRDefault="00211603">
      <w:pPr>
        <w:pStyle w:val="a3"/>
        <w:spacing w:before="240" w:beforeAutospacing="0" w:after="0" w:afterAutospacing="0"/>
        <w:jc w:val="center"/>
        <w:rPr>
          <w:sz w:val="20"/>
          <w:szCs w:val="20"/>
        </w:rPr>
      </w:pPr>
      <w:r>
        <w:rPr>
          <w:sz w:val="20"/>
          <w:szCs w:val="20"/>
        </w:rPr>
        <w:t>2</w:t>
      </w:r>
      <w:r>
        <w:rPr>
          <w:sz w:val="20"/>
          <w:szCs w:val="20"/>
        </w:rPr>
        <w:t>3</w:t>
      </w:r>
    </w:p>
    <w:p w:rsidR="00000000" w:rsidRDefault="00211603">
      <w:pPr>
        <w:rPr>
          <w:rFonts w:eastAsia="Times New Roman"/>
        </w:rPr>
      </w:pPr>
      <w:r>
        <w:rPr>
          <w:rFonts w:eastAsia="Times New Roman"/>
        </w:rPr>
        <w:pict>
          <v:rect id="_x0000_i1047"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Three Months Ended March 31, 2022 Compared to the Three Months Ended March 31, 202</w:t>
      </w:r>
      <w:r>
        <w:rPr>
          <w:b/>
          <w:bCs/>
          <w:sz w:val="20"/>
          <w:szCs w:val="20"/>
        </w:rPr>
        <w:t>1</w:t>
      </w:r>
    </w:p>
    <w:p w:rsidR="00000000" w:rsidRDefault="00211603">
      <w:pPr>
        <w:pStyle w:val="a3"/>
        <w:spacing w:before="200" w:beforeAutospacing="0" w:after="0" w:afterAutospacing="0"/>
        <w:ind w:left="476"/>
        <w:rPr>
          <w:sz w:val="20"/>
          <w:szCs w:val="20"/>
        </w:rPr>
      </w:pPr>
      <w:r>
        <w:rPr>
          <w:b/>
          <w:bCs/>
          <w:i/>
          <w:iCs/>
          <w:sz w:val="20"/>
          <w:szCs w:val="20"/>
        </w:rPr>
        <w:t>Revenu</w:t>
      </w:r>
      <w:r>
        <w:rPr>
          <w:b/>
          <w:bCs/>
          <w:i/>
          <w:iCs/>
          <w:sz w:val="20"/>
          <w:szCs w:val="20"/>
        </w:rPr>
        <w:t>e</w:t>
      </w:r>
      <w:r>
        <w:rPr>
          <w:sz w:val="20"/>
          <w:szCs w:val="20"/>
        </w:rPr>
        <w:t xml:space="preserve">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47"/>
        <w:gridCol w:w="108"/>
        <w:gridCol w:w="155"/>
        <w:gridCol w:w="794"/>
        <w:gridCol w:w="108"/>
        <w:gridCol w:w="108"/>
        <w:gridCol w:w="155"/>
        <w:gridCol w:w="779"/>
        <w:gridCol w:w="108"/>
        <w:gridCol w:w="108"/>
        <w:gridCol w:w="155"/>
        <w:gridCol w:w="785"/>
        <w:gridCol w:w="124"/>
        <w:gridCol w:w="108"/>
        <w:gridCol w:w="109"/>
        <w:gridCol w:w="927"/>
        <w:gridCol w:w="297"/>
      </w:tblGrid>
      <w:tr w:rsidR="00000000">
        <w:trPr>
          <w:tblCellSpacing w:w="15" w:type="dxa"/>
        </w:trPr>
        <w:tc>
          <w:tcPr>
            <w:tcW w:w="1857" w:type="pct"/>
            <w:vAlign w:val="center"/>
            <w:hideMark/>
          </w:tcPr>
          <w:p w:rsidR="00000000" w:rsidRDefault="00211603">
            <w:pPr>
              <w:rPr>
                <w:sz w:val="20"/>
                <w:szCs w:val="20"/>
              </w:rPr>
            </w:pPr>
          </w:p>
        </w:tc>
        <w:tc>
          <w:tcPr>
            <w:tcW w:w="33"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607"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596"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39"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600" w:type="pct"/>
            <w:vAlign w:val="center"/>
            <w:hideMark/>
          </w:tcPr>
          <w:p w:rsidR="00000000" w:rsidRDefault="00211603">
            <w:pPr>
              <w:rPr>
                <w:rFonts w:eastAsia="Times New Roman"/>
                <w:sz w:val="20"/>
                <w:szCs w:val="20"/>
              </w:rPr>
            </w:pPr>
          </w:p>
        </w:tc>
        <w:tc>
          <w:tcPr>
            <w:tcW w:w="43" w:type="pct"/>
            <w:vAlign w:val="center"/>
            <w:hideMark/>
          </w:tcPr>
          <w:p w:rsidR="00000000" w:rsidRDefault="00211603">
            <w:pPr>
              <w:rPr>
                <w:rFonts w:eastAsia="Times New Roman"/>
                <w:sz w:val="20"/>
                <w:szCs w:val="20"/>
              </w:rPr>
            </w:pPr>
          </w:p>
        </w:tc>
        <w:tc>
          <w:tcPr>
            <w:tcW w:w="33"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703" w:type="pct"/>
            <w:vAlign w:val="center"/>
            <w:hideMark/>
          </w:tcPr>
          <w:p w:rsidR="00000000" w:rsidRDefault="00211603">
            <w:pPr>
              <w:rPr>
                <w:rFonts w:eastAsia="Times New Roman"/>
                <w:sz w:val="20"/>
                <w:szCs w:val="20"/>
              </w:rPr>
            </w:pPr>
          </w:p>
        </w:tc>
        <w:tc>
          <w:tcPr>
            <w:tcW w:w="154"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Revenues</w:t>
            </w: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ind w:left="200"/>
              <w:rPr>
                <w:sz w:val="19"/>
                <w:szCs w:val="19"/>
              </w:rPr>
            </w:pPr>
            <w:r>
              <w:rPr>
                <w:sz w:val="19"/>
                <w:szCs w:val="19"/>
              </w:rPr>
              <w:t>Subscriptio</w:t>
            </w:r>
            <w:r>
              <w:rPr>
                <w:sz w:val="19"/>
                <w:szCs w:val="19"/>
              </w:rPr>
              <w:t>n</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384,95</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270,26</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114,69</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ind w:left="200"/>
              <w:rPr>
                <w:sz w:val="19"/>
                <w:szCs w:val="19"/>
              </w:rPr>
            </w:pPr>
            <w:r>
              <w:rPr>
                <w:sz w:val="19"/>
                <w:szCs w:val="19"/>
              </w:rPr>
              <w:t>Professional services and othe</w:t>
            </w:r>
            <w:r>
              <w:rPr>
                <w:sz w:val="19"/>
                <w:szCs w:val="19"/>
              </w:rPr>
              <w:t>r</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10,64</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11,10</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(45</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ind w:left="400"/>
              <w:rPr>
                <w:sz w:val="19"/>
                <w:szCs w:val="19"/>
              </w:rPr>
            </w:pPr>
            <w:r>
              <w:rPr>
                <w:sz w:val="19"/>
                <w:szCs w:val="19"/>
              </w:rPr>
              <w:t>Total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395,59</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281,36</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114,23</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bl>
    <w:p w:rsidR="00000000" w:rsidRDefault="00211603">
      <w:pPr>
        <w:pStyle w:val="a3"/>
        <w:spacing w:before="200" w:beforeAutospacing="0" w:after="0" w:afterAutospacing="0"/>
        <w:ind w:firstLine="555"/>
        <w:rPr>
          <w:sz w:val="20"/>
          <w:szCs w:val="20"/>
        </w:rPr>
      </w:pPr>
      <w:r>
        <w:rPr>
          <w:sz w:val="20"/>
          <w:szCs w:val="20"/>
        </w:rPr>
        <w:t>Subscription revenue increased during the three months ended March 31, 2022 compared to the same period in 2021 primarily due</w:t>
      </w:r>
      <w:r>
        <w:rPr>
          <w:sz w:val="20"/>
          <w:szCs w:val="20"/>
        </w:rPr>
        <w:t xml:space="preserve"> </w:t>
      </w:r>
      <w:r>
        <w:rPr>
          <w:sz w:val="20"/>
          <w:szCs w:val="20"/>
        </w:rPr>
        <w:t>to the increase in Customers, which grew from 113,925 as of March 31, 2021 to 143,689 as of March 31, 2022. Average Subscription R</w:t>
      </w:r>
      <w:r>
        <w:rPr>
          <w:sz w:val="20"/>
          <w:szCs w:val="20"/>
        </w:rPr>
        <w:t>evenue per Customer increased from $9,886 for the three months ended March 31, 2021 to $11,030 for the three months ended March 31, 2022. The growth in Customers was primarily driven by our increased sales representative capacity to meet market demand as w</w:t>
      </w:r>
      <w:r>
        <w:rPr>
          <w:sz w:val="20"/>
          <w:szCs w:val="20"/>
        </w:rPr>
        <w:t>ell as an increase in demand for our lower priced starter products and Professional and Enterprise products. The increase in average subscription revenue per customer was primarily driven by an increase in demand for our Professional and Enterprise product</w:t>
      </w:r>
      <w:r>
        <w:rPr>
          <w:sz w:val="20"/>
          <w:szCs w:val="20"/>
        </w:rPr>
        <w:t>s, product upgrades by existing customers and impact from customer mix</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Professional services and other revenue decreased during the three months ended March 31, 2022 compared to the same period in 2021 primarily due to non-recurring advertising revenue g</w:t>
      </w:r>
      <w:r>
        <w:rPr>
          <w:sz w:val="20"/>
          <w:szCs w:val="20"/>
        </w:rPr>
        <w:t>enerated from our acquisition of the Hustle in the first quarter of 2021 and lower overall services revenue from onboardings and trainings, partially offset by fees earned from Payments, revenue share arrangements with third parties, and other revenue stre</w:t>
      </w:r>
      <w:r>
        <w:rPr>
          <w:sz w:val="20"/>
          <w:szCs w:val="20"/>
        </w:rPr>
        <w:t>ams</w:t>
      </w:r>
      <w:r>
        <w:rPr>
          <w:sz w:val="20"/>
          <w:szCs w:val="20"/>
        </w:rPr>
        <w:t>.</w:t>
      </w:r>
    </w:p>
    <w:p w:rsidR="00000000" w:rsidRDefault="00211603">
      <w:pPr>
        <w:pStyle w:val="a3"/>
        <w:spacing w:before="200" w:beforeAutospacing="0" w:after="0" w:afterAutospacing="0"/>
        <w:ind w:firstLine="555"/>
        <w:rPr>
          <w:sz w:val="20"/>
          <w:szCs w:val="20"/>
        </w:rPr>
      </w:pPr>
      <w:r>
        <w:rPr>
          <w:b/>
          <w:bCs/>
          <w:i/>
          <w:iCs/>
          <w:sz w:val="20"/>
          <w:szCs w:val="20"/>
        </w:rPr>
        <w:t>Cost of Revenue, Gross Profit and Gross Margin Percentage</w:t>
      </w:r>
      <w:r>
        <w:rPr>
          <w:b/>
          <w:bCs/>
          <w:i/>
          <w:iCs/>
          <w:sz w:val="20"/>
          <w:szCs w:val="20"/>
        </w:rPr>
        <w:t xml:space="preserve">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22"/>
        <w:gridCol w:w="105"/>
        <w:gridCol w:w="150"/>
        <w:gridCol w:w="1010"/>
        <w:gridCol w:w="210"/>
        <w:gridCol w:w="105"/>
        <w:gridCol w:w="150"/>
        <w:gridCol w:w="875"/>
        <w:gridCol w:w="210"/>
        <w:gridCol w:w="105"/>
        <w:gridCol w:w="150"/>
        <w:gridCol w:w="848"/>
        <w:gridCol w:w="105"/>
        <w:gridCol w:w="105"/>
        <w:gridCol w:w="106"/>
        <w:gridCol w:w="894"/>
        <w:gridCol w:w="225"/>
      </w:tblGrid>
      <w:tr w:rsidR="00000000">
        <w:trPr>
          <w:tblCellSpacing w:w="15" w:type="dxa"/>
        </w:trPr>
        <w:tc>
          <w:tcPr>
            <w:tcW w:w="1544" w:type="pct"/>
            <w:vAlign w:val="center"/>
            <w:hideMark/>
          </w:tcPr>
          <w:p w:rsidR="00000000" w:rsidRDefault="00211603">
            <w:pPr>
              <w:rPr>
                <w:sz w:val="20"/>
                <w:szCs w:val="20"/>
              </w:rPr>
            </w:pPr>
          </w:p>
        </w:tc>
        <w:tc>
          <w:tcPr>
            <w:tcW w:w="42" w:type="pct"/>
            <w:vAlign w:val="center"/>
            <w:hideMark/>
          </w:tcPr>
          <w:p w:rsidR="00000000" w:rsidRDefault="00211603">
            <w:pPr>
              <w:rPr>
                <w:rFonts w:eastAsia="Times New Roman"/>
                <w:sz w:val="20"/>
                <w:szCs w:val="20"/>
              </w:rPr>
            </w:pPr>
          </w:p>
        </w:tc>
        <w:tc>
          <w:tcPr>
            <w:tcW w:w="62" w:type="pct"/>
            <w:vAlign w:val="center"/>
            <w:hideMark/>
          </w:tcPr>
          <w:p w:rsidR="00000000" w:rsidRDefault="00211603">
            <w:pPr>
              <w:rPr>
                <w:rFonts w:eastAsia="Times New Roman"/>
                <w:sz w:val="20"/>
                <w:szCs w:val="20"/>
              </w:rPr>
            </w:pPr>
          </w:p>
        </w:tc>
        <w:tc>
          <w:tcPr>
            <w:tcW w:w="754" w:type="pct"/>
            <w:vAlign w:val="center"/>
            <w:hideMark/>
          </w:tcPr>
          <w:p w:rsidR="00000000" w:rsidRDefault="00211603">
            <w:pPr>
              <w:rPr>
                <w:rFonts w:eastAsia="Times New Roman"/>
                <w:sz w:val="20"/>
                <w:szCs w:val="20"/>
              </w:rPr>
            </w:pPr>
          </w:p>
        </w:tc>
        <w:tc>
          <w:tcPr>
            <w:tcW w:w="104"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c>
          <w:tcPr>
            <w:tcW w:w="62" w:type="pct"/>
            <w:vAlign w:val="center"/>
            <w:hideMark/>
          </w:tcPr>
          <w:p w:rsidR="00000000" w:rsidRDefault="00211603">
            <w:pPr>
              <w:rPr>
                <w:rFonts w:eastAsia="Times New Roman"/>
                <w:sz w:val="20"/>
                <w:szCs w:val="20"/>
              </w:rPr>
            </w:pPr>
          </w:p>
        </w:tc>
        <w:tc>
          <w:tcPr>
            <w:tcW w:w="658" w:type="pct"/>
            <w:vAlign w:val="center"/>
            <w:hideMark/>
          </w:tcPr>
          <w:p w:rsidR="00000000" w:rsidRDefault="00211603">
            <w:pPr>
              <w:rPr>
                <w:rFonts w:eastAsia="Times New Roman"/>
                <w:sz w:val="20"/>
                <w:szCs w:val="20"/>
              </w:rPr>
            </w:pPr>
          </w:p>
        </w:tc>
        <w:tc>
          <w:tcPr>
            <w:tcW w:w="104"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c>
          <w:tcPr>
            <w:tcW w:w="62" w:type="pct"/>
            <w:vAlign w:val="center"/>
            <w:hideMark/>
          </w:tcPr>
          <w:p w:rsidR="00000000" w:rsidRDefault="00211603">
            <w:pPr>
              <w:rPr>
                <w:rFonts w:eastAsia="Times New Roman"/>
                <w:sz w:val="20"/>
                <w:szCs w:val="20"/>
              </w:rPr>
            </w:pPr>
          </w:p>
        </w:tc>
        <w:tc>
          <w:tcPr>
            <w:tcW w:w="638"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671" w:type="pct"/>
            <w:vAlign w:val="center"/>
            <w:hideMark/>
          </w:tcPr>
          <w:p w:rsidR="00000000" w:rsidRDefault="00211603">
            <w:pPr>
              <w:rPr>
                <w:rFonts w:eastAsia="Times New Roman"/>
                <w:sz w:val="20"/>
                <w:szCs w:val="20"/>
              </w:rPr>
            </w:pPr>
          </w:p>
        </w:tc>
        <w:tc>
          <w:tcPr>
            <w:tcW w:w="104"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Total cost of revenu</w:t>
            </w:r>
            <w:r>
              <w:rPr>
                <w:sz w:val="18"/>
                <w:szCs w:val="18"/>
              </w:rPr>
              <w:t>e</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72,93</w:t>
            </w:r>
            <w:r>
              <w:rPr>
                <w:sz w:val="18"/>
                <w:szCs w:val="18"/>
              </w:rPr>
              <w:t>6</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54,73</w:t>
            </w:r>
            <w:r>
              <w:rPr>
                <w:sz w:val="18"/>
                <w:szCs w:val="18"/>
              </w:rPr>
              <w:t>4</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18,20</w:t>
            </w:r>
            <w:r>
              <w:rPr>
                <w:sz w:val="18"/>
                <w:szCs w:val="18"/>
              </w:rPr>
              <w:t>2</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3</w:t>
            </w:r>
            <w:r>
              <w:rPr>
                <w:sz w:val="18"/>
                <w:szCs w:val="18"/>
              </w:rPr>
              <w:t>3</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Gross profi</w:t>
            </w:r>
            <w:r>
              <w:rPr>
                <w:sz w:val="18"/>
                <w:szCs w:val="18"/>
              </w:rPr>
              <w:t>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322,66</w:t>
            </w:r>
            <w:r>
              <w:rPr>
                <w:sz w:val="18"/>
                <w:szCs w:val="18"/>
              </w:rPr>
              <w:t>3</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226,63</w:t>
            </w:r>
            <w:r>
              <w:rPr>
                <w:sz w:val="18"/>
                <w:szCs w:val="18"/>
              </w:rPr>
              <w:t>1</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96,03</w:t>
            </w:r>
            <w:r>
              <w:rPr>
                <w:sz w:val="18"/>
                <w:szCs w:val="18"/>
              </w:rPr>
              <w:t>2</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4</w:t>
            </w:r>
            <w:r>
              <w:rPr>
                <w:sz w:val="18"/>
                <w:szCs w:val="18"/>
              </w:rPr>
              <w:t>2</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Gross margin percentag</w:t>
            </w:r>
            <w:r>
              <w:rPr>
                <w:sz w:val="18"/>
                <w:szCs w:val="18"/>
              </w:rPr>
              <w:t>e</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8</w:t>
            </w:r>
            <w:r>
              <w:rPr>
                <w:sz w:val="18"/>
                <w:szCs w:val="18"/>
              </w:rPr>
              <w:t>2</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8</w:t>
            </w:r>
            <w:r>
              <w:rPr>
                <w:sz w:val="18"/>
                <w:szCs w:val="18"/>
              </w:rPr>
              <w:t>1</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 </w:t>
            </w:r>
          </w:p>
        </w:tc>
      </w:tr>
    </w:tbl>
    <w:p w:rsidR="00000000" w:rsidRDefault="00211603">
      <w:pPr>
        <w:pStyle w:val="a3"/>
        <w:spacing w:before="200" w:beforeAutospacing="0" w:after="0" w:afterAutospacing="0"/>
        <w:ind w:firstLine="555"/>
        <w:rPr>
          <w:sz w:val="20"/>
          <w:szCs w:val="20"/>
        </w:rPr>
      </w:pPr>
      <w:r>
        <w:rPr>
          <w:sz w:val="20"/>
          <w:szCs w:val="20"/>
        </w:rPr>
        <w:t>Total cost of revenue for the three months ended March 31, 2022 increased compared to the same period in 2021 primarily due to an increase in subscription and hosting costs, employee-related costs, amortization of capitalized software development costs, al</w:t>
      </w:r>
      <w:r>
        <w:rPr>
          <w:sz w:val="20"/>
          <w:szCs w:val="20"/>
        </w:rPr>
        <w:t>located overhead expenses, and amortization of acquired technology. Gross margins remained consistent year-over-year.</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36"/>
        <w:gridCol w:w="108"/>
        <w:gridCol w:w="155"/>
        <w:gridCol w:w="713"/>
        <w:gridCol w:w="219"/>
        <w:gridCol w:w="108"/>
        <w:gridCol w:w="155"/>
        <w:gridCol w:w="695"/>
        <w:gridCol w:w="219"/>
        <w:gridCol w:w="108"/>
        <w:gridCol w:w="156"/>
        <w:gridCol w:w="700"/>
        <w:gridCol w:w="108"/>
        <w:gridCol w:w="108"/>
        <w:gridCol w:w="109"/>
        <w:gridCol w:w="844"/>
        <w:gridCol w:w="234"/>
      </w:tblGrid>
      <w:tr w:rsidR="00000000">
        <w:trPr>
          <w:tblCellSpacing w:w="15" w:type="dxa"/>
        </w:trPr>
        <w:tc>
          <w:tcPr>
            <w:tcW w:w="1983" w:type="pct"/>
            <w:vAlign w:val="center"/>
            <w:hideMark/>
          </w:tcPr>
          <w:p w:rsidR="00000000" w:rsidRDefault="00211603">
            <w:pPr>
              <w:rPr>
                <w:sz w:val="20"/>
                <w:szCs w:val="20"/>
              </w:rPr>
            </w:pPr>
          </w:p>
        </w:tc>
        <w:tc>
          <w:tcPr>
            <w:tcW w:w="55"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538"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28"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525"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528"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632"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8"/>
                <w:szCs w:val="18"/>
              </w:rPr>
            </w:pPr>
            <w:r>
              <w:rPr>
                <w:b/>
                <w:bCs/>
                <w:sz w:val="18"/>
                <w:szCs w:val="18"/>
              </w:rPr>
              <w:t>(dollars in thousands</w:t>
            </w:r>
            <w:r>
              <w:rPr>
                <w:b/>
                <w:bCs/>
                <w:sz w:val="18"/>
                <w:szCs w:val="18"/>
              </w:rPr>
              <w:t>)</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 Chang</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 Chang</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Subscription cost of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59,38</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43,85</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15,53</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Percentage of subscription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r>
    </w:tbl>
    <w:p w:rsidR="00000000" w:rsidRDefault="00211603">
      <w:pPr>
        <w:pStyle w:val="a3"/>
        <w:spacing w:before="200" w:beforeAutospacing="0" w:after="0" w:afterAutospacing="0"/>
        <w:ind w:firstLine="555"/>
        <w:rPr>
          <w:sz w:val="20"/>
          <w:szCs w:val="20"/>
        </w:rPr>
      </w:pPr>
      <w:r>
        <w:rPr>
          <w:sz w:val="20"/>
          <w:szCs w:val="20"/>
        </w:rPr>
        <w:t>The increase in subscription cost of revenue for the three months ended March 31, 2022 compared to the same period in 2021 was primarily due to the following:</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087"/>
        <w:gridCol w:w="126"/>
        <w:gridCol w:w="161"/>
        <w:gridCol w:w="1315"/>
        <w:gridCol w:w="125"/>
      </w:tblGrid>
      <w:tr w:rsidR="00000000">
        <w:trPr>
          <w:tblCellSpacing w:w="15" w:type="dxa"/>
        </w:trPr>
        <w:tc>
          <w:tcPr>
            <w:tcW w:w="3600" w:type="pct"/>
            <w:vAlign w:val="center"/>
            <w:hideMark/>
          </w:tcPr>
          <w:p w:rsidR="00000000" w:rsidRDefault="00211603">
            <w:pPr>
              <w:rPr>
                <w:sz w:val="20"/>
                <w:szCs w:val="20"/>
              </w:rPr>
            </w:pPr>
          </w:p>
        </w:tc>
        <w:tc>
          <w:tcPr>
            <w:tcW w:w="99" w:type="pct"/>
            <w:vAlign w:val="center"/>
            <w:hideMark/>
          </w:tcPr>
          <w:p w:rsidR="00000000" w:rsidRDefault="00211603">
            <w:pPr>
              <w:rPr>
                <w:rFonts w:eastAsia="Times New Roman"/>
                <w:sz w:val="20"/>
                <w:szCs w:val="20"/>
              </w:rPr>
            </w:pPr>
          </w:p>
        </w:tc>
        <w:tc>
          <w:tcPr>
            <w:tcW w:w="102" w:type="pct"/>
            <w:vAlign w:val="center"/>
            <w:hideMark/>
          </w:tcPr>
          <w:p w:rsidR="00000000" w:rsidRDefault="00211603">
            <w:pPr>
              <w:rPr>
                <w:rFonts w:eastAsia="Times New Roman"/>
                <w:sz w:val="20"/>
                <w:szCs w:val="20"/>
              </w:rPr>
            </w:pPr>
          </w:p>
        </w:tc>
        <w:tc>
          <w:tcPr>
            <w:tcW w:w="1155"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9,15</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3,92</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2,19</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17</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Amortization of acquired technolog</w:t>
            </w:r>
            <w:r>
              <w:rPr>
                <w:sz w:val="20"/>
                <w:szCs w:val="20"/>
              </w:rPr>
              <w:t>y</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15,53</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630"/>
        <w:rPr>
          <w:sz w:val="20"/>
          <w:szCs w:val="20"/>
        </w:rPr>
      </w:pPr>
      <w:r>
        <w:rPr>
          <w:sz w:val="20"/>
          <w:szCs w:val="20"/>
        </w:rPr>
        <w:t xml:space="preserve">Subscription and hosting costs increased primarily due to growth in our Total Customer base from 113,925 as of March 31, 2021 to 143,689 as of March 31, 2022. We also saw higher subscription </w:t>
      </w:r>
      <w:r>
        <w:rPr>
          <w:sz w:val="20"/>
          <w:szCs w:val="20"/>
        </w:rPr>
        <w:t>and hosting costs as we launched an additional data center in the third quarter of 2021 and continued to focus on the security, reliability and performance of our CRM Platform. Employee-related costs increased as a result of increased headcount as we conti</w:t>
      </w:r>
      <w:r>
        <w:rPr>
          <w:sz w:val="20"/>
          <w:szCs w:val="20"/>
        </w:rPr>
        <w:t>nue to grow our customer support organization to support our customer growth and improve service levels and offerings. Amortization of capitalized software development costs increased due to th</w:t>
      </w:r>
      <w:r>
        <w:rPr>
          <w:sz w:val="20"/>
          <w:szCs w:val="20"/>
        </w:rPr>
        <w:t>e</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2</w:t>
      </w:r>
      <w:r>
        <w:rPr>
          <w:sz w:val="20"/>
          <w:szCs w:val="20"/>
        </w:rPr>
        <w:t>4</w:t>
      </w:r>
    </w:p>
    <w:p w:rsidR="00000000" w:rsidRDefault="00211603">
      <w:pPr>
        <w:rPr>
          <w:rFonts w:eastAsia="Times New Roman"/>
        </w:rPr>
      </w:pPr>
      <w:r>
        <w:rPr>
          <w:rFonts w:eastAsia="Times New Roman"/>
        </w:rPr>
        <w:pict>
          <v:rect id="_x0000_i1048"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increased number of developers working on our software platform as we continue to develop new products and increased functionality. Allocated overhead expenses increased due to an increase in shared company expenses as</w:t>
      </w:r>
      <w:r>
        <w:rPr>
          <w:sz w:val="20"/>
          <w:szCs w:val="20"/>
        </w:rPr>
        <w:t>sociated with our systems and infrastructure as we continued to grow our business and expand headcount. Amortization of acquired technology increased due to certain acquired technology being amortized using a method reflective of the expected economic bene</w:t>
      </w:r>
      <w:r>
        <w:rPr>
          <w:sz w:val="20"/>
          <w:szCs w:val="20"/>
        </w:rPr>
        <w:t>fit consumption</w:t>
      </w:r>
      <w:r>
        <w:rPr>
          <w:sz w:val="20"/>
          <w:szCs w:val="20"/>
        </w:rPr>
        <w:t xml:space="preserve"> </w:t>
      </w:r>
      <w:r>
        <w:rPr>
          <w:sz w:val="20"/>
          <w:szCs w:val="20"/>
        </w:rPr>
        <w:t>over the expected useful life of the asset.</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36"/>
        <w:gridCol w:w="110"/>
        <w:gridCol w:w="160"/>
        <w:gridCol w:w="705"/>
        <w:gridCol w:w="227"/>
        <w:gridCol w:w="110"/>
        <w:gridCol w:w="160"/>
        <w:gridCol w:w="687"/>
        <w:gridCol w:w="227"/>
        <w:gridCol w:w="110"/>
        <w:gridCol w:w="161"/>
        <w:gridCol w:w="683"/>
        <w:gridCol w:w="110"/>
        <w:gridCol w:w="110"/>
        <w:gridCol w:w="111"/>
        <w:gridCol w:w="826"/>
        <w:gridCol w:w="242"/>
      </w:tblGrid>
      <w:tr w:rsidR="00000000">
        <w:trPr>
          <w:tblCellSpacing w:w="15" w:type="dxa"/>
        </w:trPr>
        <w:tc>
          <w:tcPr>
            <w:tcW w:w="1985" w:type="pct"/>
            <w:vAlign w:val="center"/>
            <w:hideMark/>
          </w:tcPr>
          <w:p w:rsidR="00000000" w:rsidRDefault="00211603">
            <w:pPr>
              <w:rPr>
                <w:sz w:val="20"/>
                <w:szCs w:val="20"/>
              </w:rPr>
            </w:pPr>
          </w:p>
        </w:tc>
        <w:tc>
          <w:tcPr>
            <w:tcW w:w="55"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34" w:type="pct"/>
            <w:vAlign w:val="center"/>
            <w:hideMark/>
          </w:tcPr>
          <w:p w:rsidR="00000000" w:rsidRDefault="00211603">
            <w:pPr>
              <w:rPr>
                <w:rFonts w:eastAsia="Times New Roman"/>
                <w:sz w:val="20"/>
                <w:szCs w:val="20"/>
              </w:rPr>
            </w:pPr>
          </w:p>
        </w:tc>
        <w:tc>
          <w:tcPr>
            <w:tcW w:w="116" w:type="pct"/>
            <w:vAlign w:val="center"/>
            <w:hideMark/>
          </w:tcPr>
          <w:p w:rsidR="00000000" w:rsidRDefault="00211603">
            <w:pPr>
              <w:rPr>
                <w:rFonts w:eastAsia="Times New Roman"/>
                <w:sz w:val="20"/>
                <w:szCs w:val="20"/>
              </w:rPr>
            </w:pPr>
          </w:p>
        </w:tc>
        <w:tc>
          <w:tcPr>
            <w:tcW w:w="28"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21" w:type="pct"/>
            <w:vAlign w:val="center"/>
            <w:hideMark/>
          </w:tcPr>
          <w:p w:rsidR="00000000" w:rsidRDefault="00211603">
            <w:pPr>
              <w:rPr>
                <w:rFonts w:eastAsia="Times New Roman"/>
                <w:sz w:val="20"/>
                <w:szCs w:val="20"/>
              </w:rPr>
            </w:pPr>
          </w:p>
        </w:tc>
        <w:tc>
          <w:tcPr>
            <w:tcW w:w="116"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518"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55"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621" w:type="pct"/>
            <w:vAlign w:val="center"/>
            <w:hideMark/>
          </w:tcPr>
          <w:p w:rsidR="00000000" w:rsidRDefault="00211603">
            <w:pPr>
              <w:rPr>
                <w:rFonts w:eastAsia="Times New Roman"/>
                <w:sz w:val="20"/>
                <w:szCs w:val="20"/>
              </w:rPr>
            </w:pPr>
          </w:p>
        </w:tc>
        <w:tc>
          <w:tcPr>
            <w:tcW w:w="116"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xml:space="preserve">Professional services and other cost </w:t>
            </w:r>
            <w:r>
              <w:rPr>
                <w:sz w:val="20"/>
                <w:szCs w:val="20"/>
              </w:rPr>
              <w:br/>
              <w:t>  of revenu</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13,55</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10,88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2,67</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Percentage of professional services</w:t>
            </w:r>
            <w:r>
              <w:rPr>
                <w:sz w:val="20"/>
                <w:szCs w:val="20"/>
              </w:rPr>
              <w:br/>
              <w:t>  and other revenu</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r>
    </w:tbl>
    <w:p w:rsidR="00000000" w:rsidRDefault="00211603">
      <w:pPr>
        <w:pStyle w:val="a3"/>
        <w:spacing w:before="200" w:beforeAutospacing="0" w:after="0" w:afterAutospacing="0"/>
        <w:ind w:firstLine="816"/>
        <w:rPr>
          <w:sz w:val="20"/>
          <w:szCs w:val="20"/>
        </w:rPr>
      </w:pPr>
      <w:r>
        <w:rPr>
          <w:sz w:val="20"/>
          <w:szCs w:val="20"/>
        </w:rPr>
        <w:t xml:space="preserve">The increase in professional services and other cost of revenue for three months ended March 31, 2022 compared to the same period in 2021 was primarily due to the following: </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064"/>
        <w:gridCol w:w="127"/>
        <w:gridCol w:w="161"/>
        <w:gridCol w:w="1337"/>
        <w:gridCol w:w="125"/>
      </w:tblGrid>
      <w:tr w:rsidR="00000000">
        <w:trPr>
          <w:tblCellSpacing w:w="15" w:type="dxa"/>
        </w:trPr>
        <w:tc>
          <w:tcPr>
            <w:tcW w:w="3580" w:type="pct"/>
            <w:vAlign w:val="center"/>
            <w:hideMark/>
          </w:tcPr>
          <w:p w:rsidR="00000000" w:rsidRDefault="00211603">
            <w:pPr>
              <w:rPr>
                <w:sz w:val="20"/>
                <w:szCs w:val="20"/>
              </w:rPr>
            </w:pPr>
          </w:p>
        </w:tc>
        <w:tc>
          <w:tcPr>
            <w:tcW w:w="100" w:type="pct"/>
            <w:vAlign w:val="center"/>
            <w:hideMark/>
          </w:tcPr>
          <w:p w:rsidR="00000000" w:rsidRDefault="00211603">
            <w:pPr>
              <w:rPr>
                <w:rFonts w:eastAsia="Times New Roman"/>
                <w:sz w:val="20"/>
                <w:szCs w:val="20"/>
              </w:rPr>
            </w:pPr>
          </w:p>
        </w:tc>
        <w:tc>
          <w:tcPr>
            <w:tcW w:w="102" w:type="pct"/>
            <w:vAlign w:val="center"/>
            <w:hideMark/>
          </w:tcPr>
          <w:p w:rsidR="00000000" w:rsidRDefault="00211603">
            <w:pPr>
              <w:rPr>
                <w:rFonts w:eastAsia="Times New Roman"/>
                <w:sz w:val="20"/>
                <w:szCs w:val="20"/>
              </w:rPr>
            </w:pPr>
          </w:p>
        </w:tc>
        <w:tc>
          <w:tcPr>
            <w:tcW w:w="1173" w:type="pct"/>
            <w:vAlign w:val="center"/>
            <w:hideMark/>
          </w:tcPr>
          <w:p w:rsidR="00000000" w:rsidRDefault="00211603">
            <w:pPr>
              <w:rPr>
                <w:rFonts w:eastAsia="Times New Roman"/>
                <w:sz w:val="20"/>
                <w:szCs w:val="20"/>
              </w:rPr>
            </w:pPr>
          </w:p>
        </w:tc>
        <w:tc>
          <w:tcPr>
            <w:tcW w:w="43"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2,50</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16</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2,67</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 Allocated overhead expenses increased due to an increase in shared company expenses associated</w:t>
      </w:r>
      <w:r>
        <w:rPr>
          <w:sz w:val="20"/>
          <w:szCs w:val="20"/>
        </w:rPr>
        <w:t xml:space="preserve"> with our systems and infrastructure as we continued to grow our business and expand headcount</w:t>
      </w:r>
      <w:r>
        <w:rPr>
          <w:sz w:val="20"/>
          <w:szCs w:val="20"/>
        </w:rPr>
        <w:t>.</w:t>
      </w:r>
    </w:p>
    <w:p w:rsidR="00000000" w:rsidRDefault="00211603">
      <w:pPr>
        <w:pStyle w:val="a3"/>
        <w:spacing w:before="200" w:beforeAutospacing="0" w:after="0" w:afterAutospacing="0"/>
        <w:ind w:firstLine="555"/>
        <w:rPr>
          <w:sz w:val="20"/>
          <w:szCs w:val="20"/>
        </w:rPr>
      </w:pPr>
      <w:r>
        <w:rPr>
          <w:b/>
          <w:bCs/>
          <w:i/>
          <w:iCs/>
          <w:sz w:val="20"/>
          <w:szCs w:val="20"/>
        </w:rPr>
        <w:t>Research and Development</w:t>
      </w:r>
      <w:r>
        <w:rPr>
          <w:b/>
          <w:bCs/>
          <w:i/>
          <w:iCs/>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66"/>
        <w:gridCol w:w="108"/>
        <w:gridCol w:w="155"/>
        <w:gridCol w:w="829"/>
        <w:gridCol w:w="219"/>
        <w:gridCol w:w="108"/>
        <w:gridCol w:w="155"/>
        <w:gridCol w:w="757"/>
        <w:gridCol w:w="219"/>
        <w:gridCol w:w="108"/>
        <w:gridCol w:w="155"/>
        <w:gridCol w:w="836"/>
        <w:gridCol w:w="108"/>
        <w:gridCol w:w="108"/>
        <w:gridCol w:w="109"/>
        <w:gridCol w:w="901"/>
        <w:gridCol w:w="234"/>
      </w:tblGrid>
      <w:tr w:rsidR="00000000">
        <w:trPr>
          <w:tblCellSpacing w:w="15" w:type="dxa"/>
        </w:trPr>
        <w:tc>
          <w:tcPr>
            <w:tcW w:w="1736" w:type="pct"/>
            <w:vAlign w:val="center"/>
            <w:hideMark/>
          </w:tcPr>
          <w:p w:rsidR="00000000" w:rsidRDefault="00211603">
            <w:pPr>
              <w:rPr>
                <w:sz w:val="20"/>
                <w:szCs w:val="20"/>
              </w:rPr>
            </w:pPr>
          </w:p>
        </w:tc>
        <w:tc>
          <w:tcPr>
            <w:tcW w:w="25"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641"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25"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588"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25"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645"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25"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692"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Research and developmen</w:t>
            </w:r>
            <w:r>
              <w:rPr>
                <w:sz w:val="19"/>
                <w:szCs w:val="19"/>
              </w:rPr>
              <w:t>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92,73</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68,39</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24,34</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2</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2</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bl>
    <w:p w:rsidR="00000000" w:rsidRDefault="00211603">
      <w:pPr>
        <w:pStyle w:val="a3"/>
        <w:spacing w:before="200" w:beforeAutospacing="0" w:after="0" w:afterAutospacing="0"/>
        <w:ind w:firstLine="555"/>
        <w:rPr>
          <w:sz w:val="20"/>
          <w:szCs w:val="20"/>
        </w:rPr>
      </w:pPr>
      <w:r>
        <w:rPr>
          <w:sz w:val="20"/>
          <w:szCs w:val="20"/>
        </w:rPr>
        <w:t>The increase in research and development expense for the three months ended March 31, 2022 compared to the same period in 2021 was primarily due to the following:</w:t>
      </w:r>
      <w:r>
        <w:rPr>
          <w:sz w:val="20"/>
          <w:szCs w:val="20"/>
        </w:rPr>
        <w:br/>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877"/>
        <w:gridCol w:w="110"/>
        <w:gridCol w:w="161"/>
        <w:gridCol w:w="1524"/>
        <w:gridCol w:w="142"/>
      </w:tblGrid>
      <w:tr w:rsidR="00000000">
        <w:trPr>
          <w:tblCellSpacing w:w="15" w:type="dxa"/>
        </w:trPr>
        <w:tc>
          <w:tcPr>
            <w:tcW w:w="3427" w:type="pct"/>
            <w:vAlign w:val="center"/>
            <w:hideMark/>
          </w:tcPr>
          <w:p w:rsidR="00000000" w:rsidRDefault="00211603">
            <w:pPr>
              <w:rPr>
                <w:sz w:val="20"/>
                <w:szCs w:val="20"/>
              </w:rPr>
            </w:pPr>
          </w:p>
        </w:tc>
        <w:tc>
          <w:tcPr>
            <w:tcW w:w="49" w:type="pct"/>
            <w:vAlign w:val="center"/>
            <w:hideMark/>
          </w:tcPr>
          <w:p w:rsidR="00000000" w:rsidRDefault="00211603">
            <w:pPr>
              <w:rPr>
                <w:rFonts w:eastAsia="Times New Roman"/>
                <w:sz w:val="20"/>
                <w:szCs w:val="20"/>
              </w:rPr>
            </w:pPr>
          </w:p>
        </w:tc>
        <w:tc>
          <w:tcPr>
            <w:tcW w:w="102" w:type="pct"/>
            <w:vAlign w:val="center"/>
            <w:hideMark/>
          </w:tcPr>
          <w:p w:rsidR="00000000" w:rsidRDefault="00211603">
            <w:pPr>
              <w:rPr>
                <w:rFonts w:eastAsia="Times New Roman"/>
                <w:sz w:val="20"/>
                <w:szCs w:val="20"/>
              </w:rPr>
            </w:pPr>
          </w:p>
        </w:tc>
        <w:tc>
          <w:tcPr>
            <w:tcW w:w="1352"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25,99</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Professional service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42</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43</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(2,51</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24,34</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rPr>
          <w:sz w:val="20"/>
          <w:szCs w:val="20"/>
        </w:rPr>
      </w:pPr>
      <w:r>
        <w:rPr>
          <w:sz w:val="20"/>
          <w:szCs w:val="20"/>
        </w:rPr>
        <w:t>Employee-related costs increased as a result of increased headcount as we continue to grow our engineering organization to develop new products, increase functionality and to maintain our existing CRM Platform. Professional services increased due to an inc</w:t>
      </w:r>
      <w:r>
        <w:rPr>
          <w:sz w:val="20"/>
          <w:szCs w:val="20"/>
        </w:rPr>
        <w:t>rease in the use of third-party services and contractors as we continued to grow our engineering organization. Allocated overhead expenses increased due to an increase in shared company expenses associated with our systems and infrastructure as we continue</w:t>
      </w:r>
      <w:r>
        <w:rPr>
          <w:sz w:val="20"/>
          <w:szCs w:val="20"/>
        </w:rPr>
        <w:t>d to grow our business and expand headcount. Hosting expense decreased due to incremental spend in the first quarter of 2021 associated with product development infrastructure that is unrelated to the hosting of our CRM Platform for paying Customers. In Ju</w:t>
      </w:r>
      <w:r>
        <w:rPr>
          <w:sz w:val="20"/>
          <w:szCs w:val="20"/>
        </w:rPr>
        <w:t>ly of 2021, we launched a new data center and the ongoing expenses related to the hosting of our CRM Platform on that data center are classified as subscription cost of revenue</w:t>
      </w:r>
      <w:r>
        <w:rPr>
          <w:sz w:val="20"/>
          <w:szCs w:val="20"/>
        </w:rPr>
        <w:t>.</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2</w:t>
      </w:r>
      <w:r>
        <w:rPr>
          <w:sz w:val="20"/>
          <w:szCs w:val="20"/>
        </w:rPr>
        <w:t>5</w:t>
      </w:r>
    </w:p>
    <w:p w:rsidR="00000000" w:rsidRDefault="00211603">
      <w:pPr>
        <w:rPr>
          <w:rFonts w:eastAsia="Times New Roman"/>
        </w:rPr>
      </w:pPr>
      <w:r>
        <w:rPr>
          <w:rFonts w:eastAsia="Times New Roman"/>
        </w:rPr>
        <w:pict>
          <v:rect id="_x0000_i1049"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ind w:firstLine="555"/>
        <w:rPr>
          <w:sz w:val="20"/>
          <w:szCs w:val="20"/>
        </w:rPr>
      </w:pPr>
      <w:r>
        <w:rPr>
          <w:b/>
          <w:bCs/>
          <w:i/>
          <w:iCs/>
          <w:sz w:val="20"/>
          <w:szCs w:val="20"/>
        </w:rPr>
        <w:t>Sales and Marketing</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03"/>
        <w:gridCol w:w="108"/>
        <w:gridCol w:w="155"/>
        <w:gridCol w:w="929"/>
        <w:gridCol w:w="219"/>
        <w:gridCol w:w="108"/>
        <w:gridCol w:w="155"/>
        <w:gridCol w:w="855"/>
        <w:gridCol w:w="219"/>
        <w:gridCol w:w="108"/>
        <w:gridCol w:w="155"/>
        <w:gridCol w:w="754"/>
        <w:gridCol w:w="108"/>
        <w:gridCol w:w="108"/>
        <w:gridCol w:w="109"/>
        <w:gridCol w:w="848"/>
        <w:gridCol w:w="234"/>
      </w:tblGrid>
      <w:tr w:rsidR="00000000">
        <w:trPr>
          <w:tblCellSpacing w:w="15" w:type="dxa"/>
        </w:trPr>
        <w:tc>
          <w:tcPr>
            <w:tcW w:w="1689" w:type="pct"/>
            <w:vAlign w:val="center"/>
            <w:hideMark/>
          </w:tcPr>
          <w:p w:rsidR="00000000" w:rsidRDefault="00211603">
            <w:pPr>
              <w:rPr>
                <w:sz w:val="20"/>
                <w:szCs w:val="20"/>
              </w:rPr>
            </w:pPr>
          </w:p>
        </w:tc>
        <w:tc>
          <w:tcPr>
            <w:tcW w:w="27"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711"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27"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658"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27"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585"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27"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652"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Sales and marketin</w:t>
            </w:r>
            <w:r>
              <w:rPr>
                <w:sz w:val="19"/>
                <w:szCs w:val="19"/>
              </w:rPr>
              <w:t>g</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197,13</w:t>
            </w:r>
            <w:r>
              <w:rPr>
                <w:sz w:val="19"/>
                <w:szCs w:val="19"/>
              </w:rPr>
              <w:t>4</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141,01</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56,11</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5</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5</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bl>
    <w:p w:rsidR="00000000" w:rsidRDefault="00211603">
      <w:pPr>
        <w:pStyle w:val="a3"/>
        <w:spacing w:before="200" w:beforeAutospacing="0" w:after="0" w:afterAutospacing="0"/>
        <w:ind w:firstLine="555"/>
        <w:rPr>
          <w:sz w:val="20"/>
          <w:szCs w:val="20"/>
        </w:rPr>
      </w:pPr>
      <w:r>
        <w:rPr>
          <w:sz w:val="20"/>
          <w:szCs w:val="20"/>
        </w:rPr>
        <w:t>The increase in sales and marketing expense for the three months ended March 31, 2022 compared to the same period in 2021 was primarily due to the following:</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776"/>
        <w:gridCol w:w="110"/>
        <w:gridCol w:w="161"/>
        <w:gridCol w:w="1642"/>
        <w:gridCol w:w="125"/>
      </w:tblGrid>
      <w:tr w:rsidR="00000000">
        <w:trPr>
          <w:tblCellSpacing w:w="15" w:type="dxa"/>
        </w:trPr>
        <w:tc>
          <w:tcPr>
            <w:tcW w:w="3341" w:type="pct"/>
            <w:vAlign w:val="center"/>
            <w:hideMark/>
          </w:tcPr>
          <w:p w:rsidR="00000000" w:rsidRDefault="00211603">
            <w:pPr>
              <w:rPr>
                <w:sz w:val="20"/>
                <w:szCs w:val="20"/>
              </w:rPr>
            </w:pPr>
          </w:p>
        </w:tc>
        <w:tc>
          <w:tcPr>
            <w:tcW w:w="53" w:type="pct"/>
            <w:vAlign w:val="center"/>
            <w:hideMark/>
          </w:tcPr>
          <w:p w:rsidR="00000000" w:rsidRDefault="00211603">
            <w:pPr>
              <w:rPr>
                <w:rFonts w:eastAsia="Times New Roman"/>
                <w:sz w:val="20"/>
                <w:szCs w:val="20"/>
              </w:rPr>
            </w:pPr>
          </w:p>
        </w:tc>
        <w:tc>
          <w:tcPr>
            <w:tcW w:w="102" w:type="pct"/>
            <w:vAlign w:val="center"/>
            <w:hideMark/>
          </w:tcPr>
          <w:p w:rsidR="00000000" w:rsidRDefault="00211603">
            <w:pPr>
              <w:rPr>
                <w:rFonts w:eastAsia="Times New Roman"/>
                <w:sz w:val="20"/>
                <w:szCs w:val="20"/>
              </w:rPr>
            </w:pPr>
          </w:p>
        </w:tc>
        <w:tc>
          <w:tcPr>
            <w:tcW w:w="1461" w:type="pct"/>
            <w:vAlign w:val="center"/>
            <w:hideMark/>
          </w:tcPr>
          <w:p w:rsidR="00000000" w:rsidRDefault="00211603">
            <w:pPr>
              <w:rPr>
                <w:rFonts w:eastAsia="Times New Roman"/>
                <w:sz w:val="20"/>
                <w:szCs w:val="20"/>
              </w:rPr>
            </w:pPr>
          </w:p>
        </w:tc>
        <w:tc>
          <w:tcPr>
            <w:tcW w:w="42"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39,26</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7,32</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6,14</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2,13</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Professional service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1,24</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56,11</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rPr>
          <w:sz w:val="20"/>
          <w:szCs w:val="20"/>
        </w:rPr>
      </w:pPr>
      <w:r>
        <w:rPr>
          <w:sz w:val="20"/>
          <w:szCs w:val="20"/>
        </w:rPr>
        <w:t>Employee-related costs increased as a result of increased headcount as we continue to expand our selling and marketing organizations to grow our customer base. Solutions Partner commissions increased as a result of increased revenue generated through our S</w:t>
      </w:r>
      <w:r>
        <w:rPr>
          <w:sz w:val="20"/>
          <w:szCs w:val="20"/>
        </w:rPr>
        <w:t>olutions Partners. Marketing programs increased due to the timing and size of certain marketing efforts as we continue to make investments in attracting new customers. Allocated overhead expenses increased due to an increase in shared company expenses asso</w:t>
      </w:r>
      <w:r>
        <w:rPr>
          <w:sz w:val="20"/>
          <w:szCs w:val="20"/>
        </w:rPr>
        <w:t>ciated with our systems and infrastructure as we continued to grow our business and expand headcount. Professional fees increased due to an increase in the use of third-party services and contractors for our marketing efforts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b/>
          <w:bCs/>
          <w:i/>
          <w:iCs/>
          <w:sz w:val="20"/>
          <w:szCs w:val="20"/>
        </w:rPr>
        <w:t>General and Administrative</w:t>
      </w:r>
      <w:r>
        <w:rPr>
          <w:b/>
          <w:bCs/>
          <w:i/>
          <w:iCs/>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12"/>
        <w:gridCol w:w="108"/>
        <w:gridCol w:w="155"/>
        <w:gridCol w:w="839"/>
        <w:gridCol w:w="219"/>
        <w:gridCol w:w="108"/>
        <w:gridCol w:w="155"/>
        <w:gridCol w:w="766"/>
        <w:gridCol w:w="219"/>
        <w:gridCol w:w="108"/>
        <w:gridCol w:w="155"/>
        <w:gridCol w:w="821"/>
        <w:gridCol w:w="108"/>
        <w:gridCol w:w="108"/>
        <w:gridCol w:w="109"/>
        <w:gridCol w:w="851"/>
        <w:gridCol w:w="234"/>
      </w:tblGrid>
      <w:tr w:rsidR="00000000">
        <w:trPr>
          <w:tblCellSpacing w:w="15" w:type="dxa"/>
        </w:trPr>
        <w:tc>
          <w:tcPr>
            <w:tcW w:w="1765" w:type="pct"/>
            <w:vAlign w:val="center"/>
            <w:hideMark/>
          </w:tcPr>
          <w:p w:rsidR="00000000" w:rsidRDefault="00211603">
            <w:pPr>
              <w:rPr>
                <w:sz w:val="20"/>
                <w:szCs w:val="20"/>
              </w:rPr>
            </w:pPr>
          </w:p>
        </w:tc>
        <w:tc>
          <w:tcPr>
            <w:tcW w:w="29"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644"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592"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66" w:type="pct"/>
            <w:vAlign w:val="center"/>
            <w:hideMark/>
          </w:tcPr>
          <w:p w:rsidR="00000000" w:rsidRDefault="00211603">
            <w:pPr>
              <w:rPr>
                <w:rFonts w:eastAsia="Times New Roman"/>
                <w:sz w:val="20"/>
                <w:szCs w:val="20"/>
              </w:rPr>
            </w:pPr>
          </w:p>
        </w:tc>
        <w:tc>
          <w:tcPr>
            <w:tcW w:w="631"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29"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653" w:type="pct"/>
            <w:vAlign w:val="center"/>
            <w:hideMark/>
          </w:tcPr>
          <w:p w:rsidR="00000000" w:rsidRDefault="00211603">
            <w:pPr>
              <w:rPr>
                <w:rFonts w:eastAsia="Times New Roman"/>
                <w:sz w:val="20"/>
                <w:szCs w:val="20"/>
              </w:rPr>
            </w:pPr>
          </w:p>
        </w:tc>
        <w:tc>
          <w:tcPr>
            <w:tcW w:w="110"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General and administrativ</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43,94</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32,25</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11,69</w:t>
            </w:r>
            <w:r>
              <w:rPr>
                <w:sz w:val="19"/>
                <w:szCs w:val="19"/>
              </w:rPr>
              <w:t>7</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w:t>
            </w:r>
            <w:r>
              <w:rPr>
                <w:sz w:val="19"/>
                <w:szCs w:val="19"/>
              </w:rPr>
              <w:t>6</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w:t>
            </w: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r>
    </w:tbl>
    <w:p w:rsidR="00000000" w:rsidRDefault="00211603">
      <w:pPr>
        <w:pStyle w:val="a3"/>
        <w:spacing w:before="200" w:beforeAutospacing="0" w:after="0" w:afterAutospacing="0"/>
        <w:ind w:firstLine="555"/>
        <w:rPr>
          <w:sz w:val="20"/>
          <w:szCs w:val="20"/>
        </w:rPr>
      </w:pPr>
      <w:r>
        <w:rPr>
          <w:sz w:val="20"/>
          <w:szCs w:val="20"/>
        </w:rPr>
        <w:t xml:space="preserve">The increase in general and administrative expense for the three months ended March 31, 2022 compared to the same period in 2021 was primarily due to the following: </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875"/>
        <w:gridCol w:w="115"/>
        <w:gridCol w:w="161"/>
        <w:gridCol w:w="1538"/>
        <w:gridCol w:w="125"/>
      </w:tblGrid>
      <w:tr w:rsidR="00000000">
        <w:trPr>
          <w:tblCellSpacing w:w="15" w:type="dxa"/>
        </w:trPr>
        <w:tc>
          <w:tcPr>
            <w:tcW w:w="3428" w:type="pct"/>
            <w:vAlign w:val="center"/>
            <w:hideMark/>
          </w:tcPr>
          <w:p w:rsidR="00000000" w:rsidRDefault="00211603">
            <w:pPr>
              <w:rPr>
                <w:sz w:val="20"/>
                <w:szCs w:val="20"/>
              </w:rPr>
            </w:pPr>
          </w:p>
        </w:tc>
        <w:tc>
          <w:tcPr>
            <w:tcW w:w="58" w:type="pct"/>
            <w:vAlign w:val="center"/>
            <w:hideMark/>
          </w:tcPr>
          <w:p w:rsidR="00000000" w:rsidRDefault="00211603">
            <w:pPr>
              <w:rPr>
                <w:rFonts w:eastAsia="Times New Roman"/>
                <w:sz w:val="20"/>
                <w:szCs w:val="20"/>
              </w:rPr>
            </w:pPr>
          </w:p>
        </w:tc>
        <w:tc>
          <w:tcPr>
            <w:tcW w:w="102" w:type="pct"/>
            <w:vAlign w:val="center"/>
            <w:hideMark/>
          </w:tcPr>
          <w:p w:rsidR="00000000" w:rsidRDefault="00211603">
            <w:pPr>
              <w:rPr>
                <w:rFonts w:eastAsia="Times New Roman"/>
                <w:sz w:val="20"/>
                <w:szCs w:val="20"/>
              </w:rPr>
            </w:pPr>
          </w:p>
        </w:tc>
        <w:tc>
          <w:tcPr>
            <w:tcW w:w="1367" w:type="pct"/>
            <w:vAlign w:val="center"/>
            <w:hideMark/>
          </w:tcPr>
          <w:p w:rsidR="00000000" w:rsidRDefault="00211603">
            <w:pPr>
              <w:rPr>
                <w:rFonts w:eastAsia="Times New Roman"/>
                <w:sz w:val="20"/>
                <w:szCs w:val="20"/>
              </w:rPr>
            </w:pPr>
          </w:p>
        </w:tc>
        <w:tc>
          <w:tcPr>
            <w:tcW w:w="43"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8,58</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1,22</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1,89</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11,69</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rPr>
          <w:sz w:val="20"/>
          <w:szCs w:val="20"/>
        </w:rPr>
      </w:pPr>
      <w:r>
        <w:rPr>
          <w:sz w:val="20"/>
          <w:szCs w:val="20"/>
        </w:rPr>
        <w:t>Employee-related costs increased as a result of increased headcount as we continue to grow our business and require additional personnel to support our expanded operations. Allocated overhead expenses increased due to an increase in shared company expenses</w:t>
      </w:r>
      <w:r>
        <w:rPr>
          <w:sz w:val="20"/>
          <w:szCs w:val="20"/>
        </w:rPr>
        <w:t xml:space="preserve"> associated with our systems and infrastructure as we continued to grow our business and expand headcount. Customer credit card fees increased due to increased customer transactions as we continue to grow our business</w:t>
      </w:r>
      <w:r>
        <w:rPr>
          <w:sz w:val="20"/>
          <w:szCs w:val="20"/>
        </w:rPr>
        <w:t>.</w:t>
      </w:r>
    </w:p>
    <w:p w:rsidR="00000000" w:rsidRDefault="00211603">
      <w:pPr>
        <w:pStyle w:val="a3"/>
        <w:spacing w:before="200" w:beforeAutospacing="0" w:after="0" w:afterAutospacing="0"/>
        <w:ind w:firstLine="555"/>
        <w:rPr>
          <w:sz w:val="20"/>
          <w:szCs w:val="20"/>
        </w:rPr>
      </w:pPr>
      <w:r>
        <w:rPr>
          <w:b/>
          <w:bCs/>
          <w:i/>
          <w:iCs/>
          <w:sz w:val="20"/>
          <w:szCs w:val="20"/>
        </w:rPr>
        <w:t xml:space="preserve">Interest income </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73"/>
        <w:gridCol w:w="108"/>
        <w:gridCol w:w="155"/>
        <w:gridCol w:w="605"/>
        <w:gridCol w:w="108"/>
        <w:gridCol w:w="108"/>
        <w:gridCol w:w="155"/>
        <w:gridCol w:w="606"/>
        <w:gridCol w:w="108"/>
        <w:gridCol w:w="108"/>
        <w:gridCol w:w="156"/>
        <w:gridCol w:w="847"/>
        <w:gridCol w:w="108"/>
        <w:gridCol w:w="108"/>
        <w:gridCol w:w="109"/>
        <w:gridCol w:w="979"/>
        <w:gridCol w:w="234"/>
      </w:tblGrid>
      <w:tr w:rsidR="00000000">
        <w:trPr>
          <w:tblCellSpacing w:w="15" w:type="dxa"/>
        </w:trPr>
        <w:tc>
          <w:tcPr>
            <w:tcW w:w="2107" w:type="pct"/>
            <w:vAlign w:val="center"/>
            <w:hideMark/>
          </w:tcPr>
          <w:p w:rsidR="00000000" w:rsidRDefault="00211603">
            <w:pPr>
              <w:rPr>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485"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485"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659"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754" w:type="pct"/>
            <w:vAlign w:val="center"/>
            <w:hideMark/>
          </w:tcPr>
          <w:p w:rsidR="00000000" w:rsidRDefault="00211603">
            <w:pPr>
              <w:rPr>
                <w:rFonts w:eastAsia="Times New Roman"/>
                <w:sz w:val="20"/>
                <w:szCs w:val="20"/>
              </w:rPr>
            </w:pPr>
          </w:p>
        </w:tc>
        <w:tc>
          <w:tcPr>
            <w:tcW w:w="112"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Interest incom</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51</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47</w:t>
            </w:r>
            <w:r>
              <w:rPr>
                <w:sz w:val="19"/>
                <w:szCs w:val="19"/>
              </w:rPr>
              <w:t>5</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8</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r>
    </w:tbl>
    <w:p w:rsidR="00000000" w:rsidRDefault="00211603">
      <w:pPr>
        <w:pStyle w:val="a3"/>
        <w:spacing w:before="200" w:beforeAutospacing="0" w:after="0" w:afterAutospacing="0"/>
        <w:ind w:hanging="581"/>
        <w:rPr>
          <w:sz w:val="20"/>
          <w:szCs w:val="20"/>
        </w:rPr>
      </w:pPr>
      <w:r>
        <w:rPr>
          <w:sz w:val="20"/>
          <w:szCs w:val="20"/>
        </w:rPr>
        <w:t xml:space="preserve">* </w:t>
      </w:r>
      <w:r>
        <w:rPr>
          <w:sz w:val="20"/>
          <w:szCs w:val="20"/>
        </w:rPr>
        <w:t>not meaningfu</w:t>
      </w:r>
      <w:r>
        <w:rPr>
          <w:sz w:val="20"/>
          <w:szCs w:val="20"/>
        </w:rPr>
        <w:t>l</w:t>
      </w:r>
    </w:p>
    <w:p w:rsidR="00000000" w:rsidRDefault="00211603">
      <w:pPr>
        <w:pStyle w:val="a3"/>
        <w:spacing w:before="240" w:beforeAutospacing="0" w:after="0" w:afterAutospacing="0"/>
        <w:jc w:val="center"/>
        <w:rPr>
          <w:sz w:val="20"/>
          <w:szCs w:val="20"/>
        </w:rPr>
      </w:pPr>
      <w:r>
        <w:rPr>
          <w:sz w:val="20"/>
          <w:szCs w:val="20"/>
        </w:rPr>
        <w:t>2</w:t>
      </w:r>
      <w:r>
        <w:rPr>
          <w:sz w:val="20"/>
          <w:szCs w:val="20"/>
        </w:rPr>
        <w:t>6</w:t>
      </w:r>
    </w:p>
    <w:p w:rsidR="00000000" w:rsidRDefault="00211603">
      <w:pPr>
        <w:rPr>
          <w:rFonts w:eastAsia="Times New Roman"/>
        </w:rPr>
      </w:pPr>
      <w:r>
        <w:rPr>
          <w:rFonts w:eastAsia="Times New Roman"/>
        </w:rPr>
        <w:pict>
          <v:rect id="_x0000_i1050"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ind w:firstLine="592"/>
        <w:rPr>
          <w:sz w:val="20"/>
          <w:szCs w:val="20"/>
        </w:rPr>
      </w:pPr>
      <w:r>
        <w:rPr>
          <w:sz w:val="20"/>
          <w:szCs w:val="20"/>
        </w:rPr>
        <w:t>Interest income primarily consists of interest earned on invested cash and cash equivalents balances and investments. The increase during the three months ended March 31, 2022 is due to an increase in</w:t>
      </w:r>
      <w:r>
        <w:rPr>
          <w:sz w:val="20"/>
          <w:szCs w:val="20"/>
        </w:rPr>
        <w:t xml:space="preserve"> yields on our investment balances</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b/>
          <w:bCs/>
          <w:i/>
          <w:iCs/>
          <w:sz w:val="20"/>
          <w:szCs w:val="20"/>
        </w:rPr>
        <w:t>Interest expense</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04"/>
        <w:gridCol w:w="108"/>
        <w:gridCol w:w="155"/>
        <w:gridCol w:w="589"/>
        <w:gridCol w:w="124"/>
        <w:gridCol w:w="108"/>
        <w:gridCol w:w="155"/>
        <w:gridCol w:w="551"/>
        <w:gridCol w:w="282"/>
        <w:gridCol w:w="108"/>
        <w:gridCol w:w="155"/>
        <w:gridCol w:w="779"/>
        <w:gridCol w:w="124"/>
        <w:gridCol w:w="108"/>
        <w:gridCol w:w="109"/>
        <w:gridCol w:w="919"/>
        <w:gridCol w:w="297"/>
      </w:tblGrid>
      <w:tr w:rsidR="00000000">
        <w:trPr>
          <w:tblCellSpacing w:w="15" w:type="dxa"/>
        </w:trPr>
        <w:tc>
          <w:tcPr>
            <w:tcW w:w="2058" w:type="pct"/>
            <w:vAlign w:val="center"/>
            <w:hideMark/>
          </w:tcPr>
          <w:p w:rsidR="00000000" w:rsidRDefault="00211603">
            <w:pPr>
              <w:rPr>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474" w:type="pct"/>
            <w:vAlign w:val="center"/>
            <w:hideMark/>
          </w:tcPr>
          <w:p w:rsidR="00000000" w:rsidRDefault="00211603">
            <w:pPr>
              <w:rPr>
                <w:rFonts w:eastAsia="Times New Roman"/>
                <w:sz w:val="20"/>
                <w:szCs w:val="20"/>
              </w:rPr>
            </w:pPr>
          </w:p>
        </w:tc>
        <w:tc>
          <w:tcPr>
            <w:tcW w:w="44"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411" w:type="pct"/>
            <w:vAlign w:val="center"/>
            <w:hideMark/>
          </w:tcPr>
          <w:p w:rsidR="00000000" w:rsidRDefault="00211603">
            <w:pPr>
              <w:rPr>
                <w:rFonts w:eastAsia="Times New Roman"/>
                <w:sz w:val="20"/>
                <w:szCs w:val="20"/>
              </w:rPr>
            </w:pPr>
          </w:p>
        </w:tc>
        <w:tc>
          <w:tcPr>
            <w:tcW w:w="155"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645" w:type="pct"/>
            <w:vAlign w:val="center"/>
            <w:hideMark/>
          </w:tcPr>
          <w:p w:rsidR="00000000" w:rsidRDefault="00211603">
            <w:pPr>
              <w:rPr>
                <w:rFonts w:eastAsia="Times New Roman"/>
                <w:sz w:val="20"/>
                <w:szCs w:val="20"/>
              </w:rPr>
            </w:pPr>
          </w:p>
        </w:tc>
        <w:tc>
          <w:tcPr>
            <w:tcW w:w="44"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710" w:type="pct"/>
            <w:vAlign w:val="center"/>
            <w:hideMark/>
          </w:tcPr>
          <w:p w:rsidR="00000000" w:rsidRDefault="00211603">
            <w:pPr>
              <w:rPr>
                <w:rFonts w:eastAsia="Times New Roman"/>
                <w:sz w:val="20"/>
                <w:szCs w:val="20"/>
              </w:rPr>
            </w:pPr>
          </w:p>
        </w:tc>
        <w:tc>
          <w:tcPr>
            <w:tcW w:w="155"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Interest expens</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(95</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(9,39</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(8,44</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(9</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w:t>
            </w:r>
            <w:r>
              <w:rPr>
                <w:sz w:val="19"/>
                <w:szCs w:val="19"/>
              </w:rPr>
              <w:t>3</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r>
    </w:tbl>
    <w:p w:rsidR="00000000" w:rsidRDefault="00211603">
      <w:pPr>
        <w:pStyle w:val="a3"/>
        <w:spacing w:before="200" w:beforeAutospacing="0" w:after="0" w:afterAutospacing="0"/>
        <w:ind w:hanging="581"/>
        <w:rPr>
          <w:sz w:val="20"/>
          <w:szCs w:val="20"/>
        </w:rPr>
      </w:pPr>
      <w:r>
        <w:rPr>
          <w:sz w:val="20"/>
          <w:szCs w:val="20"/>
        </w:rPr>
        <w:t>* not meaningfu</w:t>
      </w:r>
      <w:r>
        <w:rPr>
          <w:sz w:val="20"/>
          <w:szCs w:val="20"/>
        </w:rPr>
        <w:t>l</w:t>
      </w:r>
    </w:p>
    <w:p w:rsidR="00000000" w:rsidRDefault="00211603">
      <w:pPr>
        <w:pStyle w:val="a3"/>
        <w:spacing w:before="200" w:beforeAutospacing="0" w:after="0" w:afterAutospacing="0"/>
        <w:ind w:firstLine="592"/>
        <w:rPr>
          <w:sz w:val="20"/>
          <w:szCs w:val="20"/>
        </w:rPr>
      </w:pPr>
      <w:r>
        <w:rPr>
          <w:sz w:val="20"/>
          <w:szCs w:val="20"/>
        </w:rPr>
        <w:t>The change in interest expense for the three months ended March 31, 2022 compared to the same period in 2021 is due to the following</w:t>
      </w:r>
      <w:r>
        <w:rPr>
          <w:sz w:val="20"/>
          <w:szCs w:val="20"/>
        </w:rPr>
        <w:t>:</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288"/>
        <w:gridCol w:w="110"/>
        <w:gridCol w:w="161"/>
        <w:gridCol w:w="1113"/>
        <w:gridCol w:w="142"/>
      </w:tblGrid>
      <w:tr w:rsidR="00000000">
        <w:trPr>
          <w:tblCellSpacing w:w="15" w:type="dxa"/>
        </w:trPr>
        <w:tc>
          <w:tcPr>
            <w:tcW w:w="3802" w:type="pct"/>
            <w:vAlign w:val="center"/>
            <w:hideMark/>
          </w:tcPr>
          <w:p w:rsidR="00000000" w:rsidRDefault="00211603">
            <w:pPr>
              <w:rPr>
                <w:sz w:val="20"/>
                <w:szCs w:val="20"/>
              </w:rPr>
            </w:pPr>
          </w:p>
        </w:tc>
        <w:tc>
          <w:tcPr>
            <w:tcW w:w="30" w:type="pct"/>
            <w:vAlign w:val="center"/>
            <w:hideMark/>
          </w:tcPr>
          <w:p w:rsidR="00000000" w:rsidRDefault="00211603">
            <w:pPr>
              <w:rPr>
                <w:rFonts w:eastAsia="Times New Roman"/>
                <w:sz w:val="20"/>
                <w:szCs w:val="20"/>
              </w:rPr>
            </w:pPr>
          </w:p>
        </w:tc>
        <w:tc>
          <w:tcPr>
            <w:tcW w:w="101" w:type="pct"/>
            <w:vAlign w:val="center"/>
            <w:hideMark/>
          </w:tcPr>
          <w:p w:rsidR="00000000" w:rsidRDefault="00211603">
            <w:pPr>
              <w:rPr>
                <w:rFonts w:eastAsia="Times New Roman"/>
                <w:sz w:val="20"/>
                <w:szCs w:val="20"/>
              </w:rPr>
            </w:pPr>
          </w:p>
        </w:tc>
        <w:tc>
          <w:tcPr>
            <w:tcW w:w="998"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 xml:space="preserve">Amortization of the debt discount and issuance costs and </w:t>
            </w:r>
            <w:r>
              <w:rPr>
                <w:sz w:val="20"/>
                <w:szCs w:val="20"/>
              </w:rPr>
              <w:br/>
              <w:t>  contractual interest expense related to our Note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hideMark/>
          </w:tcPr>
          <w:p w:rsidR="00000000" w:rsidRDefault="00211603">
            <w:pPr>
              <w:pStyle w:val="a3"/>
              <w:spacing w:before="0" w:beforeAutospacing="0" w:after="0" w:afterAutospacing="0"/>
              <w:rPr>
                <w:sz w:val="20"/>
                <w:szCs w:val="20"/>
              </w:rPr>
            </w:pPr>
            <w:r>
              <w:rPr>
                <w:sz w:val="20"/>
                <w:szCs w:val="20"/>
              </w:rPr>
              <w:t>$</w:t>
            </w:r>
          </w:p>
        </w:tc>
        <w:tc>
          <w:tcPr>
            <w:tcW w:w="0" w:type="auto"/>
            <w:hideMark/>
          </w:tcPr>
          <w:p w:rsidR="00000000" w:rsidRDefault="00211603">
            <w:pPr>
              <w:pStyle w:val="a3"/>
              <w:spacing w:before="0" w:beforeAutospacing="0" w:after="0" w:afterAutospacing="0"/>
              <w:jc w:val="right"/>
              <w:rPr>
                <w:sz w:val="20"/>
                <w:szCs w:val="20"/>
              </w:rPr>
            </w:pPr>
            <w:r>
              <w:rPr>
                <w:sz w:val="20"/>
                <w:szCs w:val="20"/>
              </w:rPr>
              <w:t>(6,04</w:t>
            </w:r>
            <w:r>
              <w:rPr>
                <w:sz w:val="20"/>
                <w:szCs w:val="20"/>
              </w:rPr>
              <w:t>4</w:t>
            </w:r>
          </w:p>
        </w:tc>
        <w:tc>
          <w:tcPr>
            <w:tcW w:w="0" w:type="auto"/>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Loss on early extinguishment of 2022 Convertible Note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(2,40</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(8,44</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200" w:beforeAutospacing="0" w:after="0" w:afterAutospacing="0"/>
        <w:ind w:firstLine="592"/>
        <w:rPr>
          <w:sz w:val="20"/>
          <w:szCs w:val="20"/>
        </w:rPr>
      </w:pPr>
      <w:r>
        <w:rPr>
          <w:sz w:val="20"/>
          <w:szCs w:val="20"/>
        </w:rPr>
        <w:t xml:space="preserve">Interest expense </w:t>
      </w:r>
      <w:r>
        <w:rPr>
          <w:sz w:val="20"/>
          <w:szCs w:val="20"/>
        </w:rPr>
        <w:t>p</w:t>
      </w:r>
      <w:r>
        <w:rPr>
          <w:sz w:val="20"/>
          <w:szCs w:val="20"/>
        </w:rPr>
        <w:t xml:space="preserve">rimarily consists of amortization of the debt discount and issuance costs and contractual interest expense related to our Notes, and the loss on early extinguishment of our 2022 Notes. The decrease in interest expense related to the Notes is primarily due </w:t>
      </w:r>
      <w:r>
        <w:rPr>
          <w:sz w:val="20"/>
          <w:szCs w:val="20"/>
        </w:rPr>
        <w:t>to the adoption of the new convertible debt guidance</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b/>
          <w:bCs/>
          <w:i/>
          <w:iCs/>
          <w:sz w:val="20"/>
          <w:szCs w:val="20"/>
        </w:rPr>
        <w:t xml:space="preserve">Other income </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46"/>
        <w:gridCol w:w="108"/>
        <w:gridCol w:w="155"/>
        <w:gridCol w:w="541"/>
        <w:gridCol w:w="219"/>
        <w:gridCol w:w="108"/>
        <w:gridCol w:w="155"/>
        <w:gridCol w:w="601"/>
        <w:gridCol w:w="108"/>
        <w:gridCol w:w="108"/>
        <w:gridCol w:w="156"/>
        <w:gridCol w:w="840"/>
        <w:gridCol w:w="108"/>
        <w:gridCol w:w="108"/>
        <w:gridCol w:w="109"/>
        <w:gridCol w:w="971"/>
        <w:gridCol w:w="234"/>
      </w:tblGrid>
      <w:tr w:rsidR="00000000">
        <w:trPr>
          <w:tblCellSpacing w:w="15" w:type="dxa"/>
        </w:trPr>
        <w:tc>
          <w:tcPr>
            <w:tcW w:w="2088" w:type="pct"/>
            <w:vAlign w:val="center"/>
            <w:hideMark/>
          </w:tcPr>
          <w:p w:rsidR="00000000" w:rsidRDefault="00211603">
            <w:pPr>
              <w:rPr>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439" w:type="pct"/>
            <w:vAlign w:val="center"/>
            <w:hideMark/>
          </w:tcPr>
          <w:p w:rsidR="00000000" w:rsidRDefault="00211603">
            <w:pPr>
              <w:rPr>
                <w:rFonts w:eastAsia="Times New Roman"/>
                <w:sz w:val="20"/>
                <w:szCs w:val="20"/>
              </w:rPr>
            </w:pPr>
          </w:p>
        </w:tc>
        <w:tc>
          <w:tcPr>
            <w:tcW w:w="111"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481"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c>
          <w:tcPr>
            <w:tcW w:w="654" w:type="pct"/>
            <w:vAlign w:val="center"/>
            <w:hideMark/>
          </w:tcPr>
          <w:p w:rsidR="00000000" w:rsidRDefault="00211603">
            <w:pPr>
              <w:rPr>
                <w:rFonts w:eastAsia="Times New Roman"/>
                <w:sz w:val="20"/>
                <w:szCs w:val="20"/>
              </w:rPr>
            </w:pPr>
          </w:p>
        </w:tc>
        <w:tc>
          <w:tcPr>
            <w:tcW w:w="30"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748" w:type="pct"/>
            <w:vAlign w:val="center"/>
            <w:hideMark/>
          </w:tcPr>
          <w:p w:rsidR="00000000" w:rsidRDefault="00211603">
            <w:pPr>
              <w:rPr>
                <w:rFonts w:eastAsia="Times New Roman"/>
                <w:sz w:val="20"/>
                <w:szCs w:val="20"/>
              </w:rPr>
            </w:pPr>
          </w:p>
        </w:tc>
        <w:tc>
          <w:tcPr>
            <w:tcW w:w="111"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Other incom</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3,69</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66</w:t>
            </w:r>
            <w:r>
              <w:rPr>
                <w:sz w:val="19"/>
                <w:szCs w:val="19"/>
              </w:rPr>
              <w:t>0</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3,03</w:t>
            </w:r>
            <w:r>
              <w:rPr>
                <w:sz w:val="19"/>
                <w:szCs w:val="19"/>
              </w:rPr>
              <w:t>2</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45</w:t>
            </w:r>
            <w:r>
              <w:rPr>
                <w:sz w:val="19"/>
                <w:szCs w:val="19"/>
              </w:rPr>
              <w:t>9</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211603">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1</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211603">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211603">
            <w:pPr>
              <w:pStyle w:val="a3"/>
              <w:spacing w:before="0" w:beforeAutospacing="0" w:after="0" w:afterAutospacing="0"/>
              <w:jc w:val="right"/>
              <w:rPr>
                <w:sz w:val="19"/>
                <w:szCs w:val="19"/>
              </w:rPr>
            </w:pPr>
            <w:r>
              <w:rPr>
                <w:sz w:val="19"/>
                <w:szCs w:val="19"/>
              </w:rPr>
              <w:t> </w:t>
            </w:r>
          </w:p>
        </w:tc>
      </w:tr>
    </w:tbl>
    <w:p w:rsidR="00000000" w:rsidRDefault="00211603">
      <w:pPr>
        <w:pStyle w:val="a3"/>
        <w:spacing w:before="200" w:beforeAutospacing="0" w:after="0" w:afterAutospacing="0"/>
        <w:ind w:hanging="581"/>
        <w:rPr>
          <w:sz w:val="20"/>
          <w:szCs w:val="20"/>
        </w:rPr>
      </w:pPr>
      <w:r>
        <w:rPr>
          <w:sz w:val="20"/>
          <w:szCs w:val="20"/>
        </w:rPr>
        <w:t>* not meaningfu</w:t>
      </w:r>
      <w:r>
        <w:rPr>
          <w:sz w:val="20"/>
          <w:szCs w:val="20"/>
        </w:rPr>
        <w:t>l</w:t>
      </w:r>
    </w:p>
    <w:p w:rsidR="00000000" w:rsidRDefault="00211603">
      <w:pPr>
        <w:pStyle w:val="a3"/>
        <w:spacing w:before="200" w:beforeAutospacing="0" w:after="0" w:afterAutospacing="0"/>
        <w:ind w:firstLine="592"/>
        <w:rPr>
          <w:sz w:val="20"/>
          <w:szCs w:val="20"/>
        </w:rPr>
      </w:pPr>
      <w:r>
        <w:rPr>
          <w:sz w:val="20"/>
          <w:szCs w:val="20"/>
        </w:rPr>
        <w:t>The change in other income during the three months ended March 31, 2022 is primarily due to the following:</w:t>
      </w:r>
      <w:r>
        <w:rPr>
          <w:sz w:val="20"/>
          <w:szCs w:val="20"/>
        </w:rPr>
        <w:t xml:space="preserve"> </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275"/>
        <w:gridCol w:w="110"/>
        <w:gridCol w:w="161"/>
        <w:gridCol w:w="1126"/>
        <w:gridCol w:w="142"/>
      </w:tblGrid>
      <w:tr w:rsidR="00000000">
        <w:trPr>
          <w:tblCellSpacing w:w="15" w:type="dxa"/>
        </w:trPr>
        <w:tc>
          <w:tcPr>
            <w:tcW w:w="3789" w:type="pct"/>
            <w:vAlign w:val="center"/>
            <w:hideMark/>
          </w:tcPr>
          <w:p w:rsidR="00000000" w:rsidRDefault="00211603">
            <w:pPr>
              <w:rPr>
                <w:sz w:val="20"/>
                <w:szCs w:val="20"/>
              </w:rPr>
            </w:pPr>
          </w:p>
        </w:tc>
        <w:tc>
          <w:tcPr>
            <w:tcW w:w="31" w:type="pct"/>
            <w:vAlign w:val="center"/>
            <w:hideMark/>
          </w:tcPr>
          <w:p w:rsidR="00000000" w:rsidRDefault="00211603">
            <w:pPr>
              <w:rPr>
                <w:rFonts w:eastAsia="Times New Roman"/>
                <w:sz w:val="20"/>
                <w:szCs w:val="20"/>
              </w:rPr>
            </w:pPr>
          </w:p>
        </w:tc>
        <w:tc>
          <w:tcPr>
            <w:tcW w:w="102" w:type="pct"/>
            <w:vAlign w:val="center"/>
            <w:hideMark/>
          </w:tcPr>
          <w:p w:rsidR="00000000" w:rsidRDefault="00211603">
            <w:pPr>
              <w:rPr>
                <w:rFonts w:eastAsia="Times New Roman"/>
                <w:sz w:val="20"/>
                <w:szCs w:val="20"/>
              </w:rPr>
            </w:pPr>
          </w:p>
        </w:tc>
        <w:tc>
          <w:tcPr>
            <w:tcW w:w="1009" w:type="pct"/>
            <w:vAlign w:val="center"/>
            <w:hideMark/>
          </w:tcPr>
          <w:p w:rsidR="00000000" w:rsidRDefault="00211603">
            <w:pPr>
              <w:rPr>
                <w:rFonts w:eastAsia="Times New Roman"/>
                <w:sz w:val="20"/>
                <w:szCs w:val="20"/>
              </w:rPr>
            </w:pPr>
          </w:p>
        </w:tc>
        <w:tc>
          <w:tcPr>
            <w:tcW w:w="67"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Foreign currency gains and losse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hideMark/>
          </w:tcPr>
          <w:p w:rsidR="00000000" w:rsidRDefault="00211603">
            <w:pPr>
              <w:pStyle w:val="a3"/>
              <w:spacing w:before="0" w:beforeAutospacing="0" w:after="0" w:afterAutospacing="0"/>
              <w:rPr>
                <w:sz w:val="20"/>
                <w:szCs w:val="20"/>
              </w:rPr>
            </w:pPr>
            <w:r>
              <w:rPr>
                <w:sz w:val="20"/>
                <w:szCs w:val="20"/>
              </w:rPr>
              <w:t>$</w:t>
            </w:r>
          </w:p>
        </w:tc>
        <w:tc>
          <w:tcPr>
            <w:tcW w:w="0" w:type="auto"/>
            <w:hideMark/>
          </w:tcPr>
          <w:p w:rsidR="00000000" w:rsidRDefault="00211603">
            <w:pPr>
              <w:pStyle w:val="a3"/>
              <w:spacing w:before="0" w:beforeAutospacing="0" w:after="0" w:afterAutospacing="0"/>
              <w:jc w:val="right"/>
              <w:rPr>
                <w:sz w:val="20"/>
                <w:szCs w:val="20"/>
              </w:rPr>
            </w:pPr>
            <w:r>
              <w:rPr>
                <w:sz w:val="20"/>
                <w:szCs w:val="20"/>
              </w:rPr>
              <w:t>(1,18</w:t>
            </w:r>
            <w:r>
              <w:rPr>
                <w:sz w:val="20"/>
                <w:szCs w:val="20"/>
              </w:rPr>
              <w:t>9</w:t>
            </w:r>
          </w:p>
        </w:tc>
        <w:tc>
          <w:tcPr>
            <w:tcW w:w="0" w:type="auto"/>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Gain on strategic investment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4,22</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3,03</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92"/>
        <w:rPr>
          <w:sz w:val="20"/>
          <w:szCs w:val="20"/>
        </w:rPr>
      </w:pPr>
      <w:r>
        <w:rPr>
          <w:sz w:val="20"/>
          <w:szCs w:val="20"/>
        </w:rPr>
        <w:t>Other income primarily consists of the impact of foreign currency transaction gains and losses associated with monetary assets and liabilities and any gains or losses on our strategic investments. The gain on investments is due to an adjustment to the fair</w:t>
      </w:r>
      <w:r>
        <w:rPr>
          <w:sz w:val="20"/>
          <w:szCs w:val="20"/>
        </w:rPr>
        <w:t xml:space="preserve"> value of an investment as a result of an observable price change</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b/>
          <w:bCs/>
          <w:i/>
          <w:iCs/>
          <w:sz w:val="20"/>
          <w:szCs w:val="20"/>
        </w:rPr>
        <w:t>Income tax expense</w:t>
      </w:r>
      <w:r>
        <w:rPr>
          <w:b/>
          <w:bCs/>
          <w:i/>
          <w:iCs/>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91"/>
        <w:gridCol w:w="115"/>
        <w:gridCol w:w="160"/>
        <w:gridCol w:w="577"/>
        <w:gridCol w:w="227"/>
        <w:gridCol w:w="115"/>
        <w:gridCol w:w="160"/>
        <w:gridCol w:w="414"/>
        <w:gridCol w:w="294"/>
        <w:gridCol w:w="115"/>
        <w:gridCol w:w="161"/>
        <w:gridCol w:w="820"/>
        <w:gridCol w:w="115"/>
        <w:gridCol w:w="115"/>
        <w:gridCol w:w="111"/>
        <w:gridCol w:w="943"/>
        <w:gridCol w:w="242"/>
      </w:tblGrid>
      <w:tr w:rsidR="00000000">
        <w:trPr>
          <w:tblCellSpacing w:w="15" w:type="dxa"/>
        </w:trPr>
        <w:tc>
          <w:tcPr>
            <w:tcW w:w="2055" w:type="pct"/>
            <w:vAlign w:val="center"/>
            <w:hideMark/>
          </w:tcPr>
          <w:p w:rsidR="00000000" w:rsidRDefault="00211603">
            <w:pPr>
              <w:rPr>
                <w:sz w:val="20"/>
                <w:szCs w:val="20"/>
              </w:rPr>
            </w:pPr>
          </w:p>
        </w:tc>
        <w:tc>
          <w:tcPr>
            <w:tcW w:w="17"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437" w:type="pct"/>
            <w:vAlign w:val="center"/>
            <w:hideMark/>
          </w:tcPr>
          <w:p w:rsidR="00000000" w:rsidRDefault="00211603">
            <w:pPr>
              <w:rPr>
                <w:rFonts w:eastAsia="Times New Roman"/>
                <w:sz w:val="20"/>
                <w:szCs w:val="20"/>
              </w:rPr>
            </w:pPr>
          </w:p>
        </w:tc>
        <w:tc>
          <w:tcPr>
            <w:tcW w:w="117"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386" w:type="pct"/>
            <w:vAlign w:val="center"/>
            <w:hideMark/>
          </w:tcPr>
          <w:p w:rsidR="00000000" w:rsidRDefault="00211603">
            <w:pPr>
              <w:rPr>
                <w:rFonts w:eastAsia="Times New Roman"/>
                <w:sz w:val="20"/>
                <w:szCs w:val="20"/>
              </w:rPr>
            </w:pPr>
          </w:p>
        </w:tc>
        <w:tc>
          <w:tcPr>
            <w:tcW w:w="163"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645"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17" w:type="pct"/>
            <w:vAlign w:val="center"/>
            <w:hideMark/>
          </w:tcPr>
          <w:p w:rsidR="00000000" w:rsidRDefault="00211603">
            <w:pPr>
              <w:rPr>
                <w:rFonts w:eastAsia="Times New Roman"/>
                <w:sz w:val="20"/>
                <w:szCs w:val="20"/>
              </w:rPr>
            </w:pPr>
          </w:p>
        </w:tc>
        <w:tc>
          <w:tcPr>
            <w:tcW w:w="31" w:type="pct"/>
            <w:vAlign w:val="center"/>
            <w:hideMark/>
          </w:tcPr>
          <w:p w:rsidR="00000000" w:rsidRDefault="00211603">
            <w:pPr>
              <w:rPr>
                <w:rFonts w:eastAsia="Times New Roman"/>
                <w:sz w:val="20"/>
                <w:szCs w:val="20"/>
              </w:rPr>
            </w:pPr>
          </w:p>
        </w:tc>
        <w:tc>
          <w:tcPr>
            <w:tcW w:w="734" w:type="pct"/>
            <w:vAlign w:val="center"/>
            <w:hideMark/>
          </w:tcPr>
          <w:p w:rsidR="00000000" w:rsidRDefault="00211603">
            <w:pPr>
              <w:rPr>
                <w:rFonts w:eastAsia="Times New Roman"/>
                <w:sz w:val="20"/>
                <w:szCs w:val="20"/>
              </w:rPr>
            </w:pPr>
          </w:p>
        </w:tc>
        <w:tc>
          <w:tcPr>
            <w:tcW w:w="117" w:type="pct"/>
            <w:vAlign w:val="center"/>
            <w:hideMark/>
          </w:tcPr>
          <w:p w:rsidR="00000000" w:rsidRDefault="00211603">
            <w:pPr>
              <w:rPr>
                <w:rFonts w:eastAsia="Times New Roman"/>
                <w:sz w:val="20"/>
                <w:szCs w:val="20"/>
              </w:rPr>
            </w:pPr>
          </w:p>
        </w:tc>
      </w:tr>
      <w:tr w:rsidR="00000000">
        <w:trPr>
          <w:tblCellSpacing w:w="15" w:type="dxa"/>
        </w:trPr>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11603">
            <w:pPr>
              <w:pStyle w:val="a3"/>
              <w:spacing w:before="0" w:beforeAutospacing="0" w:after="0" w:afterAutospacing="0"/>
              <w:rPr>
                <w:sz w:val="22"/>
                <w:szCs w:val="22"/>
              </w:rPr>
            </w:pPr>
            <w:r>
              <w:rPr>
                <w:sz w:val="22"/>
                <w:szCs w:val="22"/>
              </w:rPr>
              <w:t> </w:t>
            </w:r>
          </w:p>
        </w:tc>
        <w:tc>
          <w:tcPr>
            <w:tcW w:w="0" w:type="auto"/>
            <w:vAlign w:val="bottom"/>
            <w:hideMark/>
          </w:tcPr>
          <w:p w:rsidR="00000000" w:rsidRDefault="00211603">
            <w:pPr>
              <w:pStyle w:val="a3"/>
              <w:spacing w:before="0" w:beforeAutospacing="0" w:after="0" w:afterAutospacing="0"/>
              <w:rPr>
                <w:sz w:val="22"/>
                <w:szCs w:val="22"/>
              </w:rPr>
            </w:pPr>
            <w:r>
              <w:rPr>
                <w:sz w:val="22"/>
                <w:szCs w:val="22"/>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Income tax (expense) benefi</w:t>
            </w:r>
            <w:r>
              <w:rPr>
                <w:sz w:val="20"/>
                <w:szCs w:val="20"/>
              </w:rPr>
              <w:t>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(1,44</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1,58</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115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bl>
    <w:p w:rsidR="00000000" w:rsidRDefault="00211603">
      <w:pPr>
        <w:pStyle w:val="a3"/>
        <w:spacing w:before="200" w:beforeAutospacing="0" w:after="0" w:afterAutospacing="0"/>
        <w:ind w:firstLine="555"/>
        <w:rPr>
          <w:sz w:val="20"/>
          <w:szCs w:val="20"/>
        </w:rPr>
      </w:pPr>
      <w:r>
        <w:rPr>
          <w:sz w:val="20"/>
          <w:szCs w:val="20"/>
        </w:rPr>
        <w:t xml:space="preserve">Income tax (expense) benefit consists of current and deferred taxes for U.S. and foreign income taxes. The increase in the income tax expense was primarily driven by increased income in jurisdictions outside of the United States that are profitable from </w:t>
      </w:r>
      <w:r>
        <w:rPr>
          <w:sz w:val="20"/>
          <w:szCs w:val="20"/>
        </w:rPr>
        <w:t>a</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2</w:t>
      </w:r>
      <w:r>
        <w:rPr>
          <w:sz w:val="20"/>
          <w:szCs w:val="20"/>
        </w:rPr>
        <w:t>7</w:t>
      </w:r>
    </w:p>
    <w:p w:rsidR="00000000" w:rsidRDefault="00211603">
      <w:pPr>
        <w:rPr>
          <w:rFonts w:eastAsia="Times New Roman"/>
        </w:rPr>
      </w:pPr>
      <w:r>
        <w:rPr>
          <w:rFonts w:eastAsia="Times New Roman"/>
        </w:rPr>
        <w:pict>
          <v:rect id="_x0000_i1051"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tax perspective in the three months ended March 31, 2022, whereas in the three months ended March 31, 2021, the Company recognized a non-recurring income tax benefit relating to the release of a portion of the Comp</w:t>
      </w:r>
      <w:r>
        <w:rPr>
          <w:sz w:val="20"/>
          <w:szCs w:val="20"/>
        </w:rPr>
        <w:t>any’s valuation allowance. The release was due to recording net deferred tax liabilities related to the Hustle acquisition, which are a source of income to support the realizability of the Company’s pre-existing U.S. deferred tax assets</w:t>
      </w:r>
      <w:r>
        <w:rPr>
          <w:sz w:val="20"/>
          <w:szCs w:val="20"/>
        </w:rPr>
        <w:t>.</w:t>
      </w:r>
      <w:r>
        <w:rPr>
          <w:sz w:val="20"/>
          <w:szCs w:val="20"/>
        </w:rPr>
        <w:t xml:space="preserve"> </w:t>
      </w:r>
    </w:p>
    <w:p w:rsidR="00000000" w:rsidRDefault="00211603">
      <w:pPr>
        <w:pStyle w:val="a3"/>
        <w:spacing w:before="200" w:beforeAutospacing="0" w:after="0" w:afterAutospacing="0"/>
        <w:rPr>
          <w:sz w:val="20"/>
          <w:szCs w:val="20"/>
        </w:rPr>
      </w:pPr>
      <w:r>
        <w:rPr>
          <w:b/>
          <w:bCs/>
          <w:sz w:val="20"/>
          <w:szCs w:val="20"/>
        </w:rPr>
        <w:t>Liquidity and Capital Resource</w:t>
      </w:r>
      <w:r>
        <w:rPr>
          <w:b/>
          <w:bCs/>
          <w:sz w:val="20"/>
          <w:szCs w:val="20"/>
        </w:rPr>
        <w:t>s</w:t>
      </w:r>
    </w:p>
    <w:p w:rsidR="00000000" w:rsidRDefault="00211603">
      <w:pPr>
        <w:pStyle w:val="a3"/>
        <w:spacing w:before="200" w:beforeAutospacing="0" w:after="0" w:afterAutospacing="0"/>
        <w:ind w:firstLine="555"/>
        <w:rPr>
          <w:sz w:val="20"/>
          <w:szCs w:val="20"/>
        </w:rPr>
      </w:pPr>
      <w:r>
        <w:rPr>
          <w:sz w:val="20"/>
          <w:szCs w:val="20"/>
        </w:rPr>
        <w:t>Our principal sources of liquidity to date have been cash and cash equivalents, net accounts receivable, our common stock offerings, and our convertible notes offerings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The following table shows cash and cash equivalents, </w:t>
      </w:r>
      <w:r>
        <w:rPr>
          <w:sz w:val="20"/>
          <w:szCs w:val="20"/>
        </w:rPr>
        <w:t>working capital, net cash and cash equivalents provided by operating activities, net cash and cash equivalents used in investing activities, and net cash and cash equivalents provided by financing activities for the three months ended March 31, 2022 and 20</w:t>
      </w:r>
      <w:r>
        <w:rPr>
          <w:sz w:val="20"/>
          <w:szCs w:val="20"/>
        </w:rPr>
        <w:t xml:space="preserve">21.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407"/>
        <w:gridCol w:w="117"/>
        <w:gridCol w:w="160"/>
        <w:gridCol w:w="1122"/>
        <w:gridCol w:w="127"/>
        <w:gridCol w:w="118"/>
        <w:gridCol w:w="160"/>
        <w:gridCol w:w="1122"/>
        <w:gridCol w:w="142"/>
      </w:tblGrid>
      <w:tr w:rsidR="00000000">
        <w:trPr>
          <w:tblCellSpacing w:w="15" w:type="dxa"/>
        </w:trPr>
        <w:tc>
          <w:tcPr>
            <w:tcW w:w="3052" w:type="pct"/>
            <w:vAlign w:val="center"/>
            <w:hideMark/>
          </w:tcPr>
          <w:p w:rsidR="00000000" w:rsidRDefault="00211603">
            <w:pPr>
              <w:rPr>
                <w:sz w:val="20"/>
                <w:szCs w:val="20"/>
              </w:rPr>
            </w:pPr>
          </w:p>
        </w:tc>
        <w:tc>
          <w:tcPr>
            <w:tcW w:w="77" w:type="pct"/>
            <w:vAlign w:val="center"/>
            <w:hideMark/>
          </w:tcPr>
          <w:p w:rsidR="00000000" w:rsidRDefault="00211603">
            <w:pPr>
              <w:rPr>
                <w:rFonts w:eastAsia="Times New Roman"/>
                <w:sz w:val="20"/>
                <w:szCs w:val="20"/>
              </w:rPr>
            </w:pPr>
          </w:p>
        </w:tc>
        <w:tc>
          <w:tcPr>
            <w:tcW w:w="72" w:type="pct"/>
            <w:vAlign w:val="center"/>
            <w:hideMark/>
          </w:tcPr>
          <w:p w:rsidR="00000000" w:rsidRDefault="00211603">
            <w:pPr>
              <w:rPr>
                <w:rFonts w:eastAsia="Times New Roman"/>
                <w:sz w:val="20"/>
                <w:szCs w:val="20"/>
              </w:rPr>
            </w:pPr>
          </w:p>
        </w:tc>
        <w:tc>
          <w:tcPr>
            <w:tcW w:w="775" w:type="pct"/>
            <w:vAlign w:val="center"/>
            <w:hideMark/>
          </w:tcPr>
          <w:p w:rsidR="00000000" w:rsidRDefault="00211603">
            <w:pPr>
              <w:rPr>
                <w:rFonts w:eastAsia="Times New Roman"/>
                <w:sz w:val="20"/>
                <w:szCs w:val="20"/>
              </w:rPr>
            </w:pPr>
          </w:p>
        </w:tc>
        <w:tc>
          <w:tcPr>
            <w:tcW w:w="47" w:type="pct"/>
            <w:vAlign w:val="center"/>
            <w:hideMark/>
          </w:tcPr>
          <w:p w:rsidR="00000000" w:rsidRDefault="00211603">
            <w:pPr>
              <w:rPr>
                <w:rFonts w:eastAsia="Times New Roman"/>
                <w:sz w:val="20"/>
                <w:szCs w:val="20"/>
              </w:rPr>
            </w:pPr>
          </w:p>
        </w:tc>
        <w:tc>
          <w:tcPr>
            <w:tcW w:w="77" w:type="pct"/>
            <w:vAlign w:val="center"/>
            <w:hideMark/>
          </w:tcPr>
          <w:p w:rsidR="00000000" w:rsidRDefault="00211603">
            <w:pPr>
              <w:rPr>
                <w:rFonts w:eastAsia="Times New Roman"/>
                <w:sz w:val="20"/>
                <w:szCs w:val="20"/>
              </w:rPr>
            </w:pPr>
          </w:p>
        </w:tc>
        <w:tc>
          <w:tcPr>
            <w:tcW w:w="72" w:type="pct"/>
            <w:vAlign w:val="center"/>
            <w:hideMark/>
          </w:tcPr>
          <w:p w:rsidR="00000000" w:rsidRDefault="00211603">
            <w:pPr>
              <w:rPr>
                <w:rFonts w:eastAsia="Times New Roman"/>
                <w:sz w:val="20"/>
                <w:szCs w:val="20"/>
              </w:rPr>
            </w:pPr>
          </w:p>
        </w:tc>
        <w:tc>
          <w:tcPr>
            <w:tcW w:w="775" w:type="pct"/>
            <w:vAlign w:val="center"/>
            <w:hideMark/>
          </w:tcPr>
          <w:p w:rsidR="00000000" w:rsidRDefault="00211603">
            <w:pPr>
              <w:rPr>
                <w:rFonts w:eastAsia="Times New Roman"/>
                <w:sz w:val="20"/>
                <w:szCs w:val="20"/>
              </w:rPr>
            </w:pPr>
          </w:p>
        </w:tc>
        <w:tc>
          <w:tcPr>
            <w:tcW w:w="47"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1160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11603">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21160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408,43</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397,49</w:t>
            </w: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Working capita</w:t>
            </w:r>
            <w:r>
              <w:rPr>
                <w:sz w:val="20"/>
                <w:szCs w:val="20"/>
              </w:rPr>
              <w:t>l</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829,11</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885,98</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cash and cash equivalents provided by operating activitie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82,22</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62,70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cash and cash equivalents used in investing activitie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(55,03</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(17,64</w:t>
            </w:r>
            <w:r>
              <w:rPr>
                <w:sz w:val="20"/>
                <w:szCs w:val="20"/>
              </w:rPr>
              <w:t>6</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Net cash and cash equivalents provided by (used in) financing activitie</w:t>
            </w:r>
            <w:r>
              <w:rPr>
                <w:sz w:val="20"/>
                <w:szCs w:val="20"/>
              </w:rPr>
              <w:t>s</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5,87</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(21,80</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bl>
    <w:p w:rsidR="00000000" w:rsidRDefault="00211603">
      <w:pPr>
        <w:pStyle w:val="a3"/>
        <w:spacing w:before="200" w:beforeAutospacing="0" w:after="0" w:afterAutospacing="0"/>
        <w:ind w:firstLine="555"/>
        <w:rPr>
          <w:sz w:val="20"/>
          <w:szCs w:val="20"/>
        </w:rPr>
      </w:pPr>
      <w:r>
        <w:rPr>
          <w:sz w:val="20"/>
          <w:szCs w:val="20"/>
        </w:rPr>
        <w:t>Our cash and cash equivalents at March 31, 2022 were held for working capital purposes. At March 31, 2022, $125.8 million of our cash and cash equivalents was held in accounts outside the United States. We do not assert indefinite reinvestment of our forei</w:t>
      </w:r>
      <w:r>
        <w:rPr>
          <w:sz w:val="20"/>
          <w:szCs w:val="20"/>
        </w:rPr>
        <w:t>gn earnings because these earnings have been subject to United States Federal tax. While we have concluded that any incremental tax incurred upon ultimate distribution of these earnings to be immaterial, our current plans do not demonstrate a need to repat</w:t>
      </w:r>
      <w:r>
        <w:rPr>
          <w:sz w:val="20"/>
          <w:szCs w:val="20"/>
        </w:rPr>
        <w:t>riate undistributed earnings to fund our U.S. operations</w:t>
      </w:r>
      <w:r>
        <w:rPr>
          <w:sz w:val="20"/>
          <w:szCs w:val="20"/>
        </w:rPr>
        <w:t>.</w:t>
      </w:r>
    </w:p>
    <w:p w:rsidR="00000000" w:rsidRDefault="00211603">
      <w:pPr>
        <w:pStyle w:val="a3"/>
        <w:spacing w:before="200" w:beforeAutospacing="0" w:after="0" w:afterAutospacing="0"/>
        <w:ind w:firstLine="555"/>
        <w:rPr>
          <w:sz w:val="20"/>
          <w:szCs w:val="20"/>
        </w:rPr>
      </w:pPr>
      <w:r>
        <w:rPr>
          <w:sz w:val="20"/>
          <w:szCs w:val="20"/>
        </w:rPr>
        <w:t>Cash from operations could be affected by various risks and uncertainties, including, but not limited to, the effects of the pandemic and other risks detailed in the section titled “Risk Factors” in</w:t>
      </w:r>
      <w:r>
        <w:rPr>
          <w:sz w:val="20"/>
          <w:szCs w:val="20"/>
        </w:rPr>
        <w:t>cluded under Part II, Item 1A. However, based on our current business plan and revenue prospects, we believe that our existing cash, cash equivalents and investment balances, and our anticipated cash flows from operations will be sufficient to meet our wor</w:t>
      </w:r>
      <w:r>
        <w:rPr>
          <w:sz w:val="20"/>
          <w:szCs w:val="20"/>
        </w:rPr>
        <w:t>king capital and operating resource expenditure requirements for the next twelve months</w:t>
      </w:r>
      <w:r>
        <w:rPr>
          <w:sz w:val="20"/>
          <w:szCs w:val="20"/>
        </w:rPr>
        <w:t>.</w:t>
      </w:r>
    </w:p>
    <w:p w:rsidR="00000000" w:rsidRDefault="00211603">
      <w:pPr>
        <w:pStyle w:val="a3"/>
        <w:spacing w:before="200" w:beforeAutospacing="0" w:after="0" w:afterAutospacing="0"/>
        <w:rPr>
          <w:sz w:val="20"/>
          <w:szCs w:val="20"/>
        </w:rPr>
      </w:pPr>
      <w:r>
        <w:rPr>
          <w:i/>
          <w:iCs/>
          <w:sz w:val="20"/>
          <w:szCs w:val="20"/>
        </w:rPr>
        <w:t>Net Cash and Cash Equivalents Provided by Operating Activitie</w:t>
      </w:r>
      <w:r>
        <w:rPr>
          <w:i/>
          <w:iCs/>
          <w:sz w:val="20"/>
          <w:szCs w:val="20"/>
        </w:rPr>
        <w:t>s</w:t>
      </w:r>
    </w:p>
    <w:p w:rsidR="00000000" w:rsidRDefault="00211603">
      <w:pPr>
        <w:pStyle w:val="a3"/>
        <w:spacing w:before="200" w:beforeAutospacing="0" w:after="0" w:afterAutospacing="0"/>
        <w:ind w:firstLine="555"/>
        <w:rPr>
          <w:sz w:val="20"/>
          <w:szCs w:val="20"/>
        </w:rPr>
      </w:pPr>
      <w:r>
        <w:rPr>
          <w:sz w:val="20"/>
          <w:szCs w:val="20"/>
        </w:rPr>
        <w:t>Net cash and cash equivalents provided by operating activities consists primarily of net loss adjusted f</w:t>
      </w:r>
      <w:r>
        <w:rPr>
          <w:sz w:val="20"/>
          <w:szCs w:val="20"/>
        </w:rPr>
        <w:t>or certain non-cash items, including stock-based compensation, depreciation and amortization and other non-cash charges, net</w:t>
      </w:r>
      <w:r>
        <w:rPr>
          <w:sz w:val="20"/>
          <w:szCs w:val="20"/>
        </w:rPr>
        <w:t>.</w:t>
      </w:r>
    </w:p>
    <w:p w:rsidR="00000000" w:rsidRDefault="00211603">
      <w:pPr>
        <w:pStyle w:val="a3"/>
        <w:spacing w:before="200" w:beforeAutospacing="0" w:after="0" w:afterAutospacing="0"/>
        <w:ind w:firstLine="592"/>
        <w:rPr>
          <w:sz w:val="20"/>
          <w:szCs w:val="20"/>
        </w:rPr>
      </w:pPr>
      <w:r>
        <w:rPr>
          <w:sz w:val="20"/>
          <w:szCs w:val="20"/>
        </w:rPr>
        <w:t>Net cash and cash equivalents provided by operating activities during the three months ended March 31, 2022 primarily reflected ou</w:t>
      </w:r>
      <w:r>
        <w:rPr>
          <w:sz w:val="20"/>
          <w:szCs w:val="20"/>
        </w:rPr>
        <w:t>r net loss of $9.3 million, benefit from deferred income taxes of $0.2 million, and gains on strategic investments of $4.2 million, offset by non-cash expenses that included $12.8 million of depreciation and amortization, $45.7 million in stock-based compe</w:t>
      </w:r>
      <w:r>
        <w:rPr>
          <w:sz w:val="20"/>
          <w:szCs w:val="20"/>
        </w:rPr>
        <w:t>nsation, $0.6 million amortization of bond discounts, and $0.5 million of amortization of debt discount and issuance costs. Working capital sources of cash and cash equivalents primarily included a $29.5 million increase in deferred revenue primarily resul</w:t>
      </w:r>
      <w:r>
        <w:rPr>
          <w:sz w:val="20"/>
          <w:szCs w:val="20"/>
        </w:rPr>
        <w:t>ting from the growth in the number of customers invoiced during the period, a $3.6 million decrease in accounts receivable related to increased collection, a $6.5 million increase in right-of-use asset, a $3.6 million increase in accounts payable related t</w:t>
      </w:r>
      <w:r>
        <w:rPr>
          <w:sz w:val="20"/>
          <w:szCs w:val="20"/>
        </w:rPr>
        <w:t>o timing of bill payments, and $7.1 million increase in accrued expenses and other liabilities. These sources of cash and cash equivalents were offset by a $3.9 million increase in prepaid expenses and other assets, a $2.3 million decrease in operating lea</w:t>
      </w:r>
      <w:r>
        <w:rPr>
          <w:sz w:val="20"/>
          <w:szCs w:val="20"/>
        </w:rPr>
        <w:t>se liabilities, and a $8.4 million increase in deferred commissions</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sz w:val="20"/>
          <w:szCs w:val="20"/>
        </w:rPr>
        <w:t>Net cash and cash equivalents provided by operating activities during the three months ended March 31, 2021 primarily reflected our net loss of $23.2 million and the portion of the repay</w:t>
      </w:r>
      <w:r>
        <w:rPr>
          <w:sz w:val="20"/>
          <w:szCs w:val="20"/>
        </w:rPr>
        <w:t>ment of the 2022 Notes attributable to the debt discount of $9.8 million, offset by non-cash expenses that included $11.2 million of depreciation and amortization, $32.4 million in stock-based compensation, $0.5 million amortization of bond discounts, $6.5</w:t>
      </w:r>
      <w:r>
        <w:rPr>
          <w:sz w:val="20"/>
          <w:szCs w:val="20"/>
        </w:rPr>
        <w:t xml:space="preserve"> million of amortization of debt discount and issuance costs, and $2.4 million of loss on early extinguishment of 2022 Notes. Working capital sources of cash and cash equivalents primarily included a $27.5 million increase in deferred revenue primarily res</w:t>
      </w:r>
      <w:r>
        <w:rPr>
          <w:sz w:val="20"/>
          <w:szCs w:val="20"/>
        </w:rPr>
        <w:t>ulting from the growth in the number of customers invoiced during the period, a $4.6 million increase in accounts payable related to timing of bill payments, a $10.4 million increase in right-of-use asset, a $16.5 million decrease in accounts receivable re</w:t>
      </w:r>
      <w:r>
        <w:rPr>
          <w:sz w:val="20"/>
          <w:szCs w:val="20"/>
        </w:rPr>
        <w:t>lated to increased collection, and $2.7 million decrease in prepaid and other assets. These sources of cash and cash equivalents were offset by a $6.3 million increase in deferred commissions, a $9.3 million decrease in operating lease liabilities, and a $</w:t>
      </w:r>
      <w:r>
        <w:rPr>
          <w:sz w:val="20"/>
          <w:szCs w:val="20"/>
        </w:rPr>
        <w:t>2.4 million decrease in accrued expenses and other liabilities</w:t>
      </w:r>
      <w:r>
        <w:rPr>
          <w:sz w:val="20"/>
          <w:szCs w:val="20"/>
        </w:rPr>
        <w:t>.</w:t>
      </w:r>
    </w:p>
    <w:p w:rsidR="00000000" w:rsidRDefault="00211603">
      <w:pPr>
        <w:pStyle w:val="a3"/>
        <w:spacing w:before="240" w:beforeAutospacing="0" w:after="0" w:afterAutospacing="0"/>
        <w:jc w:val="center"/>
        <w:rPr>
          <w:sz w:val="20"/>
          <w:szCs w:val="20"/>
        </w:rPr>
      </w:pPr>
      <w:r>
        <w:rPr>
          <w:sz w:val="20"/>
          <w:szCs w:val="20"/>
        </w:rPr>
        <w:t>2</w:t>
      </w:r>
      <w:r>
        <w:rPr>
          <w:sz w:val="20"/>
          <w:szCs w:val="20"/>
        </w:rPr>
        <w:t>8</w:t>
      </w:r>
    </w:p>
    <w:p w:rsidR="00000000" w:rsidRDefault="00211603">
      <w:pPr>
        <w:rPr>
          <w:rFonts w:eastAsia="Times New Roman"/>
        </w:rPr>
      </w:pPr>
      <w:r>
        <w:rPr>
          <w:rFonts w:eastAsia="Times New Roman"/>
        </w:rPr>
        <w:pict>
          <v:rect id="_x0000_i1052"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i/>
          <w:iCs/>
          <w:sz w:val="20"/>
          <w:szCs w:val="20"/>
        </w:rPr>
        <w:t>Net Cash and Cash Equivalents Used in Investing Activitie</w:t>
      </w:r>
      <w:r>
        <w:rPr>
          <w:i/>
          <w:iCs/>
          <w:sz w:val="20"/>
          <w:szCs w:val="20"/>
        </w:rPr>
        <w:t>s</w:t>
      </w:r>
    </w:p>
    <w:p w:rsidR="00000000" w:rsidRDefault="00211603">
      <w:pPr>
        <w:pStyle w:val="a3"/>
        <w:spacing w:before="200" w:beforeAutospacing="0" w:after="0" w:afterAutospacing="0"/>
        <w:ind w:firstLine="592"/>
        <w:rPr>
          <w:sz w:val="20"/>
          <w:szCs w:val="20"/>
        </w:rPr>
      </w:pPr>
      <w:r>
        <w:rPr>
          <w:sz w:val="20"/>
          <w:szCs w:val="20"/>
        </w:rPr>
        <w:t>Our investing activities have consisted primarily of purchases and maturities of investment</w:t>
      </w:r>
      <w:r>
        <w:rPr>
          <w:sz w:val="20"/>
          <w:szCs w:val="20"/>
        </w:rPr>
        <w:t>s, property and equipment purchases, an acquisition of a business, purchases of strategic investments, an equity method investment and capitalization of software development costs. Capitalized software development costs are related to new products or impro</w:t>
      </w:r>
      <w:r>
        <w:rPr>
          <w:sz w:val="20"/>
          <w:szCs w:val="20"/>
        </w:rPr>
        <w:t>vements to our existing software platform that expands the functionality for our customers</w:t>
      </w:r>
      <w:r>
        <w:rPr>
          <w:sz w:val="20"/>
          <w:szCs w:val="20"/>
        </w:rPr>
        <w:t>.</w:t>
      </w:r>
    </w:p>
    <w:p w:rsidR="00000000" w:rsidRDefault="00211603">
      <w:pPr>
        <w:pStyle w:val="a3"/>
        <w:spacing w:before="200" w:beforeAutospacing="0" w:after="0" w:afterAutospacing="0"/>
        <w:ind w:firstLine="592"/>
        <w:rPr>
          <w:sz w:val="20"/>
          <w:szCs w:val="20"/>
        </w:rPr>
      </w:pPr>
      <w:r>
        <w:rPr>
          <w:sz w:val="20"/>
          <w:szCs w:val="20"/>
        </w:rPr>
        <w:t>Net cash and cash equivalents used in investing activities during the three months ended March 31, 2022 consisted primarily of $435.5 million purchases of investmen</w:t>
      </w:r>
      <w:r>
        <w:rPr>
          <w:sz w:val="20"/>
          <w:szCs w:val="20"/>
        </w:rPr>
        <w:t>ts and $9.9 million of purchased property and equipment, $5.0 million of purchases of strategic investments, and $9.7 million of capitalized software development costs. These uses of cash were offset by $405.2 million received related to the maturity of in</w:t>
      </w:r>
      <w:r>
        <w:rPr>
          <w:sz w:val="20"/>
          <w:szCs w:val="20"/>
        </w:rPr>
        <w:t>vestments</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sz w:val="20"/>
          <w:szCs w:val="20"/>
        </w:rPr>
        <w:t>Net cash and cash equivalents used in investing activities during the three months ended March 31, 2021 consisted primarily of $362.3 million purchases of investments, $4.0 million of purchased property and equipment, a $16.8 million business a</w:t>
      </w:r>
      <w:r>
        <w:rPr>
          <w:sz w:val="20"/>
          <w:szCs w:val="20"/>
        </w:rPr>
        <w:t>cquisition, $1.9 million of purchases of strategic investments, $2.3 million in an equity method investment and $7.3 million of capitalized software development costs. These uses of cash were offset by $376.9 million received related to the maturity of inv</w:t>
      </w:r>
      <w:r>
        <w:rPr>
          <w:sz w:val="20"/>
          <w:szCs w:val="20"/>
        </w:rPr>
        <w:t>estments</w:t>
      </w:r>
      <w:r>
        <w:rPr>
          <w:sz w:val="20"/>
          <w:szCs w:val="20"/>
        </w:rPr>
        <w:t>.</w:t>
      </w:r>
    </w:p>
    <w:p w:rsidR="00000000" w:rsidRDefault="00211603">
      <w:pPr>
        <w:pStyle w:val="a3"/>
        <w:spacing w:before="200" w:beforeAutospacing="0" w:after="0" w:afterAutospacing="0"/>
        <w:rPr>
          <w:sz w:val="20"/>
          <w:szCs w:val="20"/>
        </w:rPr>
      </w:pPr>
      <w:r>
        <w:rPr>
          <w:i/>
          <w:iCs/>
          <w:sz w:val="20"/>
          <w:szCs w:val="20"/>
        </w:rPr>
        <w:t>Net Cash and Cash Equivalents Provided by Financing Activitie</w:t>
      </w:r>
      <w:r>
        <w:rPr>
          <w:i/>
          <w:iCs/>
          <w:sz w:val="20"/>
          <w:szCs w:val="20"/>
        </w:rPr>
        <w:t>s</w:t>
      </w:r>
    </w:p>
    <w:p w:rsidR="00000000" w:rsidRDefault="00211603">
      <w:pPr>
        <w:pStyle w:val="a3"/>
        <w:spacing w:before="200" w:beforeAutospacing="0" w:after="0" w:afterAutospacing="0"/>
        <w:ind w:firstLine="555"/>
        <w:rPr>
          <w:sz w:val="20"/>
          <w:szCs w:val="20"/>
        </w:rPr>
      </w:pPr>
      <w:r>
        <w:rPr>
          <w:sz w:val="20"/>
          <w:szCs w:val="20"/>
        </w:rPr>
        <w:t>Our financing activities have consisted primarily of the various components of our 2022 Notes repayment, repayment of our 2025 Notes, the issuance of common stock under our stock plan</w:t>
      </w:r>
      <w:r>
        <w:rPr>
          <w:sz w:val="20"/>
          <w:szCs w:val="20"/>
        </w:rPr>
        <w:t>s, and payments of employee taxes related to the net share settlement of stock-based awards,</w:t>
      </w:r>
      <w:r>
        <w:rPr>
          <w:sz w:val="20"/>
          <w:szCs w:val="20"/>
        </w:rPr>
        <w:t>.</w:t>
      </w:r>
    </w:p>
    <w:p w:rsidR="00000000" w:rsidRDefault="00211603">
      <w:pPr>
        <w:pStyle w:val="a3"/>
        <w:spacing w:before="200" w:beforeAutospacing="0" w:after="0" w:afterAutospacing="0"/>
        <w:ind w:firstLine="592"/>
        <w:rPr>
          <w:sz w:val="20"/>
          <w:szCs w:val="20"/>
        </w:rPr>
      </w:pPr>
      <w:r>
        <w:rPr>
          <w:sz w:val="20"/>
          <w:szCs w:val="20"/>
        </w:rPr>
        <w:t>For the three months ended March 31, 2022 cash used in financing activities consisted of $1.6 million used for the repayment of the 2025 Notes attributable to the</w:t>
      </w:r>
      <w:r>
        <w:rPr>
          <w:sz w:val="20"/>
          <w:szCs w:val="20"/>
        </w:rPr>
        <w:t xml:space="preserve"> principal and $4.4 million used for payment of employee taxes related to the net share settlement of stock-based awards, offset by $11.9 million of proceeds related to issuance of common stock under stock plans</w:t>
      </w:r>
      <w:r>
        <w:rPr>
          <w:sz w:val="20"/>
          <w:szCs w:val="20"/>
        </w:rPr>
        <w:t>.</w:t>
      </w:r>
      <w:r>
        <w:rPr>
          <w:sz w:val="20"/>
          <w:szCs w:val="20"/>
        </w:rPr>
        <w:t xml:space="preserve"> </w:t>
      </w:r>
    </w:p>
    <w:p w:rsidR="00000000" w:rsidRDefault="00211603">
      <w:pPr>
        <w:pStyle w:val="a3"/>
        <w:spacing w:before="200" w:beforeAutospacing="0" w:after="0" w:afterAutospacing="0"/>
        <w:ind w:firstLine="592"/>
        <w:rPr>
          <w:sz w:val="20"/>
          <w:szCs w:val="20"/>
        </w:rPr>
      </w:pPr>
      <w:r>
        <w:rPr>
          <w:sz w:val="20"/>
          <w:szCs w:val="20"/>
        </w:rPr>
        <w:t>For the three months ended March 31, 2021 cash used in financing activities consisted of $35.9 million used for repayment of the 2022 Notes attributable to the principal and $3.0 million used for payment of employee taxes related to the net share settlemen</w:t>
      </w:r>
      <w:r>
        <w:rPr>
          <w:sz w:val="20"/>
          <w:szCs w:val="20"/>
        </w:rPr>
        <w:t>t of stock-based awards, offset by $0.7 million of proceeds from the settlement of the Convertible Note Hedges related to the 2022 Notes and $16.3 million of proceeds related to issuance of common stock under stock plans</w:t>
      </w:r>
      <w:r>
        <w:rPr>
          <w:sz w:val="20"/>
          <w:szCs w:val="20"/>
        </w:rPr>
        <w:t>.</w:t>
      </w:r>
    </w:p>
    <w:p w:rsidR="00000000" w:rsidRDefault="00211603">
      <w:pPr>
        <w:pStyle w:val="a3"/>
        <w:spacing w:before="200" w:beforeAutospacing="0" w:after="0" w:afterAutospacing="0"/>
        <w:rPr>
          <w:sz w:val="20"/>
          <w:szCs w:val="20"/>
        </w:rPr>
      </w:pPr>
      <w:r>
        <w:rPr>
          <w:b/>
          <w:bCs/>
          <w:sz w:val="20"/>
          <w:szCs w:val="20"/>
        </w:rPr>
        <w:t>Critical Accounting Policies and E</w:t>
      </w:r>
      <w:r>
        <w:rPr>
          <w:b/>
          <w:bCs/>
          <w:sz w:val="20"/>
          <w:szCs w:val="20"/>
        </w:rPr>
        <w:t>stimate</w:t>
      </w:r>
      <w:r>
        <w:rPr>
          <w:b/>
          <w:bCs/>
          <w:sz w:val="20"/>
          <w:szCs w:val="20"/>
        </w:rPr>
        <w:t>s</w:t>
      </w:r>
    </w:p>
    <w:p w:rsidR="00000000" w:rsidRDefault="00211603">
      <w:pPr>
        <w:pStyle w:val="a3"/>
        <w:spacing w:before="200" w:beforeAutospacing="0" w:after="0" w:afterAutospacing="0"/>
        <w:ind w:firstLine="592"/>
        <w:rPr>
          <w:sz w:val="20"/>
          <w:szCs w:val="20"/>
        </w:rPr>
      </w:pPr>
      <w:r>
        <w:rPr>
          <w:sz w:val="20"/>
          <w:szCs w:val="20"/>
        </w:rPr>
        <w:t>There have been no significant changes in our critical accounting policies and estimates during the three months ended March 31, 2022 as compared to the critical accounting policies and estimates disclosed in our Annual Report on Form 10-K for the</w:t>
      </w:r>
      <w:r>
        <w:rPr>
          <w:sz w:val="20"/>
          <w:szCs w:val="20"/>
        </w:rPr>
        <w:t xml:space="preserve"> year ended December 31, 2021</w:t>
      </w:r>
      <w:r>
        <w:rPr>
          <w:sz w:val="20"/>
          <w:szCs w:val="20"/>
        </w:rPr>
        <w:t>.</w:t>
      </w:r>
    </w:p>
    <w:p w:rsidR="00000000" w:rsidRDefault="00211603">
      <w:pPr>
        <w:pStyle w:val="a3"/>
        <w:spacing w:before="200" w:beforeAutospacing="0" w:after="0" w:afterAutospacing="0"/>
        <w:rPr>
          <w:sz w:val="20"/>
          <w:szCs w:val="20"/>
        </w:rPr>
      </w:pPr>
      <w:r>
        <w:rPr>
          <w:b/>
          <w:bCs/>
          <w:sz w:val="20"/>
          <w:szCs w:val="20"/>
        </w:rPr>
        <w:t>Contractual Obligations and Commitment</w:t>
      </w:r>
      <w:r>
        <w:rPr>
          <w:b/>
          <w:bCs/>
          <w:sz w:val="20"/>
          <w:szCs w:val="20"/>
        </w:rPr>
        <w:t>s</w:t>
      </w:r>
    </w:p>
    <w:p w:rsidR="00000000" w:rsidRDefault="00211603">
      <w:pPr>
        <w:pStyle w:val="a3"/>
        <w:spacing w:before="200" w:beforeAutospacing="0" w:after="0" w:afterAutospacing="0"/>
        <w:ind w:firstLine="555"/>
        <w:rPr>
          <w:sz w:val="20"/>
          <w:szCs w:val="20"/>
        </w:rPr>
      </w:pPr>
      <w:r>
        <w:rPr>
          <w:sz w:val="20"/>
          <w:szCs w:val="20"/>
        </w:rPr>
        <w:t>Contractual obligations are cash that we are obligated to pay as part of certain contracts that we have entered during our course of business. Our contractual obligations consist of ope</w:t>
      </w:r>
      <w:r>
        <w:rPr>
          <w:sz w:val="20"/>
          <w:szCs w:val="20"/>
        </w:rPr>
        <w:t xml:space="preserve">rating lease liabilities that are included in our consolidated balance sheet and vendor commitments associated with agreements that are legally binding. See Note 10 for all obligations the Company is committed to in the notes to the consolidated financial </w:t>
      </w:r>
      <w:r>
        <w:rPr>
          <w:sz w:val="20"/>
          <w:szCs w:val="20"/>
        </w:rPr>
        <w:t>statements appearing elsewhere in this Quarterly Report on Form 10-Q</w:t>
      </w:r>
      <w:r>
        <w:rPr>
          <w:sz w:val="20"/>
          <w:szCs w:val="20"/>
        </w:rPr>
        <w:t>.</w:t>
      </w:r>
    </w:p>
    <w:p w:rsidR="00000000" w:rsidRDefault="00211603">
      <w:pPr>
        <w:pStyle w:val="a3"/>
        <w:spacing w:before="200" w:beforeAutospacing="0" w:after="0" w:afterAutospacing="0"/>
        <w:rPr>
          <w:sz w:val="20"/>
          <w:szCs w:val="20"/>
        </w:rPr>
      </w:pPr>
      <w:r>
        <w:rPr>
          <w:b/>
          <w:bCs/>
          <w:sz w:val="20"/>
          <w:szCs w:val="20"/>
        </w:rPr>
        <w:t>Recent Accounting Pronouncement</w:t>
      </w:r>
      <w:r>
        <w:rPr>
          <w:b/>
          <w:bCs/>
          <w:sz w:val="20"/>
          <w:szCs w:val="20"/>
        </w:rPr>
        <w:t>s</w:t>
      </w:r>
    </w:p>
    <w:p w:rsidR="00000000" w:rsidRDefault="00211603">
      <w:pPr>
        <w:pStyle w:val="a3"/>
        <w:spacing w:before="200" w:beforeAutospacing="0" w:after="0" w:afterAutospacing="0"/>
        <w:ind w:firstLine="555"/>
        <w:rPr>
          <w:sz w:val="20"/>
          <w:szCs w:val="20"/>
        </w:rPr>
      </w:pPr>
      <w:r>
        <w:rPr>
          <w:sz w:val="20"/>
          <w:szCs w:val="20"/>
        </w:rPr>
        <w:t>For information on recent accounting pronouncements, see</w:t>
      </w:r>
      <w:r>
        <w:rPr>
          <w:sz w:val="20"/>
          <w:szCs w:val="20"/>
        </w:rPr>
        <w:t xml:space="preserve"> </w:t>
      </w:r>
      <w:r>
        <w:rPr>
          <w:i/>
          <w:iCs/>
          <w:sz w:val="20"/>
          <w:szCs w:val="20"/>
        </w:rPr>
        <w:t>Recent Accounting Pronouncement</w:t>
      </w:r>
      <w:r>
        <w:rPr>
          <w:i/>
          <w:iCs/>
          <w:sz w:val="20"/>
          <w:szCs w:val="20"/>
        </w:rPr>
        <w:t>s</w:t>
      </w:r>
      <w:r>
        <w:rPr>
          <w:sz w:val="20"/>
          <w:szCs w:val="20"/>
        </w:rPr>
        <w:t xml:space="preserve"> in the notes to the consolidated financial statements appearing</w:t>
      </w:r>
      <w:r>
        <w:rPr>
          <w:sz w:val="20"/>
          <w:szCs w:val="20"/>
        </w:rPr>
        <w:t xml:space="preserve"> elsewhere in this Quarterly Report on Form 10-Q</w:t>
      </w:r>
      <w:r>
        <w:rPr>
          <w:sz w:val="20"/>
          <w:szCs w:val="20"/>
        </w:rPr>
        <w:t>.</w:t>
      </w:r>
    </w:p>
    <w:p w:rsidR="00000000" w:rsidRDefault="00211603">
      <w:pPr>
        <w:pStyle w:val="a3"/>
        <w:spacing w:before="200" w:beforeAutospacing="0" w:after="0" w:afterAutospacing="0"/>
        <w:rPr>
          <w:sz w:val="20"/>
          <w:szCs w:val="20"/>
        </w:rPr>
      </w:pPr>
      <w:r>
        <w:rPr>
          <w:b/>
          <w:bCs/>
          <w:sz w:val="20"/>
          <w:szCs w:val="20"/>
        </w:rPr>
        <w:t>Off-Balance Sheet Arrangement</w:t>
      </w:r>
      <w:r>
        <w:rPr>
          <w:b/>
          <w:bCs/>
          <w:sz w:val="20"/>
          <w:szCs w:val="20"/>
        </w:rPr>
        <w:t>s</w:t>
      </w:r>
    </w:p>
    <w:p w:rsidR="00000000" w:rsidRDefault="00211603">
      <w:pPr>
        <w:pStyle w:val="a3"/>
        <w:spacing w:before="200" w:beforeAutospacing="0" w:after="0" w:afterAutospacing="0"/>
        <w:ind w:firstLine="555"/>
        <w:rPr>
          <w:sz w:val="20"/>
          <w:szCs w:val="20"/>
        </w:rPr>
      </w:pPr>
      <w:r>
        <w:rPr>
          <w:sz w:val="20"/>
          <w:szCs w:val="20"/>
        </w:rPr>
        <w:t xml:space="preserve">As of March 31, 2022, we are committed to contribute additional capital of $9.4 million to the Black Economic Development Fund. There were no other material off-balance sheet </w:t>
      </w:r>
      <w:r>
        <w:rPr>
          <w:sz w:val="20"/>
          <w:szCs w:val="20"/>
        </w:rPr>
        <w:t>arrangements exclusive of operating leases and indemnifications of officers, directors and employees for certain events or occurrences while the officer, director or employee is, or was, serving at our request in such capacity</w:t>
      </w:r>
      <w:r>
        <w:rPr>
          <w:sz w:val="20"/>
          <w:szCs w:val="20"/>
        </w:rPr>
        <w:t>.</w:t>
      </w:r>
    </w:p>
    <w:p w:rsidR="00000000" w:rsidRDefault="00211603">
      <w:pPr>
        <w:pStyle w:val="a3"/>
        <w:spacing w:before="240" w:beforeAutospacing="0" w:after="0" w:afterAutospacing="0"/>
        <w:rPr>
          <w:sz w:val="20"/>
          <w:szCs w:val="20"/>
        </w:rPr>
      </w:pPr>
      <w:r>
        <w:rPr>
          <w:sz w:val="20"/>
          <w:szCs w:val="20"/>
        </w:rPr>
        <w:t> </w:t>
      </w:r>
    </w:p>
    <w:p w:rsidR="00000000" w:rsidRDefault="00211603">
      <w:pPr>
        <w:pStyle w:val="a3"/>
        <w:spacing w:before="24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2</w:t>
      </w:r>
      <w:r>
        <w:rPr>
          <w:sz w:val="20"/>
          <w:szCs w:val="20"/>
        </w:rPr>
        <w:t>9</w:t>
      </w:r>
    </w:p>
    <w:p w:rsidR="00000000" w:rsidRDefault="00211603">
      <w:pPr>
        <w:rPr>
          <w:rFonts w:eastAsia="Times New Roman"/>
        </w:rPr>
      </w:pPr>
      <w:r>
        <w:rPr>
          <w:rFonts w:eastAsia="Times New Roman"/>
        </w:rPr>
        <w:pict>
          <v:rect id="_x0000_i1053"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ind w:hanging="1220"/>
        <w:rPr>
          <w:sz w:val="20"/>
          <w:szCs w:val="20"/>
        </w:rPr>
      </w:pPr>
      <w:r>
        <w:rPr>
          <w:b/>
          <w:bCs/>
          <w:sz w:val="20"/>
          <w:szCs w:val="20"/>
        </w:rPr>
        <w:t>Item 3. Quantitative and Qualitat</w:t>
      </w:r>
      <w:r>
        <w:rPr>
          <w:b/>
          <w:bCs/>
          <w:sz w:val="20"/>
          <w:szCs w:val="20"/>
        </w:rPr>
        <w:t>i</w:t>
      </w:r>
      <w:r>
        <w:rPr>
          <w:b/>
          <w:bCs/>
          <w:sz w:val="20"/>
          <w:szCs w:val="20"/>
        </w:rPr>
        <w:t>ve Disclosures About Market Ris</w:t>
      </w:r>
      <w:r>
        <w:rPr>
          <w:b/>
          <w:bCs/>
          <w:sz w:val="20"/>
          <w:szCs w:val="20"/>
        </w:rPr>
        <w:t>k</w:t>
      </w:r>
    </w:p>
    <w:p w:rsidR="00000000" w:rsidRDefault="00211603">
      <w:pPr>
        <w:pStyle w:val="a3"/>
        <w:spacing w:before="240" w:beforeAutospacing="0" w:after="0" w:afterAutospacing="0"/>
        <w:ind w:left="476"/>
        <w:rPr>
          <w:sz w:val="20"/>
          <w:szCs w:val="20"/>
        </w:rPr>
      </w:pPr>
      <w:r>
        <w:rPr>
          <w:b/>
          <w:bCs/>
          <w:i/>
          <w:iCs/>
          <w:sz w:val="20"/>
          <w:szCs w:val="20"/>
        </w:rPr>
        <w:t>Foreign Currency Exchange Ris</w:t>
      </w:r>
      <w:r>
        <w:rPr>
          <w:b/>
          <w:bCs/>
          <w:i/>
          <w:iCs/>
          <w:sz w:val="20"/>
          <w:szCs w:val="20"/>
        </w:rPr>
        <w:t>k</w:t>
      </w:r>
    </w:p>
    <w:p w:rsidR="00000000" w:rsidRDefault="00211603">
      <w:pPr>
        <w:pStyle w:val="a3"/>
        <w:spacing w:before="240" w:beforeAutospacing="0" w:after="0" w:afterAutospacing="0"/>
        <w:ind w:firstLine="592"/>
        <w:rPr>
          <w:sz w:val="20"/>
          <w:szCs w:val="20"/>
        </w:rPr>
      </w:pPr>
      <w:r>
        <w:rPr>
          <w:sz w:val="20"/>
          <w:szCs w:val="20"/>
        </w:rPr>
        <w:t>We have foreign currency risks related to our revenue and operating expenses denominated in currencies other than the U.S. dollar, primarily</w:t>
      </w:r>
      <w:r>
        <w:rPr>
          <w:sz w:val="20"/>
          <w:szCs w:val="20"/>
        </w:rPr>
        <w:t xml:space="preserve"> the Euro, British Pound Sterling, Australian dollar, Singaporean dollar, Japanese Yen, and Colombian Peso. Since we translate foreign currencies into U.S. dollars for financial reporting purposes, currency fluctuations can have an impact on our financial </w:t>
      </w:r>
      <w:r>
        <w:rPr>
          <w:sz w:val="20"/>
          <w:szCs w:val="20"/>
        </w:rPr>
        <w:t>results</w:t>
      </w:r>
      <w:r>
        <w:rPr>
          <w:sz w:val="20"/>
          <w:szCs w:val="20"/>
        </w:rPr>
        <w:t>.</w:t>
      </w:r>
    </w:p>
    <w:p w:rsidR="00000000" w:rsidRDefault="00211603">
      <w:pPr>
        <w:pStyle w:val="a3"/>
        <w:spacing w:before="240" w:beforeAutospacing="0" w:after="0" w:afterAutospacing="0"/>
        <w:ind w:firstLine="592"/>
        <w:rPr>
          <w:sz w:val="20"/>
          <w:szCs w:val="20"/>
        </w:rPr>
      </w:pPr>
      <w:r>
        <w:rPr>
          <w:sz w:val="20"/>
          <w:szCs w:val="20"/>
        </w:rPr>
        <w:t>We have experienced and will continue to experience fluctuations in our net loss as a result of transaction gains or losses related to revaluing certain current asset and current liability balances that are denominated in currencies other than the function</w:t>
      </w:r>
      <w:r>
        <w:rPr>
          <w:sz w:val="20"/>
          <w:szCs w:val="20"/>
        </w:rPr>
        <w:t>al currency of the entities in which they are recorded. We recognized immaterial amounts of foreign currency gains and losses in each of the periods presented. We have not engaged in the hedging of our foreign currency transactions to date, we are evaluati</w:t>
      </w:r>
      <w:r>
        <w:rPr>
          <w:sz w:val="20"/>
          <w:szCs w:val="20"/>
        </w:rPr>
        <w:t>ng the costs and benefits of initiating such a program and may in the future hedge selected significant transactions denominated in currencies other than the U.S. dollar as we expand our international operation, and our risk grows</w:t>
      </w:r>
      <w:r>
        <w:rPr>
          <w:sz w:val="20"/>
          <w:szCs w:val="20"/>
        </w:rPr>
        <w:t>.</w:t>
      </w:r>
    </w:p>
    <w:p w:rsidR="00000000" w:rsidRDefault="00211603">
      <w:pPr>
        <w:pStyle w:val="a3"/>
        <w:spacing w:before="240" w:beforeAutospacing="0" w:after="0" w:afterAutospacing="0"/>
        <w:ind w:firstLine="592"/>
        <w:rPr>
          <w:sz w:val="20"/>
          <w:szCs w:val="20"/>
        </w:rPr>
      </w:pPr>
      <w:r>
        <w:rPr>
          <w:b/>
          <w:bCs/>
          <w:i/>
          <w:iCs/>
          <w:sz w:val="20"/>
          <w:szCs w:val="20"/>
        </w:rPr>
        <w:t>Interest Rate Sensitivit</w:t>
      </w:r>
      <w:r>
        <w:rPr>
          <w:b/>
          <w:bCs/>
          <w:i/>
          <w:iCs/>
          <w:sz w:val="20"/>
          <w:szCs w:val="20"/>
        </w:rPr>
        <w:t>y</w:t>
      </w:r>
      <w:r>
        <w:rPr>
          <w:b/>
          <w:bCs/>
          <w:i/>
          <w:iCs/>
          <w:sz w:val="20"/>
          <w:szCs w:val="20"/>
        </w:rPr>
        <w:t xml:space="preserve"> </w:t>
      </w:r>
    </w:p>
    <w:p w:rsidR="00000000" w:rsidRDefault="00211603">
      <w:pPr>
        <w:pStyle w:val="a3"/>
        <w:spacing w:before="240" w:beforeAutospacing="0" w:after="0" w:afterAutospacing="0"/>
        <w:ind w:firstLine="592"/>
        <w:rPr>
          <w:sz w:val="20"/>
          <w:szCs w:val="20"/>
        </w:rPr>
      </w:pPr>
      <w:r>
        <w:rPr>
          <w:sz w:val="20"/>
          <w:szCs w:val="20"/>
        </w:rPr>
        <w:t>Our portfolio of cash and cash equivalents and short- and long-term investments is maintained in a variety of securities, including government agency obligations, corporate bonds and money market funds. Investments are classified as available-for-sale s</w:t>
      </w:r>
      <w:r>
        <w:rPr>
          <w:sz w:val="20"/>
          <w:szCs w:val="20"/>
        </w:rPr>
        <w:t>ecurities and carried at their fair market value with cumulative unrealized gains or losses recorded as a component of accumulated other comprehensive loss within stockholders' equity. A sharp rise in interest rates could have an adverse impact on the fair</w:t>
      </w:r>
      <w:r>
        <w:rPr>
          <w:sz w:val="20"/>
          <w:szCs w:val="20"/>
        </w:rPr>
        <w:t xml:space="preserve"> market value of certain securities in our portfolio. We do not currently hedge our interest rate exposure and do not enter into financial instruments for trading or speculative purposes</w:t>
      </w:r>
      <w:r>
        <w:rPr>
          <w:sz w:val="20"/>
          <w:szCs w:val="20"/>
        </w:rPr>
        <w:t>.</w:t>
      </w:r>
    </w:p>
    <w:p w:rsidR="00000000" w:rsidRDefault="00211603">
      <w:pPr>
        <w:pStyle w:val="a3"/>
        <w:spacing w:before="240" w:beforeAutospacing="0" w:after="0" w:afterAutospacing="0"/>
        <w:ind w:firstLine="592"/>
        <w:rPr>
          <w:sz w:val="20"/>
          <w:szCs w:val="20"/>
        </w:rPr>
      </w:pPr>
      <w:r>
        <w:rPr>
          <w:b/>
          <w:bCs/>
          <w:i/>
          <w:iCs/>
          <w:sz w:val="20"/>
          <w:szCs w:val="20"/>
        </w:rPr>
        <w:t>Inflation Ris</w:t>
      </w:r>
      <w:r>
        <w:rPr>
          <w:b/>
          <w:bCs/>
          <w:i/>
          <w:iCs/>
          <w:sz w:val="20"/>
          <w:szCs w:val="20"/>
        </w:rPr>
        <w:t>k</w:t>
      </w:r>
    </w:p>
    <w:p w:rsidR="00000000" w:rsidRDefault="00211603">
      <w:pPr>
        <w:pStyle w:val="a3"/>
        <w:spacing w:before="240" w:beforeAutospacing="0" w:after="0" w:afterAutospacing="0"/>
        <w:ind w:firstLine="592"/>
        <w:rPr>
          <w:sz w:val="20"/>
          <w:szCs w:val="20"/>
        </w:rPr>
      </w:pPr>
      <w:r>
        <w:rPr>
          <w:sz w:val="20"/>
          <w:szCs w:val="20"/>
        </w:rPr>
        <w:t>We do not believe that inflation has had a material e</w:t>
      </w:r>
      <w:r>
        <w:rPr>
          <w:sz w:val="20"/>
          <w:szCs w:val="20"/>
        </w:rPr>
        <w:t>ffect on our business. However, if our costs, in particular labor, sales and marketing and hosting costs, were to become subject to significant inflationary pressures, we may not be able to fully offset such higher costs through price increases. Our inabil</w:t>
      </w:r>
      <w:r>
        <w:rPr>
          <w:sz w:val="20"/>
          <w:szCs w:val="20"/>
        </w:rPr>
        <w:t>ity or failure to do so could harm our business, operating results and financial condition</w:t>
      </w:r>
      <w:r>
        <w:rPr>
          <w:sz w:val="20"/>
          <w:szCs w:val="20"/>
        </w:rPr>
        <w:t>.</w:t>
      </w:r>
    </w:p>
    <w:p w:rsidR="00000000" w:rsidRDefault="00211603">
      <w:pPr>
        <w:pStyle w:val="a3"/>
        <w:spacing w:before="240" w:beforeAutospacing="0" w:after="0" w:afterAutospacing="0"/>
        <w:ind w:firstLine="555"/>
        <w:rPr>
          <w:sz w:val="20"/>
          <w:szCs w:val="20"/>
        </w:rPr>
      </w:pPr>
      <w:r>
        <w:rPr>
          <w:b/>
          <w:bCs/>
          <w:i/>
          <w:iCs/>
          <w:sz w:val="20"/>
          <w:szCs w:val="20"/>
        </w:rPr>
        <w:t>Market Risk and Market Interest Ris</w:t>
      </w:r>
      <w:r>
        <w:rPr>
          <w:b/>
          <w:bCs/>
          <w:i/>
          <w:iCs/>
          <w:sz w:val="20"/>
          <w:szCs w:val="20"/>
        </w:rPr>
        <w:t>k</w:t>
      </w:r>
    </w:p>
    <w:p w:rsidR="00000000" w:rsidRDefault="00211603">
      <w:pPr>
        <w:pStyle w:val="a3"/>
        <w:spacing w:before="240" w:beforeAutospacing="0" w:after="0" w:afterAutospacing="0"/>
        <w:ind w:firstLine="555"/>
        <w:rPr>
          <w:sz w:val="20"/>
          <w:szCs w:val="20"/>
        </w:rPr>
      </w:pPr>
      <w:r>
        <w:rPr>
          <w:sz w:val="20"/>
          <w:szCs w:val="20"/>
        </w:rPr>
        <w:t>In May 2017, we issued $400.0 million aggregate principal amount of 0.25% convertible senior due June 1, 2022, of which $19.4 m</w:t>
      </w:r>
      <w:r>
        <w:rPr>
          <w:sz w:val="20"/>
          <w:szCs w:val="20"/>
        </w:rPr>
        <w:t>illion remains outstanding as of March 31, 2022. Also in June 2020, we issued $460 million aggregate principal amount of convertible senior notes due June 1, 2025, of which $459.1 million remains outstanding as of March 31, 2022. The fair value of our conv</w:t>
      </w:r>
      <w:r>
        <w:rPr>
          <w:sz w:val="20"/>
          <w:szCs w:val="20"/>
        </w:rPr>
        <w:t>ertible senior notes is subject to interest rate risk, market risk and other factors due to the convertible feature. The fair value of the convertible senior notes will generally increase as our common stock price increases and will generally decrease as o</w:t>
      </w:r>
      <w:r>
        <w:rPr>
          <w:sz w:val="20"/>
          <w:szCs w:val="20"/>
        </w:rPr>
        <w:t>ur common stock price declines in value. The interest and market value changes affect the fair value of our convertible senior notes but do not impact our financial position, cash flows or results of operations due to the fixed nature of the debt obligatio</w:t>
      </w:r>
      <w:r>
        <w:rPr>
          <w:sz w:val="20"/>
          <w:szCs w:val="20"/>
        </w:rPr>
        <w:t>n. Generally, the fair values of our senior convertible notes will increase as interest rates fall and decrease as interest rates rise. Additionally, we carry the convertible senior notes at face value less unamortized discount on our balance sheet, and we</w:t>
      </w:r>
      <w:r>
        <w:rPr>
          <w:sz w:val="20"/>
          <w:szCs w:val="20"/>
        </w:rPr>
        <w:t xml:space="preserve"> present the fair value for required disclosure purposes only. Effective March 17, 2022, the Federal Reserve raised interest rates in response to concerns over inflation risk. There continues to be uncertainty in the changing market and economic conditions</w:t>
      </w:r>
      <w:r>
        <w:rPr>
          <w:sz w:val="20"/>
          <w:szCs w:val="20"/>
        </w:rPr>
        <w:t>, including the possibility or additional measures tha</w:t>
      </w:r>
      <w:r>
        <w:rPr>
          <w:sz w:val="20"/>
          <w:szCs w:val="20"/>
        </w:rPr>
        <w:t>t</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3</w:t>
      </w:r>
      <w:r>
        <w:rPr>
          <w:sz w:val="20"/>
          <w:szCs w:val="20"/>
        </w:rPr>
        <w:t>0</w:t>
      </w:r>
    </w:p>
    <w:p w:rsidR="00000000" w:rsidRDefault="00211603">
      <w:pPr>
        <w:rPr>
          <w:rFonts w:eastAsia="Times New Roman"/>
        </w:rPr>
      </w:pPr>
      <w:r>
        <w:rPr>
          <w:rFonts w:eastAsia="Times New Roman"/>
        </w:rPr>
        <w:pict>
          <v:rect id="_x0000_i1054"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rPr>
          <w:sz w:val="20"/>
          <w:szCs w:val="20"/>
        </w:rPr>
      </w:pPr>
      <w:r>
        <w:rPr>
          <w:sz w:val="20"/>
          <w:szCs w:val="20"/>
        </w:rPr>
        <w:t>could be taken by the Federal Reserve and other government agencies, related to the COVID-19 pandemic and concerns over inflation risk</w:t>
      </w:r>
      <w:r>
        <w:rPr>
          <w:sz w:val="20"/>
          <w:szCs w:val="20"/>
        </w:rPr>
        <w:t>.</w:t>
      </w:r>
      <w:r>
        <w:rPr>
          <w:sz w:val="20"/>
          <w:szCs w:val="20"/>
        </w:rPr>
        <w:t xml:space="preserve"> </w:t>
      </w:r>
    </w:p>
    <w:p w:rsidR="00000000" w:rsidRDefault="00211603">
      <w:pPr>
        <w:pStyle w:val="a3"/>
        <w:spacing w:before="240" w:beforeAutospacing="0" w:after="0" w:afterAutospacing="0"/>
        <w:ind w:firstLine="592"/>
        <w:rPr>
          <w:sz w:val="20"/>
          <w:szCs w:val="20"/>
        </w:rPr>
      </w:pPr>
      <w:r>
        <w:rPr>
          <w:sz w:val="20"/>
          <w:szCs w:val="20"/>
        </w:rPr>
        <w:t>The table below provi</w:t>
      </w:r>
      <w:r>
        <w:rPr>
          <w:sz w:val="20"/>
          <w:szCs w:val="20"/>
        </w:rPr>
        <w:t>des a sensitivity analysis of hypothetical 10% changes of our stock price as of March 31, 2022 and the estimated impact on the fair value of the Notes. The selected scenarios are not predictions of future events, but rather are intended to illustrate the e</w:t>
      </w:r>
      <w:r>
        <w:rPr>
          <w:sz w:val="20"/>
          <w:szCs w:val="20"/>
        </w:rPr>
        <w:t>ffect such an event may have on the fair value of the Notes</w:t>
      </w:r>
      <w:r>
        <w:rPr>
          <w:sz w:val="20"/>
          <w:szCs w:val="20"/>
        </w:rPr>
        <w:t>.</w:t>
      </w:r>
    </w:p>
    <w:p w:rsidR="00000000" w:rsidRDefault="00211603">
      <w:pPr>
        <w:pStyle w:val="a3"/>
        <w:spacing w:before="240" w:beforeAutospacing="0" w:after="0" w:afterAutospacing="0"/>
        <w:ind w:firstLine="592"/>
        <w:rPr>
          <w:sz w:val="20"/>
          <w:szCs w:val="20"/>
        </w:rPr>
      </w:pPr>
      <w:r>
        <w:rPr>
          <w:b/>
          <w:bCs/>
          <w:sz w:val="20"/>
          <w:szCs w:val="20"/>
        </w:rPr>
        <w:t>2022 Note</w:t>
      </w:r>
      <w:r>
        <w:rPr>
          <w:b/>
          <w:bCs/>
          <w:sz w:val="20"/>
          <w:szCs w:val="20"/>
        </w:rPr>
        <w: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84"/>
        <w:gridCol w:w="707"/>
        <w:gridCol w:w="110"/>
        <w:gridCol w:w="160"/>
        <w:gridCol w:w="915"/>
        <w:gridCol w:w="110"/>
        <w:gridCol w:w="110"/>
        <w:gridCol w:w="161"/>
        <w:gridCol w:w="1174"/>
        <w:gridCol w:w="127"/>
        <w:gridCol w:w="110"/>
        <w:gridCol w:w="111"/>
        <w:gridCol w:w="1087"/>
        <w:gridCol w:w="309"/>
      </w:tblGrid>
      <w:tr w:rsidR="00000000">
        <w:trPr>
          <w:tblCellSpacing w:w="15" w:type="dxa"/>
        </w:trPr>
        <w:tc>
          <w:tcPr>
            <w:tcW w:w="1616" w:type="pct"/>
            <w:vAlign w:val="center"/>
            <w:hideMark/>
          </w:tcPr>
          <w:p w:rsidR="00000000" w:rsidRDefault="00211603">
            <w:pPr>
              <w:rPr>
                <w:sz w:val="20"/>
                <w:szCs w:val="20"/>
              </w:rPr>
            </w:pPr>
          </w:p>
        </w:tc>
        <w:tc>
          <w:tcPr>
            <w:tcW w:w="505" w:type="pct"/>
            <w:vAlign w:val="center"/>
            <w:hideMark/>
          </w:tcPr>
          <w:p w:rsidR="00000000" w:rsidRDefault="00211603">
            <w:pPr>
              <w:rPr>
                <w:rFonts w:eastAsia="Times New Roman"/>
                <w:sz w:val="20"/>
                <w:szCs w:val="20"/>
              </w:rPr>
            </w:pPr>
          </w:p>
        </w:tc>
        <w:tc>
          <w:tcPr>
            <w:tcW w:w="54"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653" w:type="pct"/>
            <w:vAlign w:val="center"/>
            <w:hideMark/>
          </w:tcPr>
          <w:p w:rsidR="00000000" w:rsidRDefault="00211603">
            <w:pPr>
              <w:rPr>
                <w:rFonts w:eastAsia="Times New Roman"/>
                <w:sz w:val="20"/>
                <w:szCs w:val="20"/>
              </w:rPr>
            </w:pPr>
          </w:p>
        </w:tc>
        <w:tc>
          <w:tcPr>
            <w:tcW w:w="47" w:type="pct"/>
            <w:vAlign w:val="center"/>
            <w:hideMark/>
          </w:tcPr>
          <w:p w:rsidR="00000000" w:rsidRDefault="00211603">
            <w:pPr>
              <w:rPr>
                <w:rFonts w:eastAsia="Times New Roman"/>
                <w:sz w:val="20"/>
                <w:szCs w:val="20"/>
              </w:rPr>
            </w:pPr>
          </w:p>
        </w:tc>
        <w:tc>
          <w:tcPr>
            <w:tcW w:w="54"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837" w:type="pct"/>
            <w:vAlign w:val="center"/>
            <w:hideMark/>
          </w:tcPr>
          <w:p w:rsidR="00000000" w:rsidRDefault="00211603">
            <w:pPr>
              <w:rPr>
                <w:rFonts w:eastAsia="Times New Roman"/>
                <w:sz w:val="20"/>
                <w:szCs w:val="20"/>
              </w:rPr>
            </w:pPr>
          </w:p>
        </w:tc>
        <w:tc>
          <w:tcPr>
            <w:tcW w:w="52" w:type="pct"/>
            <w:vAlign w:val="center"/>
            <w:hideMark/>
          </w:tcPr>
          <w:p w:rsidR="00000000" w:rsidRDefault="00211603">
            <w:pPr>
              <w:rPr>
                <w:rFonts w:eastAsia="Times New Roman"/>
                <w:sz w:val="20"/>
                <w:szCs w:val="20"/>
              </w:rPr>
            </w:pPr>
          </w:p>
        </w:tc>
        <w:tc>
          <w:tcPr>
            <w:tcW w:w="47" w:type="pct"/>
            <w:vAlign w:val="center"/>
            <w:hideMark/>
          </w:tcPr>
          <w:p w:rsidR="00000000" w:rsidRDefault="00211603">
            <w:pPr>
              <w:rPr>
                <w:rFonts w:eastAsia="Times New Roman"/>
                <w:sz w:val="20"/>
                <w:szCs w:val="20"/>
              </w:rPr>
            </w:pPr>
          </w:p>
        </w:tc>
        <w:tc>
          <w:tcPr>
            <w:tcW w:w="51" w:type="pct"/>
            <w:vAlign w:val="center"/>
            <w:hideMark/>
          </w:tcPr>
          <w:p w:rsidR="00000000" w:rsidRDefault="00211603">
            <w:pPr>
              <w:rPr>
                <w:rFonts w:eastAsia="Times New Roman"/>
                <w:sz w:val="20"/>
                <w:szCs w:val="20"/>
              </w:rPr>
            </w:pPr>
          </w:p>
        </w:tc>
        <w:tc>
          <w:tcPr>
            <w:tcW w:w="775" w:type="pct"/>
            <w:vAlign w:val="center"/>
            <w:hideMark/>
          </w:tcPr>
          <w:p w:rsidR="00000000" w:rsidRDefault="00211603">
            <w:pPr>
              <w:rPr>
                <w:rFonts w:eastAsia="Times New Roman"/>
                <w:sz w:val="20"/>
                <w:szCs w:val="20"/>
              </w:rPr>
            </w:pPr>
          </w:p>
        </w:tc>
        <w:tc>
          <w:tcPr>
            <w:tcW w:w="164" w:type="pct"/>
            <w:vAlign w:val="center"/>
            <w:hideMark/>
          </w:tcPr>
          <w:p w:rsidR="00000000" w:rsidRDefault="00211603">
            <w:pPr>
              <w:rPr>
                <w:rFonts w:eastAsia="Times New Roman"/>
                <w:sz w:val="20"/>
                <w:szCs w:val="20"/>
              </w:rPr>
            </w:pPr>
          </w:p>
        </w:tc>
      </w:tr>
      <w:tr w:rsidR="00000000">
        <w:trPr>
          <w:trHeight w:val="180"/>
          <w:tblCellSpacing w:w="15" w:type="dxa"/>
        </w:trPr>
        <w:tc>
          <w:tcPr>
            <w:tcW w:w="0" w:type="auto"/>
            <w:gridSpan w:val="2"/>
            <w:vAlign w:val="bottom"/>
            <w:hideMark/>
          </w:tcPr>
          <w:p w:rsidR="00000000" w:rsidRDefault="00211603">
            <w:pPr>
              <w:pStyle w:val="a3"/>
              <w:spacing w:before="0" w:beforeAutospacing="0" w:after="0" w:afterAutospacing="0"/>
              <w:rPr>
                <w:sz w:val="18"/>
                <w:szCs w:val="18"/>
              </w:rPr>
            </w:pPr>
            <w:r>
              <w:rPr>
                <w:b/>
                <w:bCs/>
                <w:sz w:val="18"/>
                <w:szCs w:val="18"/>
              </w:rPr>
              <w:t>Hypothetical change in HubSpot stock pric</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Fair valu</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Estimated change in fair valu</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Hypothetical percentage increase (decrease) in fair valu</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10% increas</w:t>
            </w:r>
            <w:r>
              <w:rPr>
                <w:sz w:val="18"/>
                <w:szCs w:val="18"/>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106,22</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9,35</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No chang</w:t>
            </w:r>
            <w:r>
              <w:rPr>
                <w:sz w:val="18"/>
                <w:szCs w:val="18"/>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96,87</w:t>
            </w:r>
            <w:r>
              <w:rPr>
                <w:sz w:val="20"/>
                <w:szCs w:val="20"/>
              </w:rPr>
              <w:t>5</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10% decreas</w:t>
            </w:r>
            <w:r>
              <w:rPr>
                <w:sz w:val="18"/>
                <w:szCs w:val="18"/>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87,18</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(9,69</w:t>
            </w:r>
            <w:r>
              <w:rPr>
                <w:sz w:val="20"/>
                <w:szCs w:val="20"/>
              </w:rPr>
              <w:t>1</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r>
              <w:rPr>
                <w:sz w:val="20"/>
                <w:szCs w:val="20"/>
              </w:rPr>
              <w:t>%</w:t>
            </w:r>
          </w:p>
        </w:tc>
      </w:tr>
    </w:tbl>
    <w:p w:rsidR="00000000" w:rsidRDefault="00211603">
      <w:pPr>
        <w:pStyle w:val="a3"/>
        <w:spacing w:before="240" w:beforeAutospacing="0" w:after="0" w:afterAutospacing="0"/>
        <w:ind w:firstLine="592"/>
        <w:rPr>
          <w:sz w:val="20"/>
          <w:szCs w:val="20"/>
        </w:rPr>
      </w:pPr>
      <w:r>
        <w:rPr>
          <w:b/>
          <w:bCs/>
          <w:sz w:val="20"/>
          <w:szCs w:val="20"/>
        </w:rPr>
        <w:t>2025 Note</w:t>
      </w:r>
      <w:r>
        <w:rPr>
          <w:b/>
          <w:bCs/>
          <w:sz w:val="20"/>
          <w:szCs w:val="20"/>
        </w:rPr>
        <w: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86"/>
        <w:gridCol w:w="707"/>
        <w:gridCol w:w="110"/>
        <w:gridCol w:w="160"/>
        <w:gridCol w:w="914"/>
        <w:gridCol w:w="110"/>
        <w:gridCol w:w="110"/>
        <w:gridCol w:w="160"/>
        <w:gridCol w:w="1174"/>
        <w:gridCol w:w="127"/>
        <w:gridCol w:w="110"/>
        <w:gridCol w:w="111"/>
        <w:gridCol w:w="1087"/>
        <w:gridCol w:w="309"/>
      </w:tblGrid>
      <w:tr w:rsidR="00000000">
        <w:trPr>
          <w:tblCellSpacing w:w="15" w:type="dxa"/>
        </w:trPr>
        <w:tc>
          <w:tcPr>
            <w:tcW w:w="1618" w:type="pct"/>
            <w:vAlign w:val="center"/>
            <w:hideMark/>
          </w:tcPr>
          <w:p w:rsidR="00000000" w:rsidRDefault="00211603">
            <w:pPr>
              <w:rPr>
                <w:sz w:val="20"/>
                <w:szCs w:val="20"/>
              </w:rPr>
            </w:pPr>
          </w:p>
        </w:tc>
        <w:tc>
          <w:tcPr>
            <w:tcW w:w="506" w:type="pct"/>
            <w:vAlign w:val="center"/>
            <w:hideMark/>
          </w:tcPr>
          <w:p w:rsidR="00000000" w:rsidRDefault="00211603">
            <w:pPr>
              <w:rPr>
                <w:rFonts w:eastAsia="Times New Roman"/>
                <w:sz w:val="20"/>
                <w:szCs w:val="20"/>
              </w:rPr>
            </w:pPr>
          </w:p>
        </w:tc>
        <w:tc>
          <w:tcPr>
            <w:tcW w:w="54"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653" w:type="pct"/>
            <w:vAlign w:val="center"/>
            <w:hideMark/>
          </w:tcPr>
          <w:p w:rsidR="00000000" w:rsidRDefault="00211603">
            <w:pPr>
              <w:rPr>
                <w:rFonts w:eastAsia="Times New Roman"/>
                <w:sz w:val="20"/>
                <w:szCs w:val="20"/>
              </w:rPr>
            </w:pPr>
          </w:p>
        </w:tc>
        <w:tc>
          <w:tcPr>
            <w:tcW w:w="47" w:type="pct"/>
            <w:vAlign w:val="center"/>
            <w:hideMark/>
          </w:tcPr>
          <w:p w:rsidR="00000000" w:rsidRDefault="00211603">
            <w:pPr>
              <w:rPr>
                <w:rFonts w:eastAsia="Times New Roman"/>
                <w:sz w:val="20"/>
                <w:szCs w:val="20"/>
              </w:rPr>
            </w:pPr>
          </w:p>
        </w:tc>
        <w:tc>
          <w:tcPr>
            <w:tcW w:w="54" w:type="pct"/>
            <w:vAlign w:val="center"/>
            <w:hideMark/>
          </w:tcPr>
          <w:p w:rsidR="00000000" w:rsidRDefault="00211603">
            <w:pPr>
              <w:rPr>
                <w:rFonts w:eastAsia="Times New Roman"/>
                <w:sz w:val="20"/>
                <w:szCs w:val="20"/>
              </w:rPr>
            </w:pPr>
          </w:p>
        </w:tc>
        <w:tc>
          <w:tcPr>
            <w:tcW w:w="70" w:type="pct"/>
            <w:vAlign w:val="center"/>
            <w:hideMark/>
          </w:tcPr>
          <w:p w:rsidR="00000000" w:rsidRDefault="00211603">
            <w:pPr>
              <w:rPr>
                <w:rFonts w:eastAsia="Times New Roman"/>
                <w:sz w:val="20"/>
                <w:szCs w:val="20"/>
              </w:rPr>
            </w:pPr>
          </w:p>
        </w:tc>
        <w:tc>
          <w:tcPr>
            <w:tcW w:w="838" w:type="pct"/>
            <w:vAlign w:val="center"/>
            <w:hideMark/>
          </w:tcPr>
          <w:p w:rsidR="00000000" w:rsidRDefault="00211603">
            <w:pPr>
              <w:rPr>
                <w:rFonts w:eastAsia="Times New Roman"/>
                <w:sz w:val="20"/>
                <w:szCs w:val="20"/>
              </w:rPr>
            </w:pPr>
          </w:p>
        </w:tc>
        <w:tc>
          <w:tcPr>
            <w:tcW w:w="52" w:type="pct"/>
            <w:vAlign w:val="center"/>
            <w:hideMark/>
          </w:tcPr>
          <w:p w:rsidR="00000000" w:rsidRDefault="00211603">
            <w:pPr>
              <w:rPr>
                <w:rFonts w:eastAsia="Times New Roman"/>
                <w:sz w:val="20"/>
                <w:szCs w:val="20"/>
              </w:rPr>
            </w:pPr>
          </w:p>
        </w:tc>
        <w:tc>
          <w:tcPr>
            <w:tcW w:w="41" w:type="pct"/>
            <w:vAlign w:val="center"/>
            <w:hideMark/>
          </w:tcPr>
          <w:p w:rsidR="00000000" w:rsidRDefault="00211603">
            <w:pPr>
              <w:rPr>
                <w:rFonts w:eastAsia="Times New Roman"/>
                <w:sz w:val="20"/>
                <w:szCs w:val="20"/>
              </w:rPr>
            </w:pPr>
          </w:p>
        </w:tc>
        <w:tc>
          <w:tcPr>
            <w:tcW w:w="51" w:type="pct"/>
            <w:vAlign w:val="center"/>
            <w:hideMark/>
          </w:tcPr>
          <w:p w:rsidR="00000000" w:rsidRDefault="00211603">
            <w:pPr>
              <w:rPr>
                <w:rFonts w:eastAsia="Times New Roman"/>
                <w:sz w:val="20"/>
                <w:szCs w:val="20"/>
              </w:rPr>
            </w:pPr>
          </w:p>
        </w:tc>
        <w:tc>
          <w:tcPr>
            <w:tcW w:w="776" w:type="pct"/>
            <w:vAlign w:val="center"/>
            <w:hideMark/>
          </w:tcPr>
          <w:p w:rsidR="00000000" w:rsidRDefault="00211603">
            <w:pPr>
              <w:rPr>
                <w:rFonts w:eastAsia="Times New Roman"/>
                <w:sz w:val="20"/>
                <w:szCs w:val="20"/>
              </w:rPr>
            </w:pPr>
          </w:p>
        </w:tc>
        <w:tc>
          <w:tcPr>
            <w:tcW w:w="164" w:type="pct"/>
            <w:vAlign w:val="center"/>
            <w:hideMark/>
          </w:tcPr>
          <w:p w:rsidR="00000000" w:rsidRDefault="00211603">
            <w:pPr>
              <w:rPr>
                <w:rFonts w:eastAsia="Times New Roman"/>
                <w:sz w:val="20"/>
                <w:szCs w:val="20"/>
              </w:rPr>
            </w:pPr>
          </w:p>
        </w:tc>
      </w:tr>
      <w:tr w:rsidR="00000000">
        <w:trPr>
          <w:trHeight w:val="180"/>
          <w:tblCellSpacing w:w="15" w:type="dxa"/>
        </w:trPr>
        <w:tc>
          <w:tcPr>
            <w:tcW w:w="0" w:type="auto"/>
            <w:gridSpan w:val="2"/>
            <w:vAlign w:val="bottom"/>
            <w:hideMark/>
          </w:tcPr>
          <w:p w:rsidR="00000000" w:rsidRDefault="00211603">
            <w:pPr>
              <w:pStyle w:val="a3"/>
              <w:spacing w:before="0" w:beforeAutospacing="0" w:after="0" w:afterAutospacing="0"/>
              <w:rPr>
                <w:sz w:val="18"/>
                <w:szCs w:val="18"/>
              </w:rPr>
            </w:pPr>
            <w:r>
              <w:rPr>
                <w:b/>
                <w:bCs/>
                <w:sz w:val="18"/>
                <w:szCs w:val="18"/>
              </w:rPr>
              <w:t>Hypothetical change in HubSpot stock pric</w:t>
            </w:r>
            <w:r>
              <w:rPr>
                <w:b/>
                <w:bCs/>
                <w:sz w:val="18"/>
                <w:szCs w:val="18"/>
              </w:rPr>
              <w:t>e</w:t>
            </w:r>
          </w:p>
        </w:tc>
        <w:tc>
          <w:tcPr>
            <w:tcW w:w="0" w:type="auto"/>
            <w:vAlign w:val="bottom"/>
            <w:hideMark/>
          </w:tcPr>
          <w:p w:rsidR="00000000" w:rsidRDefault="0021160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Fair valu</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Estimated change in</w:t>
            </w:r>
            <w:r>
              <w:rPr>
                <w:b/>
                <w:bCs/>
                <w:sz w:val="18"/>
                <w:szCs w:val="18"/>
              </w:rPr>
              <w:br/>
              <w:t>fair valu</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1160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11603">
            <w:pPr>
              <w:pStyle w:val="a3"/>
              <w:spacing w:before="0" w:beforeAutospacing="0" w:after="0" w:afterAutospacing="0"/>
              <w:jc w:val="center"/>
              <w:rPr>
                <w:sz w:val="18"/>
                <w:szCs w:val="18"/>
              </w:rPr>
            </w:pPr>
            <w:r>
              <w:rPr>
                <w:b/>
                <w:bCs/>
                <w:sz w:val="18"/>
                <w:szCs w:val="18"/>
              </w:rPr>
              <w:t>Hypothetical percentage increase (decrease) in fair valu</w:t>
            </w:r>
            <w:r>
              <w:rPr>
                <w:b/>
                <w:bCs/>
                <w:sz w:val="18"/>
                <w:szCs w:val="18"/>
              </w:rPr>
              <w:t>e</w:t>
            </w:r>
          </w:p>
        </w:tc>
        <w:tc>
          <w:tcPr>
            <w:tcW w:w="0" w:type="auto"/>
            <w:vAlign w:val="bottom"/>
            <w:hideMark/>
          </w:tcPr>
          <w:p w:rsidR="00000000" w:rsidRDefault="00211603">
            <w:pPr>
              <w:pStyle w:val="a3"/>
              <w:spacing w:before="0" w:beforeAutospacing="0" w:after="0" w:afterAutospacing="0"/>
              <w:jc w:val="center"/>
              <w:rPr>
                <w:sz w:val="18"/>
                <w:szCs w:val="18"/>
              </w:rPr>
            </w:pPr>
            <w:r>
              <w:rPr>
                <w:sz w:val="18"/>
                <w:szCs w:val="18"/>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10% increas</w:t>
            </w:r>
            <w:r>
              <w:rPr>
                <w:sz w:val="18"/>
                <w:szCs w:val="18"/>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890,30</w:t>
            </w:r>
            <w:r>
              <w:rPr>
                <w:sz w:val="20"/>
                <w:szCs w:val="20"/>
              </w:rPr>
              <w:t>0</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68,86</w:t>
            </w:r>
            <w:r>
              <w:rPr>
                <w:sz w:val="20"/>
                <w:szCs w:val="20"/>
              </w:rPr>
              <w:t>2</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No chang</w:t>
            </w:r>
            <w:r>
              <w:rPr>
                <w:sz w:val="18"/>
                <w:szCs w:val="18"/>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821,43</w:t>
            </w:r>
            <w:r>
              <w:rPr>
                <w:sz w:val="20"/>
                <w:szCs w:val="20"/>
              </w:rPr>
              <w:t>7</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18"/>
                <w:szCs w:val="18"/>
              </w:rPr>
            </w:pPr>
            <w:r>
              <w:rPr>
                <w:sz w:val="18"/>
                <w:szCs w:val="18"/>
              </w:rPr>
              <w:t>10% decreas</w:t>
            </w:r>
            <w:r>
              <w:rPr>
                <w:sz w:val="18"/>
                <w:szCs w:val="18"/>
              </w:rPr>
              <w:t>e</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750,00</w:t>
            </w:r>
            <w:r>
              <w:rPr>
                <w:sz w:val="20"/>
                <w:szCs w:val="20"/>
              </w:rPr>
              <w:t>4</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(71,43</w:t>
            </w:r>
            <w:r>
              <w:rPr>
                <w:sz w:val="20"/>
                <w:szCs w:val="20"/>
              </w:rPr>
              <w:t>3</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w:t>
            </w:r>
            <w:r>
              <w:rPr>
                <w:sz w:val="20"/>
                <w:szCs w:val="20"/>
              </w:rPr>
              <w:t>%</w:t>
            </w:r>
          </w:p>
        </w:tc>
      </w:tr>
    </w:tbl>
    <w:p w:rsidR="00000000" w:rsidRDefault="00211603">
      <w:pPr>
        <w:pStyle w:val="a3"/>
        <w:spacing w:before="240" w:beforeAutospacing="0" w:after="0" w:afterAutospacing="0"/>
        <w:ind w:hanging="1220"/>
        <w:rPr>
          <w:sz w:val="20"/>
          <w:szCs w:val="20"/>
        </w:rPr>
      </w:pPr>
      <w:r>
        <w:rPr>
          <w:b/>
          <w:bCs/>
          <w:sz w:val="20"/>
          <w:szCs w:val="20"/>
        </w:rPr>
        <w:t>Item 4. Control</w:t>
      </w:r>
      <w:r>
        <w:rPr>
          <w:b/>
          <w:bCs/>
          <w:sz w:val="20"/>
          <w:szCs w:val="20"/>
        </w:rPr>
        <w:t>s</w:t>
      </w:r>
      <w:r>
        <w:rPr>
          <w:b/>
          <w:bCs/>
          <w:sz w:val="20"/>
          <w:szCs w:val="20"/>
        </w:rPr>
        <w:t xml:space="preserve"> and Procedure</w:t>
      </w:r>
      <w:r>
        <w:rPr>
          <w:b/>
          <w:bCs/>
          <w:sz w:val="20"/>
          <w:szCs w:val="20"/>
        </w:rPr>
        <w:t>s</w:t>
      </w:r>
    </w:p>
    <w:p w:rsidR="00000000" w:rsidRDefault="00211603">
      <w:pPr>
        <w:pStyle w:val="a3"/>
        <w:spacing w:before="240" w:beforeAutospacing="0" w:after="0" w:afterAutospacing="0"/>
        <w:ind w:firstLine="555"/>
        <w:rPr>
          <w:sz w:val="20"/>
          <w:szCs w:val="20"/>
        </w:rPr>
      </w:pPr>
      <w:r>
        <w:rPr>
          <w:sz w:val="20"/>
          <w:szCs w:val="20"/>
          <w:u w:val="single"/>
        </w:rPr>
        <w:t>Evaluation of Disclosure Controls and Procedure</w:t>
      </w:r>
      <w:r>
        <w:rPr>
          <w:sz w:val="20"/>
          <w:szCs w:val="20"/>
          <w:u w:val="single"/>
        </w:rPr>
        <w:t>s</w:t>
      </w:r>
      <w:r>
        <w:rPr>
          <w:sz w:val="20"/>
          <w:szCs w:val="20"/>
        </w:rPr>
        <w:t>. Our management, with the participation of our principal executive officer and principal financial officer, has evaluated the effectiveness of our disclosure controls and procedures (as defined in Rules 13a-15(e) and 15d-15(e) under the Securities Exchang</w:t>
      </w:r>
      <w:r>
        <w:rPr>
          <w:sz w:val="20"/>
          <w:szCs w:val="20"/>
        </w:rPr>
        <w:t>e Act of 1934, as amended (the “Exchange Act”), as of the end of the period covered by this Quarterly Report on Form 10-Q. Based on such evaluation, our principal executive officer and principal financial officer have concluded that as of such date, our di</w:t>
      </w:r>
      <w:r>
        <w:rPr>
          <w:sz w:val="20"/>
          <w:szCs w:val="20"/>
        </w:rPr>
        <w:t>sclosure controls and procedures were effective</w:t>
      </w:r>
      <w:r>
        <w:rPr>
          <w:sz w:val="20"/>
          <w:szCs w:val="20"/>
        </w:rPr>
        <w:t>.</w:t>
      </w:r>
    </w:p>
    <w:p w:rsidR="00000000" w:rsidRDefault="00211603">
      <w:pPr>
        <w:pStyle w:val="a3"/>
        <w:spacing w:before="240" w:beforeAutospacing="0" w:after="0" w:afterAutospacing="0"/>
        <w:ind w:firstLine="555"/>
        <w:rPr>
          <w:sz w:val="20"/>
          <w:szCs w:val="20"/>
        </w:rPr>
      </w:pPr>
      <w:r>
        <w:rPr>
          <w:sz w:val="20"/>
          <w:szCs w:val="20"/>
          <w:u w:val="single"/>
        </w:rPr>
        <w:t>Changes in Internal Control Over Financial Reportin</w:t>
      </w:r>
      <w:r>
        <w:rPr>
          <w:sz w:val="20"/>
          <w:szCs w:val="20"/>
          <w:u w:val="single"/>
        </w:rPr>
        <w:t>g</w:t>
      </w:r>
      <w:r>
        <w:rPr>
          <w:sz w:val="20"/>
          <w:szCs w:val="20"/>
        </w:rPr>
        <w:t>. There was no change in our internal control over financial reporting (as defined in Rules 13a-15(f) and 15d-15(f) under the Exchange Act) that occurred d</w:t>
      </w:r>
      <w:r>
        <w:rPr>
          <w:sz w:val="20"/>
          <w:szCs w:val="20"/>
        </w:rPr>
        <w:t>uring the period covered by this Quarterly Report on Form 10-Q that has materially affected, or is reasonably likely to materially affect, our internal control over financial reporting</w:t>
      </w:r>
      <w:r>
        <w:rPr>
          <w:sz w:val="20"/>
          <w:szCs w:val="20"/>
        </w:rPr>
        <w:t>.</w:t>
      </w:r>
      <w:r>
        <w:rPr>
          <w:sz w:val="20"/>
          <w:szCs w:val="20"/>
        </w:rPr>
        <w:t xml:space="preserve"> </w:t>
      </w:r>
    </w:p>
    <w:p w:rsidR="00000000" w:rsidRDefault="00211603">
      <w:pPr>
        <w:pStyle w:val="a3"/>
        <w:spacing w:before="240" w:beforeAutospacing="0" w:after="0" w:afterAutospacing="0"/>
        <w:ind w:firstLine="555"/>
        <w:rPr>
          <w:sz w:val="20"/>
          <w:szCs w:val="20"/>
        </w:rPr>
      </w:pPr>
      <w:r>
        <w:rPr>
          <w:sz w:val="20"/>
          <w:szCs w:val="20"/>
          <w:u w:val="single"/>
        </w:rPr>
        <w:t>Inherent Limitations of Internal Control</w:t>
      </w:r>
      <w:r>
        <w:rPr>
          <w:sz w:val="20"/>
          <w:szCs w:val="20"/>
          <w:u w:val="single"/>
        </w:rPr>
        <w:t>s</w:t>
      </w:r>
      <w:r>
        <w:rPr>
          <w:sz w:val="20"/>
          <w:szCs w:val="20"/>
        </w:rPr>
        <w:t xml:space="preserve">. Our management, including </w:t>
      </w:r>
      <w:r>
        <w:rPr>
          <w:sz w:val="20"/>
          <w:szCs w:val="20"/>
        </w:rPr>
        <w:t>our Chief Executive Officer and Chief Financial Officer, does not expect that our disclosure controls and procedures or our internal controls will prevent all errors and all fraud. A control system, no matter how well conceived and operated, can provide on</w:t>
      </w:r>
      <w:r>
        <w:rPr>
          <w:sz w:val="20"/>
          <w:szCs w:val="20"/>
        </w:rPr>
        <w:t>ly reasonable, not absolute, assurance that the objectives of the control system are met. Because of the inherent limitations in all control systems, no evaluation of controls can provide absolute assurance that all control issues and instances of fraud, i</w:t>
      </w:r>
      <w:r>
        <w:rPr>
          <w:sz w:val="20"/>
          <w:szCs w:val="20"/>
        </w:rPr>
        <w:t>f any, within the Company have been detected. These inherent limitations include the realities that judgments in decision-making can be faulty, and that breakdowns can occur because of a simple error or mistake. Additionally, controls can be circumvented b</w:t>
      </w:r>
      <w:r>
        <w:rPr>
          <w:sz w:val="20"/>
          <w:szCs w:val="20"/>
        </w:rPr>
        <w:t>y the individual acts of some persons, by collusion of two or more people, or by management override of the control. The design of any system of controls also is based in part upon certain assumptions about the likelihood of future events, and there can be</w:t>
      </w:r>
      <w:r>
        <w:rPr>
          <w:sz w:val="20"/>
          <w:szCs w:val="20"/>
        </w:rPr>
        <w:t xml:space="preserve"> no assurance that any design will succeed in achieving its stated goals under all potential future conditions. Over time, controls may become inadequate because of changes in conditions, or the degree of compliance with the policies or procedures may dete</w:t>
      </w:r>
      <w:r>
        <w:rPr>
          <w:sz w:val="20"/>
          <w:szCs w:val="20"/>
        </w:rPr>
        <w:t>riorate. Because of the inherent limitations in a cost-effective control system, misstatements due to error or fraud may occur and not be detected</w:t>
      </w:r>
      <w:r>
        <w:rPr>
          <w:sz w:val="20"/>
          <w:szCs w:val="20"/>
        </w:rPr>
        <w:t>.</w:t>
      </w:r>
    </w:p>
    <w:p w:rsidR="00000000" w:rsidRDefault="00211603">
      <w:pPr>
        <w:pStyle w:val="a3"/>
        <w:spacing w:before="240" w:beforeAutospacing="0" w:after="0" w:afterAutospacing="0"/>
        <w:jc w:val="center"/>
        <w:rPr>
          <w:sz w:val="20"/>
          <w:szCs w:val="20"/>
        </w:rPr>
      </w:pPr>
      <w:r>
        <w:rPr>
          <w:sz w:val="20"/>
          <w:szCs w:val="20"/>
        </w:rPr>
        <w:t>3</w:t>
      </w:r>
      <w:r>
        <w:rPr>
          <w:sz w:val="20"/>
          <w:szCs w:val="20"/>
        </w:rPr>
        <w:t>1</w:t>
      </w:r>
    </w:p>
    <w:p w:rsidR="00000000" w:rsidRDefault="00211603">
      <w:pPr>
        <w:rPr>
          <w:rFonts w:eastAsia="Times New Roman"/>
        </w:rPr>
      </w:pPr>
      <w:r>
        <w:rPr>
          <w:rFonts w:eastAsia="Times New Roman"/>
        </w:rPr>
        <w:pict>
          <v:rect id="_x0000_i1055"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rsidR="00000000" w:rsidRDefault="00211603">
      <w:pPr>
        <w:pStyle w:val="a3"/>
        <w:spacing w:before="240" w:beforeAutospacing="0" w:after="0" w:afterAutospacing="0"/>
        <w:jc w:val="center"/>
        <w:rPr>
          <w:sz w:val="20"/>
          <w:szCs w:val="20"/>
        </w:rPr>
      </w:pPr>
      <w:r>
        <w:rPr>
          <w:b/>
          <w:bCs/>
          <w:sz w:val="20"/>
          <w:szCs w:val="20"/>
        </w:rPr>
        <w:t>Other Informatio</w:t>
      </w:r>
      <w:r>
        <w:rPr>
          <w:b/>
          <w:bCs/>
          <w:sz w:val="20"/>
          <w:szCs w:val="20"/>
        </w:rPr>
        <w:t>n</w:t>
      </w:r>
    </w:p>
    <w:p w:rsidR="00000000" w:rsidRDefault="00211603">
      <w:pPr>
        <w:pStyle w:val="a3"/>
        <w:spacing w:before="240" w:beforeAutospacing="0" w:after="0" w:afterAutospacing="0"/>
        <w:ind w:hanging="1220"/>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rsidR="00000000" w:rsidRDefault="00211603">
      <w:pPr>
        <w:pStyle w:val="a3"/>
        <w:spacing w:before="240" w:beforeAutospacing="0" w:after="0" w:afterAutospacing="0"/>
        <w:ind w:firstLine="555"/>
        <w:rPr>
          <w:sz w:val="20"/>
          <w:szCs w:val="20"/>
        </w:rPr>
      </w:pPr>
      <w:r>
        <w:rPr>
          <w:sz w:val="20"/>
          <w:szCs w:val="20"/>
        </w:rPr>
        <w:t>From time to t</w:t>
      </w:r>
      <w:r>
        <w:rPr>
          <w:sz w:val="20"/>
          <w:szCs w:val="20"/>
        </w:rPr>
        <w:t>ime we may become involved in legal proceedings or be subject to claims arising in the ordinary course of our business. Although the results of litigation and claims cannot be predicted with certainty, we currently believe that the final outcome of these o</w:t>
      </w:r>
      <w:r>
        <w:rPr>
          <w:sz w:val="20"/>
          <w:szCs w:val="20"/>
        </w:rPr>
        <w:t xml:space="preserve">rdinary course matters will not have a material adverse effect on our business, operating results, financial condition or cash flows. Regardless of the outcome, litigation can have an adverse impact on us because of defense and settlement costs, diversion </w:t>
      </w:r>
      <w:r>
        <w:rPr>
          <w:sz w:val="20"/>
          <w:szCs w:val="20"/>
        </w:rPr>
        <w:t>of management resources and other factors</w:t>
      </w:r>
      <w:r>
        <w:rPr>
          <w:sz w:val="20"/>
          <w:szCs w:val="20"/>
        </w:rPr>
        <w:t>.</w:t>
      </w:r>
    </w:p>
    <w:p w:rsidR="00000000" w:rsidRDefault="00211603">
      <w:pPr>
        <w:pStyle w:val="a3"/>
        <w:spacing w:before="240" w:beforeAutospacing="0" w:after="0" w:afterAutospacing="0"/>
        <w:rPr>
          <w:sz w:val="20"/>
          <w:szCs w:val="20"/>
        </w:rPr>
      </w:pPr>
      <w:r>
        <w:rPr>
          <w:sz w:val="18"/>
          <w:szCs w:val="18"/>
        </w:rPr>
        <w:t> </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211603">
      <w:pPr>
        <w:pStyle w:val="a3"/>
        <w:spacing w:before="200" w:beforeAutospacing="0" w:after="0" w:afterAutospacing="0"/>
        <w:ind w:firstLine="555"/>
        <w:rPr>
          <w:sz w:val="20"/>
          <w:szCs w:val="20"/>
        </w:rPr>
      </w:pPr>
      <w:r>
        <w:rPr>
          <w:i/>
          <w:iCs/>
          <w:sz w:val="20"/>
          <w:szCs w:val="20"/>
        </w:rPr>
        <w:t xml:space="preserve">An investment in our common stock involves a high degree of risk. You should carefully consider the risks described below and the other information in this Quarterly Report on Form 10-Q and in our other public filings before making an investment decision. </w:t>
      </w:r>
      <w:r>
        <w:rPr>
          <w:i/>
          <w:iCs/>
          <w:sz w:val="20"/>
          <w:szCs w:val="20"/>
        </w:rPr>
        <w:t>Our business, prospects, financial condition, or operating results could be harmed by any of these risks, as well as other risks not currently known to us or that we currently consider immaterial. If any such risks and uncertainties actually occurs, our bu</w:t>
      </w:r>
      <w:r>
        <w:rPr>
          <w:i/>
          <w:iCs/>
          <w:sz w:val="20"/>
          <w:szCs w:val="20"/>
        </w:rPr>
        <w:t>siness, financial condition or operating results could differ materially from the plans, projections and other forward-looking statements included in the section titled “Management’s Discussion and Analysis of Financial Condition and Results of Operations”</w:t>
      </w:r>
      <w:r>
        <w:rPr>
          <w:i/>
          <w:iCs/>
          <w:sz w:val="20"/>
          <w:szCs w:val="20"/>
        </w:rPr>
        <w:t xml:space="preserve"> and elsewhere in this report and in our other public filings. The trading price of our common stock could decline due to any of these risks, and, as a result, you may lose all or part of your investment</w:t>
      </w:r>
      <w:r>
        <w:rPr>
          <w:i/>
          <w:iCs/>
          <w:sz w:val="20"/>
          <w:szCs w:val="20"/>
        </w:rPr>
        <w:t>.</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Our Business and Strateg</w:t>
      </w:r>
      <w:r>
        <w:rPr>
          <w:b/>
          <w:bCs/>
          <w:sz w:val="20"/>
          <w:szCs w:val="20"/>
        </w:rPr>
        <w:t>y</w:t>
      </w:r>
    </w:p>
    <w:p w:rsidR="00000000" w:rsidRDefault="00211603">
      <w:pPr>
        <w:pStyle w:val="a3"/>
        <w:spacing w:before="200" w:beforeAutospacing="0" w:after="0" w:afterAutospacing="0"/>
        <w:rPr>
          <w:sz w:val="20"/>
          <w:szCs w:val="20"/>
        </w:rPr>
      </w:pPr>
      <w:r>
        <w:rPr>
          <w:b/>
          <w:bCs/>
          <w:i/>
          <w:iCs/>
          <w:sz w:val="20"/>
          <w:szCs w:val="20"/>
        </w:rPr>
        <w:t>We are</w:t>
      </w:r>
      <w:r>
        <w:rPr>
          <w:b/>
          <w:bCs/>
          <w:i/>
          <w:iCs/>
          <w:sz w:val="20"/>
          <w:szCs w:val="20"/>
        </w:rPr>
        <w:t xml:space="preserve"> dependent upon customer renewals, the addition of new customers, increased revenue from existing customers and the continued growth of the market for a CRM Platform</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derive, and expect to continue to derive, a substantial portion of our revenue from th</w:t>
      </w:r>
      <w:r>
        <w:rPr>
          <w:sz w:val="20"/>
          <w:szCs w:val="20"/>
        </w:rPr>
        <w:t>e sale of subscriptions to our CRM Platform. The market for inbound marketing, sales and customer service products is still evolving, and competitive dynamics may cause pricing levels to change as the market matures and as existing and new market participa</w:t>
      </w:r>
      <w:r>
        <w:rPr>
          <w:sz w:val="20"/>
          <w:szCs w:val="20"/>
        </w:rPr>
        <w:t>nts introduce new types of point applications and different approaches to enable businesses to address their respective needs. As a result, we may be forced to reduce the prices we charge for our platform and may be unable to renew existing customer agreem</w:t>
      </w:r>
      <w:r>
        <w:rPr>
          <w:sz w:val="20"/>
          <w:szCs w:val="20"/>
        </w:rPr>
        <w:t>ents or enter into new customer agreements at the same prices and upon the same terms that we have historically. In addition, our growth strategy involves a scalable pricing model (including freemium versions of our products) intended to provide us with an</w:t>
      </w:r>
      <w:r>
        <w:rPr>
          <w:sz w:val="20"/>
          <w:szCs w:val="20"/>
        </w:rPr>
        <w:t xml:space="preserve"> opportunity to increase the value of our customer relationships over time as we expand their use of our platform, sell to other parts of their organizations, cross-sell our sales products to existing marketing product customers and vice versa through touc</w:t>
      </w:r>
      <w:r>
        <w:rPr>
          <w:sz w:val="20"/>
          <w:szCs w:val="20"/>
        </w:rPr>
        <w:t>hless or low touch in product purchases, and upsell additional offerings and features. If our cross-selling efforts are unsuccessful or if our existing customers do not expand their use of our platform or adopt additional offerings and features, our operat</w:t>
      </w:r>
      <w:r>
        <w:rPr>
          <w:sz w:val="20"/>
          <w:szCs w:val="20"/>
        </w:rPr>
        <w:t>ing results may suffer</w:t>
      </w:r>
      <w:r>
        <w:rPr>
          <w:sz w:val="20"/>
          <w:szCs w:val="20"/>
        </w:rPr>
        <w:t>.</w:t>
      </w:r>
    </w:p>
    <w:p w:rsidR="00000000" w:rsidRDefault="00211603">
      <w:pPr>
        <w:pStyle w:val="a3"/>
        <w:spacing w:before="200" w:beforeAutospacing="0" w:after="0" w:afterAutospacing="0"/>
        <w:rPr>
          <w:sz w:val="20"/>
          <w:szCs w:val="20"/>
        </w:rPr>
      </w:pPr>
      <w:r>
        <w:rPr>
          <w:b/>
          <w:bCs/>
          <w:i/>
          <w:iCs/>
          <w:sz w:val="20"/>
          <w:szCs w:val="20"/>
        </w:rPr>
        <w:t>Our subscription renewal rates may decrease, and any decrease could harm our future revenue and operating results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customers have no obligation to renew their subscriptions for our platform after the expiration of their subscription periods, substantially all of which are one year or less. In addition, our customers may seek to renew for lower subscription tiers, f</w:t>
      </w:r>
      <w:r>
        <w:rPr>
          <w:sz w:val="20"/>
          <w:szCs w:val="20"/>
        </w:rPr>
        <w:t>or fewer contacts or seats, or for shorter contract lengths. Also, customers may choose not to renew their subscriptions for a variety of reasons. Our renewal rates may decline or fluctuate as a result of a number of factors, including limited customer res</w:t>
      </w:r>
      <w:r>
        <w:rPr>
          <w:sz w:val="20"/>
          <w:szCs w:val="20"/>
        </w:rPr>
        <w:t>ources, pricing changes, the prices of services offered by our competitors, adoption and utilization of our platform and add-on applications by our customers, adoption of our new products, customer satisfaction with our platform, mergers and acquisitions a</w:t>
      </w:r>
      <w:r>
        <w:rPr>
          <w:sz w:val="20"/>
          <w:szCs w:val="20"/>
        </w:rPr>
        <w:t xml:space="preserve">ffecting our customer base, reductions in our customers’ spending levels or declines in customer activity as a result of economic downturns or uncertainty in financial markets. If our customers do not renew their subscriptions for our platform or decrease </w:t>
      </w:r>
      <w:r>
        <w:rPr>
          <w:sz w:val="20"/>
          <w:szCs w:val="20"/>
        </w:rPr>
        <w:t>the amount they spend with us, our revenue will decline and our business will suffer. In addition, a subscription model creates certain risks related to the timing of revenue recognition and potential reductions in cash flows. A portion of the subscription</w:t>
      </w:r>
      <w:r>
        <w:rPr>
          <w:sz w:val="20"/>
          <w:szCs w:val="20"/>
        </w:rPr>
        <w:t>-based revenue we report each quarter results from the recognition of deferred revenue relating to subscription agreements entered into during previous quarters. A decline in new or renewed subscriptions in any period may not be immediately reflected in ou</w:t>
      </w:r>
      <w:r>
        <w:rPr>
          <w:sz w:val="20"/>
          <w:szCs w:val="20"/>
        </w:rPr>
        <w:t>r reported financial results for that period, but may resul</w:t>
      </w:r>
      <w:r>
        <w:rPr>
          <w:sz w:val="20"/>
          <w:szCs w:val="20"/>
        </w:rPr>
        <w:t>t</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3</w:t>
      </w:r>
      <w:r>
        <w:rPr>
          <w:sz w:val="20"/>
          <w:szCs w:val="20"/>
        </w:rPr>
        <w:t>2</w:t>
      </w:r>
    </w:p>
    <w:p w:rsidR="00000000" w:rsidRDefault="00211603">
      <w:pPr>
        <w:rPr>
          <w:rFonts w:eastAsia="Times New Roman"/>
        </w:rPr>
      </w:pPr>
      <w:r>
        <w:rPr>
          <w:rFonts w:eastAsia="Times New Roman"/>
        </w:rPr>
        <w:pict>
          <v:rect id="_x0000_i1056"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in a decline in our revenue in future quarters. If we were to experience significant downturns in subscription sales and renewal rates, our reported fin</w:t>
      </w:r>
      <w:r>
        <w:rPr>
          <w:sz w:val="20"/>
          <w:szCs w:val="20"/>
        </w:rPr>
        <w:t>ancial results might not reflect such downturns until future periods</w:t>
      </w:r>
      <w:r>
        <w:rPr>
          <w:sz w:val="20"/>
          <w:szCs w:val="20"/>
        </w:rPr>
        <w:t>.</w:t>
      </w:r>
    </w:p>
    <w:p w:rsidR="00000000" w:rsidRDefault="00211603">
      <w:pPr>
        <w:pStyle w:val="a3"/>
        <w:spacing w:before="200" w:beforeAutospacing="0" w:after="0" w:afterAutospacing="0"/>
        <w:rPr>
          <w:sz w:val="20"/>
          <w:szCs w:val="20"/>
        </w:rPr>
      </w:pPr>
      <w:r>
        <w:rPr>
          <w:b/>
          <w:bCs/>
          <w:i/>
          <w:iCs/>
          <w:sz w:val="20"/>
          <w:szCs w:val="20"/>
        </w:rPr>
        <w:t>We face significant competition from both established and new companies offering marketing, sales and customer service software and other related applications, as well as internally deve</w:t>
      </w:r>
      <w:r>
        <w:rPr>
          <w:b/>
          <w:bCs/>
          <w:i/>
          <w:iCs/>
          <w:sz w:val="20"/>
          <w:szCs w:val="20"/>
        </w:rPr>
        <w:t>loped software, which may harm our ability to add new customers, retain existing customers and grow our business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The marketing, sales, customer service, operations, and content management software market is evolving, highly competitive and significantly f</w:t>
      </w:r>
      <w:r>
        <w:rPr>
          <w:sz w:val="20"/>
          <w:szCs w:val="20"/>
        </w:rPr>
        <w:t>ragmented. With the introduction of new technologies and the potential entry of new competitors into the market, we expect competition to persist and intensify in the future, which could harm our ability to increase sales, maintain or increase renewals and</w:t>
      </w:r>
      <w:r>
        <w:rPr>
          <w:sz w:val="20"/>
          <w:szCs w:val="20"/>
        </w:rPr>
        <w:t xml:space="preserve"> maintain our prices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We face intense competition from other software companies that develop marketing, sales, customer service, operations, and content management software and from marketing services companies that provide interactive marketing services.</w:t>
      </w:r>
      <w:r>
        <w:rPr>
          <w:sz w:val="20"/>
          <w:szCs w:val="20"/>
        </w:rPr>
        <w:t xml:space="preserve"> Competition could significantly impede our ability to sell subscriptions to our CRM Platform on terms favorable to us. Our current and potential competitors may develop and market new technologies that render our existing or future products less competiti</w:t>
      </w:r>
      <w:r>
        <w:rPr>
          <w:sz w:val="20"/>
          <w:szCs w:val="20"/>
        </w:rPr>
        <w:t xml:space="preserve">ve, or obsolete. In addition, if these competitors develop products with similar or superior functionality to our platform, we may need to decrease the prices or accept less favorable terms for our platform subscriptions in order to remain competitive. If </w:t>
      </w:r>
      <w:r>
        <w:rPr>
          <w:sz w:val="20"/>
          <w:szCs w:val="20"/>
        </w:rPr>
        <w:t>we are unable to maintain our pricing due to competitive pressures, our margins will be reduced and our operating results will be negatively affected</w:t>
      </w:r>
      <w:r>
        <w:rPr>
          <w:sz w:val="20"/>
          <w:szCs w:val="20"/>
        </w:rPr>
        <w:t>.</w:t>
      </w:r>
    </w:p>
    <w:p w:rsidR="00000000" w:rsidRDefault="00211603">
      <w:pPr>
        <w:pStyle w:val="a3"/>
        <w:spacing w:before="200" w:beforeAutospacing="0" w:after="0" w:afterAutospacing="0"/>
        <w:ind w:firstLine="555"/>
        <w:rPr>
          <w:sz w:val="20"/>
          <w:szCs w:val="20"/>
        </w:rPr>
      </w:pPr>
      <w:r>
        <w:rPr>
          <w:sz w:val="20"/>
          <w:szCs w:val="20"/>
        </w:rPr>
        <w:t>Our competitors include</w:t>
      </w:r>
      <w:r>
        <w:rPr>
          <w:sz w:val="20"/>
          <w:szCs w:val="20"/>
        </w:rPr>
        <w:t>:</w:t>
      </w:r>
    </w:p>
    <w:p w:rsidR="00000000" w:rsidRDefault="00211603">
      <w:pPr>
        <w:divId w:val="813567124"/>
        <w:rPr>
          <w:rFonts w:eastAsia="Times New Roman"/>
        </w:rPr>
      </w:pPr>
      <w:r>
        <w:rPr>
          <w:rFonts w:eastAsia="Times New Roman"/>
          <w:sz w:val="20"/>
          <w:szCs w:val="20"/>
        </w:rPr>
        <w:t>•</w:t>
      </w:r>
    </w:p>
    <w:p w:rsidR="00000000" w:rsidRDefault="00211603">
      <w:pPr>
        <w:divId w:val="1212882030"/>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211603">
      <w:pPr>
        <w:divId w:val="388919042"/>
        <w:rPr>
          <w:rFonts w:eastAsia="Times New Roman"/>
        </w:rPr>
      </w:pPr>
      <w:r>
        <w:rPr>
          <w:rFonts w:eastAsia="Times New Roman"/>
          <w:sz w:val="20"/>
          <w:szCs w:val="20"/>
        </w:rPr>
        <w:t>•</w:t>
      </w:r>
    </w:p>
    <w:p w:rsidR="00000000" w:rsidRDefault="00211603">
      <w:pPr>
        <w:divId w:val="458694825"/>
        <w:rPr>
          <w:rFonts w:eastAsia="Times New Roman"/>
        </w:rPr>
      </w:pPr>
      <w:r>
        <w:rPr>
          <w:rFonts w:eastAsia="Times New Roman"/>
          <w:sz w:val="20"/>
          <w:szCs w:val="20"/>
        </w:rPr>
        <w:t>email marketing software vendors</w:t>
      </w:r>
      <w:r>
        <w:rPr>
          <w:rFonts w:eastAsia="Times New Roman"/>
          <w:sz w:val="20"/>
          <w:szCs w:val="20"/>
        </w:rPr>
        <w:t>;</w:t>
      </w:r>
    </w:p>
    <w:p w:rsidR="00000000" w:rsidRDefault="00211603">
      <w:pPr>
        <w:divId w:val="1539975562"/>
        <w:rPr>
          <w:rFonts w:eastAsia="Times New Roman"/>
        </w:rPr>
      </w:pPr>
      <w:r>
        <w:rPr>
          <w:rFonts w:eastAsia="Times New Roman"/>
          <w:sz w:val="20"/>
          <w:szCs w:val="20"/>
        </w:rPr>
        <w:t>•</w:t>
      </w:r>
    </w:p>
    <w:p w:rsidR="00000000" w:rsidRDefault="00211603">
      <w:pPr>
        <w:divId w:val="1308781164"/>
        <w:rPr>
          <w:rFonts w:eastAsia="Times New Roman"/>
        </w:rPr>
      </w:pPr>
      <w:r>
        <w:rPr>
          <w:rFonts w:eastAsia="Times New Roman"/>
          <w:sz w:val="20"/>
          <w:szCs w:val="20"/>
        </w:rPr>
        <w:t>sales force automation and CRM software vendors</w:t>
      </w:r>
      <w:r>
        <w:rPr>
          <w:rFonts w:eastAsia="Times New Roman"/>
          <w:sz w:val="20"/>
          <w:szCs w:val="20"/>
        </w:rPr>
        <w:t>;</w:t>
      </w:r>
    </w:p>
    <w:p w:rsidR="00000000" w:rsidRDefault="00211603">
      <w:pPr>
        <w:divId w:val="1456286983"/>
        <w:rPr>
          <w:rFonts w:eastAsia="Times New Roman"/>
        </w:rPr>
      </w:pPr>
      <w:r>
        <w:rPr>
          <w:rFonts w:eastAsia="Times New Roman"/>
          <w:sz w:val="20"/>
          <w:szCs w:val="20"/>
        </w:rPr>
        <w:t>•</w:t>
      </w:r>
    </w:p>
    <w:p w:rsidR="00000000" w:rsidRDefault="00211603">
      <w:pPr>
        <w:divId w:val="870189632"/>
        <w:rPr>
          <w:rFonts w:eastAsia="Times New Roman"/>
        </w:rPr>
      </w:pPr>
      <w:r>
        <w:rPr>
          <w:rFonts w:eastAsia="Times New Roman"/>
          <w:sz w:val="20"/>
          <w:szCs w:val="20"/>
        </w:rPr>
        <w:t>large-scale enterprise suites</w:t>
      </w:r>
      <w:r>
        <w:rPr>
          <w:rFonts w:eastAsia="Times New Roman"/>
          <w:sz w:val="20"/>
          <w:szCs w:val="20"/>
        </w:rPr>
        <w:t>;</w:t>
      </w:r>
    </w:p>
    <w:p w:rsidR="00000000" w:rsidRDefault="00211603">
      <w:pPr>
        <w:divId w:val="1275481849"/>
        <w:rPr>
          <w:rFonts w:eastAsia="Times New Roman"/>
        </w:rPr>
      </w:pPr>
      <w:r>
        <w:rPr>
          <w:rFonts w:eastAsia="Times New Roman"/>
          <w:sz w:val="20"/>
          <w:szCs w:val="20"/>
        </w:rPr>
        <w:t>•</w:t>
      </w:r>
    </w:p>
    <w:p w:rsidR="00000000" w:rsidRDefault="00211603">
      <w:pPr>
        <w:divId w:val="2069527329"/>
        <w:rPr>
          <w:rFonts w:eastAsia="Times New Roman"/>
        </w:rPr>
      </w:pPr>
      <w:r>
        <w:rPr>
          <w:rFonts w:eastAsia="Times New Roman"/>
          <w:sz w:val="20"/>
          <w:szCs w:val="20"/>
        </w:rPr>
        <w:t>customer service software providers; an</w:t>
      </w:r>
      <w:r>
        <w:rPr>
          <w:rFonts w:eastAsia="Times New Roman"/>
          <w:sz w:val="20"/>
          <w:szCs w:val="20"/>
        </w:rPr>
        <w:t>d</w:t>
      </w:r>
    </w:p>
    <w:p w:rsidR="00000000" w:rsidRDefault="00211603">
      <w:pPr>
        <w:divId w:val="1071579376"/>
        <w:rPr>
          <w:rFonts w:eastAsia="Times New Roman"/>
        </w:rPr>
      </w:pPr>
      <w:r>
        <w:rPr>
          <w:rFonts w:eastAsia="Times New Roman"/>
          <w:sz w:val="20"/>
          <w:szCs w:val="20"/>
        </w:rPr>
        <w:t>•</w:t>
      </w:r>
    </w:p>
    <w:p w:rsidR="00000000" w:rsidRDefault="00211603">
      <w:pPr>
        <w:divId w:val="1164928472"/>
        <w:rPr>
          <w:rFonts w:eastAsia="Times New Roman"/>
        </w:rPr>
      </w:pPr>
      <w:r>
        <w:rPr>
          <w:rFonts w:eastAsia="Times New Roman"/>
          <w:sz w:val="20"/>
          <w:szCs w:val="20"/>
        </w:rPr>
        <w:t>content management systems</w:t>
      </w:r>
      <w:r>
        <w:rPr>
          <w:rFonts w:eastAsia="Times New Roman"/>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In addition, instead of using our platform, some prospective customers may elect to combine disparate point applications, such as content management, marketing automation, CRM, analytics and social media management. We expect that new competitors, such as </w:t>
      </w:r>
      <w:r>
        <w:rPr>
          <w:sz w:val="20"/>
          <w:szCs w:val="20"/>
        </w:rPr>
        <w:t>enterprise software vendors that have traditionally focused on enterprise resource planning or other applications supporting back office functions, will develop and introduce applications serving customer-facing and other front office functions. This devel</w:t>
      </w:r>
      <w:r>
        <w:rPr>
          <w:sz w:val="20"/>
          <w:szCs w:val="20"/>
        </w:rPr>
        <w:t>opment could have an adverse effect on our business, operating results and financial condition. In addition, sales force automation and CRM vendors could acquire or develop applications that compete with our marketing software offerings. Some of these comp</w:t>
      </w:r>
      <w:r>
        <w:rPr>
          <w:sz w:val="20"/>
          <w:szCs w:val="20"/>
        </w:rPr>
        <w:t>anies have acquired social media marketing and other marketing software providers to integrate with their broader offerings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Our current and potential competitors may have significantly more financial, technical, marketing and other resources than we have</w:t>
      </w:r>
      <w:r>
        <w:rPr>
          <w:sz w:val="20"/>
          <w:szCs w:val="20"/>
        </w:rPr>
        <w:t>, be able to devote greater resources to the development, promotion, sale and support of their products and services, may have more extensive customer bases and broader customer relationships than we have, and may have longer operating histories and greate</w:t>
      </w:r>
      <w:r>
        <w:rPr>
          <w:sz w:val="20"/>
          <w:szCs w:val="20"/>
        </w:rPr>
        <w:t>r name recognition than we have. As a result, these competitors may respond faster to new technologies and undertake more extensive marketing campaigns for their products. In a few cases, these vendors may also be able to offer marketing, sales, customer s</w:t>
      </w:r>
      <w:r>
        <w:rPr>
          <w:sz w:val="20"/>
          <w:szCs w:val="20"/>
        </w:rPr>
        <w:t>ervice and content management software at little or no additional cost by bundling it with their existing suite of applications. To the extent any of our competitors has existing relationships with potential customers for either marketing software or other</w:t>
      </w:r>
      <w:r>
        <w:rPr>
          <w:sz w:val="20"/>
          <w:szCs w:val="20"/>
        </w:rPr>
        <w:t xml:space="preserve"> applications, those customers may be unwilling to purchase our platform because of their existing relationships with our competitor. If we are unable to compete with such companies, the demand for our CRM Platform could substantially decline</w:t>
      </w:r>
      <w:r>
        <w:rPr>
          <w:sz w:val="20"/>
          <w:szCs w:val="20"/>
        </w:rPr>
        <w:t>.</w:t>
      </w:r>
    </w:p>
    <w:p w:rsidR="00000000" w:rsidRDefault="00211603">
      <w:pPr>
        <w:pStyle w:val="a3"/>
        <w:spacing w:before="200" w:beforeAutospacing="0" w:after="0" w:afterAutospacing="0"/>
        <w:ind w:firstLine="555"/>
        <w:rPr>
          <w:sz w:val="20"/>
          <w:szCs w:val="20"/>
        </w:rPr>
      </w:pPr>
      <w:r>
        <w:rPr>
          <w:sz w:val="20"/>
          <w:szCs w:val="20"/>
        </w:rPr>
        <w:t>In addition,</w:t>
      </w:r>
      <w:r>
        <w:rPr>
          <w:sz w:val="20"/>
          <w:szCs w:val="20"/>
        </w:rPr>
        <w:t xml:space="preserve"> if one or more of our competitors were to merge or partner with another of our competitors, our ability to compete effectively could be adversely affected. Our competitors may also establish or strengthen cooperative relationships with our current or futu</w:t>
      </w:r>
      <w:r>
        <w:rPr>
          <w:sz w:val="20"/>
          <w:szCs w:val="20"/>
        </w:rPr>
        <w:t>re strategic distribution and technology partners or other parties with whom we have relationships, thereby limiting our ability to promote and implement our platform. We may not be able to compete successfully against current or future competitors, and co</w:t>
      </w:r>
      <w:r>
        <w:rPr>
          <w:sz w:val="20"/>
          <w:szCs w:val="20"/>
        </w:rPr>
        <w:t>mpetitive pressures may harm our business, operating results and financial condition</w:t>
      </w:r>
      <w:r>
        <w:rPr>
          <w:sz w:val="20"/>
          <w:szCs w:val="20"/>
        </w:rPr>
        <w:t>.</w:t>
      </w:r>
    </w:p>
    <w:p w:rsidR="00000000" w:rsidRDefault="00211603">
      <w:pPr>
        <w:pStyle w:val="a3"/>
        <w:spacing w:before="240" w:beforeAutospacing="0" w:after="0" w:afterAutospacing="0"/>
        <w:jc w:val="center"/>
        <w:rPr>
          <w:sz w:val="20"/>
          <w:szCs w:val="20"/>
        </w:rPr>
      </w:pPr>
      <w:r>
        <w:rPr>
          <w:sz w:val="20"/>
          <w:szCs w:val="20"/>
        </w:rPr>
        <w:t>3</w:t>
      </w:r>
      <w:r>
        <w:rPr>
          <w:sz w:val="20"/>
          <w:szCs w:val="20"/>
        </w:rPr>
        <w:t>3</w:t>
      </w:r>
    </w:p>
    <w:p w:rsidR="00000000" w:rsidRDefault="00211603">
      <w:pPr>
        <w:rPr>
          <w:rFonts w:eastAsia="Times New Roman"/>
        </w:rPr>
      </w:pPr>
      <w:r>
        <w:rPr>
          <w:rFonts w:eastAsia="Times New Roman"/>
        </w:rPr>
        <w:pict>
          <v:rect id="_x0000_i1057"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i/>
          <w:iCs/>
          <w:sz w:val="20"/>
          <w:szCs w:val="20"/>
        </w:rPr>
        <w:t>We have experienced rapid growth and organizational change in recent periods and expect continued future growth. If we fail to m</w:t>
      </w:r>
      <w:r>
        <w:rPr>
          <w:b/>
          <w:bCs/>
          <w:i/>
          <w:iCs/>
          <w:sz w:val="20"/>
          <w:szCs w:val="20"/>
        </w:rPr>
        <w:t>anage our growth effectively, we may be unable to execute our business plan, maintain high levels of service or address competitive challenges adequately</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Our headcount and operations have grown substantially. For example, we had 6,404 full-time employees </w:t>
      </w:r>
      <w:r>
        <w:rPr>
          <w:sz w:val="20"/>
          <w:szCs w:val="20"/>
        </w:rPr>
        <w:t>as of March 31, 2022, compared with 5,895 as of December 31, 2021. We have opened several international offices and plan to open additional offices in the future. This growth has placed, and will continue to place, a significant strain on our management, a</w:t>
      </w:r>
      <w:r>
        <w:rPr>
          <w:sz w:val="20"/>
          <w:szCs w:val="20"/>
        </w:rPr>
        <w:t>dministrative, operational and financial infrastructure. We anticipate further growth will be required to address increases in our product offerings and continued expansion. Our success will depend in part upon our ability to recruit, hire, train, manage a</w:t>
      </w:r>
      <w:r>
        <w:rPr>
          <w:sz w:val="20"/>
          <w:szCs w:val="20"/>
        </w:rPr>
        <w:t>nd integrate a significant number of qualified managers, technical personnel and employees in specialized roles within our company, including in technology, sales and marketing. Furthermore, while we have begun to slowly re-open our offices on a staggered,</w:t>
      </w:r>
      <w:r>
        <w:rPr>
          <w:sz w:val="20"/>
          <w:szCs w:val="20"/>
        </w:rPr>
        <w:t xml:space="preserve"> region-by-region basis in accordance with local authority guidelines, preservation of our corporate culture has been made more difficult as our work force has been working from home in connection with restrictions placed upon businesses due to the pandemi</w:t>
      </w:r>
      <w:r>
        <w:rPr>
          <w:sz w:val="20"/>
          <w:szCs w:val="20"/>
        </w:rPr>
        <w:t>c. A long-term continuation of these restrictions could, among other things, negatively impact employee morale and productivity. Any failure to preserve our culture could harm our future success, including our ability to retain and recruit personnel, innov</w:t>
      </w:r>
      <w:r>
        <w:rPr>
          <w:sz w:val="20"/>
          <w:szCs w:val="20"/>
        </w:rPr>
        <w:t>ate and operate effectively and execute on our business strategy. Additionally, as our employees work remotely from geographic areas across the globe and more of our employees work remotely on a permanent basis due to the pandemic, and pursuant to our newl</w:t>
      </w:r>
      <w:r>
        <w:rPr>
          <w:sz w:val="20"/>
          <w:szCs w:val="20"/>
        </w:rPr>
        <w:t>y implemented hybrid workplace model (which provides our employees with the option to be fully remote, work full-time from one of our offices, or have the flexibility to work both in the office and remotely), we may need to reallocate our investment of res</w:t>
      </w:r>
      <w:r>
        <w:rPr>
          <w:sz w:val="20"/>
          <w:szCs w:val="20"/>
        </w:rPr>
        <w:t xml:space="preserve">ources and closely monitor a variety of local regulations and requirements, including local tax laws, and we may experience unpredictability in our expenses and employee work culture. If we experience any of these effects in connection with future growth, </w:t>
      </w:r>
      <w:r>
        <w:rPr>
          <w:sz w:val="20"/>
          <w:szCs w:val="20"/>
        </w:rPr>
        <w:t>if our new employees perform poorly, or if we are unsuccessful in recruiting, hiring, training, managing and integrating these new employees, or retaining these or our existing employees, it could materially impair our ability to attract new customers, ret</w:t>
      </w:r>
      <w:r>
        <w:rPr>
          <w:sz w:val="20"/>
          <w:szCs w:val="20"/>
        </w:rPr>
        <w:t>ain existing customers and expand their use of our platform, all of which would materially and adversely affect our business, financial condition and results of operations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In addition, to manage the expected continued growth of our headcount, operations </w:t>
      </w:r>
      <w:r>
        <w:rPr>
          <w:sz w:val="20"/>
          <w:szCs w:val="20"/>
        </w:rPr>
        <w:t>and geographic expansion, we will need to continue to expand our information technology infrastructure, operational, financial and management systems and procedures. Our anticipated additional headcount and capital investments will increase our costs, whic</w:t>
      </w:r>
      <w:r>
        <w:rPr>
          <w:sz w:val="20"/>
          <w:szCs w:val="20"/>
        </w:rPr>
        <w:t>h will make it more difficult for us to address any future revenue shortfalls by reducing expenses in the short term. If we fail to successfully manage our growth, we will be unable to successfully execute our business plan, which could have a negative imp</w:t>
      </w:r>
      <w:r>
        <w:rPr>
          <w:sz w:val="20"/>
          <w:szCs w:val="20"/>
        </w:rPr>
        <w:t>act on our business, results of operations or financial condition</w:t>
      </w:r>
      <w:r>
        <w:rPr>
          <w:sz w:val="20"/>
          <w:szCs w:val="20"/>
        </w:rPr>
        <w:t>.</w:t>
      </w:r>
      <w:r>
        <w:rPr>
          <w:sz w:val="20"/>
          <w:szCs w:val="20"/>
        </w:rPr>
        <w:t xml:space="preserve"> </w:t>
      </w:r>
    </w:p>
    <w:p w:rsidR="00000000" w:rsidRDefault="00211603">
      <w:pPr>
        <w:pStyle w:val="a3"/>
        <w:spacing w:before="200" w:beforeAutospacing="0" w:after="0" w:afterAutospacing="0"/>
        <w:rPr>
          <w:sz w:val="20"/>
          <w:szCs w:val="20"/>
        </w:rPr>
      </w:pPr>
      <w:r>
        <w:rPr>
          <w:b/>
          <w:bCs/>
          <w:i/>
          <w:iCs/>
          <w:sz w:val="20"/>
          <w:szCs w:val="20"/>
        </w:rPr>
        <w:t>Failure to effectively develop and expand our marketing, sales, customer service, operations, and content management capabilities could harm our ability to increase our customer base and a</w:t>
      </w:r>
      <w:r>
        <w:rPr>
          <w:b/>
          <w:bCs/>
          <w:i/>
          <w:iCs/>
          <w:sz w:val="20"/>
          <w:szCs w:val="20"/>
        </w:rPr>
        <w:t>chieve broader market acceptance of our platform</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To increase Customers and achieve broader market acceptance of our CRM Platform, we will need to continue to expand our marketing, sales, customer service, operations, and content management capabilities, i</w:t>
      </w:r>
      <w:r>
        <w:rPr>
          <w:sz w:val="20"/>
          <w:szCs w:val="20"/>
        </w:rPr>
        <w:t>ncluding our sales force and third-party channel partners. We will continue to dedicate significant resources to inbound sales and marketing programs. The effectiveness of our inbound sales and marketing and third-party channel partners has varied over tim</w:t>
      </w:r>
      <w:r>
        <w:rPr>
          <w:sz w:val="20"/>
          <w:szCs w:val="20"/>
        </w:rPr>
        <w:t>e and may vary in the future and depends on our ability to maintain and improve our CRM Platform. All of these efforts will require us to invest significant financial and other resources. Our business will be seriously harmed if our efforts do not generate</w:t>
      </w:r>
      <w:r>
        <w:rPr>
          <w:sz w:val="20"/>
          <w:szCs w:val="20"/>
        </w:rPr>
        <w:t xml:space="preserve"> a correspondingly significant increase in revenue. We may not achieve anticipated revenue growth from expanding our sales force if we are unable to hire, develop and retain talented sales personnel, if our new sales personnel are unable to achieve desired</w:t>
      </w:r>
      <w:r>
        <w:rPr>
          <w:sz w:val="20"/>
          <w:szCs w:val="20"/>
        </w:rPr>
        <w:t xml:space="preserve"> productivity levels in a reasonable period of time or if our sales and marketing programs are not effective</w:t>
      </w:r>
      <w:r>
        <w:rPr>
          <w:sz w:val="20"/>
          <w:szCs w:val="20"/>
        </w:rPr>
        <w:t>.</w:t>
      </w:r>
    </w:p>
    <w:p w:rsidR="00000000" w:rsidRDefault="00211603">
      <w:pPr>
        <w:pStyle w:val="a3"/>
        <w:spacing w:before="200" w:beforeAutospacing="0" w:after="0" w:afterAutospacing="0"/>
        <w:rPr>
          <w:sz w:val="20"/>
          <w:szCs w:val="20"/>
        </w:rPr>
      </w:pPr>
      <w:r>
        <w:rPr>
          <w:b/>
          <w:bCs/>
          <w:i/>
          <w:iCs/>
          <w:sz w:val="20"/>
          <w:szCs w:val="20"/>
        </w:rPr>
        <w:t>The rate of growth of our business depends on the continued participation and level of service of our Solutions Partners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rely on our Solutions</w:t>
      </w:r>
      <w:r>
        <w:rPr>
          <w:sz w:val="20"/>
          <w:szCs w:val="20"/>
        </w:rPr>
        <w:t xml:space="preserve"> Partners to provide certain services to our customers, as well as pursue sales of our CRM Platform to customers. To the extent we do not attract new Solutions Partners, or existing or new Solutions Partners do not refer a growing number of customers to us</w:t>
      </w:r>
      <w:r>
        <w:rPr>
          <w:sz w:val="20"/>
          <w:szCs w:val="20"/>
        </w:rPr>
        <w:t>, our revenue and operating results would be harmed. In addition, if our Solutions Partners do not continue to provide services to our customers, we would be required to provide such services ourselves either by expanding our internal team or engaging othe</w:t>
      </w:r>
      <w:r>
        <w:rPr>
          <w:sz w:val="20"/>
          <w:szCs w:val="20"/>
        </w:rPr>
        <w:t>r third-party providers, which would increase our operating costs</w:t>
      </w:r>
      <w:r>
        <w:rPr>
          <w:sz w:val="20"/>
          <w:szCs w:val="20"/>
        </w:rPr>
        <w:t>.</w:t>
      </w:r>
    </w:p>
    <w:p w:rsidR="00000000" w:rsidRDefault="00211603">
      <w:pPr>
        <w:pStyle w:val="a3"/>
        <w:spacing w:before="200" w:beforeAutospacing="0" w:after="0" w:afterAutospacing="0"/>
        <w:rPr>
          <w:sz w:val="20"/>
          <w:szCs w:val="20"/>
        </w:rPr>
      </w:pPr>
      <w:r>
        <w:rPr>
          <w:b/>
          <w:bCs/>
          <w:i/>
          <w:iCs/>
          <w:sz w:val="20"/>
          <w:szCs w:val="20"/>
        </w:rPr>
        <w:t>If we fail to maintain our inbound thought leadership position, our business may suffer</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believe that maintaining our thought leadership position in inbound marketing, sales, services, o</w:t>
      </w:r>
      <w:r>
        <w:rPr>
          <w:sz w:val="20"/>
          <w:szCs w:val="20"/>
        </w:rPr>
        <w:t>perations and content management is an important element in attracting new customers. We devote significant resources to develop and maintain our thought leadership position, with a focus on identifying and interpreting emerging trends in the inbound exper</w:t>
      </w:r>
      <w:r>
        <w:rPr>
          <w:sz w:val="20"/>
          <w:szCs w:val="20"/>
        </w:rPr>
        <w:t xml:space="preserve">ience, shaping and guiding industry dialog and creating and sharing the best inbound practices. Our activities related to developing and maintaining our thought leadership may not yield increased revenue, and even if they do, any increased revenue may not </w:t>
      </w:r>
      <w:r>
        <w:rPr>
          <w:sz w:val="20"/>
          <w:szCs w:val="20"/>
        </w:rPr>
        <w:t>offset the expenses we incurred in such effort. We rely upon the continued services of our management and employees with domain expertise with inboun</w:t>
      </w:r>
      <w:r>
        <w:rPr>
          <w:sz w:val="20"/>
          <w:szCs w:val="20"/>
        </w:rPr>
        <w:t>d</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3</w:t>
      </w:r>
      <w:r>
        <w:rPr>
          <w:sz w:val="20"/>
          <w:szCs w:val="20"/>
        </w:rPr>
        <w:t>4</w:t>
      </w:r>
    </w:p>
    <w:p w:rsidR="00000000" w:rsidRDefault="00211603">
      <w:pPr>
        <w:rPr>
          <w:rFonts w:eastAsia="Times New Roman"/>
        </w:rPr>
      </w:pPr>
      <w:r>
        <w:rPr>
          <w:rFonts w:eastAsia="Times New Roman"/>
        </w:rPr>
        <w:pict>
          <v:rect id="_x0000_i1058"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marketing, sales, services, operations, and content management</w:t>
      </w:r>
      <w:r>
        <w:rPr>
          <w:sz w:val="20"/>
          <w:szCs w:val="20"/>
        </w:rPr>
        <w:t>, and the loss of any key employees in this area could harm our competitive position and reputation. If we fail to successfully grow and maintain our thought leadership position, we may not attract enough new customers or retain our existing customers, and</w:t>
      </w:r>
      <w:r>
        <w:rPr>
          <w:sz w:val="20"/>
          <w:szCs w:val="20"/>
        </w:rPr>
        <w:t xml:space="preserve"> our business could suffer</w:t>
      </w:r>
      <w:r>
        <w:rPr>
          <w:sz w:val="20"/>
          <w:szCs w:val="20"/>
        </w:rPr>
        <w:t>.</w:t>
      </w:r>
    </w:p>
    <w:p w:rsidR="00000000" w:rsidRDefault="00211603">
      <w:pPr>
        <w:pStyle w:val="a3"/>
        <w:spacing w:before="200" w:beforeAutospacing="0" w:after="0" w:afterAutospacing="0"/>
        <w:rPr>
          <w:sz w:val="20"/>
          <w:szCs w:val="20"/>
        </w:rPr>
      </w:pPr>
      <w:r>
        <w:rPr>
          <w:b/>
          <w:bCs/>
          <w:i/>
          <w:iCs/>
          <w:sz w:val="20"/>
          <w:szCs w:val="20"/>
        </w:rPr>
        <w:t>If we fail to further enhance our brand and maintain our existing strong brand awareness, our ability to expand our customer base will be impaired and our financial condition may suffer</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believe that our development of the HubSpot brand is critical to achieving widespread awareness of our existing and future inbound experience solutions, and, as a result, is important to attracting new customers and maintaining existing customers. In th</w:t>
      </w:r>
      <w:r>
        <w:rPr>
          <w:sz w:val="20"/>
          <w:szCs w:val="20"/>
        </w:rPr>
        <w:t>e past, our efforts to build our brand have involved significant expenses, and we believe that this investment has resulted in strong brand recognition in the B2B market. Successful promotion and maintenance of our brands will depend largely on the effecti</w:t>
      </w:r>
      <w:r>
        <w:rPr>
          <w:sz w:val="20"/>
          <w:szCs w:val="20"/>
        </w:rPr>
        <w:t>veness of our marketing efforts and on our ability to provide a reliable and useful CRM Platform at competitive prices. Brand promotion activities may not yield increased revenue, and even if they do, any increased revenue may not offset the expenses we in</w:t>
      </w:r>
      <w:r>
        <w:rPr>
          <w:sz w:val="20"/>
          <w:szCs w:val="20"/>
        </w:rPr>
        <w:t>curred in building our brand. If we fail to successfully promote and maintain our brand, our business could suffer</w:t>
      </w:r>
      <w:r>
        <w:rPr>
          <w:sz w:val="20"/>
          <w:szCs w:val="20"/>
        </w:rPr>
        <w:t>.</w:t>
      </w:r>
    </w:p>
    <w:p w:rsidR="00000000" w:rsidRDefault="00211603">
      <w:pPr>
        <w:pStyle w:val="a3"/>
        <w:spacing w:before="200" w:beforeAutospacing="0" w:after="0" w:afterAutospacing="0"/>
        <w:rPr>
          <w:sz w:val="20"/>
          <w:szCs w:val="20"/>
        </w:rPr>
      </w:pPr>
      <w:r>
        <w:rPr>
          <w:b/>
          <w:bCs/>
          <w:i/>
          <w:iCs/>
          <w:sz w:val="20"/>
          <w:szCs w:val="20"/>
        </w:rPr>
        <w:t>If we fail to adapt and respond effectively to rapidly changing technology, evolving industry standards and changing customer needs or requi</w:t>
      </w:r>
      <w:r>
        <w:rPr>
          <w:b/>
          <w:bCs/>
          <w:i/>
          <w:iCs/>
          <w:sz w:val="20"/>
          <w:szCs w:val="20"/>
        </w:rPr>
        <w:t>rements, our CRM Platform may become less competitive</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future success depends on our ability to adapt and innovate our CRM Platform. To attract new customers and increase revenue from existing customers, we need to continue to enhance and improve our o</w:t>
      </w:r>
      <w:r>
        <w:rPr>
          <w:sz w:val="20"/>
          <w:szCs w:val="20"/>
        </w:rPr>
        <w:t>fferings to meet customer needs at prices that our customers are willing to pay. Such efforts will require adding new functionality and responding to technological advancements, which will increase our research and development costs. If we are unable to de</w:t>
      </w:r>
      <w:r>
        <w:rPr>
          <w:sz w:val="20"/>
          <w:szCs w:val="20"/>
        </w:rPr>
        <w:t>velop new applications that address our customers’ needs, or to enhance and improve our platform in a timely manner, we may not be able to maintain or increase market acceptance of our platform. Our ability to grow is also subject to the risk of future dis</w:t>
      </w:r>
      <w:r>
        <w:rPr>
          <w:sz w:val="20"/>
          <w:szCs w:val="20"/>
        </w:rPr>
        <w:t>ruptive technologies. Access and use of our CRM Platform is provided via the cloud, which, itself, was disruptive to the previous enterprise software model. If new technologies emerge that are able to deliver inbound marketing software and related applicat</w:t>
      </w:r>
      <w:r>
        <w:rPr>
          <w:sz w:val="20"/>
          <w:szCs w:val="20"/>
        </w:rPr>
        <w:t>ions at lower prices, more efficiently, more conveniently or more securely, such technologies could adversely affect our ability to compete</w:t>
      </w:r>
      <w:r>
        <w:rPr>
          <w:sz w:val="20"/>
          <w:szCs w:val="20"/>
        </w:rPr>
        <w:t>.</w:t>
      </w:r>
    </w:p>
    <w:p w:rsidR="00000000" w:rsidRDefault="00211603">
      <w:pPr>
        <w:pStyle w:val="a3"/>
        <w:spacing w:before="200" w:beforeAutospacing="0" w:after="0" w:afterAutospacing="0"/>
        <w:rPr>
          <w:sz w:val="20"/>
          <w:szCs w:val="20"/>
        </w:rPr>
      </w:pPr>
      <w:r>
        <w:rPr>
          <w:b/>
          <w:bCs/>
          <w:i/>
          <w:iCs/>
          <w:sz w:val="20"/>
          <w:szCs w:val="20"/>
        </w:rPr>
        <w:t>If we fail to offer high-quality customer support, our business and reputation may suffer</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High-quality education, </w:t>
      </w:r>
      <w:r>
        <w:rPr>
          <w:sz w:val="20"/>
          <w:szCs w:val="20"/>
        </w:rPr>
        <w:t xml:space="preserve">training and customer support are important for the successful marketing, sale and use of our CRM Platform and for the renewal of existing customers. Providing this education, training and support requires that our personnel who manage our online training </w:t>
      </w:r>
      <w:r>
        <w:rPr>
          <w:sz w:val="20"/>
          <w:szCs w:val="20"/>
        </w:rPr>
        <w:t>resource, HubSpot Academy, or provide customer support have specific inbound experience domain knowledge and expertise, making it more difficult for us to hire qualified personnel and to scale up our support operations. The importance of high-quality custo</w:t>
      </w:r>
      <w:r>
        <w:rPr>
          <w:sz w:val="20"/>
          <w:szCs w:val="20"/>
        </w:rPr>
        <w:t>mer support will increase as we expand our business and pursue new customers. If we do not help our customers use multiple applications within our CRM Platform and provide effective ongoing support, our ability to sell additional functionality and services</w:t>
      </w:r>
      <w:r>
        <w:rPr>
          <w:sz w:val="20"/>
          <w:szCs w:val="20"/>
        </w:rPr>
        <w:t xml:space="preserve"> to, or to retain, existing customers may suffer and our reputation with existing or potential customers may be harmed</w:t>
      </w:r>
      <w:r>
        <w:rPr>
          <w:sz w:val="20"/>
          <w:szCs w:val="20"/>
        </w:rPr>
        <w:t>.</w:t>
      </w:r>
    </w:p>
    <w:p w:rsidR="00000000" w:rsidRDefault="00211603">
      <w:pPr>
        <w:pStyle w:val="a3"/>
        <w:spacing w:before="200" w:beforeAutospacing="0" w:after="0" w:afterAutospacing="0"/>
        <w:rPr>
          <w:sz w:val="20"/>
          <w:szCs w:val="20"/>
        </w:rPr>
      </w:pPr>
      <w:r>
        <w:rPr>
          <w:b/>
          <w:bCs/>
          <w:i/>
          <w:iCs/>
          <w:sz w:val="20"/>
          <w:szCs w:val="20"/>
        </w:rPr>
        <w:t>We may not be able to scale our business quickly enough to meet our customers’ growing needs and if we are not able to grow efficiently,</w:t>
      </w:r>
      <w:r>
        <w:rPr>
          <w:b/>
          <w:bCs/>
          <w:i/>
          <w:iCs/>
          <w:sz w:val="20"/>
          <w:szCs w:val="20"/>
        </w:rPr>
        <w:t xml:space="preserve"> our operating results could be harmed</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As usage of our CRM Platform grows and as customers use our platform for additional inbound applications, such as sales and services, we will need to devote additional resources to improving our application architect</w:t>
      </w:r>
      <w:r>
        <w:rPr>
          <w:sz w:val="20"/>
          <w:szCs w:val="20"/>
        </w:rPr>
        <w:t>ure, integrating with third-party systems and maintaining infrastructure performance. In addition, we will need to appropriately scale our internal business systems and our services organization, including customer support and professional services, to ser</w:t>
      </w:r>
      <w:r>
        <w:rPr>
          <w:sz w:val="20"/>
          <w:szCs w:val="20"/>
        </w:rPr>
        <w:t>ve our growing customer base, particularly as our customer demographics change over time. Any failure of or delay in these efforts could cause impaired system performance and reduced customer satisfaction. These issues could reduce the attractiveness of ou</w:t>
      </w:r>
      <w:r>
        <w:rPr>
          <w:sz w:val="20"/>
          <w:szCs w:val="20"/>
        </w:rPr>
        <w:t>r CRM Platform to customers, resulting in decreased sales to new customers, lower renewal rates by existing customers, the issuance of service credits, or requested refunds, which could impede our revenue growth and harm our reputation. Even if we are able</w:t>
      </w:r>
      <w:r>
        <w:rPr>
          <w:sz w:val="20"/>
          <w:szCs w:val="20"/>
        </w:rPr>
        <w:t xml:space="preserve"> to upgrade our systems and expand our staff, any such expansion will be expensive and complex, requiring management’s time and attention. We could also face inefficiencies or operational failures as a result of our efforts to scale our infrastructure. Mor</w:t>
      </w:r>
      <w:r>
        <w:rPr>
          <w:sz w:val="20"/>
          <w:szCs w:val="20"/>
        </w:rPr>
        <w:t>eover, there are inherent risks associated with upgrading, improving and expanding our information technology systems. We cannot be sure that the expansion and improvements to our infrastructure and systems will be fully or effectively implemented on a tim</w:t>
      </w:r>
      <w:r>
        <w:rPr>
          <w:sz w:val="20"/>
          <w:szCs w:val="20"/>
        </w:rPr>
        <w:t>ely basis, if at all. These efforts may reduce revenue and our margins and adversely affect our financial results.</w:t>
      </w:r>
      <w:r>
        <w:rPr>
          <w:sz w:val="20"/>
          <w:szCs w:val="20"/>
        </w:rPr>
        <w:br/>
      </w:r>
      <w:r>
        <w:rPr>
          <w:sz w:val="20"/>
          <w:szCs w:val="20"/>
        </w:rPr>
        <w:br/>
      </w:r>
      <w:r>
        <w:rPr>
          <w:b/>
          <w:bCs/>
          <w:i/>
          <w:iCs/>
          <w:sz w:val="20"/>
          <w:szCs w:val="20"/>
        </w:rPr>
        <w:t>Our ability to introduce new products and features is dependent on adequate research and development resources. If we do not adequately fund</w:t>
      </w:r>
      <w:r>
        <w:rPr>
          <w:b/>
          <w:bCs/>
          <w:i/>
          <w:iCs/>
          <w:sz w:val="20"/>
          <w:szCs w:val="20"/>
        </w:rPr>
        <w:t xml:space="preserve"> our research and development efforts, we may not be able to compete effectively and our business and operating results may be harmed</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To remain competitive, we must continue to develop new product offerings, applications, features and enhancements to our </w:t>
      </w:r>
      <w:r>
        <w:rPr>
          <w:sz w:val="20"/>
          <w:szCs w:val="20"/>
        </w:rPr>
        <w:t>existing CRM Platform. Maintaining adequate research and development personnel and resources to meet the demands of the marke</w:t>
      </w:r>
      <w:r>
        <w:rPr>
          <w:sz w:val="20"/>
          <w:szCs w:val="20"/>
        </w:rPr>
        <w:t>t</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3</w:t>
      </w:r>
      <w:r>
        <w:rPr>
          <w:sz w:val="20"/>
          <w:szCs w:val="20"/>
        </w:rPr>
        <w:t>5</w:t>
      </w:r>
    </w:p>
    <w:p w:rsidR="00000000" w:rsidRDefault="00211603">
      <w:pPr>
        <w:rPr>
          <w:rFonts w:eastAsia="Times New Roman"/>
        </w:rPr>
      </w:pPr>
      <w:r>
        <w:rPr>
          <w:rFonts w:eastAsia="Times New Roman"/>
        </w:rPr>
        <w:pict>
          <v:rect id="_x0000_i1059"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is essential. If we are unable to develop our platform internally due to certain const</w:t>
      </w:r>
      <w:r>
        <w:rPr>
          <w:sz w:val="20"/>
          <w:szCs w:val="20"/>
        </w:rPr>
        <w:t>raints, such as high employee turnover, lack of management ability or a lack of other research and development resources, we may miss market opportunities. Further, many of our competitors expend a considerably greater amount of funds on their research and</w:t>
      </w:r>
      <w:r>
        <w:rPr>
          <w:sz w:val="20"/>
          <w:szCs w:val="20"/>
        </w:rPr>
        <w:t xml:space="preserve"> development programs, and those that do not may be acquired by larger companies that would allocate greater resources to our competitors’ research and development programs. Our failure to maintain adequate research and development resources or to compete </w:t>
      </w:r>
      <w:r>
        <w:rPr>
          <w:sz w:val="20"/>
          <w:szCs w:val="20"/>
        </w:rPr>
        <w:t>effectively with the research and development programs of our competitors could materially adversely affect our business</w:t>
      </w:r>
      <w:r>
        <w:rPr>
          <w:sz w:val="20"/>
          <w:szCs w:val="20"/>
        </w:rPr>
        <w:t>.</w:t>
      </w:r>
    </w:p>
    <w:p w:rsidR="00000000" w:rsidRDefault="00211603">
      <w:pPr>
        <w:pStyle w:val="a3"/>
        <w:spacing w:before="200" w:beforeAutospacing="0" w:after="0" w:afterAutospacing="0"/>
        <w:rPr>
          <w:sz w:val="20"/>
          <w:szCs w:val="20"/>
        </w:rPr>
      </w:pPr>
      <w:r>
        <w:rPr>
          <w:b/>
          <w:bCs/>
          <w:i/>
          <w:iCs/>
          <w:sz w:val="20"/>
          <w:szCs w:val="20"/>
        </w:rPr>
        <w:t>Changes in the sizes or types of businesses that purchase our platform or in the applications within our CRM Platform purchased or use</w:t>
      </w:r>
      <w:r>
        <w:rPr>
          <w:b/>
          <w:bCs/>
          <w:i/>
          <w:iCs/>
          <w:sz w:val="20"/>
          <w:szCs w:val="20"/>
        </w:rPr>
        <w:t>d by our customers could negatively affect our operating results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strategy is to sell subscriptions to our CRM Platform to mid-sized businesses, but we have sold and will continue to sell to organizations ranging from small businesses to enterprises. O</w:t>
      </w:r>
      <w:r>
        <w:rPr>
          <w:sz w:val="20"/>
          <w:szCs w:val="20"/>
        </w:rPr>
        <w:t xml:space="preserve">ur gross margins can vary depending on numerous factors related to the implementation and use of our CRM Platform, including the sophistication and intensity of our customers’ use of our platform and the level of professional services and support required </w:t>
      </w:r>
      <w:r>
        <w:rPr>
          <w:sz w:val="20"/>
          <w:szCs w:val="20"/>
        </w:rPr>
        <w:t>by a customer. Sales to enterprise customers may entail longer sales cycles and more significant selling efforts. Selling to small businesses may involve greater credit risk and uncertainty. If there are changes in the mix of businesses that purchase our p</w:t>
      </w:r>
      <w:r>
        <w:rPr>
          <w:sz w:val="20"/>
          <w:szCs w:val="20"/>
        </w:rPr>
        <w:t>latform or the mix of the product plans purchased by our customers, our gross margins could decrease and our operating results could be adversely affected</w:t>
      </w:r>
      <w:r>
        <w:rPr>
          <w:sz w:val="20"/>
          <w:szCs w:val="20"/>
        </w:rPr>
        <w:t>.</w:t>
      </w:r>
    </w:p>
    <w:p w:rsidR="00000000" w:rsidRDefault="00211603">
      <w:pPr>
        <w:pStyle w:val="a3"/>
        <w:spacing w:before="200" w:beforeAutospacing="0" w:after="0" w:afterAutospacing="0"/>
        <w:rPr>
          <w:sz w:val="20"/>
          <w:szCs w:val="20"/>
        </w:rPr>
      </w:pPr>
      <w:r>
        <w:rPr>
          <w:b/>
          <w:bCs/>
          <w:i/>
          <w:iCs/>
          <w:sz w:val="20"/>
          <w:szCs w:val="20"/>
        </w:rPr>
        <w:t>We have in the past completed acquisitions and may acquire or invest in other companies or technolog</w:t>
      </w:r>
      <w:r>
        <w:rPr>
          <w:b/>
          <w:bCs/>
          <w:i/>
          <w:iCs/>
          <w:sz w:val="20"/>
          <w:szCs w:val="20"/>
        </w:rPr>
        <w:t>ies in the future, which could divert management’s attention, fail to meet our expectations, result in additional dilution to our stockholders, increase expenses, disrupt our operations or harm our operating results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have in the past acquired, and we ma</w:t>
      </w:r>
      <w:r>
        <w:rPr>
          <w:sz w:val="20"/>
          <w:szCs w:val="20"/>
        </w:rPr>
        <w:t>y in the future acquire or invest in, businesses, products or technologies that we believe could complement or expand our platform, enhance our technical capabilities or otherwise offer growth opportunities. We may not be able to fully realize the anticipa</w:t>
      </w:r>
      <w:r>
        <w:rPr>
          <w:sz w:val="20"/>
          <w:szCs w:val="20"/>
        </w:rPr>
        <w:t xml:space="preserve">ted benefits of historical or any future acquisitions. The pursuit of potential acquisitions may divert the attention of management and cause us to incur various expenses related to identifying, investigating and pursuing suitable acquisitions, whether or </w:t>
      </w:r>
      <w:r>
        <w:rPr>
          <w:sz w:val="20"/>
          <w:szCs w:val="20"/>
        </w:rPr>
        <w:t>not they are consummated</w:t>
      </w:r>
      <w:r>
        <w:rPr>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There are inherent risks in integrating and managing acquisitions. If we acquire additional businesses, we may not be able to assimilate or integrate the acquired personnel, operations and technologies successfully or effectively </w:t>
      </w:r>
      <w:r>
        <w:rPr>
          <w:sz w:val="20"/>
          <w:szCs w:val="20"/>
        </w:rPr>
        <w:t xml:space="preserve">manage the combined business following the acquisition and our management may be distracted from operating our business. We also may not achieve the anticipated benefits from the acquired business due to a number of factors, including: unanticipated costs </w:t>
      </w:r>
      <w:r>
        <w:rPr>
          <w:sz w:val="20"/>
          <w:szCs w:val="20"/>
        </w:rPr>
        <w:t>or liabilities associated with the acquisition; incurrence of acquisition-related costs, which would be recognized as a current period expense; inability to generate sufficient revenue to offset acquisition or investment costs; the inability to maintain re</w:t>
      </w:r>
      <w:r>
        <w:rPr>
          <w:sz w:val="20"/>
          <w:szCs w:val="20"/>
        </w:rPr>
        <w:t>lationships with customers and partners of the acquired business; the difficulty of incorporating acquired technology and rights into our platform and of maintaining quality and security standards consistent with our brand; delays in customer purchases due</w:t>
      </w:r>
      <w:r>
        <w:rPr>
          <w:sz w:val="20"/>
          <w:szCs w:val="20"/>
        </w:rPr>
        <w:t xml:space="preserve"> to uncertainty related to any acquisition; the need to integrate or implement additional controls, procedures and policies; challenges caused by distance, language and cultural differences; harm to our existing business relationships with business partner</w:t>
      </w:r>
      <w:r>
        <w:rPr>
          <w:sz w:val="20"/>
          <w:szCs w:val="20"/>
        </w:rPr>
        <w:t>s and customers as a result of the acquisition; the potential loss of key employees; use of resources that are needed in other parts of our business and diversion of management and employee resources; the inability to recognize acquired deferred revenue in</w:t>
      </w:r>
      <w:r>
        <w:rPr>
          <w:sz w:val="20"/>
          <w:szCs w:val="20"/>
        </w:rPr>
        <w:t xml:space="preserve"> accordance with our revenue recognition policies; and use of substantial portions of our available cash or the incurrence of debt to consummate the acquisition. Acquisitions also increase the risk of unforeseen legal liability, including for potential vio</w:t>
      </w:r>
      <w:r>
        <w:rPr>
          <w:sz w:val="20"/>
          <w:szCs w:val="20"/>
        </w:rPr>
        <w:t>lations of applicable law or industry rules and regulations, arising from prior or ongoing acts or omissions by the acquired businesses which are not discovered by due diligence during the acquisition process. Generally, if an acquired business fails to me</w:t>
      </w:r>
      <w:r>
        <w:rPr>
          <w:sz w:val="20"/>
          <w:szCs w:val="20"/>
        </w:rPr>
        <w:t>et our expectations, our operating results, business and financial condition may suffer. Acquisitions could also result in dilutive issuances of equity securities or the incurrence of debt, which could adversely affect our business, results of operations o</w:t>
      </w:r>
      <w:r>
        <w:rPr>
          <w:sz w:val="20"/>
          <w:szCs w:val="20"/>
        </w:rPr>
        <w:t>r financial condition</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In addition, a significant portion of the purchase price of companies we acquire may be allocated to goodwill and other intangible assets, which must be assessed for impairment at least annually. If our acquisitions do not ultimatel</w:t>
      </w:r>
      <w:r>
        <w:rPr>
          <w:sz w:val="20"/>
          <w:szCs w:val="20"/>
        </w:rPr>
        <w:t>y yield expected returns, we may be required to make charges to our operating results based on our impairment assessment process, which could harm our results of operations</w:t>
      </w:r>
      <w:r>
        <w:rPr>
          <w:sz w:val="20"/>
          <w:szCs w:val="20"/>
        </w:rPr>
        <w:t>.</w:t>
      </w:r>
    </w:p>
    <w:p w:rsidR="00000000" w:rsidRDefault="00211603">
      <w:pPr>
        <w:pStyle w:val="a3"/>
        <w:spacing w:before="200" w:beforeAutospacing="0" w:after="0" w:afterAutospacing="0"/>
        <w:rPr>
          <w:sz w:val="20"/>
          <w:szCs w:val="20"/>
        </w:rPr>
      </w:pPr>
      <w:r>
        <w:rPr>
          <w:b/>
          <w:bCs/>
          <w:i/>
          <w:iCs/>
          <w:sz w:val="20"/>
          <w:szCs w:val="20"/>
        </w:rPr>
        <w:t>Because our long-term growth strategy involves further expansion of our sales to c</w:t>
      </w:r>
      <w:r>
        <w:rPr>
          <w:b/>
          <w:bCs/>
          <w:i/>
          <w:iCs/>
          <w:sz w:val="20"/>
          <w:szCs w:val="20"/>
        </w:rPr>
        <w:t>ustomers outside the United States, our business will be susceptible to risks associated with international operations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A component of our growth strategy involves the further expansion of our operations and customer base internationally. We have opened se</w:t>
      </w:r>
      <w:r>
        <w:rPr>
          <w:sz w:val="20"/>
          <w:szCs w:val="20"/>
        </w:rPr>
        <w:t>veral international offices and plan to open additional offices in the future. These international offices focus primarily on sales, professional services and support. We also have a development team in Dublin, Ireland. Our current international operations</w:t>
      </w:r>
      <w:r>
        <w:rPr>
          <w:sz w:val="20"/>
          <w:szCs w:val="20"/>
        </w:rPr>
        <w:t xml:space="preserve"> and future initiatives will involve a variety of risks, including</w:t>
      </w:r>
      <w:r>
        <w:rPr>
          <w:sz w:val="20"/>
          <w:szCs w:val="20"/>
        </w:rPr>
        <w:t>:</w:t>
      </w:r>
    </w:p>
    <w:p w:rsidR="00000000" w:rsidRDefault="00211603">
      <w:pPr>
        <w:divId w:val="858004662"/>
        <w:rPr>
          <w:rFonts w:eastAsia="Times New Roman"/>
        </w:rPr>
      </w:pPr>
      <w:r>
        <w:rPr>
          <w:rFonts w:eastAsia="Times New Roman"/>
          <w:sz w:val="20"/>
          <w:szCs w:val="20"/>
        </w:rPr>
        <w:t>•</w:t>
      </w:r>
    </w:p>
    <w:p w:rsidR="00000000" w:rsidRDefault="00211603">
      <w:pPr>
        <w:divId w:val="63572437"/>
        <w:rPr>
          <w:rFonts w:eastAsia="Times New Roman"/>
        </w:rPr>
      </w:pPr>
      <w:r>
        <w:rPr>
          <w:rFonts w:eastAsia="Times New Roman"/>
          <w:sz w:val="20"/>
          <w:szCs w:val="20"/>
        </w:rPr>
        <w:t>difficulties in maintaining our company culture with a dispersed and distant workforce</w:t>
      </w:r>
      <w:r>
        <w:rPr>
          <w:rFonts w:eastAsia="Times New Roman"/>
          <w:sz w:val="20"/>
          <w:szCs w:val="20"/>
        </w:rPr>
        <w:t>;</w:t>
      </w:r>
    </w:p>
    <w:p w:rsidR="00000000" w:rsidRDefault="00211603">
      <w:pPr>
        <w:pStyle w:val="a3"/>
        <w:spacing w:before="240" w:beforeAutospacing="0" w:after="0" w:afterAutospacing="0"/>
        <w:jc w:val="center"/>
        <w:rPr>
          <w:sz w:val="20"/>
          <w:szCs w:val="20"/>
        </w:rPr>
      </w:pPr>
      <w:r>
        <w:rPr>
          <w:sz w:val="20"/>
          <w:szCs w:val="20"/>
        </w:rPr>
        <w:t>3</w:t>
      </w:r>
      <w:r>
        <w:rPr>
          <w:sz w:val="20"/>
          <w:szCs w:val="20"/>
        </w:rPr>
        <w:t>6</w:t>
      </w:r>
    </w:p>
    <w:p w:rsidR="00000000" w:rsidRDefault="00211603">
      <w:pPr>
        <w:rPr>
          <w:rFonts w:eastAsia="Times New Roman"/>
        </w:rPr>
      </w:pPr>
      <w:r>
        <w:rPr>
          <w:rFonts w:eastAsia="Times New Roman"/>
        </w:rPr>
        <w:pict>
          <v:rect id="_x0000_i1060"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divId w:val="1711950464"/>
        <w:rPr>
          <w:rFonts w:eastAsia="Times New Roman"/>
        </w:rPr>
      </w:pPr>
      <w:r>
        <w:rPr>
          <w:rFonts w:eastAsia="Times New Roman"/>
          <w:sz w:val="20"/>
          <w:szCs w:val="20"/>
        </w:rPr>
        <w:t>•</w:t>
      </w:r>
    </w:p>
    <w:p w:rsidR="00000000" w:rsidRDefault="00211603">
      <w:pPr>
        <w:divId w:val="149249123"/>
        <w:rPr>
          <w:rFonts w:eastAsia="Times New Roman"/>
        </w:rPr>
      </w:pPr>
      <w:r>
        <w:rPr>
          <w:rFonts w:eastAsia="Times New Roman"/>
          <w:sz w:val="20"/>
          <w:szCs w:val="20"/>
        </w:rPr>
        <w:t>more stringent regulations relating to data security and the unauthorized use of, or access to, commercial and personal data, particularly in the European Union</w:t>
      </w:r>
      <w:r>
        <w:rPr>
          <w:rFonts w:eastAsia="Times New Roman"/>
          <w:sz w:val="20"/>
          <w:szCs w:val="20"/>
        </w:rPr>
        <w:t>;</w:t>
      </w:r>
    </w:p>
    <w:p w:rsidR="00000000" w:rsidRDefault="00211603">
      <w:pPr>
        <w:divId w:val="888302571"/>
        <w:rPr>
          <w:rFonts w:eastAsia="Times New Roman"/>
        </w:rPr>
      </w:pPr>
      <w:r>
        <w:rPr>
          <w:rFonts w:eastAsia="Times New Roman"/>
          <w:sz w:val="20"/>
          <w:szCs w:val="20"/>
        </w:rPr>
        <w:t>•</w:t>
      </w:r>
    </w:p>
    <w:p w:rsidR="00000000" w:rsidRDefault="00211603">
      <w:pPr>
        <w:divId w:val="1079595622"/>
        <w:rPr>
          <w:rFonts w:eastAsia="Times New Roman"/>
        </w:rPr>
      </w:pPr>
      <w:r>
        <w:rPr>
          <w:rFonts w:eastAsia="Times New Roman"/>
          <w:sz w:val="20"/>
          <w:szCs w:val="20"/>
        </w:rPr>
        <w:t>unexpected changes in regulatory requirements, taxes or trade laws</w:t>
      </w:r>
      <w:r>
        <w:rPr>
          <w:rFonts w:eastAsia="Times New Roman"/>
          <w:sz w:val="20"/>
          <w:szCs w:val="20"/>
        </w:rPr>
        <w:t>;</w:t>
      </w:r>
    </w:p>
    <w:p w:rsidR="00000000" w:rsidRDefault="00211603">
      <w:pPr>
        <w:divId w:val="32655594"/>
        <w:rPr>
          <w:rFonts w:eastAsia="Times New Roman"/>
        </w:rPr>
      </w:pPr>
      <w:r>
        <w:rPr>
          <w:rFonts w:eastAsia="Times New Roman"/>
          <w:sz w:val="20"/>
          <w:szCs w:val="20"/>
        </w:rPr>
        <w:t>•</w:t>
      </w:r>
    </w:p>
    <w:p w:rsidR="00000000" w:rsidRDefault="00211603">
      <w:pPr>
        <w:divId w:val="1184707714"/>
        <w:rPr>
          <w:rFonts w:eastAsia="Times New Roman"/>
        </w:rPr>
      </w:pPr>
      <w:r>
        <w:rPr>
          <w:rFonts w:eastAsia="Times New Roman"/>
          <w:sz w:val="20"/>
          <w:szCs w:val="20"/>
        </w:rPr>
        <w:t>differing labor regulations, especially in the European Union, where labor laws are generally more advantageous to employees as compared to the United States, including deemed hourly wag</w:t>
      </w:r>
      <w:r>
        <w:rPr>
          <w:rFonts w:eastAsia="Times New Roman"/>
          <w:sz w:val="20"/>
          <w:szCs w:val="20"/>
        </w:rPr>
        <w:t>e and overtime regulations in these locations</w:t>
      </w:r>
      <w:r>
        <w:rPr>
          <w:rFonts w:eastAsia="Times New Roman"/>
          <w:sz w:val="20"/>
          <w:szCs w:val="20"/>
        </w:rPr>
        <w:t>;</w:t>
      </w:r>
    </w:p>
    <w:p w:rsidR="00000000" w:rsidRDefault="00211603">
      <w:pPr>
        <w:divId w:val="940181730"/>
        <w:rPr>
          <w:rFonts w:eastAsia="Times New Roman"/>
        </w:rPr>
      </w:pPr>
      <w:r>
        <w:rPr>
          <w:rFonts w:eastAsia="Times New Roman"/>
          <w:sz w:val="20"/>
          <w:szCs w:val="20"/>
        </w:rPr>
        <w:t>•</w:t>
      </w:r>
    </w:p>
    <w:p w:rsidR="00000000" w:rsidRDefault="00211603">
      <w:pPr>
        <w:divId w:val="1266383752"/>
        <w:rPr>
          <w:rFonts w:eastAsia="Times New Roman"/>
        </w:rPr>
      </w:pPr>
      <w:r>
        <w:rPr>
          <w:rFonts w:eastAsia="Times New Roman"/>
          <w:sz w:val="20"/>
          <w:szCs w:val="20"/>
        </w:rPr>
        <w:t>challenges inherent in efficiently managing an increased number of employees over large geographic distances, including the need to implement appropriate systems, policies, benefits and compliance programs</w:t>
      </w:r>
      <w:r>
        <w:rPr>
          <w:rFonts w:eastAsia="Times New Roman"/>
          <w:sz w:val="20"/>
          <w:szCs w:val="20"/>
        </w:rPr>
        <w:t>;</w:t>
      </w:r>
    </w:p>
    <w:p w:rsidR="00000000" w:rsidRDefault="00211603">
      <w:pPr>
        <w:divId w:val="313535287"/>
        <w:rPr>
          <w:rFonts w:eastAsia="Times New Roman"/>
        </w:rPr>
      </w:pPr>
      <w:r>
        <w:rPr>
          <w:rFonts w:eastAsia="Times New Roman"/>
          <w:sz w:val="20"/>
          <w:szCs w:val="20"/>
        </w:rPr>
        <w:t>•</w:t>
      </w:r>
    </w:p>
    <w:p w:rsidR="00000000" w:rsidRDefault="00211603">
      <w:pPr>
        <w:divId w:val="1426226102"/>
        <w:rPr>
          <w:rFonts w:eastAsia="Times New Roman"/>
        </w:rPr>
      </w:pPr>
      <w:r>
        <w:rPr>
          <w:rFonts w:eastAsia="Times New Roman"/>
          <w:sz w:val="20"/>
          <w:szCs w:val="20"/>
        </w:rPr>
        <w:t>difficulties in managing a business in new markets with diverse cultures, languages, customs, legal systems, alternative dispute systems and regulatory systems</w:t>
      </w:r>
      <w:r>
        <w:rPr>
          <w:rFonts w:eastAsia="Times New Roman"/>
          <w:sz w:val="20"/>
          <w:szCs w:val="20"/>
        </w:rPr>
        <w:t>;</w:t>
      </w:r>
    </w:p>
    <w:p w:rsidR="00000000" w:rsidRDefault="00211603">
      <w:pPr>
        <w:divId w:val="122427630"/>
        <w:rPr>
          <w:rFonts w:eastAsia="Times New Roman"/>
        </w:rPr>
      </w:pPr>
      <w:r>
        <w:rPr>
          <w:rFonts w:eastAsia="Times New Roman"/>
          <w:sz w:val="20"/>
          <w:szCs w:val="20"/>
        </w:rPr>
        <w:t>•</w:t>
      </w:r>
    </w:p>
    <w:p w:rsidR="00000000" w:rsidRDefault="00211603">
      <w:pPr>
        <w:divId w:val="2014411154"/>
        <w:rPr>
          <w:rFonts w:eastAsia="Times New Roman"/>
        </w:rPr>
      </w:pPr>
      <w:r>
        <w:rPr>
          <w:rFonts w:eastAsia="Times New Roman"/>
          <w:sz w:val="20"/>
          <w:szCs w:val="20"/>
        </w:rPr>
        <w:t>currency exchange rate fluctuations and the resulting effect on our revenue and expenses, a</w:t>
      </w:r>
      <w:r>
        <w:rPr>
          <w:rFonts w:eastAsia="Times New Roman"/>
          <w:sz w:val="20"/>
          <w:szCs w:val="20"/>
        </w:rPr>
        <w:t>nd the cost and risk of entering into hedging transactions if we chose to do so in the future</w:t>
      </w:r>
      <w:r>
        <w:rPr>
          <w:rFonts w:eastAsia="Times New Roman"/>
          <w:sz w:val="20"/>
          <w:szCs w:val="20"/>
        </w:rPr>
        <w:t>;</w:t>
      </w:r>
    </w:p>
    <w:p w:rsidR="00000000" w:rsidRDefault="00211603">
      <w:pPr>
        <w:divId w:val="1478765967"/>
        <w:rPr>
          <w:rFonts w:eastAsia="Times New Roman"/>
        </w:rPr>
      </w:pPr>
      <w:r>
        <w:rPr>
          <w:rFonts w:eastAsia="Times New Roman"/>
          <w:sz w:val="20"/>
          <w:szCs w:val="20"/>
        </w:rPr>
        <w:t>•</w:t>
      </w:r>
    </w:p>
    <w:p w:rsidR="00000000" w:rsidRDefault="00211603">
      <w:pPr>
        <w:divId w:val="1714959249"/>
        <w:rPr>
          <w:rFonts w:eastAsia="Times New Roman"/>
        </w:rPr>
      </w:pPr>
      <w:r>
        <w:rPr>
          <w:rFonts w:eastAsia="Times New Roman"/>
          <w:sz w:val="20"/>
          <w:szCs w:val="20"/>
        </w:rPr>
        <w:t>global economic uncertainty caused by global political events, including the United Kingdom's exit from the European Union, on January 31, 2020 ("Brexit"), and</w:t>
      </w:r>
      <w:r>
        <w:rPr>
          <w:rFonts w:eastAsia="Times New Roman"/>
          <w:sz w:val="20"/>
          <w:szCs w:val="20"/>
        </w:rPr>
        <w:t xml:space="preserve"> similar geopolitical developments</w:t>
      </w:r>
      <w:r>
        <w:rPr>
          <w:rFonts w:eastAsia="Times New Roman"/>
          <w:sz w:val="20"/>
          <w:szCs w:val="20"/>
        </w:rPr>
        <w:t>;</w:t>
      </w:r>
    </w:p>
    <w:p w:rsidR="00000000" w:rsidRDefault="00211603">
      <w:pPr>
        <w:divId w:val="951980450"/>
        <w:rPr>
          <w:rFonts w:eastAsia="Times New Roman"/>
        </w:rPr>
      </w:pPr>
      <w:r>
        <w:rPr>
          <w:rFonts w:eastAsia="Times New Roman"/>
          <w:sz w:val="20"/>
          <w:szCs w:val="20"/>
        </w:rPr>
        <w:t>•</w:t>
      </w:r>
    </w:p>
    <w:p w:rsidR="00000000" w:rsidRDefault="00211603">
      <w:pPr>
        <w:divId w:val="1742286536"/>
        <w:rPr>
          <w:rFonts w:eastAsia="Times New Roman"/>
        </w:rPr>
      </w:pPr>
      <w:r>
        <w:rPr>
          <w:rFonts w:eastAsia="Times New Roman"/>
          <w:sz w:val="20"/>
          <w:szCs w:val="20"/>
        </w:rPr>
        <w:t>limitations on our ability to reinvest earnings from operations in one country to fund the capital needs of our operations in other countries</w:t>
      </w:r>
      <w:r>
        <w:rPr>
          <w:rFonts w:eastAsia="Times New Roman"/>
          <w:sz w:val="20"/>
          <w:szCs w:val="20"/>
        </w:rPr>
        <w:t>;</w:t>
      </w:r>
    </w:p>
    <w:p w:rsidR="00000000" w:rsidRDefault="00211603">
      <w:pPr>
        <w:divId w:val="1432623786"/>
        <w:rPr>
          <w:rFonts w:eastAsia="Times New Roman"/>
        </w:rPr>
      </w:pPr>
      <w:r>
        <w:rPr>
          <w:rFonts w:eastAsia="Times New Roman"/>
          <w:sz w:val="20"/>
          <w:szCs w:val="20"/>
        </w:rPr>
        <w:t>•</w:t>
      </w:r>
    </w:p>
    <w:p w:rsidR="00000000" w:rsidRDefault="00211603">
      <w:pPr>
        <w:divId w:val="279454998"/>
        <w:rPr>
          <w:rFonts w:eastAsia="Times New Roman"/>
        </w:rPr>
      </w:pPr>
      <w:r>
        <w:rPr>
          <w:rFonts w:eastAsia="Times New Roman"/>
          <w:sz w:val="20"/>
          <w:szCs w:val="20"/>
        </w:rPr>
        <w:t>limited or insufficient intellectual property protection</w:t>
      </w:r>
      <w:r>
        <w:rPr>
          <w:rFonts w:eastAsia="Times New Roman"/>
          <w:sz w:val="20"/>
          <w:szCs w:val="20"/>
        </w:rPr>
        <w:t>;</w:t>
      </w:r>
    </w:p>
    <w:p w:rsidR="00000000" w:rsidRDefault="00211603">
      <w:pPr>
        <w:divId w:val="1712341353"/>
        <w:rPr>
          <w:rFonts w:eastAsia="Times New Roman"/>
        </w:rPr>
      </w:pPr>
      <w:r>
        <w:rPr>
          <w:rFonts w:eastAsia="Times New Roman"/>
          <w:sz w:val="20"/>
          <w:szCs w:val="20"/>
        </w:rPr>
        <w:t>•</w:t>
      </w:r>
    </w:p>
    <w:p w:rsidR="00000000" w:rsidRDefault="00211603">
      <w:pPr>
        <w:divId w:val="2033922267"/>
        <w:rPr>
          <w:rFonts w:eastAsia="Times New Roman"/>
        </w:rPr>
      </w:pPr>
      <w:r>
        <w:rPr>
          <w:rFonts w:eastAsia="Times New Roman"/>
          <w:sz w:val="20"/>
          <w:szCs w:val="20"/>
        </w:rPr>
        <w:t>international</w:t>
      </w:r>
      <w:r>
        <w:rPr>
          <w:rFonts w:eastAsia="Times New Roman"/>
          <w:sz w:val="20"/>
          <w:szCs w:val="20"/>
        </w:rPr>
        <w:t xml:space="preserve"> disputes, wars (such as the conflict between Russia and Ukraine), political instability or terrorist activities and resulting economic instability;</w:t>
      </w:r>
      <w:r>
        <w:rPr>
          <w:rFonts w:eastAsia="Times New Roman"/>
          <w:sz w:val="20"/>
          <w:szCs w:val="20"/>
        </w:rPr>
        <w:t xml:space="preserve"> </w:t>
      </w:r>
    </w:p>
    <w:p w:rsidR="00000000" w:rsidRDefault="00211603">
      <w:pPr>
        <w:divId w:val="1719668145"/>
        <w:rPr>
          <w:rFonts w:eastAsia="Times New Roman"/>
        </w:rPr>
      </w:pPr>
      <w:r>
        <w:rPr>
          <w:rFonts w:eastAsia="Times New Roman"/>
          <w:sz w:val="20"/>
          <w:szCs w:val="20"/>
        </w:rPr>
        <w:t>•</w:t>
      </w:r>
    </w:p>
    <w:p w:rsidR="00000000" w:rsidRDefault="00211603">
      <w:pPr>
        <w:divId w:val="78715345"/>
        <w:rPr>
          <w:rFonts w:eastAsia="Times New Roman"/>
        </w:rPr>
      </w:pPr>
      <w:r>
        <w:rPr>
          <w:rFonts w:eastAsia="Times New Roman"/>
          <w:sz w:val="20"/>
          <w:szCs w:val="20"/>
        </w:rPr>
        <w:t xml:space="preserve">likelihood of potential or actual violations of domestic and international anticorruption laws, such as </w:t>
      </w:r>
      <w:r>
        <w:rPr>
          <w:rFonts w:eastAsia="Times New Roman"/>
          <w:sz w:val="20"/>
          <w:szCs w:val="20"/>
        </w:rPr>
        <w:t>the U.S. Foreign Corrupt Practices Act and the U.K. Bribery Act, or of U.S. and international export control and sanctions regulations, which likelihood may increase with an increase of sales or operations in foreign jurisdictions and operations in certain</w:t>
      </w:r>
      <w:r>
        <w:rPr>
          <w:rFonts w:eastAsia="Times New Roman"/>
          <w:sz w:val="20"/>
          <w:szCs w:val="20"/>
        </w:rPr>
        <w:t xml:space="preserve"> industries; an</w:t>
      </w:r>
      <w:r>
        <w:rPr>
          <w:rFonts w:eastAsia="Times New Roman"/>
          <w:sz w:val="20"/>
          <w:szCs w:val="20"/>
        </w:rPr>
        <w:t>d</w:t>
      </w:r>
    </w:p>
    <w:p w:rsidR="00000000" w:rsidRDefault="00211603">
      <w:pPr>
        <w:divId w:val="964627238"/>
        <w:rPr>
          <w:rFonts w:eastAsia="Times New Roman"/>
        </w:rPr>
      </w:pPr>
      <w:r>
        <w:rPr>
          <w:rFonts w:eastAsia="Times New Roman"/>
          <w:sz w:val="20"/>
          <w:szCs w:val="20"/>
        </w:rPr>
        <w:t>•</w:t>
      </w:r>
    </w:p>
    <w:p w:rsidR="00000000" w:rsidRDefault="00211603">
      <w:pPr>
        <w:divId w:val="1083449324"/>
        <w:rPr>
          <w:rFonts w:eastAsia="Times New Roman"/>
        </w:rPr>
      </w:pPr>
      <w:r>
        <w:rPr>
          <w:rFonts w:eastAsia="Times New Roman"/>
          <w:sz w:val="20"/>
          <w:szCs w:val="20"/>
        </w:rPr>
        <w:t>adverse tax burdens and foreign exchange controls that could make it difficult to repatriate earnings and cash</w:t>
      </w:r>
      <w:r>
        <w:rPr>
          <w:rFonts w:eastAsia="Times New Roman"/>
          <w:sz w:val="20"/>
          <w:szCs w:val="20"/>
        </w:rPr>
        <w:t>.</w:t>
      </w:r>
    </w:p>
    <w:p w:rsidR="00000000" w:rsidRDefault="00211603">
      <w:pPr>
        <w:pStyle w:val="a3"/>
        <w:spacing w:before="200" w:beforeAutospacing="0" w:after="0" w:afterAutospacing="0"/>
        <w:ind w:firstLine="555"/>
        <w:rPr>
          <w:sz w:val="20"/>
          <w:szCs w:val="20"/>
        </w:rPr>
      </w:pPr>
      <w:r>
        <w:rPr>
          <w:sz w:val="20"/>
          <w:szCs w:val="20"/>
        </w:rPr>
        <w:t>Our limited experience in operating our business internationally increases the risk that any potential future expansion effor</w:t>
      </w:r>
      <w:r>
        <w:rPr>
          <w:sz w:val="20"/>
          <w:szCs w:val="20"/>
        </w:rPr>
        <w:t xml:space="preserve">ts that we may undertake will not be successful. If we invest substantial time and resources to expand our international operations and are unable to do so successfully and in a timely manner, our business and operating results will suffer. We continue to </w:t>
      </w:r>
      <w:r>
        <w:rPr>
          <w:sz w:val="20"/>
          <w:szCs w:val="20"/>
        </w:rPr>
        <w:t>implement policies and procedures to facilitate our compliance with U.S. laws and regulations applicable to or arising from our international business. Inadequacies in our past or current compliance practices may increase the risk of inadvertent violations</w:t>
      </w:r>
      <w:r>
        <w:rPr>
          <w:sz w:val="20"/>
          <w:szCs w:val="20"/>
        </w:rPr>
        <w:t xml:space="preserve"> of such laws and regulations, which could lead to financial and other penalties that could damage our reputation and impose costs on us</w:t>
      </w:r>
      <w:r>
        <w:rPr>
          <w:sz w:val="20"/>
          <w:szCs w:val="20"/>
        </w:rPr>
        <w:t>.</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Employee Matter</w:t>
      </w:r>
      <w:r>
        <w:rPr>
          <w:b/>
          <w:bCs/>
          <w:sz w:val="20"/>
          <w:szCs w:val="20"/>
        </w:rPr>
        <w:t>s</w:t>
      </w:r>
    </w:p>
    <w:p w:rsidR="00000000" w:rsidRDefault="00211603">
      <w:pPr>
        <w:pStyle w:val="a3"/>
        <w:spacing w:before="200" w:beforeAutospacing="0" w:after="0" w:afterAutospacing="0"/>
        <w:rPr>
          <w:sz w:val="20"/>
          <w:szCs w:val="20"/>
        </w:rPr>
      </w:pPr>
      <w:r>
        <w:rPr>
          <w:b/>
          <w:bCs/>
          <w:i/>
          <w:iCs/>
          <w:sz w:val="20"/>
          <w:szCs w:val="20"/>
        </w:rPr>
        <w:t>If we cannot maintain our company culture as we grow, we could lose the innovation, teamwork, passion and focus on execution that we believe contribute to our success and our business may be harmed</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believe that a critical component to our success has b</w:t>
      </w:r>
      <w:r>
        <w:rPr>
          <w:sz w:val="20"/>
          <w:szCs w:val="20"/>
        </w:rPr>
        <w:t xml:space="preserve">een our company culture, which is based on transparency and personal autonomy. We have invested substantial time and resources in building our team within this company culture. In 2020, we made the decision to permanently move to a hybrid workplace model, </w:t>
      </w:r>
      <w:r>
        <w:rPr>
          <w:sz w:val="20"/>
          <w:szCs w:val="20"/>
        </w:rPr>
        <w:t>which means since January 1, 2021, our employees had the option to be fully remote, work full-time from one of our offices, or work both in the office and remotely. Furthermore, while we have begun to slowly re-open our offices on a staggered, region-by-re</w:t>
      </w:r>
      <w:r>
        <w:rPr>
          <w:sz w:val="20"/>
          <w:szCs w:val="20"/>
        </w:rPr>
        <w:t>gion basis in accordance with local authority guidelines, preservation of our corporate culture has been made more difficult as our work force has been working from home in connection with restrictions placed upon businesses due to the pandemic. Any failur</w:t>
      </w:r>
      <w:r>
        <w:rPr>
          <w:sz w:val="20"/>
          <w:szCs w:val="20"/>
        </w:rPr>
        <w:t>e to preserve our culture could negatively affect our ability to retain and recruit personnel and to effectively focus on and pursue our corporate objectives. As we grow and continue to develop our company infrastructure, we may find it difficult to mainta</w:t>
      </w:r>
      <w:r>
        <w:rPr>
          <w:sz w:val="20"/>
          <w:szCs w:val="20"/>
        </w:rPr>
        <w:t>in these important aspects of our company culture and our business may be adversely impacted.</w:t>
      </w:r>
      <w:r>
        <w:rPr>
          <w:sz w:val="20"/>
          <w:szCs w:val="20"/>
        </w:rPr>
        <w:br/>
      </w:r>
      <w:r>
        <w:rPr>
          <w:sz w:val="20"/>
          <w:szCs w:val="20"/>
        </w:rPr>
        <w:br/>
      </w:r>
      <w:r>
        <w:rPr>
          <w:b/>
          <w:bCs/>
          <w:i/>
          <w:iCs/>
          <w:sz w:val="20"/>
          <w:szCs w:val="20"/>
        </w:rPr>
        <w:t>We rely on our management team and other key employees, and the loss of one or more key employees could harm our business</w:t>
      </w:r>
      <w:r>
        <w:rPr>
          <w:b/>
          <w:bCs/>
          <w:i/>
          <w:iCs/>
          <w:sz w:val="20"/>
          <w:szCs w:val="20"/>
        </w:rPr>
        <w:t>.</w:t>
      </w:r>
    </w:p>
    <w:p w:rsidR="00000000" w:rsidRDefault="00211603">
      <w:pPr>
        <w:pStyle w:val="a3"/>
        <w:spacing w:before="240" w:beforeAutospacing="0" w:after="0" w:afterAutospacing="0"/>
        <w:jc w:val="center"/>
        <w:rPr>
          <w:sz w:val="20"/>
          <w:szCs w:val="20"/>
        </w:rPr>
      </w:pPr>
      <w:r>
        <w:rPr>
          <w:sz w:val="20"/>
          <w:szCs w:val="20"/>
        </w:rPr>
        <w:t>3</w:t>
      </w:r>
      <w:r>
        <w:rPr>
          <w:sz w:val="20"/>
          <w:szCs w:val="20"/>
        </w:rPr>
        <w:t>7</w:t>
      </w:r>
    </w:p>
    <w:p w:rsidR="00000000" w:rsidRDefault="00211603">
      <w:pPr>
        <w:rPr>
          <w:rFonts w:eastAsia="Times New Roman"/>
        </w:rPr>
      </w:pPr>
      <w:r>
        <w:rPr>
          <w:rFonts w:eastAsia="Times New Roman"/>
        </w:rPr>
        <w:pict>
          <v:rect id="_x0000_i1061"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ind w:firstLine="555"/>
        <w:rPr>
          <w:sz w:val="20"/>
          <w:szCs w:val="20"/>
        </w:rPr>
      </w:pPr>
      <w:r>
        <w:rPr>
          <w:sz w:val="20"/>
          <w:szCs w:val="20"/>
        </w:rPr>
        <w:t>Our success and future growth depend upon the continued services of our management team, including our co-founders, Brian Halligan and Dharmesh Shah, our chief executive officer, Yamini Rangan, and other key employees in the areas of research and devel</w:t>
      </w:r>
      <w:r>
        <w:rPr>
          <w:sz w:val="20"/>
          <w:szCs w:val="20"/>
        </w:rPr>
        <w:t>opment, marketing, sales, services, operations, content management, and general and administrative functions. From time to time, there may be changes in our management team resulting from the hiring or departure of executives, which could disrupt our busin</w:t>
      </w:r>
      <w:r>
        <w:rPr>
          <w:sz w:val="20"/>
          <w:szCs w:val="20"/>
        </w:rPr>
        <w:t xml:space="preserve">ess. We also are dependent on the continued service of our existing software engineers and information technology personnel because of the complexity of our platform, technologies and infrastructure. We may terminate any employee’s employment at any time, </w:t>
      </w:r>
      <w:r>
        <w:rPr>
          <w:sz w:val="20"/>
          <w:szCs w:val="20"/>
        </w:rPr>
        <w:t>with or without cause, and any employee may resign at any time, with or without cause. We do not have employment agreements with any of our key personnel. The loss of one or more of our key employees could harm our business.</w:t>
      </w:r>
      <w:r>
        <w:rPr>
          <w:sz w:val="20"/>
          <w:szCs w:val="20"/>
        </w:rPr>
        <w:br/>
      </w:r>
      <w:r>
        <w:rPr>
          <w:sz w:val="20"/>
          <w:szCs w:val="20"/>
        </w:rPr>
        <w:br/>
      </w:r>
      <w:r>
        <w:rPr>
          <w:b/>
          <w:bCs/>
          <w:i/>
          <w:iCs/>
          <w:sz w:val="20"/>
          <w:szCs w:val="20"/>
        </w:rPr>
        <w:t>The failure to attract and ret</w:t>
      </w:r>
      <w:r>
        <w:rPr>
          <w:b/>
          <w:bCs/>
          <w:i/>
          <w:iCs/>
          <w:sz w:val="20"/>
          <w:szCs w:val="20"/>
        </w:rPr>
        <w:t>ain additional qualified personnel could prevent us from executing our business strategy</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To execute our business strategy, we must attract and retain highly qualified personnel. In particular, we compete with many other companies for software developers w</w:t>
      </w:r>
      <w:r>
        <w:rPr>
          <w:sz w:val="20"/>
          <w:szCs w:val="20"/>
        </w:rPr>
        <w:t>ith high levels of experience in designing, developing and managing cloud-based software, as well as for skilled information technology, marketing, sales and operations professionals, and we may not be successful in attracting and retaining the professiona</w:t>
      </w:r>
      <w:r>
        <w:rPr>
          <w:sz w:val="20"/>
          <w:szCs w:val="20"/>
        </w:rPr>
        <w:t>ls we need. Also, inbound sales, marketing, services, operations, and content management domain experts are very important to our success and are difficult to replace. We have from time to time in the past experienced, and we expect to continue to experien</w:t>
      </w:r>
      <w:r>
        <w:rPr>
          <w:sz w:val="20"/>
          <w:szCs w:val="20"/>
        </w:rPr>
        <w:t>ce in the future, difficulty in hiring and difficulty in retaining highly skilled employees with appropriate qualifications. In particular, we have experienced a competitive hiring environment in the Greater Boston area, where we are headquartered and will</w:t>
      </w:r>
      <w:r>
        <w:rPr>
          <w:sz w:val="20"/>
          <w:szCs w:val="20"/>
        </w:rPr>
        <w:t xml:space="preserve"> continue to experience a competitive hiring environment as we recruit for remote talent worldwide. Many of the companies with which we compete for experienced personnel have greater resources than we do. The change by companies to offer a remote or hybrid</w:t>
      </w:r>
      <w:r>
        <w:rPr>
          <w:sz w:val="20"/>
          <w:szCs w:val="20"/>
        </w:rPr>
        <w:t xml:space="preserve"> work environment may increase the competition for such employees from employers outside of our traditional office locations. In addition, if we choose to no longer offer a remote or hybrid work environment, we may face more difficulty in retaining our wor</w:t>
      </w:r>
      <w:r>
        <w:rPr>
          <w:sz w:val="20"/>
          <w:szCs w:val="20"/>
        </w:rPr>
        <w:t>kforce. Further, labor is subject to external factors that are beyond our control, including our industry’s highly competitive market for skilled workers and leaders, cost inflation, the ongoing COVID-19 pandemic, and workforce participation rates. In addi</w:t>
      </w:r>
      <w:r>
        <w:rPr>
          <w:sz w:val="20"/>
          <w:szCs w:val="20"/>
        </w:rPr>
        <w:t>tion, if our reputation were to be harmed, whether as a result of media, legislative, or regulatory scrutiny or otherwise, it could make it more difficult to attract and retain personnel that are critical to the success of our business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In addition, in ma</w:t>
      </w:r>
      <w:r>
        <w:rPr>
          <w:sz w:val="20"/>
          <w:szCs w:val="20"/>
        </w:rPr>
        <w:t>king employment decisions, particularly in the software industry, job candidates often consider the value of the stock options or other equity incentives they are to receive in connection with their employment. If the price of our stock declines, or experi</w:t>
      </w:r>
      <w:r>
        <w:rPr>
          <w:sz w:val="20"/>
          <w:szCs w:val="20"/>
        </w:rPr>
        <w:t>ences significant volatility, our ability to attract or retain key employees will be adversely affected. If we fail to attract new personnel or fail to retain and motivate our current personnel, our growth prospects could be severely harmed</w:t>
      </w:r>
      <w:r>
        <w:rPr>
          <w:sz w:val="20"/>
          <w:szCs w:val="20"/>
        </w:rPr>
        <w:t>.</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w:t>
      </w:r>
      <w:r>
        <w:rPr>
          <w:b/>
          <w:bCs/>
          <w:sz w:val="20"/>
          <w:szCs w:val="20"/>
        </w:rPr>
        <w:t>d to Our Technical Operations Infrastructure and Dependence on Third Partie</w:t>
      </w:r>
      <w:r>
        <w:rPr>
          <w:b/>
          <w:bCs/>
          <w:sz w:val="20"/>
          <w:szCs w:val="20"/>
        </w:rPr>
        <w:t>s</w:t>
      </w:r>
    </w:p>
    <w:p w:rsidR="00000000" w:rsidRDefault="00211603">
      <w:pPr>
        <w:pStyle w:val="a3"/>
        <w:spacing w:before="200" w:beforeAutospacing="0" w:after="0" w:afterAutospacing="0"/>
        <w:rPr>
          <w:sz w:val="20"/>
          <w:szCs w:val="20"/>
        </w:rPr>
      </w:pPr>
      <w:r>
        <w:rPr>
          <w:b/>
          <w:bCs/>
          <w:i/>
          <w:iCs/>
          <w:sz w:val="20"/>
          <w:szCs w:val="20"/>
        </w:rPr>
        <w:t>Interruptions or delays in service from our third-party data center providers could impair our ability to deliver our platform to our customers, resulting in customer dissatisfact</w:t>
      </w:r>
      <w:r>
        <w:rPr>
          <w:b/>
          <w:bCs/>
          <w:i/>
          <w:iCs/>
          <w:sz w:val="20"/>
          <w:szCs w:val="20"/>
        </w:rPr>
        <w:t>ion, damage to our reputation, loss of customers, limited growth and reduction in revenue</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currently serve the majority of our platform functions from third-party data center hosting facilities operated by Amazon Web Services located in northern Virgini</w:t>
      </w:r>
      <w:r>
        <w:rPr>
          <w:sz w:val="20"/>
          <w:szCs w:val="20"/>
        </w:rPr>
        <w:t>a and Frankfurt, Germany and Google Cloud Platform located in Frankfurt, Germany. In addition, we serve ancillary functions for our customers from third-party data center hosting facilities operated by Rackspace located in Dallas, Texas, with a backup faci</w:t>
      </w:r>
      <w:r>
        <w:rPr>
          <w:sz w:val="20"/>
          <w:szCs w:val="20"/>
        </w:rPr>
        <w:t>lity in Chicago, Illinois. Our operations depend, in part, on our third-party facility providers’ abilities to protect these facilities against damage or interruption from natural disasters, such as earthquakes and hurricanes, actual or threatened public h</w:t>
      </w:r>
      <w:r>
        <w:rPr>
          <w:sz w:val="20"/>
          <w:szCs w:val="20"/>
        </w:rPr>
        <w:t xml:space="preserve">ealth emergencies (e.g., COVID-19), power or telecommunications failures, criminal acts and similar events. In the event that any of our third-party facilities arrangements is terminated, or if there is a lapse of service or damage to a facility, we could </w:t>
      </w:r>
      <w:r>
        <w:rPr>
          <w:sz w:val="20"/>
          <w:szCs w:val="20"/>
        </w:rPr>
        <w:t>experience interruptions in our platform as well as delays and additional expenses in arranging new facilities and services. Additionally, we may be at risk due to the increased frequency of sophisticated cyber-attacks coordinated by foreign nation states.</w:t>
      </w:r>
      <w:r>
        <w:rPr>
          <w:sz w:val="20"/>
          <w:szCs w:val="20"/>
        </w:rPr>
        <w:t xml:space="preserve"> For example, the ongoing conflict between Russia and Ukraine may result in a heightened threat environment and create unknown cyber risks, including increased risk of retaliatory cyber-attacks from Russian actors against U.S.-based companies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Any damage </w:t>
      </w:r>
      <w:r>
        <w:rPr>
          <w:sz w:val="20"/>
          <w:szCs w:val="20"/>
        </w:rPr>
        <w:t>to, or failure of, the systems of our third-party providers could result in interruptions to our platform. Despite precautions taken at our data centers, the occurrence of spikes in usage volume, a natural disaster, such as earthquakes or hurricane, an act</w:t>
      </w:r>
      <w:r>
        <w:rPr>
          <w:sz w:val="20"/>
          <w:szCs w:val="20"/>
        </w:rPr>
        <w:t xml:space="preserve"> of terrorism, vandalism or sabotage, a decision to close a facility without adequate notice, or other unanticipated problems at a facility could result in lengthy interruptions in the availability of our on-demand software. Even with current and planned d</w:t>
      </w:r>
      <w:r>
        <w:rPr>
          <w:sz w:val="20"/>
          <w:szCs w:val="20"/>
        </w:rPr>
        <w:t>isaster recovery arrangements, our business could be harmed. Also, in the event of damage or interruption, our insurance policies may not adequately compensate us for any losses that we may incur. These factors in turn could further reduce our revenue, sub</w:t>
      </w:r>
      <w:r>
        <w:rPr>
          <w:sz w:val="20"/>
          <w:szCs w:val="20"/>
        </w:rPr>
        <w:t>ject us to liability and cause us to issue credits or cause customers to fail to renew their subscriptions, any of which could materially adversely affect our business</w:t>
      </w:r>
      <w:r>
        <w:rPr>
          <w:sz w:val="20"/>
          <w:szCs w:val="20"/>
        </w:rPr>
        <w:t>.</w:t>
      </w:r>
    </w:p>
    <w:p w:rsidR="00000000" w:rsidRDefault="00211603">
      <w:pPr>
        <w:pStyle w:val="a3"/>
        <w:spacing w:before="240" w:beforeAutospacing="0" w:after="0" w:afterAutospacing="0"/>
        <w:jc w:val="center"/>
        <w:rPr>
          <w:sz w:val="20"/>
          <w:szCs w:val="20"/>
        </w:rPr>
      </w:pPr>
      <w:r>
        <w:rPr>
          <w:sz w:val="20"/>
          <w:szCs w:val="20"/>
        </w:rPr>
        <w:t>3</w:t>
      </w:r>
      <w:r>
        <w:rPr>
          <w:sz w:val="20"/>
          <w:szCs w:val="20"/>
        </w:rPr>
        <w:t>8</w:t>
      </w:r>
    </w:p>
    <w:p w:rsidR="00000000" w:rsidRDefault="00211603">
      <w:pPr>
        <w:rPr>
          <w:rFonts w:eastAsia="Times New Roman"/>
        </w:rPr>
      </w:pPr>
      <w:r>
        <w:rPr>
          <w:rFonts w:eastAsia="Times New Roman"/>
        </w:rPr>
        <w:pict>
          <v:rect id="_x0000_i1062"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i/>
          <w:iCs/>
          <w:sz w:val="20"/>
          <w:szCs w:val="20"/>
        </w:rPr>
        <w:t>If our CRM Platform has outages or fails due t</w:t>
      </w:r>
      <w:r>
        <w:rPr>
          <w:b/>
          <w:bCs/>
          <w:i/>
          <w:iCs/>
          <w:sz w:val="20"/>
          <w:szCs w:val="20"/>
        </w:rPr>
        <w:t>o defects or similar problems, and if we fail to correct any defect or other software problems, we could lose customers, become subject to service performance or warranty claims or incur significant costs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CRM Platform and its underlying infrastructure</w:t>
      </w:r>
      <w:r>
        <w:rPr>
          <w:sz w:val="20"/>
          <w:szCs w:val="20"/>
        </w:rPr>
        <w:t xml:space="preserve"> are inherently complex and may contain material defects or errors. We release modifications, updates, bug fixes and other changes to our software several times per day, without traditional human-performed quality control reviews for each release. We have </w:t>
      </w:r>
      <w:r>
        <w:rPr>
          <w:sz w:val="20"/>
          <w:szCs w:val="20"/>
        </w:rPr>
        <w:t xml:space="preserve">from time to time found defects in our software and may discover additional defects in the future. We may not be able to detect and correct defects or errors before customers begin to use our platform or its applications. Consequently, we or our customers </w:t>
      </w:r>
      <w:r>
        <w:rPr>
          <w:sz w:val="20"/>
          <w:szCs w:val="20"/>
        </w:rPr>
        <w:t>may discover defects or errors after our platform has been implemented. Defects or errors could result in product outages and could also cause inaccuracies in the data we collect and process for our customers, or even the loss, damage or inadvertent releas</w:t>
      </w:r>
      <w:r>
        <w:rPr>
          <w:sz w:val="20"/>
          <w:szCs w:val="20"/>
        </w:rPr>
        <w:t>e of such confidential data. We implement bug fixes and upgrades as part of our regular system maintenance, which may lead to system downtime. Even if we are able to implement the bug fixes and upgrades in a timely manner, any history of product outages, d</w:t>
      </w:r>
      <w:r>
        <w:rPr>
          <w:sz w:val="20"/>
          <w:szCs w:val="20"/>
        </w:rPr>
        <w:t>efects or inaccuracies in the data we collect for our customers, or the loss, damage or inadvertent release of confidential data could cause our reputation to be harmed, and customers may elect not to purchase or renew their agreements with us. Furthermore</w:t>
      </w:r>
      <w:r>
        <w:rPr>
          <w:sz w:val="20"/>
          <w:szCs w:val="20"/>
        </w:rPr>
        <w:t>, these issues could subject us to service performance credits (whether offered by us or required by contract), warranty claims or increased insurance costs. The costs associated with product outages, any material defects or errors in our platform or other</w:t>
      </w:r>
      <w:r>
        <w:rPr>
          <w:sz w:val="20"/>
          <w:szCs w:val="20"/>
        </w:rPr>
        <w:t xml:space="preserve"> performance problems may be substantial and could materially adversely affect our operating results</w:t>
      </w:r>
      <w:r>
        <w:rPr>
          <w:sz w:val="20"/>
          <w:szCs w:val="20"/>
        </w:rPr>
        <w:t>.</w:t>
      </w:r>
    </w:p>
    <w:p w:rsidR="00000000" w:rsidRDefault="00211603">
      <w:pPr>
        <w:pStyle w:val="a3"/>
        <w:spacing w:before="200" w:beforeAutospacing="0" w:after="0" w:afterAutospacing="0"/>
        <w:ind w:firstLine="555"/>
        <w:rPr>
          <w:sz w:val="20"/>
          <w:szCs w:val="20"/>
        </w:rPr>
      </w:pPr>
      <w:r>
        <w:rPr>
          <w:sz w:val="20"/>
          <w:szCs w:val="20"/>
        </w:rPr>
        <w:t>In addition, third-party applications and features on our CRM Platform may not meet the same quality standards that we apply to our own development effort</w:t>
      </w:r>
      <w:r>
        <w:rPr>
          <w:sz w:val="20"/>
          <w:szCs w:val="20"/>
        </w:rPr>
        <w:t xml:space="preserve">s and, to the extent they contain bugs, vulnerabilities or defects, they may create disruptions in our customers’ use of our products, lead to data loss, unauthorized access to customer data, damage our brand and reputation and affect the continued use of </w:t>
      </w:r>
      <w:r>
        <w:rPr>
          <w:sz w:val="20"/>
          <w:szCs w:val="20"/>
        </w:rPr>
        <w:t>our products, any of which could harm our business, results of operations and financial condition</w:t>
      </w:r>
      <w:r>
        <w:rPr>
          <w:sz w:val="20"/>
          <w:szCs w:val="20"/>
        </w:rPr>
        <w:t>.</w:t>
      </w:r>
    </w:p>
    <w:p w:rsidR="00000000" w:rsidRDefault="00211603">
      <w:pPr>
        <w:pStyle w:val="a3"/>
        <w:spacing w:before="200" w:beforeAutospacing="0" w:after="0" w:afterAutospacing="0"/>
        <w:rPr>
          <w:sz w:val="20"/>
          <w:szCs w:val="20"/>
        </w:rPr>
      </w:pPr>
      <w:r>
        <w:rPr>
          <w:b/>
          <w:bCs/>
          <w:i/>
          <w:iCs/>
          <w:sz w:val="20"/>
          <w:szCs w:val="20"/>
        </w:rPr>
        <w:t>If our information technology systems, including our CRM Platform, have outages or fail due to defects or similar problems, and if we fail to correct any def</w:t>
      </w:r>
      <w:r>
        <w:rPr>
          <w:b/>
          <w:bCs/>
          <w:i/>
          <w:iCs/>
          <w:sz w:val="20"/>
          <w:szCs w:val="20"/>
        </w:rPr>
        <w:t>ect or other software problems, it could disrupt our internal operations or services provided to customers, and could reduce our revenue, increase our expenses, damage our reputation and adversely affect our cash flows and stock price</w:t>
      </w:r>
      <w:r>
        <w:rPr>
          <w:b/>
          <w:bCs/>
          <w:i/>
          <w:iCs/>
          <w:sz w:val="20"/>
          <w:szCs w:val="20"/>
        </w:rPr>
        <w:t>.</w:t>
      </w:r>
      <w:r>
        <w:rPr>
          <w:b/>
          <w:bCs/>
          <w:i/>
          <w:iCs/>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We rely on our info</w:t>
      </w:r>
      <w:r>
        <w:rPr>
          <w:sz w:val="20"/>
          <w:szCs w:val="20"/>
        </w:rPr>
        <w:t>rmation technology systems, including the sustained and uninterrupted performance of our CRM Platform, to manage numerous aspects of our business, including marketing, sales, content management, customer service and other internal operations. Our informati</w:t>
      </w:r>
      <w:r>
        <w:rPr>
          <w:sz w:val="20"/>
          <w:szCs w:val="20"/>
        </w:rPr>
        <w:t>on technology systems are an essential component of our business and any disruption could significantly limit our ability to manage and operate our business efficiently</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Our CRM Platform and its underlying infrastructure are inherently complex and may con</w:t>
      </w:r>
      <w:r>
        <w:rPr>
          <w:sz w:val="20"/>
          <w:szCs w:val="20"/>
        </w:rPr>
        <w:t xml:space="preserve">tain material defects or errors. We release modifications, updates, bug fixes and other changes to our software several times per day, without traditional human-performed quality control reviews for each release. We have from time to time found defects in </w:t>
      </w:r>
      <w:r>
        <w:rPr>
          <w:sz w:val="20"/>
          <w:szCs w:val="20"/>
        </w:rPr>
        <w:t xml:space="preserve">our software and may discover in the future additional defects, outages, delays or cessations of service, performance and quality problems or may produce errors in connection with systems integrations, migration work or other causes, which could result in </w:t>
      </w:r>
      <w:r>
        <w:rPr>
          <w:sz w:val="20"/>
          <w:szCs w:val="20"/>
        </w:rPr>
        <w:t xml:space="preserve">business disruptions and the process of remediating them could be more expensive, time-consuming, disruptive and resource intensive than planned. Such disruptions could adversely impact our internal operations and interrupt other processes. Delayed sales, </w:t>
      </w:r>
      <w:r>
        <w:rPr>
          <w:sz w:val="20"/>
          <w:szCs w:val="20"/>
        </w:rPr>
        <w:t>lower margins or lost customers resulting from these disruptions could reduce our revenue, increase our expenses, damage our reputation and adversely affect our cash flows and stock price</w:t>
      </w:r>
      <w:r>
        <w:rPr>
          <w:sz w:val="20"/>
          <w:szCs w:val="20"/>
        </w:rPr>
        <w:t>.</w:t>
      </w:r>
    </w:p>
    <w:p w:rsidR="00000000" w:rsidRDefault="00211603">
      <w:pPr>
        <w:pStyle w:val="a3"/>
        <w:spacing w:before="200" w:beforeAutospacing="0" w:after="0" w:afterAutospacing="0"/>
        <w:rPr>
          <w:sz w:val="20"/>
          <w:szCs w:val="20"/>
        </w:rPr>
      </w:pPr>
      <w:r>
        <w:rPr>
          <w:b/>
          <w:bCs/>
          <w:i/>
          <w:iCs/>
          <w:sz w:val="20"/>
          <w:szCs w:val="20"/>
        </w:rPr>
        <w:t>We are dependent on the continued availability of third-party data hosting and transmission services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A significant portion of our operating cost is from our third-party data hosting and transmission services, including Amazon Web Services (“AWS”), which h</w:t>
      </w:r>
      <w:r>
        <w:rPr>
          <w:sz w:val="20"/>
          <w:szCs w:val="20"/>
        </w:rPr>
        <w:t>osts the substantial majority of our products and platform. If the costs for such services increase due to vendor consolidation, regulation, contract renegotiation, or otherwise, we may not be able to increase the fees for our CRM Platform or services to c</w:t>
      </w:r>
      <w:r>
        <w:rPr>
          <w:sz w:val="20"/>
          <w:szCs w:val="20"/>
        </w:rPr>
        <w:t>over the changes, which could have a negative impact on our operating results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Additionally, our customers need to be able to access our platform at any time, without interruption or degradation of performance. AWS runs its own platform that we access, an</w:t>
      </w:r>
      <w:r>
        <w:rPr>
          <w:sz w:val="20"/>
          <w:szCs w:val="20"/>
        </w:rPr>
        <w:t>d we are, therefore, vulnerable to service interruptions at AWS. We have experienced, and expect that in the future we may experience interruptions, delays and outages in service and availability due to a variety of factors, including infrastructure change</w:t>
      </w:r>
      <w:r>
        <w:rPr>
          <w:sz w:val="20"/>
          <w:szCs w:val="20"/>
        </w:rPr>
        <w:t>s, human or software errors, website hosting disruptions and capacity constraints. In some instances, including because we do not control our service providers, we may not be able to identify the cause or causes of these problems within a period of time ac</w:t>
      </w:r>
      <w:r>
        <w:rPr>
          <w:sz w:val="20"/>
          <w:szCs w:val="20"/>
        </w:rPr>
        <w:t>ceptable to our customers. Additionally, as our business continues to grow, to the extent that we do not effectively address capacity constraints, through our providers of cloud infrastructure, our results of operations may be adversely affected. In additi</w:t>
      </w:r>
      <w:r>
        <w:rPr>
          <w:sz w:val="20"/>
          <w:szCs w:val="20"/>
        </w:rPr>
        <w:t>on, any changes in service levels from our service providers may adversely affect our ability to meet our customers’ requirements, result in negative publicity which could harm our reputation and brand and may adversely affect the usage of our platform</w:t>
      </w:r>
      <w:r>
        <w:rPr>
          <w:sz w:val="20"/>
          <w:szCs w:val="20"/>
        </w:rPr>
        <w:t>.</w:t>
      </w:r>
    </w:p>
    <w:p w:rsidR="00000000" w:rsidRDefault="00211603">
      <w:pPr>
        <w:pStyle w:val="a3"/>
        <w:spacing w:before="200" w:beforeAutospacing="0" w:after="0" w:afterAutospacing="0"/>
        <w:rPr>
          <w:sz w:val="20"/>
          <w:szCs w:val="20"/>
        </w:rPr>
      </w:pPr>
      <w:r>
        <w:rPr>
          <w:b/>
          <w:bCs/>
          <w:i/>
          <w:iCs/>
          <w:sz w:val="20"/>
          <w:szCs w:val="20"/>
        </w:rPr>
        <w:t>If</w:t>
      </w:r>
      <w:r>
        <w:rPr>
          <w:b/>
          <w:bCs/>
          <w:i/>
          <w:iCs/>
          <w:sz w:val="20"/>
          <w:szCs w:val="20"/>
        </w:rPr>
        <w:t xml:space="preserve"> we do not or cannot maintain the compatibility of our CRM Platform with third-party applications that our customers use in their businesses, our revenue will decline</w:t>
      </w:r>
      <w:r>
        <w:rPr>
          <w:b/>
          <w:bCs/>
          <w:i/>
          <w:iCs/>
          <w:sz w:val="20"/>
          <w:szCs w:val="20"/>
        </w:rPr>
        <w:t>.</w:t>
      </w:r>
    </w:p>
    <w:p w:rsidR="00000000" w:rsidRDefault="00211603">
      <w:pPr>
        <w:pStyle w:val="a3"/>
        <w:spacing w:before="240" w:beforeAutospacing="0" w:after="0" w:afterAutospacing="0"/>
        <w:jc w:val="center"/>
        <w:rPr>
          <w:sz w:val="20"/>
          <w:szCs w:val="20"/>
        </w:rPr>
      </w:pPr>
      <w:r>
        <w:rPr>
          <w:sz w:val="20"/>
          <w:szCs w:val="20"/>
        </w:rPr>
        <w:t>3</w:t>
      </w:r>
      <w:r>
        <w:rPr>
          <w:sz w:val="20"/>
          <w:szCs w:val="20"/>
        </w:rPr>
        <w:t>9</w:t>
      </w:r>
    </w:p>
    <w:p w:rsidR="00000000" w:rsidRDefault="00211603">
      <w:pPr>
        <w:rPr>
          <w:rFonts w:eastAsia="Times New Roman"/>
        </w:rPr>
      </w:pPr>
      <w:r>
        <w:rPr>
          <w:rFonts w:eastAsia="Times New Roman"/>
        </w:rPr>
        <w:pict>
          <v:rect id="_x0000_i1063"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ind w:firstLine="555"/>
        <w:rPr>
          <w:sz w:val="20"/>
          <w:szCs w:val="20"/>
        </w:rPr>
      </w:pPr>
      <w:r>
        <w:rPr>
          <w:sz w:val="20"/>
          <w:szCs w:val="20"/>
        </w:rPr>
        <w:t>A significant percentage of our customers choo</w:t>
      </w:r>
      <w:r>
        <w:rPr>
          <w:sz w:val="20"/>
          <w:szCs w:val="20"/>
        </w:rPr>
        <w:t>se to integrate our platform with certain capabilities provided by third-party application providers using application programming interfaces (“APIs”) published by these providers. The functionality and popularity of our CRM Platform depends, in part, on o</w:t>
      </w:r>
      <w:r>
        <w:rPr>
          <w:sz w:val="20"/>
          <w:szCs w:val="20"/>
        </w:rPr>
        <w:t>ur ability to integrate our platform with third-party applications and platforms, including CRM, CMS, e-commerce, call center, analytics and social media sites that our customers use and from which they obtain data. Third-party providers of applications an</w:t>
      </w:r>
      <w:r>
        <w:rPr>
          <w:sz w:val="20"/>
          <w:szCs w:val="20"/>
        </w:rPr>
        <w:t>d APIs may change the features of their applications and platforms, restrict our access to their applications and platforms, or alter the terms governing use of their applications and APIs and access to those applications and platforms in an adverse manner</w:t>
      </w:r>
      <w:r>
        <w:rPr>
          <w:sz w:val="20"/>
          <w:szCs w:val="20"/>
        </w:rPr>
        <w:t>. Such changes could functionally limit or terminate our ability to use these third-party applications and platforms in conjunction with our platform, which could negatively impact our offerings and harm our business. If we fail to integrate our platform w</w:t>
      </w:r>
      <w:r>
        <w:rPr>
          <w:sz w:val="20"/>
          <w:szCs w:val="20"/>
        </w:rPr>
        <w:t xml:space="preserve">ith new third-party applications and platforms that our customers use for marketing, sales, services, operations or content management purposes, or fail to renew existing relationships pursuant to which we currently provide such integration, we may not be </w:t>
      </w:r>
      <w:r>
        <w:rPr>
          <w:sz w:val="20"/>
          <w:szCs w:val="20"/>
        </w:rPr>
        <w:t>able to offer the functionality that our customers need, which would negatively impact our ability to generate new revenue or maintain existing revenue and adversely impact our business</w:t>
      </w:r>
      <w:r>
        <w:rPr>
          <w:sz w:val="20"/>
          <w:szCs w:val="20"/>
        </w:rPr>
        <w:t>.</w:t>
      </w:r>
    </w:p>
    <w:p w:rsidR="00000000" w:rsidRDefault="00211603">
      <w:pPr>
        <w:pStyle w:val="a3"/>
        <w:spacing w:before="200" w:beforeAutospacing="0" w:after="0" w:afterAutospacing="0"/>
        <w:rPr>
          <w:sz w:val="20"/>
          <w:szCs w:val="20"/>
        </w:rPr>
      </w:pPr>
      <w:r>
        <w:rPr>
          <w:b/>
          <w:bCs/>
          <w:i/>
          <w:iCs/>
          <w:sz w:val="20"/>
          <w:szCs w:val="20"/>
        </w:rPr>
        <w:t>We rely on data provided by third parties, the loss of which could li</w:t>
      </w:r>
      <w:r>
        <w:rPr>
          <w:b/>
          <w:bCs/>
          <w:i/>
          <w:iCs/>
          <w:sz w:val="20"/>
          <w:szCs w:val="20"/>
        </w:rPr>
        <w:t>mit the functionality of our platform and disrupt our business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Select functionality of our CRM Platform depends on our ability to deliver data, including search engine results and social media updates, provided by unaffiliated third parties, such as Faceb</w:t>
      </w:r>
      <w:r>
        <w:rPr>
          <w:sz w:val="20"/>
          <w:szCs w:val="20"/>
        </w:rPr>
        <w:t xml:space="preserve">ook, Google, LinkedIn and Twitter. Some of this data is provided to us pursuant to third-party data sharing policies and terms of use, under data sharing agreements by third-party providers or by customer consent. In the future, any of these third parties </w:t>
      </w:r>
      <w:r>
        <w:rPr>
          <w:sz w:val="20"/>
          <w:szCs w:val="20"/>
        </w:rPr>
        <w:t>could change its data sharing policies, including making them more restrictive, or alter its algorithms that determine the placement, display, and accessibility of search results and social media updates, any of which could result in the loss of, or signif</w:t>
      </w:r>
      <w:r>
        <w:rPr>
          <w:sz w:val="20"/>
          <w:szCs w:val="20"/>
        </w:rPr>
        <w:t>icant impairment to, our ability to collect and provide useful data to our customers. These third parties could also interpret our, or our service providers’ data collection policies or practices as being inconsistent with their policies, which could resul</w:t>
      </w:r>
      <w:r>
        <w:rPr>
          <w:sz w:val="20"/>
          <w:szCs w:val="20"/>
        </w:rPr>
        <w:t>t in the loss of our ability to collect this data for our customers. Any such changes could impair our ability to deliver data to our customers and could adversely impact select functionality of our platform, impairing the return on investment that our cus</w:t>
      </w:r>
      <w:r>
        <w:rPr>
          <w:sz w:val="20"/>
          <w:szCs w:val="20"/>
        </w:rPr>
        <w:t>tomers derive from using our solution, as well as adversely affecting our business and our ability to generate revenue</w:t>
      </w:r>
      <w:r>
        <w:rPr>
          <w:sz w:val="20"/>
          <w:szCs w:val="20"/>
        </w:rPr>
        <w:t>.</w:t>
      </w:r>
    </w:p>
    <w:p w:rsidR="00000000" w:rsidRDefault="00211603">
      <w:pPr>
        <w:pStyle w:val="a3"/>
        <w:spacing w:before="200" w:beforeAutospacing="0" w:after="0" w:afterAutospacing="0"/>
        <w:rPr>
          <w:sz w:val="20"/>
          <w:szCs w:val="20"/>
        </w:rPr>
      </w:pPr>
      <w:r>
        <w:rPr>
          <w:b/>
          <w:bCs/>
          <w:i/>
          <w:iCs/>
          <w:sz w:val="20"/>
          <w:szCs w:val="20"/>
        </w:rPr>
        <w:t>Privacy concerns and end users’ acceptance of Internet behavior tracking may limit the applicability, use and adoption of our CRM Platfo</w:t>
      </w:r>
      <w:r>
        <w:rPr>
          <w:b/>
          <w:bCs/>
          <w:i/>
          <w:iCs/>
          <w:sz w:val="20"/>
          <w:szCs w:val="20"/>
        </w:rPr>
        <w:t>rm</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Privacy concerns may cause end users to resist providing the personal data necessary to allow our customers to use our platform effectively. We have implemented various features intended to enable our customers to better protect end user privacy, but t</w:t>
      </w:r>
      <w:r>
        <w:rPr>
          <w:sz w:val="20"/>
          <w:szCs w:val="20"/>
        </w:rPr>
        <w:t>hese measures may not alleviate all potential privacy concerns and threats. Even the perception of privacy concerns, whether or not valid, may inhibit market adoption of our platform, especially in certain industries that rely on sensitive personal data. P</w:t>
      </w:r>
      <w:r>
        <w:rPr>
          <w:sz w:val="20"/>
          <w:szCs w:val="20"/>
        </w:rPr>
        <w:t xml:space="preserve">rivacy advocacy groups and the technology and other industries are considering various new, additional or different self-regulatory standards that may place additional burdens on us. The costs of compliance with, and other burdens imposed by these groups’ </w:t>
      </w:r>
      <w:r>
        <w:rPr>
          <w:sz w:val="20"/>
          <w:szCs w:val="20"/>
        </w:rPr>
        <w:t>policies and actions may limit the use and adoption of our CRM Platform and reduce overall demand for it, or lead to significant fines, penalties or liabilities for any noncompliance or loss of any such action</w:t>
      </w:r>
      <w:r>
        <w:rPr>
          <w:sz w:val="20"/>
          <w:szCs w:val="20"/>
        </w:rPr>
        <w:t>.</w:t>
      </w:r>
    </w:p>
    <w:p w:rsidR="00000000" w:rsidRDefault="00211603">
      <w:pPr>
        <w:pStyle w:val="a3"/>
        <w:spacing w:before="200" w:beforeAutospacing="0" w:after="0" w:afterAutospacing="0"/>
        <w:rPr>
          <w:sz w:val="20"/>
          <w:szCs w:val="20"/>
        </w:rPr>
      </w:pPr>
      <w:r>
        <w:rPr>
          <w:b/>
          <w:bCs/>
          <w:i/>
          <w:iCs/>
          <w:sz w:val="20"/>
          <w:szCs w:val="20"/>
        </w:rPr>
        <w:t>If our or our customers’ security measures ar</w:t>
      </w:r>
      <w:r>
        <w:rPr>
          <w:b/>
          <w:bCs/>
          <w:i/>
          <w:iCs/>
          <w:sz w:val="20"/>
          <w:szCs w:val="20"/>
        </w:rPr>
        <w:t>e compromised or unauthorized access to data of our customers or their customers is otherwise obtained, our CRM Platform may be perceived as not being secure, our customers may be harmed and may curtail or cease their use of our platform, our reputation ma</w:t>
      </w:r>
      <w:r>
        <w:rPr>
          <w:b/>
          <w:bCs/>
          <w:i/>
          <w:iCs/>
          <w:sz w:val="20"/>
          <w:szCs w:val="20"/>
        </w:rPr>
        <w:t>y be damaged and we may incur significant liabilities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operations involve the storage and transmission of data of our customers and their customers, including personal data. Our storage is typically the sole source of record for portions of our custome</w:t>
      </w:r>
      <w:r>
        <w:rPr>
          <w:sz w:val="20"/>
          <w:szCs w:val="20"/>
        </w:rPr>
        <w:t>rs’ businesses and end user data, such as initial contact information and online interactions. Security incidents could result in unauthorized access to, loss of or unauthorized disclosure of this information, litigation, indemnity obligations and other po</w:t>
      </w:r>
      <w:r>
        <w:rPr>
          <w:sz w:val="20"/>
          <w:szCs w:val="20"/>
        </w:rPr>
        <w:t>ssible liabilities, as well as negative publicity, which could damage our reputation, impair our sales and harm our customers and our business. Cyber-attacks and other malicious Internet-based activity continue to increase generally, and cloud-based platfo</w:t>
      </w:r>
      <w:r>
        <w:rPr>
          <w:sz w:val="20"/>
          <w:szCs w:val="20"/>
        </w:rPr>
        <w:t>rm providers of marketing services have been targeted. If our security measures, or those of our service providers, are compromised as a result of third-party action, employee or customer error, malfeasance, stolen or fraudulently obtained log-in credentia</w:t>
      </w:r>
      <w:r>
        <w:rPr>
          <w:sz w:val="20"/>
          <w:szCs w:val="20"/>
        </w:rPr>
        <w:t>ls or otherwise, our reputation could be damaged, our business may be harmed and we could incur significant liability. Additionally, if third parties with whom we work, such as vendors or developers, violate applicable laws, our security policies or our ac</w:t>
      </w:r>
      <w:r>
        <w:rPr>
          <w:sz w:val="20"/>
          <w:szCs w:val="20"/>
        </w:rPr>
        <w:t>ceptable use policy, such violations may also put our customers’ information at risk and could in turn have an adverse effect on our business. In addition, if the security measures of our customers or our service providers are compromised, even without any</w:t>
      </w:r>
      <w:r>
        <w:rPr>
          <w:sz w:val="20"/>
          <w:szCs w:val="20"/>
        </w:rPr>
        <w:t xml:space="preserve"> actual compromise of our own systems, we may face negative publicity or reputational harm if our customers or anyone else incorrectly attributes the blame for such security breaches to us or our systems. We may be unable to anticipate or prevent technique</w:t>
      </w:r>
      <w:r>
        <w:rPr>
          <w:sz w:val="20"/>
          <w:szCs w:val="20"/>
        </w:rPr>
        <w:t xml:space="preserve">s used to obtain unauthorized access or to sabotage systems because they change frequently and generally are not detected until after an incident has occurred. As we increase our customer base and our brand becomes more widely known and recognized, we may </w:t>
      </w:r>
      <w:r>
        <w:rPr>
          <w:sz w:val="20"/>
          <w:szCs w:val="20"/>
        </w:rPr>
        <w:t>become more of a target for third parties seeking to compromise our security systems or gain unauthorized access to our customers’ data. Additionally, we provide extensive access to our database, which stores our customer data, to our development team to f</w:t>
      </w:r>
      <w:r>
        <w:rPr>
          <w:sz w:val="20"/>
          <w:szCs w:val="20"/>
        </w:rPr>
        <w:t>acilitate our rapid pace of product development. If such access or our own operations cause the loss, damage or destruction of our customers’ business data, their sales, lead generation, support and other business operations may b</w:t>
      </w:r>
      <w:r>
        <w:rPr>
          <w:sz w:val="20"/>
          <w:szCs w:val="20"/>
        </w:rPr>
        <w:t>e</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0</w:t>
      </w:r>
    </w:p>
    <w:p w:rsidR="00000000" w:rsidRDefault="00211603">
      <w:pPr>
        <w:rPr>
          <w:rFonts w:eastAsia="Times New Roman"/>
        </w:rPr>
      </w:pPr>
      <w:r>
        <w:rPr>
          <w:rFonts w:eastAsia="Times New Roman"/>
        </w:rPr>
        <w:pict>
          <v:rect id="_x0000_i1064"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permanently harmed. As a result, our customers may bring claims against us for lost profits and other damages, or such concerns may cause us to limit access by our development team</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Cyber-attacks, denial-of-service attacks, ransomware attacks, business em</w:t>
      </w:r>
      <w:r>
        <w:rPr>
          <w:sz w:val="20"/>
          <w:szCs w:val="20"/>
        </w:rPr>
        <w:t xml:space="preserve">ail compromises, computer malware, viruses, and social engineering (including phishing) are prevalent in our industry, the industries of certain of our service providers and our customers' industries. Our internal computer systems and those of our current </w:t>
      </w:r>
      <w:r>
        <w:rPr>
          <w:sz w:val="20"/>
          <w:szCs w:val="20"/>
        </w:rPr>
        <w:t>and any future strategic collaborators, vendors, and other contractors or consultants are vulnerable to damage from cyber-attacks, computer viruses, unauthorized access, natural disasters, cybersecurity threats, terrorism, war and telecommunication and ele</w:t>
      </w:r>
      <w:r>
        <w:rPr>
          <w:sz w:val="20"/>
          <w:szCs w:val="20"/>
        </w:rPr>
        <w:t>ctrical failures. Accordingly, if our cybersecurity measures or those of our service providers fail to protect against unauthorized access, attacks (which may include sophisticated cyberattacks), compromise or the mishandling of data by our employees and c</w:t>
      </w:r>
      <w:r>
        <w:rPr>
          <w:sz w:val="20"/>
          <w:szCs w:val="20"/>
        </w:rPr>
        <w:t>ontractors, then our reputation, customer trust, business, results of operations and financial condition could be adversely affected. Cyber incidents have been increasing in sophistication and frequency and can include third parties gaining access to emplo</w:t>
      </w:r>
      <w:r>
        <w:rPr>
          <w:sz w:val="20"/>
          <w:szCs w:val="20"/>
        </w:rPr>
        <w:t>yee or customer data using stolen or inferred credentials, computer malware, viruses, spamming, phishing attacks, ransomware, card skimming code, and other deliberate attacks and attempts to gain unauthorized access. The techniques used to sabotage or to o</w:t>
      </w:r>
      <w:r>
        <w:rPr>
          <w:sz w:val="20"/>
          <w:szCs w:val="20"/>
        </w:rPr>
        <w:t xml:space="preserve">btain unauthorized access to our platform, systems, networks, or physical facilities in which data is stored or through which data is transmitted change frequently, and we may be unable to implement adequate preventative measures or stop security breaches </w:t>
      </w:r>
      <w:r>
        <w:rPr>
          <w:sz w:val="20"/>
          <w:szCs w:val="20"/>
        </w:rPr>
        <w:t>while they are occurring. Because the techniques used by threat actors who may attempt to penetrate and sabotage our computer systems change frequently and may not be recognized until launched against a target, we may be unable to anticipate these techniqu</w:t>
      </w:r>
      <w:r>
        <w:rPr>
          <w:sz w:val="20"/>
          <w:szCs w:val="20"/>
        </w:rPr>
        <w:t>es. Additionally, during the ongoing pandemic, and potentially beyond as remote work and resource access expand, there is an increased risk that we may experience cybersecurity-related events such as COVID-19 themed phishing attacks, exploitation of any cy</w:t>
      </w:r>
      <w:r>
        <w:rPr>
          <w:sz w:val="20"/>
          <w:szCs w:val="20"/>
        </w:rPr>
        <w:t>bersecurity flaws that may exist, an increase in the number of cybersecurity threats or attacks, and other security challenges as a result of most of our employees and our service providers continuing to work remotely from non-corporate managed networks. W</w:t>
      </w:r>
      <w:r>
        <w:rPr>
          <w:sz w:val="20"/>
          <w:szCs w:val="20"/>
        </w:rPr>
        <w:t>e have previously been, and may in the future become, the target of cyber-attacks by third parties seeking unauthorized access to our or our customers' data or to disrupt our operations or ability to provide our services</w:t>
      </w:r>
      <w:r>
        <w:rPr>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Additionally, it is also possible </w:t>
      </w:r>
      <w:r>
        <w:rPr>
          <w:sz w:val="20"/>
          <w:szCs w:val="20"/>
        </w:rPr>
        <w:t>that unauthorized access to sensitive customer and business data may be obtained through inadequate use of security controls by our customers, suppliers or other vendors. While we are not currently aware of any material impact that the SolarWinds, Log4j, K</w:t>
      </w:r>
      <w:r>
        <w:rPr>
          <w:sz w:val="20"/>
          <w:szCs w:val="20"/>
        </w:rPr>
        <w:t>aseya, or other recent supply chain attacks had on our business, new information on the scope of such attacks is continuing to emerge and there is a residual risk that we may experience a security breach arising from one of these, or a similar, supply chai</w:t>
      </w:r>
      <w:r>
        <w:rPr>
          <w:sz w:val="20"/>
          <w:szCs w:val="20"/>
        </w:rPr>
        <w:t>n attack in the future. Supply chain attacks are becoming increasingly common, and we may not be able to anticipate and prevent negative impacts from such an attack. If we are impacted by a supply chain attack, we could incur liability, our competitive pos</w:t>
      </w:r>
      <w:r>
        <w:rPr>
          <w:sz w:val="20"/>
          <w:szCs w:val="20"/>
        </w:rPr>
        <w:t>ition could be harmed and the further development and commercialization of our product and services could be hindered or delayed</w:t>
      </w:r>
      <w:r>
        <w:rPr>
          <w:sz w:val="20"/>
          <w:szCs w:val="20"/>
        </w:rPr>
        <w:t>.</w:t>
      </w:r>
    </w:p>
    <w:p w:rsidR="00000000" w:rsidRDefault="00211603">
      <w:pPr>
        <w:pStyle w:val="a3"/>
        <w:spacing w:before="200" w:beforeAutospacing="0" w:after="0" w:afterAutospacing="0"/>
        <w:ind w:firstLine="555"/>
        <w:rPr>
          <w:sz w:val="20"/>
          <w:szCs w:val="20"/>
        </w:rPr>
      </w:pPr>
      <w:r>
        <w:rPr>
          <w:sz w:val="20"/>
          <w:szCs w:val="20"/>
        </w:rPr>
        <w:t>Recent high-profile security breaches and related disclosures of sensitive data by large institutions suggest that the risk of</w:t>
      </w:r>
      <w:r>
        <w:rPr>
          <w:sz w:val="20"/>
          <w:szCs w:val="20"/>
        </w:rPr>
        <w:t xml:space="preserve"> such events is significant, even if privacy protection and security measures are implemented and enforced. If we were to experience a cyber-attack and suffer interruptions in our operations, it could result in a material disruption of our development prog</w:t>
      </w:r>
      <w:r>
        <w:rPr>
          <w:sz w:val="20"/>
          <w:szCs w:val="20"/>
        </w:rPr>
        <w:t>rams and our business operations, whether due to a loss of our trade secrets or other proprietary information or other disruptions. These cyber-attacks could be carried out by threat actors of all types (including but not limited to nation states, organize</w:t>
      </w:r>
      <w:r>
        <w:rPr>
          <w:sz w:val="20"/>
          <w:szCs w:val="20"/>
        </w:rPr>
        <w:t>d crime, other criminal enterprises, individual actors and/or advanced persistent threat groups). In addition, we may experience intrusions on our physical premises by any of these threat actors. To the extent that any disruption or security breach were to</w:t>
      </w:r>
      <w:r>
        <w:rPr>
          <w:sz w:val="20"/>
          <w:szCs w:val="20"/>
        </w:rPr>
        <w:t xml:space="preserve"> result in a loss of, or damage to, our data or applications, or inappropriate disclosure of confidential or proprietary information, we could incur liability, incur significant costs associated with remediation and the implementation of additional securit</w:t>
      </w:r>
      <w:r>
        <w:rPr>
          <w:sz w:val="20"/>
          <w:szCs w:val="20"/>
        </w:rPr>
        <w:t>y measures, including costs to deploy additional personnel and protection technologies, train employees, and engage third-party experts and consultants, and our competitive position could be harmed. Any breach, loss, or compromise of personal data may also</w:t>
      </w:r>
      <w:r>
        <w:rPr>
          <w:sz w:val="20"/>
          <w:szCs w:val="20"/>
        </w:rPr>
        <w:t xml:space="preserve"> subject us to civil fines and penalties, or claims for damages either under the General Data Protection Regulation (the “GDPR”) and relevant member state law in the European Union, other foreign laws, and other relevant state and federal privacy laws in t</w:t>
      </w:r>
      <w:r>
        <w:rPr>
          <w:sz w:val="20"/>
          <w:szCs w:val="20"/>
        </w:rPr>
        <w:t>he United States</w:t>
      </w:r>
      <w:r>
        <w:rPr>
          <w:sz w:val="20"/>
          <w:szCs w:val="20"/>
        </w:rPr>
        <w:t>.</w:t>
      </w:r>
    </w:p>
    <w:p w:rsidR="00000000" w:rsidRDefault="00211603">
      <w:pPr>
        <w:pStyle w:val="a3"/>
        <w:spacing w:before="200" w:beforeAutospacing="0" w:after="0" w:afterAutospacing="0"/>
        <w:ind w:firstLine="555"/>
        <w:rPr>
          <w:sz w:val="20"/>
          <w:szCs w:val="20"/>
        </w:rPr>
      </w:pPr>
      <w:r>
        <w:rPr>
          <w:sz w:val="20"/>
          <w:szCs w:val="20"/>
        </w:rPr>
        <w:t>Many governments have enacted laws requiring companies to notify individuals of data security incidents or unauthorized transfers involving certain types of personal data. In addition, the data processing agreements we execute with our cu</w:t>
      </w:r>
      <w:r>
        <w:rPr>
          <w:sz w:val="20"/>
          <w:szCs w:val="20"/>
        </w:rPr>
        <w:t>stomers contractually requires us to notify them of any personal data breach. Under payment card network rules and our contracts with our payment processors, if there is a breach of payment card information that we store, or that is stored by our direct pa</w:t>
      </w:r>
      <w:r>
        <w:rPr>
          <w:sz w:val="20"/>
          <w:szCs w:val="20"/>
        </w:rPr>
        <w:t>yment card processing vendors, we could be liable to the payment card issuing banks for their cost of issuing new cards and related expenses. Data breaches and other data security compromises experienced by our competitors, by our customers or by us may le</w:t>
      </w:r>
      <w:r>
        <w:rPr>
          <w:sz w:val="20"/>
          <w:szCs w:val="20"/>
        </w:rPr>
        <w:t xml:space="preserve">ad to public disclosures, which may lead to widespread negative publicity. Any security compromise in our industry, whether actual or perceived, could harm our reputation, erode customer confidence in the effectiveness of our security measures, negatively </w:t>
      </w:r>
      <w:r>
        <w:rPr>
          <w:sz w:val="20"/>
          <w:szCs w:val="20"/>
        </w:rPr>
        <w:t>impact our ability to attract new customers, cause existing customers to elect not to renew their subscriptions or subject us to third-party lawsuits, regulatory fines or other action or liability, which could materially and adversely affect our business a</w:t>
      </w:r>
      <w:r>
        <w:rPr>
          <w:sz w:val="20"/>
          <w:szCs w:val="20"/>
        </w:rPr>
        <w:t>nd operating results</w:t>
      </w:r>
      <w:r>
        <w:rPr>
          <w:sz w:val="20"/>
          <w:szCs w:val="20"/>
        </w:rPr>
        <w:t>.</w:t>
      </w:r>
    </w:p>
    <w:p w:rsidR="00000000" w:rsidRDefault="00211603">
      <w:pPr>
        <w:pStyle w:val="a3"/>
        <w:spacing w:before="200" w:beforeAutospacing="0" w:after="0" w:afterAutospacing="0"/>
        <w:ind w:firstLine="555"/>
        <w:rPr>
          <w:sz w:val="20"/>
          <w:szCs w:val="20"/>
        </w:rPr>
      </w:pPr>
      <w:r>
        <w:rPr>
          <w:sz w:val="20"/>
          <w:szCs w:val="20"/>
        </w:rPr>
        <w:t>There can be no assurance that any limitations of liability provisions in our contracts for a security breach would be enforceable or adequate or would otherwise protect us from any such liabilities or damages with respect to any part</w:t>
      </w:r>
      <w:r>
        <w:rPr>
          <w:sz w:val="20"/>
          <w:szCs w:val="20"/>
        </w:rPr>
        <w:t>icular claim. We also cannot be sure that our existing general liability insurance coverage and coverage for errors or omissions will continue to be available on acceptable terms or will be available in sufficient amounts to cover one or more large claims,</w:t>
      </w:r>
      <w:r>
        <w:rPr>
          <w:sz w:val="20"/>
          <w:szCs w:val="20"/>
        </w:rPr>
        <w:t xml:space="preserve"> or that the insurer will not deny coverag</w:t>
      </w:r>
      <w:r>
        <w:rPr>
          <w:sz w:val="20"/>
          <w:szCs w:val="20"/>
        </w:rPr>
        <w:t>e</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1</w:t>
      </w:r>
    </w:p>
    <w:p w:rsidR="00000000" w:rsidRDefault="00211603">
      <w:pPr>
        <w:rPr>
          <w:rFonts w:eastAsia="Times New Roman"/>
        </w:rPr>
      </w:pPr>
      <w:r>
        <w:rPr>
          <w:rFonts w:eastAsia="Times New Roman"/>
        </w:rPr>
        <w:pict>
          <v:rect id="_x0000_i1065"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as to any future claim. The successful assertion of one or more large claims against us that exceed available insurance coverage, or the occurrence of changes in our insurance policies, including premium increases or t</w:t>
      </w:r>
      <w:r>
        <w:rPr>
          <w:sz w:val="20"/>
          <w:szCs w:val="20"/>
        </w:rPr>
        <w:t>he imposition of large deductible or co-insurance requirements, could have a material adverse effect on our business, financial condition and operating results</w:t>
      </w:r>
      <w:r>
        <w:rPr>
          <w:sz w:val="20"/>
          <w:szCs w:val="20"/>
        </w:rPr>
        <w:t>.</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Intellectual Propert</w:t>
      </w:r>
      <w:r>
        <w:rPr>
          <w:b/>
          <w:bCs/>
          <w:sz w:val="20"/>
          <w:szCs w:val="20"/>
        </w:rPr>
        <w:t>y</w:t>
      </w:r>
    </w:p>
    <w:p w:rsidR="00000000" w:rsidRDefault="00211603">
      <w:pPr>
        <w:pStyle w:val="a3"/>
        <w:spacing w:before="200" w:beforeAutospacing="0" w:after="0" w:afterAutospacing="0"/>
        <w:rPr>
          <w:sz w:val="20"/>
          <w:szCs w:val="20"/>
        </w:rPr>
      </w:pPr>
      <w:r>
        <w:rPr>
          <w:b/>
          <w:bCs/>
          <w:i/>
          <w:iCs/>
          <w:sz w:val="20"/>
          <w:szCs w:val="20"/>
        </w:rPr>
        <w:t>Our business may suffer if it is alleged or determined</w:t>
      </w:r>
      <w:r>
        <w:rPr>
          <w:b/>
          <w:bCs/>
          <w:i/>
          <w:iCs/>
          <w:sz w:val="20"/>
          <w:szCs w:val="20"/>
        </w:rPr>
        <w:t xml:space="preserve"> that our technology infringes the intellectual property rights of others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The software industry is characterized by the existence of a large number of patents, copyrights, trademarks, trade secrets and other intellectual and proprietary rights. Companies </w:t>
      </w:r>
      <w:r>
        <w:rPr>
          <w:sz w:val="20"/>
          <w:szCs w:val="20"/>
        </w:rPr>
        <w:t>in the software industry, including those in marketing software, are often required to defend against litigation claims based on allegations of infringement or other violations of intellectual property rights. Many of our competitors and other industry par</w:t>
      </w:r>
      <w:r>
        <w:rPr>
          <w:sz w:val="20"/>
          <w:szCs w:val="20"/>
        </w:rPr>
        <w:t xml:space="preserve">ticipants have been issued patents and/or have filed patent applications and may assert patent or other intellectual property rights within the industry. Moreover, in recent years, individuals and groups that are non-practicing entities, commonly referred </w:t>
      </w:r>
      <w:r>
        <w:rPr>
          <w:sz w:val="20"/>
          <w:szCs w:val="20"/>
        </w:rPr>
        <w:t>to as “patent trolls,” have purchased patents and other intellectual property assets for the purpose of making claims of infringement in order to extract settlements. From time to time, we may receive threatening letters or notices or may be the subject of</w:t>
      </w:r>
      <w:r>
        <w:rPr>
          <w:sz w:val="20"/>
          <w:szCs w:val="20"/>
        </w:rPr>
        <w:t xml:space="preserve"> claims that our services and/or platform and underlying technology infringe or violate the intellectual property rights of others. Responding to such claims, regardless of their merit, can be time consuming, costly to defend in litigation, divert manageme</w:t>
      </w:r>
      <w:r>
        <w:rPr>
          <w:sz w:val="20"/>
          <w:szCs w:val="20"/>
        </w:rPr>
        <w:t>nt’s attention and resources, damage our reputation and brand and cause us to incur significant expenses. Our technologies may not be able to withstand any third-party claims or rights against their use. Claims of intellectual property infringement might r</w:t>
      </w:r>
      <w:r>
        <w:rPr>
          <w:sz w:val="20"/>
          <w:szCs w:val="20"/>
        </w:rPr>
        <w:t>equire us to redesign our application, delay releases, enter into costly settlement or license agreements or pay costly damage awards, or face a temporary or permanent injunction prohibiting us from marketing or selling our platform. If we cannot or do not</w:t>
      </w:r>
      <w:r>
        <w:rPr>
          <w:sz w:val="20"/>
          <w:szCs w:val="20"/>
        </w:rPr>
        <w:t xml:space="preserve"> license the infringed technology on reasonable terms or at all, or substitute similar technology from another source, our revenue and operating results could be adversely impacted. Additionally, our customers may not purchase our CRM Platform if they are </w:t>
      </w:r>
      <w:r>
        <w:rPr>
          <w:sz w:val="20"/>
          <w:szCs w:val="20"/>
        </w:rPr>
        <w:t>concerned that they may infringe third-party intellectual property rights. The occurrence of any of these events may have a material adverse effect on our business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In our subscription agreements with our customers, we generally do not agree to indemnify </w:t>
      </w:r>
      <w:r>
        <w:rPr>
          <w:sz w:val="20"/>
          <w:szCs w:val="20"/>
        </w:rPr>
        <w:t>our customers against any losses or costs incurred in connection with claims by a third party alleging that a customer’s use of our services or platform infringes the intellectual property rights of the third party. There can be no assurance, however, that</w:t>
      </w:r>
      <w:r>
        <w:rPr>
          <w:sz w:val="20"/>
          <w:szCs w:val="20"/>
        </w:rPr>
        <w:t xml:space="preserve"> customers will not assert a common law indemnity claim or that any existing limitations of liability provisions in our contracts would be enforceable or adequate, or would otherwise protect us from any such liabilities or damages with respect to any parti</w:t>
      </w:r>
      <w:r>
        <w:rPr>
          <w:sz w:val="20"/>
          <w:szCs w:val="20"/>
        </w:rPr>
        <w:t>cular claim. Our customers who are accused of intellectual property infringement may in the future seek indemnification from us under common law or other legal theories. If such claims are successful, or if we are required to indemnify or defend our custom</w:t>
      </w:r>
      <w:r>
        <w:rPr>
          <w:sz w:val="20"/>
          <w:szCs w:val="20"/>
        </w:rPr>
        <w:t>ers from these or other claims, these matters could be disruptive to our business and management and have a material adverse effect on our business, operating results and financial condition</w:t>
      </w:r>
      <w:r>
        <w:rPr>
          <w:sz w:val="20"/>
          <w:szCs w:val="20"/>
        </w:rPr>
        <w:t>.</w:t>
      </w:r>
    </w:p>
    <w:p w:rsidR="00000000" w:rsidRDefault="00211603">
      <w:pPr>
        <w:pStyle w:val="a3"/>
        <w:spacing w:before="200" w:beforeAutospacing="0" w:after="0" w:afterAutospacing="0"/>
        <w:rPr>
          <w:sz w:val="20"/>
          <w:szCs w:val="20"/>
        </w:rPr>
      </w:pPr>
      <w:r>
        <w:rPr>
          <w:b/>
          <w:bCs/>
          <w:i/>
          <w:iCs/>
          <w:sz w:val="20"/>
          <w:szCs w:val="20"/>
        </w:rPr>
        <w:t xml:space="preserve">If we fail to adequately protect our proprietary rights, in the </w:t>
      </w:r>
      <w:r>
        <w:rPr>
          <w:b/>
          <w:bCs/>
          <w:i/>
          <w:iCs/>
          <w:sz w:val="20"/>
          <w:szCs w:val="20"/>
        </w:rPr>
        <w:t>United States and abroad, our competitive position could be impaired and we may lose valuable assets, experience reduced revenue and incur costly litigation to protect our rights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success is dependent, in part, upon protecting our proprietary technolog</w:t>
      </w:r>
      <w:r>
        <w:rPr>
          <w:sz w:val="20"/>
          <w:szCs w:val="20"/>
        </w:rPr>
        <w:t>y. We rely on a combination of copyrights, trademarks, service marks, trade secret laws and contractual restrictions to establish and protect our proprietary rights in our products and services. However, the steps we take to protect our intellectual proper</w:t>
      </w:r>
      <w:r>
        <w:rPr>
          <w:sz w:val="20"/>
          <w:szCs w:val="20"/>
        </w:rPr>
        <w:t>ty may be inadequate. We will not be able to protect our intellectual property if we are unable to enforce our rights or if we do not detect unauthorized use of our intellectual property. Any of our trademarks or other intellectual property rights may be c</w:t>
      </w:r>
      <w:r>
        <w:rPr>
          <w:sz w:val="20"/>
          <w:szCs w:val="20"/>
        </w:rPr>
        <w:t>hallenged by others or invalidated through administrative process or litigation. Furthermore, legal standards relating to the validity, enforceability and scope of protection of intellectual property rights are uncertain. Despite our precautions, it may be</w:t>
      </w:r>
      <w:r>
        <w:rPr>
          <w:sz w:val="20"/>
          <w:szCs w:val="20"/>
        </w:rPr>
        <w:t xml:space="preserve"> possible for unauthorized third parties to copy our technology and use information that we regard as proprietary to create products and services that compete with ours. Some license provisions protecting against unauthorized use, copying, transfer and dis</w:t>
      </w:r>
      <w:r>
        <w:rPr>
          <w:sz w:val="20"/>
          <w:szCs w:val="20"/>
        </w:rPr>
        <w:t>closure of our offerings may be unenforceable under the laws of certain jurisdictions and foreign countries. In addition, the laws of some countries do not protect proprietary rights to the same extent as the laws of the United States. To the extent we exp</w:t>
      </w:r>
      <w:r>
        <w:rPr>
          <w:sz w:val="20"/>
          <w:szCs w:val="20"/>
        </w:rPr>
        <w:t>and our international activities, our exposure to unauthorized copying and use of our technology and proprietary information may increase</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We enter into confidentiality and invention assignment agreements with our employees and consultants and enter into </w:t>
      </w:r>
      <w:r>
        <w:rPr>
          <w:sz w:val="20"/>
          <w:szCs w:val="20"/>
        </w:rPr>
        <w:t>confidentiality agreements with the parties with whom we have strategic relationships and business alliances. No assurance can be given that these agreements will be effective in controlling access to and distribution of our products and proprietary inform</w:t>
      </w:r>
      <w:r>
        <w:rPr>
          <w:sz w:val="20"/>
          <w:szCs w:val="20"/>
        </w:rPr>
        <w:t>ation. Further, these agreements may not prevent our competitors from independently developing technologies that are substantially equivalent or superior to our platform and offerings</w:t>
      </w:r>
      <w:r>
        <w:rPr>
          <w:sz w:val="20"/>
          <w:szCs w:val="20"/>
        </w:rPr>
        <w:t>.</w:t>
      </w:r>
    </w:p>
    <w:p w:rsidR="00000000" w:rsidRDefault="00211603">
      <w:pPr>
        <w:pStyle w:val="a3"/>
        <w:spacing w:before="200" w:beforeAutospacing="0" w:after="0" w:afterAutospacing="0"/>
        <w:ind w:firstLine="555"/>
        <w:rPr>
          <w:sz w:val="20"/>
          <w:szCs w:val="20"/>
        </w:rPr>
      </w:pPr>
      <w:r>
        <w:rPr>
          <w:sz w:val="20"/>
          <w:szCs w:val="20"/>
        </w:rPr>
        <w:t>We may be required to spend significant resources to monitor and protec</w:t>
      </w:r>
      <w:r>
        <w:rPr>
          <w:sz w:val="20"/>
          <w:szCs w:val="20"/>
        </w:rPr>
        <w:t>t our intellectual property rights. Litigation may be necessary in the future to enforce our intellectual property rights and to protect our trade secrets. Such litigation could be costly, time consuming and distracting to management and could result in th</w:t>
      </w:r>
      <w:r>
        <w:rPr>
          <w:sz w:val="20"/>
          <w:szCs w:val="20"/>
        </w:rPr>
        <w:t>e immpairment or loss of portions of our intellectual property</w:t>
      </w:r>
      <w:r>
        <w:rPr>
          <w:sz w:val="20"/>
          <w:szCs w:val="20"/>
        </w:rPr>
        <w:t>.</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2</w:t>
      </w:r>
    </w:p>
    <w:p w:rsidR="00000000" w:rsidRDefault="00211603">
      <w:pPr>
        <w:rPr>
          <w:rFonts w:eastAsia="Times New Roman"/>
        </w:rPr>
      </w:pPr>
      <w:r>
        <w:rPr>
          <w:rFonts w:eastAsia="Times New Roman"/>
        </w:rPr>
        <w:pict>
          <v:rect id="_x0000_i1066"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Furthermore, our efforts to enforce our intellectual property rights may be met with defenses, counterclaims and countersuits attacking the validity a</w:t>
      </w:r>
      <w:r>
        <w:rPr>
          <w:sz w:val="20"/>
          <w:szCs w:val="20"/>
        </w:rPr>
        <w:t>nd enforceability of our intellectual property rights. Our inability to protect our proprietary technology against unauthorized copying or use, as well as any costly litigation, could delay further sales or the implementation of our platform and offerings,</w:t>
      </w:r>
      <w:r>
        <w:rPr>
          <w:sz w:val="20"/>
          <w:szCs w:val="20"/>
        </w:rPr>
        <w:t xml:space="preserve"> impair the functionality of our platform and offerings, delay introductions of new features or enhancements, result in our substituting inferior or more costly technologies into our platform and offerings, or injure our reputation</w:t>
      </w:r>
      <w:r>
        <w:rPr>
          <w:sz w:val="20"/>
          <w:szCs w:val="20"/>
        </w:rPr>
        <w:t>.</w:t>
      </w:r>
    </w:p>
    <w:p w:rsidR="00000000" w:rsidRDefault="00211603">
      <w:pPr>
        <w:pStyle w:val="a3"/>
        <w:spacing w:before="200" w:beforeAutospacing="0" w:after="0" w:afterAutospacing="0"/>
        <w:rPr>
          <w:sz w:val="20"/>
          <w:szCs w:val="20"/>
        </w:rPr>
      </w:pPr>
      <w:r>
        <w:rPr>
          <w:b/>
          <w:bCs/>
          <w:i/>
          <w:iCs/>
          <w:sz w:val="20"/>
          <w:szCs w:val="20"/>
        </w:rPr>
        <w:t>Our use of “open source</w:t>
      </w:r>
      <w:r>
        <w:rPr>
          <w:b/>
          <w:bCs/>
          <w:i/>
          <w:iCs/>
          <w:sz w:val="20"/>
          <w:szCs w:val="20"/>
        </w:rPr>
        <w:t>” software could negatively affect our ability to offer our platform and subject us to possible litigation</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A substantial portion of our cloud-based platform incorporates so-called “open source” software, and we may incorporate additional open source softw</w:t>
      </w:r>
      <w:r>
        <w:rPr>
          <w:sz w:val="20"/>
          <w:szCs w:val="20"/>
        </w:rPr>
        <w:t>are in the future. Open source software is generally freely accessible, usable and modifiable. Certain open source licenses may, in certain circumstances, require us to offer the components of our platform that incorporate the open source software for no c</w:t>
      </w:r>
      <w:r>
        <w:rPr>
          <w:sz w:val="20"/>
          <w:szCs w:val="20"/>
        </w:rPr>
        <w:t>ost, that we make available source code for modifications or derivative works we create based upon, incorporating or using the open source software and that we license such modifications or derivative works under the terms of the particular open source lic</w:t>
      </w:r>
      <w:r>
        <w:rPr>
          <w:sz w:val="20"/>
          <w:szCs w:val="20"/>
        </w:rPr>
        <w:t>ense. If an author or other third party that distributes open source software we use were to allege that we had not complied with the conditions of one or more of these licenses, we could be required to incur significant legal expenses defending against su</w:t>
      </w:r>
      <w:r>
        <w:rPr>
          <w:sz w:val="20"/>
          <w:szCs w:val="20"/>
        </w:rPr>
        <w:t>ch allegations and could be subject to significant damages, including being enjoined from the offering of the components of our platform that contained the open source software and being required to comply with the foregoing conditions, which could disrupt</w:t>
      </w:r>
      <w:r>
        <w:rPr>
          <w:sz w:val="20"/>
          <w:szCs w:val="20"/>
        </w:rPr>
        <w:t xml:space="preserve"> our ability to offer the affected software. We could also be subject to suits by parties claiming ownership of what we believe to be open source software. Litigation could be costly for us to defend, have a negative effect on our operating results and fin</w:t>
      </w:r>
      <w:r>
        <w:rPr>
          <w:sz w:val="20"/>
          <w:szCs w:val="20"/>
        </w:rPr>
        <w:t>ancial condition and require us to devote additional research and development resources to change our products</w:t>
      </w:r>
      <w:r>
        <w:rPr>
          <w:sz w:val="20"/>
          <w:szCs w:val="20"/>
        </w:rPr>
        <w:t>.</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Government Regulatio</w:t>
      </w:r>
      <w:r>
        <w:rPr>
          <w:b/>
          <w:bCs/>
          <w:sz w:val="20"/>
          <w:szCs w:val="20"/>
        </w:rPr>
        <w:t>n</w:t>
      </w:r>
      <w:r>
        <w:rPr>
          <w:b/>
          <w:bCs/>
          <w:sz w:val="20"/>
          <w:szCs w:val="20"/>
        </w:rPr>
        <w:t xml:space="preserve"> </w:t>
      </w:r>
    </w:p>
    <w:p w:rsidR="00000000" w:rsidRDefault="00211603">
      <w:pPr>
        <w:pStyle w:val="a3"/>
        <w:spacing w:before="200" w:beforeAutospacing="0" w:after="0" w:afterAutospacing="0"/>
        <w:rPr>
          <w:sz w:val="20"/>
          <w:szCs w:val="20"/>
        </w:rPr>
      </w:pPr>
      <w:r>
        <w:rPr>
          <w:b/>
          <w:bCs/>
          <w:i/>
          <w:iCs/>
          <w:sz w:val="20"/>
          <w:szCs w:val="20"/>
        </w:rPr>
        <w:t>We are subject to governmental regulation and other legal obligations, particularly related to privacy</w:t>
      </w:r>
      <w:r>
        <w:rPr>
          <w:b/>
          <w:bCs/>
          <w:i/>
          <w:iCs/>
          <w:sz w:val="20"/>
          <w:szCs w:val="20"/>
        </w:rPr>
        <w:t xml:space="preserve">, data protection and information security, and our actual or perceived failure to comply with such obligations could harm our business. Compliance with such laws could also impair our efforts to maintain and expand our customer base, and thereby decrease </w:t>
      </w:r>
      <w:r>
        <w:rPr>
          <w:b/>
          <w:bCs/>
          <w:i/>
          <w:iCs/>
          <w:sz w:val="20"/>
          <w:szCs w:val="20"/>
        </w:rPr>
        <w:t>our revenue</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Our handling of data is subject to a variety of laws and regulations, including regulation by various government agencies, including the U.S. Federal Trade Commission ("FTC"), and various state, local and foreign agencies. We collect personal </w:t>
      </w:r>
      <w:r>
        <w:rPr>
          <w:sz w:val="20"/>
          <w:szCs w:val="20"/>
        </w:rPr>
        <w:t>data and other data from our customers, prospects, and partners. We also handle personal data about our customers’ customers. We use this information to provide services to our customers, to support, expand and improve our business. We may also share custo</w:t>
      </w:r>
      <w:r>
        <w:rPr>
          <w:sz w:val="20"/>
          <w:szCs w:val="20"/>
        </w:rPr>
        <w:t>mers’ personal data with third parties as authorized by the customer or as described in our privacy policy</w:t>
      </w:r>
      <w:r>
        <w:rPr>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The U.S. federal and various state and foreign governments have adopted or proposed limitations on the collection, distribution, use and storage of </w:t>
      </w:r>
      <w:r>
        <w:rPr>
          <w:sz w:val="20"/>
          <w:szCs w:val="20"/>
        </w:rPr>
        <w:t>personal data of individuals. In the United States, the FTC and many state attorneys general are applying federal and state consumer protection laws to impose standards for the online collection, use and dissemination of personal data and other. However, t</w:t>
      </w:r>
      <w:r>
        <w:rPr>
          <w:sz w:val="20"/>
          <w:szCs w:val="20"/>
        </w:rPr>
        <w:t>hese obligations may be interpreted and applied in a manner that is inconsistent from one jurisdiction to another and may conflict with other requirements or our practices. Any failure or perceived failure by us to comply with privacy or security laws, pol</w:t>
      </w:r>
      <w:r>
        <w:rPr>
          <w:sz w:val="20"/>
          <w:szCs w:val="20"/>
        </w:rPr>
        <w:t>icies, legal obligations or industry standards or any security incident that results in the unauthorized, disclosure, release or transfer of personal data or other customer data may result in governmental enforcement actions, litigation, fines and penaltie</w:t>
      </w:r>
      <w:r>
        <w:rPr>
          <w:sz w:val="20"/>
          <w:szCs w:val="20"/>
        </w:rPr>
        <w:t>s and/or adverse publicity, and could cause our customers to lose trust in us, which could have an adverse effect on our reputation and business</w:t>
      </w:r>
      <w:r>
        <w:rPr>
          <w:sz w:val="20"/>
          <w:szCs w:val="20"/>
        </w:rPr>
        <w:t>.</w:t>
      </w:r>
    </w:p>
    <w:p w:rsidR="00000000" w:rsidRDefault="00211603">
      <w:pPr>
        <w:pStyle w:val="a3"/>
        <w:spacing w:before="200" w:beforeAutospacing="0" w:after="0" w:afterAutospacing="0"/>
        <w:ind w:firstLine="555"/>
        <w:rPr>
          <w:sz w:val="20"/>
          <w:szCs w:val="20"/>
        </w:rPr>
      </w:pPr>
      <w:r>
        <w:rPr>
          <w:sz w:val="20"/>
          <w:szCs w:val="20"/>
        </w:rPr>
        <w:t>Laws and regulations concerning privacy, data protection and information security are evolving, and changes to</w:t>
      </w:r>
      <w:r>
        <w:rPr>
          <w:sz w:val="20"/>
          <w:szCs w:val="20"/>
        </w:rPr>
        <w:t xml:space="preserve"> such laws and regulations could require us to change features of our platform or restrict our customers’ ability to collect and use email addresses, page viewing data and other personal data, which may reduce demand for our platform. Our failure to comply</w:t>
      </w:r>
      <w:r>
        <w:rPr>
          <w:sz w:val="20"/>
          <w:szCs w:val="20"/>
        </w:rPr>
        <w:t xml:space="preserve"> with federal, state and international data privacy laws and regulations could harm our ability to successfully operate our business and pursue our business goals. For example, the California Consumer Privacy Act (the “CCPA”), among other things, require c</w:t>
      </w:r>
      <w:r>
        <w:rPr>
          <w:sz w:val="20"/>
          <w:szCs w:val="20"/>
        </w:rPr>
        <w:t>overed companies to provide disclosures to California consumers and afford such consumers the ability to opt-out of sales of personal data</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Additionally, a new California ballot initiative, the California Privacy Rights Act ("CPRA"), was passed in November 2020. Effective on January 1, 2023, the CPRA imposes additional obligations on companies covered by the legislation and will significantly </w:t>
      </w:r>
      <w:r>
        <w:rPr>
          <w:sz w:val="20"/>
          <w:szCs w:val="20"/>
        </w:rPr>
        <w:t>modify the CCPA, including by expanding consumers’ rights with respect to certain sensitive personal data. The CPRA also creates a new state agency that will be vested with authority to implement regulations and enforce the CCPA and the CPRA. It is not yet</w:t>
      </w:r>
      <w:r>
        <w:rPr>
          <w:sz w:val="20"/>
          <w:szCs w:val="20"/>
        </w:rPr>
        <w:t xml:space="preserve"> fully clear how the CCPA and CPRA will be enforced and how certain of its requirements will be interpreted. The effects of the CCPA and CPRA are potentially significant and may require us to modify our data collection or processing practices and policies </w:t>
      </w:r>
      <w:r>
        <w:rPr>
          <w:sz w:val="20"/>
          <w:szCs w:val="20"/>
        </w:rPr>
        <w:t>and to incur substantial costs and expenses in an effort to comply and increase our potential exposure to regulatory enforcement and/or litigation</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Certain other state laws impose similar privacy obligations and we also expect that more states may enact l</w:t>
      </w:r>
      <w:r>
        <w:rPr>
          <w:sz w:val="20"/>
          <w:szCs w:val="20"/>
        </w:rPr>
        <w:t>egislation similar to the CCPA, which provides consumers with new privacy rights and increases the privacy and security obligations of entities handling certain personal data of such consumers. The CCPA has prompted a number of proposals for new federal an</w:t>
      </w:r>
      <w:r>
        <w:rPr>
          <w:sz w:val="20"/>
          <w:szCs w:val="20"/>
        </w:rPr>
        <w:t>d state-level privac</w:t>
      </w:r>
      <w:r>
        <w:rPr>
          <w:sz w:val="20"/>
          <w:szCs w:val="20"/>
        </w:rPr>
        <w:t>y</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3</w:t>
      </w:r>
    </w:p>
    <w:p w:rsidR="00000000" w:rsidRDefault="00211603">
      <w:pPr>
        <w:rPr>
          <w:rFonts w:eastAsia="Times New Roman"/>
        </w:rPr>
      </w:pPr>
      <w:r>
        <w:rPr>
          <w:rFonts w:eastAsia="Times New Roman"/>
        </w:rPr>
        <w:pict>
          <v:rect id="_x0000_i1067"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 xml:space="preserve">legislation. Such proposed legislation, if enacted, may add additional complexity, variation in requirements, restrictions and potential legal risk, require additional investment of resources </w:t>
      </w:r>
      <w:r>
        <w:rPr>
          <w:sz w:val="20"/>
          <w:szCs w:val="20"/>
        </w:rPr>
        <w:t>in compliance programs, impact strategies and the availability of previously useful data and could result in increased compliance costs and/or changes in business practices and policies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For example, on March 2, 2021, Virginia enacted the Consumer Data Pr</w:t>
      </w:r>
      <w:r>
        <w:rPr>
          <w:sz w:val="20"/>
          <w:szCs w:val="20"/>
        </w:rPr>
        <w:t xml:space="preserve">otection Act (the “CDPA”). The CDPA will become effective January 1, 2023. The CDPA will regulate how businesses (which the CDPA refers to as “controllers”) collect and share personal data. While the CDPA incorporates many similar concepts of the CCPA and </w:t>
      </w:r>
      <w:r>
        <w:rPr>
          <w:sz w:val="20"/>
          <w:szCs w:val="20"/>
        </w:rPr>
        <w:t xml:space="preserve">CPRA, there are also several key differences in the scope, application, and enforcement of the law that will change the operational practices of controllers. The new law will impact how controllers collect and process personal sensitive data, conduct data </w:t>
      </w:r>
      <w:r>
        <w:rPr>
          <w:sz w:val="20"/>
          <w:szCs w:val="20"/>
        </w:rPr>
        <w:t>protection assessments, transfer personal data to affiliates, and respond to consumer rights requests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Also, on July 8, 2021, Colorado’s governor signed the Colorado Privacy Act (“CPA”) into law. The CPA will become effective July 1, 2023. The CPA is rath</w:t>
      </w:r>
      <w:r>
        <w:rPr>
          <w:sz w:val="20"/>
          <w:szCs w:val="20"/>
        </w:rPr>
        <w:t>er similar to Virginia’s CPDA but also contains additional requirements. The new measure applies to companies conducting business in Colorado or who produce or deliver commercial products or services intentionally targeted to its residents of the state tha</w:t>
      </w:r>
      <w:r>
        <w:rPr>
          <w:sz w:val="20"/>
          <w:szCs w:val="20"/>
        </w:rPr>
        <w:t>t either: (1) control or process the personal data of at least 100,000 consumers during a calendar year; or (2) derive revenue or receive a discount on the price of goods or services from the sale of personal data and process or control the personal data o</w:t>
      </w:r>
      <w:r>
        <w:rPr>
          <w:sz w:val="20"/>
          <w:szCs w:val="20"/>
        </w:rPr>
        <w:t>f at least 25,000 consumers. In addition, on March 24, 2022, Utah enacted the Utah Consumer Privacy Act (“UCPA”), which will become effective on December 31, 2023, and will apply requirements similar to the CPA and CDPA to controllers that control or proce</w:t>
      </w:r>
      <w:r>
        <w:rPr>
          <w:sz w:val="20"/>
          <w:szCs w:val="20"/>
        </w:rPr>
        <w:t>ss personal data of Utah residents and meet certain statutory thresholds</w:t>
      </w:r>
      <w:r>
        <w:rPr>
          <w:sz w:val="20"/>
          <w:szCs w:val="20"/>
        </w:rPr>
        <w:t>.</w:t>
      </w:r>
    </w:p>
    <w:p w:rsidR="00000000" w:rsidRDefault="00211603">
      <w:pPr>
        <w:pStyle w:val="a3"/>
        <w:spacing w:before="200" w:beforeAutospacing="0" w:after="0" w:afterAutospacing="0"/>
        <w:ind w:firstLine="555"/>
        <w:rPr>
          <w:sz w:val="20"/>
          <w:szCs w:val="20"/>
        </w:rPr>
      </w:pPr>
      <w:r>
        <w:rPr>
          <w:sz w:val="20"/>
          <w:szCs w:val="20"/>
        </w:rPr>
        <w:t>With the UCPA, Utah became the fourth state to enact a comprehensive privacy law but it is quite possible that other states will follow suit. The existence of comprehensive privacy l</w:t>
      </w:r>
      <w:r>
        <w:rPr>
          <w:sz w:val="20"/>
          <w:szCs w:val="20"/>
        </w:rPr>
        <w:t>aws in different states in the country will make our compliance obligations more complex and costly and may increase the likelihood that we may be subject to enforcement actions or otherwise incur liability for noncompliance</w:t>
      </w:r>
      <w:r>
        <w:rPr>
          <w:sz w:val="20"/>
          <w:szCs w:val="20"/>
        </w:rPr>
        <w:t>.</w:t>
      </w:r>
    </w:p>
    <w:p w:rsidR="00000000" w:rsidRDefault="00211603">
      <w:pPr>
        <w:pStyle w:val="a3"/>
        <w:spacing w:before="200" w:beforeAutospacing="0" w:after="0" w:afterAutospacing="0"/>
        <w:ind w:firstLine="555"/>
        <w:rPr>
          <w:sz w:val="20"/>
          <w:szCs w:val="20"/>
        </w:rPr>
      </w:pPr>
      <w:r>
        <w:rPr>
          <w:sz w:val="20"/>
          <w:szCs w:val="20"/>
        </w:rPr>
        <w:t>In addition, many foreign juri</w:t>
      </w:r>
      <w:r>
        <w:rPr>
          <w:sz w:val="20"/>
          <w:szCs w:val="20"/>
        </w:rPr>
        <w:t>sdictions, including the European Union, United Kingdom, Canada, Australia, and others have regulations dealing with the collection and use of personal data obtained from their residents, which are often more restrictive than those in the U.S. Laws and reg</w:t>
      </w:r>
      <w:r>
        <w:rPr>
          <w:sz w:val="20"/>
          <w:szCs w:val="20"/>
        </w:rPr>
        <w:t xml:space="preserve">ulations in these jurisdictions apply broadly to the collection, use, storage, disclosure and security of personal data that identifies or may be used to identify an individual. In relevant part, these laws and regulations may affect our ability to engage </w:t>
      </w:r>
      <w:r>
        <w:rPr>
          <w:sz w:val="20"/>
          <w:szCs w:val="20"/>
        </w:rPr>
        <w:t>in lead generation activities by imposing heightened requirements, such as affirmative opt-ins or consent prior to sending commercial correspondence or engaging in electronic tracking activities that aid our marketing and business intelligence</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Within the</w:t>
      </w:r>
      <w:r>
        <w:rPr>
          <w:sz w:val="20"/>
          <w:szCs w:val="20"/>
        </w:rPr>
        <w:t xml:space="preserve"> European Union, legislators adopted the GDPR, which became effective in May 2018, and which imposes heightened obligations and risk upon our business and which may increase substantially the penalties to which we could be subject in the event of any non-c</w:t>
      </w:r>
      <w:r>
        <w:rPr>
          <w:sz w:val="20"/>
          <w:szCs w:val="20"/>
        </w:rPr>
        <w:t>ompliance. In addition, further to the United Kingdom's exit from the European Union on January 31, 2020, the GDPR ceased to apply in the United Kingdom at the end of the transition period on December 31, 2020. However, as of January 1, 2021, the United Ki</w:t>
      </w:r>
      <w:r>
        <w:rPr>
          <w:sz w:val="20"/>
          <w:szCs w:val="20"/>
        </w:rPr>
        <w:t>ngdom’s European Union (Withdrawal) Act 2018 incorporated the GDPR (as it existed on December 31, 2020 but subject to certain United Kingdom specific amendments) into United Kingdom law (the “UK GDPR”). The UK GDPR and the UK Data Protection Act 2018 set o</w:t>
      </w:r>
      <w:r>
        <w:rPr>
          <w:sz w:val="20"/>
          <w:szCs w:val="20"/>
        </w:rPr>
        <w:t>ut the United Kingdom’s data protection regime, which is independent from but aligned to the European Union’s data protection regime. Non-compliance with the UK GDPR may result in monetary penalties of up to £17.5 million or 4% of worldwide revenue, whiche</w:t>
      </w:r>
      <w:r>
        <w:rPr>
          <w:sz w:val="20"/>
          <w:szCs w:val="20"/>
        </w:rPr>
        <w:t xml:space="preserve">ver is higher. Like the European Union GDPR, the UK GDPR restricts personal data transfers outside the United Kingdom to countries not regarded by the United Kingdom as providing adequate protection (this means that personal data transfers from the United </w:t>
      </w:r>
      <w:r>
        <w:rPr>
          <w:sz w:val="20"/>
          <w:szCs w:val="20"/>
        </w:rPr>
        <w:t>Kingdom to the European Economic Area remain free flowing)</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The proliferation of privacy and data protection laws has heightened risks and uncertainties concerning cross-border transfers of personal data and other data, which could impose significant comp</w:t>
      </w:r>
      <w:r>
        <w:rPr>
          <w:sz w:val="20"/>
          <w:szCs w:val="20"/>
        </w:rPr>
        <w:t>liance costs and expenses on our business, increase our potential exposure to regulatory enforcement and/or litigation, and have a negative effect on our existing business and on our ability to attract and retain new customers. On July 16, 2020, the Europe</w:t>
      </w:r>
      <w:r>
        <w:rPr>
          <w:sz w:val="20"/>
          <w:szCs w:val="20"/>
        </w:rPr>
        <w:t>an Court of Justice invalidated the EU–US Privacy Shield ruling that facilitated transfers of personal data from the European Economic Area to the U.S. because it failed to offer adequate protections for personal data. The European Court of Justice, in the</w:t>
      </w:r>
      <w:r>
        <w:rPr>
          <w:sz w:val="20"/>
          <w:szCs w:val="20"/>
        </w:rPr>
        <w:t xml:space="preserve"> same decision, deemed that the Standard Contractual Clauses ("SCCs"), approved by the European Commission for transfers of personal data between European Economic Area controllers and non-European Economic Area processors are valid, however the European C</w:t>
      </w:r>
      <w:r>
        <w:rPr>
          <w:sz w:val="20"/>
          <w:szCs w:val="20"/>
        </w:rPr>
        <w:t>ourt of Justice deemed that transfers made pursuant to the SCCs need to be analyzed on a case-by-case basis to ensure the European Economic Area's standards of data protection are met. Our customer agreements include SCCs. However, as a result of this deci</w:t>
      </w:r>
      <w:r>
        <w:rPr>
          <w:sz w:val="20"/>
          <w:szCs w:val="20"/>
        </w:rPr>
        <w:t xml:space="preserve">sion, companies may be required to adopt additional measures to accomplish transfers of personal data to the United States and other third countries in compliance with the GDPR, and there continue to be concerns about whether the SCCs will face additional </w:t>
      </w:r>
      <w:r>
        <w:rPr>
          <w:sz w:val="20"/>
          <w:szCs w:val="20"/>
        </w:rPr>
        <w:t>challenges. Until the remaining legal uncertainties regarding how to legally continue these transfers are settled, we will continue to face uncertainty as to whether our customers will be permitted to transfer personal data to the United States for process</w:t>
      </w:r>
      <w:r>
        <w:rPr>
          <w:sz w:val="20"/>
          <w:szCs w:val="20"/>
        </w:rPr>
        <w:t>ing by us as part of our platform services. Our customers may view alternative data transfer mechanisms as being too costly, too burdensome, too legally uncertain or otherwise objectionable and therefore decide not to do business with us. For example, some</w:t>
      </w:r>
      <w:r>
        <w:rPr>
          <w:sz w:val="20"/>
          <w:szCs w:val="20"/>
        </w:rPr>
        <w:t xml:space="preserve"> of our customers or potential customers who do business in the European Economic Area may require their vendors to host all personal data within the European Economic Area and may decide to do business with one of our competitors who hosts personal data w</w:t>
      </w:r>
      <w:r>
        <w:rPr>
          <w:sz w:val="20"/>
          <w:szCs w:val="20"/>
        </w:rPr>
        <w:t>ithin the European Economic Area instead of doing business with us. In addition, som</w:t>
      </w:r>
      <w:r>
        <w:rPr>
          <w:sz w:val="20"/>
          <w:szCs w:val="20"/>
        </w:rPr>
        <w:t>e</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4</w:t>
      </w:r>
    </w:p>
    <w:p w:rsidR="00000000" w:rsidRDefault="00211603">
      <w:pPr>
        <w:rPr>
          <w:rFonts w:eastAsia="Times New Roman"/>
        </w:rPr>
      </w:pPr>
      <w:r>
        <w:rPr>
          <w:rFonts w:eastAsia="Times New Roman"/>
        </w:rPr>
        <w:pict>
          <v:rect id="_x0000_i1068"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companies based in Europe may be reluctant to transfer personal data to us for processing outside the European Economic Area bec</w:t>
      </w:r>
      <w:r>
        <w:rPr>
          <w:sz w:val="20"/>
          <w:szCs w:val="20"/>
        </w:rPr>
        <w:t xml:space="preserve">ause of the burden on some requirements to conduct transfer impact assessments in order to rely on the SCCs as well as the substantial obligations that the recently updated SCCs impose upon data exporters. On March 21, 2022, the United Kingdom adopted new </w:t>
      </w:r>
      <w:r>
        <w:rPr>
          <w:sz w:val="20"/>
          <w:szCs w:val="20"/>
        </w:rPr>
        <w:t>international data transfer agreement templates ("IGTAs") to facilitate transfers of personal data from the United Kingdom. The IGTAs allow for a transition period in which controllers and processors may move to the new forms. We are in the process of tran</w:t>
      </w:r>
      <w:r>
        <w:rPr>
          <w:sz w:val="20"/>
          <w:szCs w:val="20"/>
        </w:rPr>
        <w:t>sitioning to the IGTAs and doing so will require significant effort and cost. The European Commission and the U.S. White House announced that they had reached an agreement in principle on a data transfer framework to replace the Privacy Shield 2.0. However</w:t>
      </w:r>
      <w:r>
        <w:rPr>
          <w:sz w:val="20"/>
          <w:szCs w:val="20"/>
        </w:rPr>
        <w:t>, it is too soon to tell how this future framework will evolve and what impact it will have on our cross-border activities. We continue to monitor developments with respect to cross-border transfers and any prospective impacts on our activities</w:t>
      </w:r>
      <w:r>
        <w:rPr>
          <w:sz w:val="20"/>
          <w:szCs w:val="20"/>
        </w:rPr>
        <w:t>.</w:t>
      </w:r>
    </w:p>
    <w:p w:rsidR="00000000" w:rsidRDefault="00211603">
      <w:pPr>
        <w:pStyle w:val="a3"/>
        <w:spacing w:before="200" w:beforeAutospacing="0" w:after="0" w:afterAutospacing="0"/>
        <w:ind w:firstLine="555"/>
        <w:rPr>
          <w:sz w:val="20"/>
          <w:szCs w:val="20"/>
        </w:rPr>
      </w:pPr>
      <w:r>
        <w:rPr>
          <w:sz w:val="20"/>
          <w:szCs w:val="20"/>
        </w:rPr>
        <w:t>The regula</w:t>
      </w:r>
      <w:r>
        <w:rPr>
          <w:sz w:val="20"/>
          <w:szCs w:val="20"/>
        </w:rPr>
        <w:t xml:space="preserve">tory framework governing the collection, processing, storage, use and sharing of certain information, particularly financial and other personal data, is rapidly evolving and is likely to continue to be subject to uncertainty and varying interpretations. . </w:t>
      </w:r>
      <w:r>
        <w:rPr>
          <w:sz w:val="20"/>
          <w:szCs w:val="20"/>
        </w:rPr>
        <w:t>In addition to new and strengthened laws and regulations in the U.S., European Union, and United Kingdom, many foreign jurisdictions have passed new laws, strengthened existing laws, or are contemplating new laws regulating personal data. For example, Sout</w:t>
      </w:r>
      <w:r>
        <w:rPr>
          <w:sz w:val="20"/>
          <w:szCs w:val="20"/>
        </w:rPr>
        <w:t>h Africa’s Protection of Personal Information Act came into force on July 1, 2021, and imposes significant new requirements, with potentially significant penalties for non-compliance, on businesses that operate in South Africa. India is contemplating a new</w:t>
      </w:r>
      <w:r>
        <w:rPr>
          <w:sz w:val="20"/>
          <w:szCs w:val="20"/>
        </w:rPr>
        <w:t xml:space="preserve"> Personal Data Protection Bill that would, among other things, make it challenging to transfer personal data from India to countries outside of India. It is possible that these laws may impose, or may be interpreted and applied to impose, requirements that</w:t>
      </w:r>
      <w:r>
        <w:rPr>
          <w:sz w:val="20"/>
          <w:szCs w:val="20"/>
        </w:rPr>
        <w:t xml:space="preserve"> are inconsistent with our existing data management practices or the features of our services and platform capabilities. Any failure or perceived failure by us, or any third parties with which we do business, to comply with our posted privacy policies, cha</w:t>
      </w:r>
      <w:r>
        <w:rPr>
          <w:sz w:val="20"/>
          <w:szCs w:val="20"/>
        </w:rPr>
        <w:t>nging consumer expectations, evolving laws, rules and regulations, industry standards, or contractual obligations to which we or such third parties are or may become subject, may result in actions or other claims against us by governmental entities or priv</w:t>
      </w:r>
      <w:r>
        <w:rPr>
          <w:sz w:val="20"/>
          <w:szCs w:val="20"/>
        </w:rPr>
        <w:t>ate actors, the expenditure of substantial costs, time and other resources or the incurrence of significant fines, penalties or other liabilities. In addition, any such action, particularly to the extent we were found to be guilty of violations or otherwis</w:t>
      </w:r>
      <w:r>
        <w:rPr>
          <w:sz w:val="20"/>
          <w:szCs w:val="20"/>
        </w:rPr>
        <w:t>e liable for damages, would damage our reputation and adversely affect our business, financial condition and results of operations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We publicly post documentation regarding our practices concerning the collection, processing, use and disclosure of data. A</w:t>
      </w:r>
      <w:r>
        <w:rPr>
          <w:sz w:val="20"/>
          <w:szCs w:val="20"/>
        </w:rPr>
        <w:t>lthough we endeavor to comply with our published policies and documentation, we may at times fail to do so or be alleged to have failed to do so. Any failure or perceived failure by us to comply with our privacy policies or any applicable privacy, security</w:t>
      </w:r>
      <w:r>
        <w:rPr>
          <w:sz w:val="20"/>
          <w:szCs w:val="20"/>
        </w:rPr>
        <w:t xml:space="preserve"> or data protection, information security or consumer-protection related laws, regulations, orders or industry standards could expose us to costly litigation, significant awards, fines or judgments, civil and/or criminal penalties or negative publicity, an</w:t>
      </w:r>
      <w:r>
        <w:rPr>
          <w:sz w:val="20"/>
          <w:szCs w:val="20"/>
        </w:rPr>
        <w:t>d could materially and adversely affect our business, financial condition and results of operations. The publication of our privacy policy and other documentation that provide promises and assurances about privacy and security can subject us to potential s</w:t>
      </w:r>
      <w:r>
        <w:rPr>
          <w:sz w:val="20"/>
          <w:szCs w:val="20"/>
        </w:rPr>
        <w:t>tate and federal action if they are found to be deceptive, unfair, or misrepresentative of our actual practices, which could, individually or in the aggregate, materially and adversely affect our business, financial condition and results of operations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If</w:t>
      </w:r>
      <w:r>
        <w:rPr>
          <w:sz w:val="20"/>
          <w:szCs w:val="20"/>
        </w:rPr>
        <w:t xml:space="preserve"> our privacy or data security measures fail to comply with current or future laws and regulations, we may be subject to claims, legal proceedings or other actions by individuals or governmental authorities based on privacy or data protection regulations an</w:t>
      </w:r>
      <w:r>
        <w:rPr>
          <w:sz w:val="20"/>
          <w:szCs w:val="20"/>
        </w:rPr>
        <w:t>d our commitments to customers or others, as well as negative publicity and a potential loss of business. Moreover, if future laws and regulations limit our subscribers’ ability to use and share personal data or our ability to store, process and share pers</w:t>
      </w:r>
      <w:r>
        <w:rPr>
          <w:sz w:val="20"/>
          <w:szCs w:val="20"/>
        </w:rPr>
        <w:t>onal data, demand for our solutions could decrease, our costs could increase, and our business, results of operations and financial condition could be harmed</w:t>
      </w:r>
      <w:r>
        <w:rPr>
          <w:sz w:val="20"/>
          <w:szCs w:val="20"/>
        </w:rPr>
        <w:t>.</w:t>
      </w:r>
    </w:p>
    <w:p w:rsidR="00000000" w:rsidRDefault="00211603">
      <w:pPr>
        <w:pStyle w:val="a3"/>
        <w:spacing w:before="200" w:beforeAutospacing="0" w:after="0" w:afterAutospacing="0"/>
        <w:rPr>
          <w:sz w:val="20"/>
          <w:szCs w:val="20"/>
        </w:rPr>
      </w:pPr>
      <w:r>
        <w:rPr>
          <w:b/>
          <w:bCs/>
          <w:i/>
          <w:iCs/>
          <w:sz w:val="20"/>
          <w:szCs w:val="20"/>
        </w:rPr>
        <w:t xml:space="preserve">We could face liability, or our reputation might be harmed, as a result of the activities of our </w:t>
      </w:r>
      <w:r>
        <w:rPr>
          <w:b/>
          <w:bCs/>
          <w:i/>
          <w:iCs/>
          <w:sz w:val="20"/>
          <w:szCs w:val="20"/>
        </w:rPr>
        <w:t>customers, the content of their websites or the data they store on our servers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As a provider of a cloud-based inbound marketing, sales and customer service software platform, we may be subject to potential liability for the activities of our customers on </w:t>
      </w:r>
      <w:r>
        <w:rPr>
          <w:sz w:val="20"/>
          <w:szCs w:val="20"/>
        </w:rPr>
        <w:t>or in connection with the data they store on our servers. Although our customer terms of use prohibit illegal use of our services by our customers and permit us to take down websites or take other appropriate actions for illegal use, customers may nonethel</w:t>
      </w:r>
      <w:r>
        <w:rPr>
          <w:sz w:val="20"/>
          <w:szCs w:val="20"/>
        </w:rPr>
        <w:t>ess engage in prohibited activities or upload or store content with us in violation of applicable law or the customer’s own policies, which could subject us to liability or harm our reputation. Furthermore, customers may upload, store, or use content on ou</w:t>
      </w:r>
      <w:r>
        <w:rPr>
          <w:sz w:val="20"/>
          <w:szCs w:val="20"/>
        </w:rPr>
        <w:t>r CRM Platform that may violate our policy on acceptable use which prohibits content that is threatening, abusive, harassing, deceptive, false, misleading, vulgar, obscene, or indecent. While such content may not be illegal, use of our CRM Platform for suc</w:t>
      </w:r>
      <w:r>
        <w:rPr>
          <w:sz w:val="20"/>
          <w:szCs w:val="20"/>
        </w:rPr>
        <w:t>h content could harm our reputation resulting in a loss of business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Several U.S. federal statutes may apply to us with respect to various customer activities</w:t>
      </w:r>
      <w:r>
        <w:rPr>
          <w:sz w:val="20"/>
          <w:szCs w:val="20"/>
        </w:rPr>
        <w:t>:</w:t>
      </w:r>
    </w:p>
    <w:p w:rsidR="00000000" w:rsidRDefault="00211603">
      <w:pPr>
        <w:divId w:val="727803650"/>
        <w:rPr>
          <w:rFonts w:eastAsia="Times New Roman"/>
        </w:rPr>
      </w:pPr>
      <w:r>
        <w:rPr>
          <w:rFonts w:eastAsia="Times New Roman"/>
          <w:sz w:val="20"/>
          <w:szCs w:val="20"/>
        </w:rPr>
        <w:t>•</w:t>
      </w:r>
    </w:p>
    <w:p w:rsidR="00000000" w:rsidRDefault="00211603">
      <w:pPr>
        <w:divId w:val="1113867353"/>
        <w:rPr>
          <w:rFonts w:eastAsia="Times New Roman"/>
        </w:rPr>
      </w:pPr>
      <w:r>
        <w:rPr>
          <w:rFonts w:eastAsia="Times New Roman"/>
          <w:sz w:val="20"/>
          <w:szCs w:val="20"/>
        </w:rPr>
        <w:t>The Digital Millennium Copyright Act of 1998 ("DMCA"), provides recourse for owners of copyri</w:t>
      </w:r>
      <w:r>
        <w:rPr>
          <w:rFonts w:eastAsia="Times New Roman"/>
          <w:sz w:val="20"/>
          <w:szCs w:val="20"/>
        </w:rPr>
        <w:t>ghted material who believe that their rights under U.S. copyright law have been infringed on the Internet. Under the DMCA, based on our current business activity as an Internet service provider that does not own or control website content posted by our cus</w:t>
      </w:r>
      <w:r>
        <w:rPr>
          <w:rFonts w:eastAsia="Times New Roman"/>
          <w:sz w:val="20"/>
          <w:szCs w:val="20"/>
        </w:rPr>
        <w:t>tomers, we generally are not liable for infringing content posted by our customers or other third parties, provided that we follow the procedures for handling copyright infringement claims set forth in the DMCA. Generally, if we receive a</w:t>
      </w:r>
      <w:r>
        <w:rPr>
          <w:rFonts w:eastAsia="Times New Roman"/>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5</w:t>
      </w:r>
    </w:p>
    <w:p w:rsidR="00000000" w:rsidRDefault="00211603">
      <w:pPr>
        <w:rPr>
          <w:rFonts w:eastAsia="Times New Roman"/>
        </w:rPr>
      </w:pPr>
      <w:r>
        <w:rPr>
          <w:rFonts w:eastAsia="Times New Roman"/>
        </w:rPr>
        <w:pict>
          <v:rect id="_x0000_i1069"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divId w:val="1455055166"/>
        <w:rPr>
          <w:rFonts w:eastAsia="Times New Roman"/>
        </w:rPr>
      </w:pPr>
      <w:r>
        <w:rPr>
          <w:rFonts w:eastAsia="Times New Roman"/>
          <w:sz w:val="20"/>
          <w:szCs w:val="20"/>
        </w:rPr>
        <w:t>proper notice from, or on behalf, of a copyright owner alleging infringement of copyrighted material located on websites we host, and we fail to expeditiously remove or disable access to the allegedly infringing materi</w:t>
      </w:r>
      <w:r>
        <w:rPr>
          <w:rFonts w:eastAsia="Times New Roman"/>
          <w:sz w:val="20"/>
          <w:szCs w:val="20"/>
        </w:rPr>
        <w:t>al or otherwise fail to meet the requirements of the safe harbor provided by the DMCA, the copyright owner may seek to impose liability on us. Technical mistakes in complying with the detailed DMCA take-down procedures could subject us to liability for cop</w:t>
      </w:r>
      <w:r>
        <w:rPr>
          <w:rFonts w:eastAsia="Times New Roman"/>
          <w:sz w:val="20"/>
          <w:szCs w:val="20"/>
        </w:rPr>
        <w:t>yright infringement</w:t>
      </w:r>
      <w:r>
        <w:rPr>
          <w:rFonts w:eastAsia="Times New Roman"/>
          <w:sz w:val="20"/>
          <w:szCs w:val="20"/>
        </w:rPr>
        <w:t>.</w:t>
      </w:r>
    </w:p>
    <w:p w:rsidR="00000000" w:rsidRDefault="00211603">
      <w:pPr>
        <w:divId w:val="894586474"/>
        <w:rPr>
          <w:rFonts w:eastAsia="Times New Roman"/>
        </w:rPr>
      </w:pPr>
      <w:r>
        <w:rPr>
          <w:rFonts w:eastAsia="Times New Roman"/>
          <w:sz w:val="20"/>
          <w:szCs w:val="20"/>
        </w:rPr>
        <w:t>•</w:t>
      </w:r>
    </w:p>
    <w:p w:rsidR="00000000" w:rsidRDefault="00211603">
      <w:pPr>
        <w:divId w:val="828516756"/>
        <w:rPr>
          <w:rFonts w:eastAsia="Times New Roman"/>
        </w:rPr>
      </w:pPr>
      <w:r>
        <w:rPr>
          <w:rFonts w:eastAsia="Times New Roman"/>
          <w:sz w:val="20"/>
          <w:szCs w:val="20"/>
        </w:rPr>
        <w:t>The Communications Decency Act of 1996 ("CDA"), generally protects online service providers, such as us, from liability for certain activities of their customers, such as the posting of defamatory or obscene content, unless the onlin</w:t>
      </w:r>
      <w:r>
        <w:rPr>
          <w:rFonts w:eastAsia="Times New Roman"/>
          <w:sz w:val="20"/>
          <w:szCs w:val="20"/>
        </w:rPr>
        <w:t>e service provider is participating in the unlawful conduct. Under the CDA, we are generally not responsible for the customer-created content hosted on our servers. Consequently, we do not monitor hosted websites or prescreen the content placed by our cust</w:t>
      </w:r>
      <w:r>
        <w:rPr>
          <w:rFonts w:eastAsia="Times New Roman"/>
          <w:sz w:val="20"/>
          <w:szCs w:val="20"/>
        </w:rPr>
        <w:t>omers on their sites. However, the CDA does not apply in foreign jurisdictions and we may nonetheless be brought into disputes between our customers and third parties which would require us to devote management time and resources to resolve such matters an</w:t>
      </w:r>
      <w:r>
        <w:rPr>
          <w:rFonts w:eastAsia="Times New Roman"/>
          <w:sz w:val="20"/>
          <w:szCs w:val="20"/>
        </w:rPr>
        <w:t>d any publicity from such matters could also have an adverse effect on our reputation and therefore our business.</w:t>
      </w:r>
      <w:r>
        <w:rPr>
          <w:rFonts w:eastAsia="Times New Roman"/>
          <w:sz w:val="20"/>
          <w:szCs w:val="20"/>
        </w:rPr>
        <w:t xml:space="preserve"> </w:t>
      </w:r>
    </w:p>
    <w:p w:rsidR="00000000" w:rsidRDefault="00211603">
      <w:pPr>
        <w:divId w:val="480583368"/>
        <w:rPr>
          <w:rFonts w:eastAsia="Times New Roman"/>
        </w:rPr>
      </w:pPr>
      <w:r>
        <w:rPr>
          <w:rFonts w:eastAsia="Times New Roman"/>
          <w:sz w:val="20"/>
          <w:szCs w:val="20"/>
        </w:rPr>
        <w:t>•</w:t>
      </w:r>
    </w:p>
    <w:p w:rsidR="00000000" w:rsidRDefault="00211603">
      <w:pPr>
        <w:divId w:val="1176849220"/>
        <w:rPr>
          <w:rFonts w:eastAsia="Times New Roman"/>
        </w:rPr>
      </w:pPr>
      <w:r>
        <w:rPr>
          <w:rFonts w:eastAsia="Times New Roman"/>
          <w:sz w:val="20"/>
          <w:szCs w:val="20"/>
        </w:rPr>
        <w:t>In addition to the CDA, the Securing the Protection of our Enduring and Established Constitutional Heritage Act (the "SPEECH Act"), provide</w:t>
      </w:r>
      <w:r>
        <w:rPr>
          <w:rFonts w:eastAsia="Times New Roman"/>
          <w:sz w:val="20"/>
          <w:szCs w:val="20"/>
        </w:rPr>
        <w:t>s a statutory exception to the enforcement by a U.S. court of a foreign judgment for defamation under certain circumstances. Generally, the exception applies if the defamation law applied in the foreign court did not provide at least as much protection for</w:t>
      </w:r>
      <w:r>
        <w:rPr>
          <w:rFonts w:eastAsia="Times New Roman"/>
          <w:sz w:val="20"/>
          <w:szCs w:val="20"/>
        </w:rPr>
        <w:t xml:space="preserve"> freedom of speech and press as would be provided by the First Amendment of the U.S. Constitution or by the constitution and law of the state in which the U.S. court is located, or if no finding of defamation would be supported under the First Amendment of</w:t>
      </w:r>
      <w:r>
        <w:rPr>
          <w:rFonts w:eastAsia="Times New Roman"/>
          <w:sz w:val="20"/>
          <w:szCs w:val="20"/>
        </w:rPr>
        <w:t xml:space="preserve"> the U.S. Constitution or under the constitution and law of the state in which the U.S. court is located. Although the SPEECH Act may protect us from the enforcement of foreign judgments in the United States, it does not affect the enforceability of the ju</w:t>
      </w:r>
      <w:r>
        <w:rPr>
          <w:rFonts w:eastAsia="Times New Roman"/>
          <w:sz w:val="20"/>
          <w:szCs w:val="20"/>
        </w:rPr>
        <w:t>dgment in the foreign country that issued the judgment. Given our international presence, we may therefore, nonetheless, have to defend against or comply with any foreign judgments made against us, which could take up substantial management time and resour</w:t>
      </w:r>
      <w:r>
        <w:rPr>
          <w:rFonts w:eastAsia="Times New Roman"/>
          <w:sz w:val="20"/>
          <w:szCs w:val="20"/>
        </w:rPr>
        <w:t>ces and damage our reputation</w:t>
      </w:r>
      <w:r>
        <w:rPr>
          <w:rFonts w:eastAsia="Times New Roman"/>
          <w:sz w:val="20"/>
          <w:szCs w:val="20"/>
        </w:rPr>
        <w:t>.</w:t>
      </w:r>
    </w:p>
    <w:p w:rsidR="00000000" w:rsidRDefault="00211603">
      <w:pPr>
        <w:pStyle w:val="a3"/>
        <w:spacing w:before="200" w:beforeAutospacing="0" w:after="0" w:afterAutospacing="0"/>
        <w:ind w:firstLine="555"/>
        <w:rPr>
          <w:sz w:val="20"/>
          <w:szCs w:val="20"/>
        </w:rPr>
      </w:pPr>
      <w:r>
        <w:rPr>
          <w:sz w:val="20"/>
          <w:szCs w:val="20"/>
        </w:rPr>
        <w:t>Although these statutes and case law in the United States have generally shielded us from liability for customer activities to date, court rulings in pending or future litigation may narrow the scope of protection afforded us</w:t>
      </w:r>
      <w:r>
        <w:rPr>
          <w:sz w:val="20"/>
          <w:szCs w:val="20"/>
        </w:rPr>
        <w:t xml:space="preserve"> under these laws. In addition, laws governing these activities are unsettled in many international jurisdictions, or may prove difficult or impossible for us to comply with in some international jurisdictions. Also, notwithstanding the exculpatory languag</w:t>
      </w:r>
      <w:r>
        <w:rPr>
          <w:sz w:val="20"/>
          <w:szCs w:val="20"/>
        </w:rPr>
        <w:t>e of these bodies of law, we may become involved in complaints and lawsuits which, even if ultimately resolved in our favor, add cost to our doing business and may divert management’s time and attention. Finally, other existing bodies of law, including the</w:t>
      </w:r>
      <w:r>
        <w:rPr>
          <w:sz w:val="20"/>
          <w:szCs w:val="20"/>
        </w:rPr>
        <w:t xml:space="preserve"> criminal laws of various states, may be deemed to apply or new statutes or regulations may be adopted in the future, any of which could expose us to further liability and increase our costs of doing business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Additionally, Payments, our end-to-end paymen</w:t>
      </w:r>
      <w:r>
        <w:rPr>
          <w:sz w:val="20"/>
          <w:szCs w:val="20"/>
        </w:rPr>
        <w:t>t solution built natively as part of our CRM Platform, is susceptible to potentially illegal or improper uses, including money laundering, terrorist financing, fraudulent or illegal sales of goods or services, piracy of software, movies, music, and other c</w:t>
      </w:r>
      <w:r>
        <w:rPr>
          <w:sz w:val="20"/>
          <w:szCs w:val="20"/>
        </w:rPr>
        <w:t>opyrighted or trademarked information, bank fraud, securities fraud, pyramid or ponzi schemes, or the facilitation of other illegal or improper activity. While we engage a third party as our registered payment facilitator, the use of Payments for illegal o</w:t>
      </w:r>
      <w:r>
        <w:rPr>
          <w:sz w:val="20"/>
          <w:szCs w:val="20"/>
        </w:rPr>
        <w:t>r improper uses may subject us to claims (including claims brought by our third-party payment processor), government and regulatory requests, inquiries, or investigations that could result in liability, and harm our reputation. Moreover, certain activity t</w:t>
      </w:r>
      <w:r>
        <w:rPr>
          <w:sz w:val="20"/>
          <w:szCs w:val="20"/>
        </w:rPr>
        <w:t>hat may be legal in one jurisdiction may be illegal in another jurisdiction, and a merchant may be found responsible for intentionally or inadvertently importing or exporting illegal goods, resulting in liability for us. Owners of intellectual property rig</w:t>
      </w:r>
      <w:r>
        <w:rPr>
          <w:sz w:val="20"/>
          <w:szCs w:val="20"/>
        </w:rPr>
        <w:t>hts or government authorities may seek to bring legal action against providers of payments solutions, including Payments, that are peripherally involved in the sale of infringing or allegedly infringing items. Any threatened or resulting claims could resul</w:t>
      </w:r>
      <w:r>
        <w:rPr>
          <w:sz w:val="20"/>
          <w:szCs w:val="20"/>
        </w:rPr>
        <w:t>t in reputational harm, and any resulting liabilities, loss of transaction volume, or increased costs could harm our business</w:t>
      </w:r>
      <w:r>
        <w:rPr>
          <w:sz w:val="20"/>
          <w:szCs w:val="20"/>
        </w:rPr>
        <w:t>.</w:t>
      </w:r>
    </w:p>
    <w:p w:rsidR="00000000" w:rsidRDefault="00211603">
      <w:pPr>
        <w:pStyle w:val="a3"/>
        <w:spacing w:before="200" w:beforeAutospacing="0" w:after="0" w:afterAutospacing="0"/>
        <w:ind w:firstLine="555"/>
        <w:rPr>
          <w:sz w:val="20"/>
          <w:szCs w:val="20"/>
        </w:rPr>
      </w:pPr>
      <w:r>
        <w:rPr>
          <w:sz w:val="20"/>
          <w:szCs w:val="20"/>
        </w:rPr>
        <w:t>If Payments is used for illegal or improper uses, we may incur substantial losses as a result of claims from merchants and consum</w:t>
      </w:r>
      <w:r>
        <w:rPr>
          <w:sz w:val="20"/>
          <w:szCs w:val="20"/>
        </w:rPr>
        <w:t>ers. Allowances for transaction losses that we have established may be insufficient to cover incurred losses. Moreover, if measures to detect and reduce the risk of fraud are not effective and our loss rate is higher than anticipated, Payments and our busi</w:t>
      </w:r>
      <w:r>
        <w:rPr>
          <w:sz w:val="20"/>
          <w:szCs w:val="20"/>
        </w:rPr>
        <w:t>ness could be negatively impacted</w:t>
      </w:r>
      <w:r>
        <w:rPr>
          <w:sz w:val="20"/>
          <w:szCs w:val="20"/>
        </w:rPr>
        <w:t>.</w:t>
      </w:r>
      <w:r>
        <w:rPr>
          <w:sz w:val="20"/>
          <w:szCs w:val="20"/>
        </w:rPr>
        <w:t xml:space="preserve"> </w:t>
      </w:r>
    </w:p>
    <w:p w:rsidR="00000000" w:rsidRDefault="00211603">
      <w:pPr>
        <w:pStyle w:val="a3"/>
        <w:spacing w:before="200" w:beforeAutospacing="0" w:after="0" w:afterAutospacing="0"/>
        <w:rPr>
          <w:sz w:val="20"/>
          <w:szCs w:val="20"/>
        </w:rPr>
      </w:pPr>
      <w:r>
        <w:rPr>
          <w:b/>
          <w:bCs/>
          <w:i/>
          <w:iCs/>
          <w:sz w:val="20"/>
          <w:szCs w:val="20"/>
        </w:rPr>
        <w:t>The standards that private entities use to regulate the use of email have in the past interfered with, and may in the future interfere with, the effectiveness of our CRM Platform and our ability to conduct business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Our </w:t>
      </w:r>
      <w:r>
        <w:rPr>
          <w:sz w:val="20"/>
          <w:szCs w:val="20"/>
        </w:rPr>
        <w:t>customers rely on email to communicate with their existing or prospective customers. Various private entities attempt to regulate the use of email for commercial solicitation. These entities often advocate standards of conduct or practice that significantl</w:t>
      </w:r>
      <w:r>
        <w:rPr>
          <w:sz w:val="20"/>
          <w:szCs w:val="20"/>
        </w:rPr>
        <w:t>y exceed current legal requirements and classify certain email solicitations that comply with current legal requirements as spam. Some of these entities maintain “blacklists” of companies and individuals, and the websites, internet service providers and in</w:t>
      </w:r>
      <w:r>
        <w:rPr>
          <w:sz w:val="20"/>
          <w:szCs w:val="20"/>
        </w:rPr>
        <w:t>ternet protocol addresses associated with those entities or individuals that do not adhere to those standards of conduct or practices for commercia</w:t>
      </w:r>
      <w:r>
        <w:rPr>
          <w:sz w:val="20"/>
          <w:szCs w:val="20"/>
        </w:rPr>
        <w:t>l</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6</w:t>
      </w:r>
    </w:p>
    <w:p w:rsidR="00000000" w:rsidRDefault="00211603">
      <w:pPr>
        <w:rPr>
          <w:rFonts w:eastAsia="Times New Roman"/>
        </w:rPr>
      </w:pPr>
      <w:r>
        <w:rPr>
          <w:rFonts w:eastAsia="Times New Roman"/>
        </w:rPr>
        <w:pict>
          <v:rect id="_x0000_i1070"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email solicitations that the blacklisting entity believes are ap</w:t>
      </w:r>
      <w:r>
        <w:rPr>
          <w:sz w:val="20"/>
          <w:szCs w:val="20"/>
        </w:rPr>
        <w:t>propriate. If a company’s internet protocol addresses are listed by a blacklisting entity, emails sent from those addresses may be blocked if they are sent to any internet domain or internet address that subscribes to the blacklisting entity’s service or p</w:t>
      </w:r>
      <w:r>
        <w:rPr>
          <w:sz w:val="20"/>
          <w:szCs w:val="20"/>
        </w:rPr>
        <w:t>urchases its blacklist</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From time to time, some of our internet protocol addresses may become listed with one or more blacklisting entities due to the messaging practices of our customers. There can be no guarantee that we will be able to successfully rem</w:t>
      </w:r>
      <w:r>
        <w:rPr>
          <w:sz w:val="20"/>
          <w:szCs w:val="20"/>
        </w:rPr>
        <w:t>ove ourselves from those lists. Blacklisting of this type could interfere with our ability to market our CRM Platform and services and communicate with our customers and, because we fulfill email delivery on behalf of our customers, could undermine the eff</w:t>
      </w:r>
      <w:r>
        <w:rPr>
          <w:sz w:val="20"/>
          <w:szCs w:val="20"/>
        </w:rPr>
        <w:t>ectiveness of our customers’ email marketing campaigns, all of which could have a material negative impact on our business and results of operations</w:t>
      </w:r>
      <w:r>
        <w:rPr>
          <w:sz w:val="20"/>
          <w:szCs w:val="20"/>
        </w:rPr>
        <w:t>.</w:t>
      </w:r>
    </w:p>
    <w:p w:rsidR="00000000" w:rsidRDefault="00211603">
      <w:pPr>
        <w:pStyle w:val="a3"/>
        <w:spacing w:before="200" w:beforeAutospacing="0" w:after="0" w:afterAutospacing="0"/>
        <w:rPr>
          <w:sz w:val="20"/>
          <w:szCs w:val="20"/>
        </w:rPr>
      </w:pPr>
      <w:r>
        <w:rPr>
          <w:b/>
          <w:bCs/>
          <w:i/>
          <w:iCs/>
          <w:sz w:val="20"/>
          <w:szCs w:val="20"/>
        </w:rPr>
        <w:t>Existing federal, state and foreign laws regulate Internet tracking software, the senders of commercial em</w:t>
      </w:r>
      <w:r>
        <w:rPr>
          <w:b/>
          <w:bCs/>
          <w:i/>
          <w:iCs/>
          <w:sz w:val="20"/>
          <w:szCs w:val="20"/>
        </w:rPr>
        <w:t>ails and text messages, website owners and other activities, and could impact the use of our CRM Platform and potentially subject us to regulatory enforcement or private litigation</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Certain aspects of how our customers utilize our platform are subject to r</w:t>
      </w:r>
      <w:r>
        <w:rPr>
          <w:sz w:val="20"/>
          <w:szCs w:val="20"/>
        </w:rPr>
        <w:t xml:space="preserve">egulations in the United States, European Union and elsewhere. In recent years, U.S. and European lawmakers and regulators have expressed concern over the use of third-party cookies or web beacons for online behavioral advertising, and legislation adopted </w:t>
      </w:r>
      <w:r>
        <w:rPr>
          <w:sz w:val="20"/>
          <w:szCs w:val="20"/>
        </w:rPr>
        <w:t>recently in the European Union requires informed consent for the placement of a cookie on a user’s device. Regulation of cookies and web beacons may lead to restrictions on our activities, such as efforts to understand users’ Internet usage. New and expand</w:t>
      </w:r>
      <w:r>
        <w:rPr>
          <w:sz w:val="20"/>
          <w:szCs w:val="20"/>
        </w:rPr>
        <w:t>ing “Do Not Track” regulations have recently been enacted or proposed that protect users’ right to choose whether or not to be tracked online. These regulations seek, among other things, to allow end users to have greater control over the use of private in</w:t>
      </w:r>
      <w:r>
        <w:rPr>
          <w:sz w:val="20"/>
          <w:szCs w:val="20"/>
        </w:rPr>
        <w:t xml:space="preserve">formation collected online, to forbid the collection or use of online information, to demand a business to comply with their choice to opt out of such collection or use, and to place limits upon the disclosure of information to third-party websites. These </w:t>
      </w:r>
      <w:r>
        <w:rPr>
          <w:sz w:val="20"/>
          <w:szCs w:val="20"/>
        </w:rPr>
        <w:t>policies could have a significant impact on the operation of our CRM Platform and could impair our attractiveness to customers, which would harm our business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Many of our customers and potential customers in the healthcare, financial services and other in</w:t>
      </w:r>
      <w:r>
        <w:rPr>
          <w:sz w:val="20"/>
          <w:szCs w:val="20"/>
        </w:rPr>
        <w:t>dustries are subject to substantial regulation regarding their collection, use and protection of data and may be the subject of further regulation in the future. Accordingly, these laws or significant new laws or regulations or changes in, or repeals of, e</w:t>
      </w:r>
      <w:r>
        <w:rPr>
          <w:sz w:val="20"/>
          <w:szCs w:val="20"/>
        </w:rPr>
        <w:t>xisting laws, regulations or governmental policy may change the way these customers do business and may require us to implement additional features or offer additional contractual terms to satisfy customer and regulatory requirements, or could cause the de</w:t>
      </w:r>
      <w:r>
        <w:rPr>
          <w:sz w:val="20"/>
          <w:szCs w:val="20"/>
        </w:rPr>
        <w:t>mand for and sales of our CRM Platform to decrease and adversely impact our financial results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In addition, the Controlling the Assault of Non-Solicited Pornography and Marketing Act of 2003 ("CAN-SPAM Act"), establishes certain requirements for commercia</w:t>
      </w:r>
      <w:r>
        <w:rPr>
          <w:sz w:val="20"/>
          <w:szCs w:val="20"/>
        </w:rPr>
        <w:t>l email messages and specifies penalties for the transmission of commercial email messages that are intended to deceive the recipient as to source or content. The CAN-SPAM Act, among other things, obligates the sender of commercial emails to provide recipi</w:t>
      </w:r>
      <w:r>
        <w:rPr>
          <w:sz w:val="20"/>
          <w:szCs w:val="20"/>
        </w:rPr>
        <w:t>ents with the ability to opt out of receiving future commercial emails from the sender. The ability of our customers’ message recipients to opt out of receiving commercial emails may minimize the effectiveness of the email components of our CRM Platform. I</w:t>
      </w:r>
      <w:r>
        <w:rPr>
          <w:sz w:val="20"/>
          <w:szCs w:val="20"/>
        </w:rPr>
        <w:t>n addition, certain states and foreign jurisdictions, such as Australia, Canada and the European Union, have enacted laws that regulate sending email, and some of these laws are more restrictive than U.S. laws. For example, some foreign laws prohibit sendi</w:t>
      </w:r>
      <w:r>
        <w:rPr>
          <w:sz w:val="20"/>
          <w:szCs w:val="20"/>
        </w:rPr>
        <w:t>ng unsolicited email unless the recipient has provided the sender advance consent to receipt of such email, or in other words has “opted-in” to receiving it. A requirement that recipients opt into, or the ability of recipients to opt out of, receiving comm</w:t>
      </w:r>
      <w:r>
        <w:rPr>
          <w:sz w:val="20"/>
          <w:szCs w:val="20"/>
        </w:rPr>
        <w:t>ercial emails may minimize the effectiveness of our platform</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While these laws and regulations generally govern our customers’ use of our CRM Platform, we may be subject to certain laws as a data processor on behalf of, or as a business associate of, our </w:t>
      </w:r>
      <w:r>
        <w:rPr>
          <w:sz w:val="20"/>
          <w:szCs w:val="20"/>
        </w:rPr>
        <w:t>customers. For example, laws and regulations governing the collection, use and disclosure of personal data include, in the United States, rules and regulations promulgated under the authority of the Federal Trade Commission, the Health Insurance Portabilit</w:t>
      </w:r>
      <w:r>
        <w:rPr>
          <w:sz w:val="20"/>
          <w:szCs w:val="20"/>
        </w:rPr>
        <w:t xml:space="preserve">y and Accountability Act of 1996, the Gramm-Leach-Bliley Act of 1999 and state breach notification laws, and internationally, the GDPR and other privacy and data protection laws. If we were found to be in violation of any of these laws or regulations as a </w:t>
      </w:r>
      <w:r>
        <w:rPr>
          <w:sz w:val="20"/>
          <w:szCs w:val="20"/>
        </w:rPr>
        <w:t>result of government enforcement or private litigation, we could be subjected to civil and criminal sanctions, including both monetary fines and injunctive action that could force us to change our business practices, all of which could adversely affect our</w:t>
      </w:r>
      <w:r>
        <w:rPr>
          <w:sz w:val="20"/>
          <w:szCs w:val="20"/>
        </w:rPr>
        <w:t xml:space="preserve"> financial performance and significantly harm our reputation and our business</w:t>
      </w:r>
      <w:r>
        <w:rPr>
          <w:sz w:val="20"/>
          <w:szCs w:val="20"/>
        </w:rPr>
        <w:t>.</w:t>
      </w:r>
    </w:p>
    <w:p w:rsidR="00000000" w:rsidRDefault="00211603">
      <w:pPr>
        <w:pStyle w:val="a3"/>
        <w:spacing w:before="200" w:beforeAutospacing="0" w:after="0" w:afterAutospacing="0"/>
        <w:rPr>
          <w:sz w:val="20"/>
          <w:szCs w:val="20"/>
        </w:rPr>
      </w:pPr>
      <w:r>
        <w:rPr>
          <w:b/>
          <w:bCs/>
          <w:i/>
          <w:iCs/>
          <w:sz w:val="20"/>
          <w:szCs w:val="20"/>
        </w:rPr>
        <w:t>We are subject to governmental export controls and economic sanctions laws that could impair our ability to compete in international markets and subject us to liability if we ar</w:t>
      </w:r>
      <w:r>
        <w:rPr>
          <w:b/>
          <w:bCs/>
          <w:i/>
          <w:iCs/>
          <w:sz w:val="20"/>
          <w:szCs w:val="20"/>
        </w:rPr>
        <w:t>e not in full compliance with applicable laws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business activities are subject to various restrictions under U.S. export controls and trade and economic sanctions laws, including the U.S. Commerce Department’s Export Administration Regulations and economic and trade sanctions regulations maintained</w:t>
      </w:r>
      <w:r>
        <w:rPr>
          <w:sz w:val="20"/>
          <w:szCs w:val="20"/>
        </w:rPr>
        <w:t xml:space="preserve"> by the U.S. Treasury Department’s Office of Foreign Assets Control. If we fail to comply with these laws and regulations, we and certain of our employees could be subject to civil or criminal penalties and reputational harm. Obtaining the necessary author</w:t>
      </w:r>
      <w:r>
        <w:rPr>
          <w:sz w:val="20"/>
          <w:szCs w:val="20"/>
        </w:rPr>
        <w:t xml:space="preserve">izations, including any required license, for a particular transaction may be time-consuming, is not guaranteed, and may result in the delay or loss of sales opportunities. Furthermore, U.S. export control laws and economic sanctions laws prohibit certain </w:t>
      </w:r>
      <w:r>
        <w:rPr>
          <w:sz w:val="20"/>
          <w:szCs w:val="20"/>
        </w:rPr>
        <w:t>transactions with U.S. embargoed or sanctioned countries, governments, persons and entities. These sanctions laws with which w</w:t>
      </w:r>
      <w:r>
        <w:rPr>
          <w:sz w:val="20"/>
          <w:szCs w:val="20"/>
        </w:rPr>
        <w:t>e</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7</w:t>
      </w:r>
    </w:p>
    <w:p w:rsidR="00000000" w:rsidRDefault="00211603">
      <w:pPr>
        <w:rPr>
          <w:rFonts w:eastAsia="Times New Roman"/>
        </w:rPr>
      </w:pPr>
      <w:r>
        <w:rPr>
          <w:rFonts w:eastAsia="Times New Roman"/>
        </w:rPr>
        <w:pict>
          <v:rect id="_x0000_i1071"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must comply may also change rapidly from time to time as a result of geopolitical even</w:t>
      </w:r>
      <w:r>
        <w:rPr>
          <w:sz w:val="20"/>
          <w:szCs w:val="20"/>
        </w:rPr>
        <w:t>ts, such as the recent imposition of sanctions on Russia as a result of the conflict between Russia and Ukraine. Although we take precautions to prevent transactions with U.S. sanction targets, the possibility exists that we could inadvertently provide our</w:t>
      </w:r>
      <w:r>
        <w:rPr>
          <w:sz w:val="20"/>
          <w:szCs w:val="20"/>
        </w:rPr>
        <w:t xml:space="preserve"> solutions to persons prohibited by U.S. sanctions. This could result in negative consequences to us, including government investigations, penalties and reputational harm</w:t>
      </w:r>
      <w:r>
        <w:rPr>
          <w:sz w:val="20"/>
          <w:szCs w:val="20"/>
        </w:rPr>
        <w:t>.</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Taxatio</w:t>
      </w:r>
      <w:r>
        <w:rPr>
          <w:b/>
          <w:bCs/>
          <w:sz w:val="20"/>
          <w:szCs w:val="20"/>
        </w:rPr>
        <w:t>n</w:t>
      </w:r>
    </w:p>
    <w:p w:rsidR="00000000" w:rsidRDefault="00211603">
      <w:pPr>
        <w:pStyle w:val="a3"/>
        <w:spacing w:before="200" w:beforeAutospacing="0" w:after="0" w:afterAutospacing="0"/>
        <w:rPr>
          <w:sz w:val="20"/>
          <w:szCs w:val="20"/>
        </w:rPr>
      </w:pPr>
      <w:r>
        <w:rPr>
          <w:b/>
          <w:bCs/>
          <w:i/>
          <w:iCs/>
          <w:sz w:val="20"/>
          <w:szCs w:val="20"/>
        </w:rPr>
        <w:t>We may be subject to additional obligations to collect a</w:t>
      </w:r>
      <w:r>
        <w:rPr>
          <w:b/>
          <w:bCs/>
          <w:i/>
          <w:iCs/>
          <w:sz w:val="20"/>
          <w:szCs w:val="20"/>
        </w:rPr>
        <w:t>nd remit sales tax and other taxes, and we may be subject to tax liability for past sales, which could harm our business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State, local, and non-U.S. jurisdictions have differing rules and regulations governing sales, use, value added, Digital Services Tax,</w:t>
      </w:r>
      <w:r>
        <w:rPr>
          <w:sz w:val="20"/>
          <w:szCs w:val="20"/>
        </w:rPr>
        <w:t xml:space="preserve"> and other taxes, and these rules and regulations are subject to varying interpretations that may change over time. In particular, the applicability of such taxes to our CRM Platform in various jurisdictions is unclear. Further, these jurisdictions’ rules </w:t>
      </w:r>
      <w:r>
        <w:rPr>
          <w:sz w:val="20"/>
          <w:szCs w:val="20"/>
        </w:rPr>
        <w:t>regarding tax nexus are complex and vary significantly. As a result, we could face the possibility of tax assessments and audits, and our liability for these taxes and associated penalties could exceed our original estimates. A successful assertion that we</w:t>
      </w:r>
      <w:r>
        <w:rPr>
          <w:sz w:val="20"/>
          <w:szCs w:val="20"/>
        </w:rPr>
        <w:t xml:space="preserve"> should be collecting additional sales, use, value added or other taxes in those jurisdictions where we have not historically done so and do not accrue for such taxes could result in substantial tax liabilities and related penalties for past sales, discour</w:t>
      </w:r>
      <w:r>
        <w:rPr>
          <w:sz w:val="20"/>
          <w:szCs w:val="20"/>
        </w:rPr>
        <w:t>age customers from purchasing our application or otherwise harm our business and operating results</w:t>
      </w:r>
      <w:r>
        <w:rPr>
          <w:sz w:val="20"/>
          <w:szCs w:val="20"/>
        </w:rPr>
        <w:t>.</w:t>
      </w:r>
    </w:p>
    <w:p w:rsidR="00000000" w:rsidRDefault="00211603">
      <w:pPr>
        <w:pStyle w:val="a3"/>
        <w:spacing w:before="200" w:beforeAutospacing="0" w:after="0" w:afterAutospacing="0"/>
        <w:rPr>
          <w:sz w:val="20"/>
          <w:szCs w:val="20"/>
        </w:rPr>
      </w:pPr>
      <w:r>
        <w:rPr>
          <w:b/>
          <w:bCs/>
          <w:i/>
          <w:iCs/>
          <w:sz w:val="20"/>
          <w:szCs w:val="20"/>
        </w:rPr>
        <w:t>Changes in tax laws or regulations that are applied adversely to us or our customers could increase the costs of our CRM Platform and adversely impact our b</w:t>
      </w:r>
      <w:r>
        <w:rPr>
          <w:b/>
          <w:bCs/>
          <w:i/>
          <w:iCs/>
          <w:sz w:val="20"/>
          <w:szCs w:val="20"/>
        </w:rPr>
        <w:t>usiness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New income, sales, use or other tax laws, statutes, rules, regulations or ordinances could be enacted at any time. Any new taxes could adversely affect our domestic and international business operations, and our business and financial performance. Further,</w:t>
      </w:r>
      <w:r>
        <w:rPr>
          <w:sz w:val="20"/>
          <w:szCs w:val="20"/>
        </w:rPr>
        <w:t xml:space="preserve"> existing tax laws, statutes, rules, regulations or ordinances could be interpreted, changed, modified or applied adversely to us. These events could require us or our customers to pay additional tax amounts on a prospective or retroactive basis, as well a</w:t>
      </w:r>
      <w:r>
        <w:rPr>
          <w:sz w:val="20"/>
          <w:szCs w:val="20"/>
        </w:rPr>
        <w:t>s require us or our customers to pay fines and/or penalties and interest for past amounts deemed to be due. If we raise our prices to offset the costs of these changes, existing and potential future customers may elect not to continue or purchase our CRM P</w:t>
      </w:r>
      <w:r>
        <w:rPr>
          <w:sz w:val="20"/>
          <w:szCs w:val="20"/>
        </w:rPr>
        <w:t>latform in the future. Additionally, new, changed, modified or newly interpreted or applied tax laws could increase our customers’ and our compliance, operating and other costs, as well as the costs of our platform. Any or all of these events could adverse</w:t>
      </w:r>
      <w:r>
        <w:rPr>
          <w:sz w:val="20"/>
          <w:szCs w:val="20"/>
        </w:rPr>
        <w:t>ly impact our business, cash flows and financial performance. Furthermore, as our employees continue to work remotely from geographic locations across the United States and internationally, we may become subject to additional taxes and our compliance burde</w:t>
      </w:r>
      <w:r>
        <w:rPr>
          <w:sz w:val="20"/>
          <w:szCs w:val="20"/>
        </w:rPr>
        <w:t>ns with respect to the tax laws of additional jurisdictions may be increased</w:t>
      </w:r>
      <w:r>
        <w:rPr>
          <w:sz w:val="20"/>
          <w:szCs w:val="20"/>
        </w:rPr>
        <w:t>.</w:t>
      </w:r>
    </w:p>
    <w:p w:rsidR="00000000" w:rsidRDefault="00211603">
      <w:pPr>
        <w:pStyle w:val="a3"/>
        <w:spacing w:before="200" w:beforeAutospacing="0" w:after="0" w:afterAutospacing="0"/>
        <w:rPr>
          <w:sz w:val="20"/>
          <w:szCs w:val="20"/>
        </w:rPr>
      </w:pPr>
      <w:r>
        <w:rPr>
          <w:b/>
          <w:bCs/>
          <w:i/>
          <w:iCs/>
          <w:sz w:val="20"/>
          <w:szCs w:val="20"/>
        </w:rPr>
        <w:t>We are a multinational organization faced with increasingly complex tax issues in many jurisdictions, and we could be obligated to pay additional taxes in various jurisdictions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As a multinational organization, we may be subject to taxation in several jurisdictions around the world with increasingly complex tax laws, the application of which can be uncertain. The amount of taxes we pay in these jurisdictions could increase substan</w:t>
      </w:r>
      <w:r>
        <w:rPr>
          <w:sz w:val="20"/>
          <w:szCs w:val="20"/>
        </w:rPr>
        <w:t>tially as a result of changes in the applicable tax principles, including increased tax rates, new tax laws or revised interpretations of existing tax laws and precedents, or challenges to our tax positions by tax authorities, any of which could have a mat</w:t>
      </w:r>
      <w:r>
        <w:rPr>
          <w:sz w:val="20"/>
          <w:szCs w:val="20"/>
        </w:rPr>
        <w:t>erial adverse effect on our liquidity, financial condition or operating results. In addition, the authorities in these jurisdictions could review our tax returns and impose additional tax, interest and penalties, and the authorities could claim that variou</w:t>
      </w:r>
      <w:r>
        <w:rPr>
          <w:sz w:val="20"/>
          <w:szCs w:val="20"/>
        </w:rPr>
        <w:t>s withholding requirements apply to us or our subsidiaries or assert that benefits of tax treaties are not available to us or our subsidiaries, or assert that we are subject to tax in a jurisdiction where we believe we have not established a taxable nexus,</w:t>
      </w:r>
      <w:r>
        <w:rPr>
          <w:sz w:val="20"/>
          <w:szCs w:val="20"/>
        </w:rPr>
        <w:t xml:space="preserve"> often referred to as a “permanent establishment” under international tax treaties, any of which could have a material impact on us, our financial condition or our operating results</w:t>
      </w:r>
      <w:r>
        <w:rPr>
          <w:sz w:val="20"/>
          <w:szCs w:val="20"/>
        </w:rPr>
        <w:t>.</w:t>
      </w:r>
    </w:p>
    <w:p w:rsidR="00000000" w:rsidRDefault="00211603">
      <w:pPr>
        <w:pStyle w:val="a3"/>
        <w:spacing w:before="200" w:beforeAutospacing="0" w:after="0" w:afterAutospacing="0"/>
        <w:rPr>
          <w:sz w:val="20"/>
          <w:szCs w:val="20"/>
        </w:rPr>
      </w:pPr>
      <w:r>
        <w:rPr>
          <w:b/>
          <w:bCs/>
          <w:i/>
          <w:iCs/>
          <w:sz w:val="20"/>
          <w:szCs w:val="20"/>
        </w:rPr>
        <w:t xml:space="preserve">We may not be able to utilize a significant portion of our net operating </w:t>
      </w:r>
      <w:r>
        <w:rPr>
          <w:b/>
          <w:bCs/>
          <w:i/>
          <w:iCs/>
          <w:sz w:val="20"/>
          <w:szCs w:val="20"/>
        </w:rPr>
        <w:t>loss carryforwards, which could adversely affect our profitability</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have incurred losses during our history and do not expect to become profitable in the near future, and we may never achieve profitability. As of December 31, 2021, we had $1.2 billion o</w:t>
      </w:r>
      <w:r>
        <w:rPr>
          <w:sz w:val="20"/>
          <w:szCs w:val="20"/>
        </w:rPr>
        <w:t>f U.S. federal and $737.8 million of state net operating loss carryforwards due to prior period losses, which, if not utilized, some of which will begin to expire in 2027 for federal purposes and begin to expire in 2023 for state purposes. These net operat</w:t>
      </w:r>
      <w:r>
        <w:rPr>
          <w:sz w:val="20"/>
          <w:szCs w:val="20"/>
        </w:rPr>
        <w:t>ing loss carryforwards could expire unused and be unavailable to offset future income tax liabilities, which could adversely affect our profitability. Under current law, U.S federal and certain state net operating loss carryforwards incurred for periods be</w:t>
      </w:r>
      <w:r>
        <w:rPr>
          <w:sz w:val="20"/>
          <w:szCs w:val="20"/>
        </w:rPr>
        <w:t xml:space="preserve">ginning on or after January 1, 2018 would not expire unused because they can be carried forward indefinitely. Our unused U.S. federal net operating losses arising in taxable years beginning after December 31, 2017 and before January 1, 2021 may be carried </w:t>
      </w:r>
      <w:r>
        <w:rPr>
          <w:sz w:val="20"/>
          <w:szCs w:val="20"/>
        </w:rPr>
        <w:t>back to each of the five taxable years preceding the tax year of such losses, but those losses arising in taxable years beginning after December 31, 2017 may not be carried back. Moreover, for taxable years beginning afte</w:t>
      </w:r>
      <w:r>
        <w:rPr>
          <w:sz w:val="20"/>
          <w:szCs w:val="20"/>
        </w:rPr>
        <w:t>r</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8</w:t>
      </w:r>
    </w:p>
    <w:p w:rsidR="00000000" w:rsidRDefault="00211603">
      <w:pPr>
        <w:rPr>
          <w:rFonts w:eastAsia="Times New Roman"/>
        </w:rPr>
      </w:pPr>
      <w:r>
        <w:rPr>
          <w:rFonts w:eastAsia="Times New Roman"/>
        </w:rPr>
        <w:pict>
          <v:rect id="_x0000_i1072"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December 31, 2017, the deductibility of our U.S. federal net operating losses is limited to 80% of our taxable income in any future taxable year. In addition, under Section 382 and Section 383 of the Internal Revenue Code of 1986, as amended, whi</w:t>
      </w:r>
      <w:r>
        <w:rPr>
          <w:sz w:val="20"/>
          <w:szCs w:val="20"/>
        </w:rPr>
        <w:t>ch we refer to as the Code, our ability to utilize net operating loss carryforwards or other tax attributes, such as research tax credits, in any taxable year may be further limited if we experience an “ownership change.” An ownership change generally occu</w:t>
      </w:r>
      <w:r>
        <w:rPr>
          <w:sz w:val="20"/>
          <w:szCs w:val="20"/>
        </w:rPr>
        <w:t>rs if one or more stockholders or groups of stockholders who own at least 5% of our stock increase their ownership by more than 50 percentage points over their lowest ownership percentage (by value) within a rolling three-year period. Similar rules may app</w:t>
      </w:r>
      <w:r>
        <w:rPr>
          <w:sz w:val="20"/>
          <w:szCs w:val="20"/>
        </w:rPr>
        <w:t xml:space="preserve">ly under state tax laws. We may have experienced an ownership change in the past, and future issuances of our stock could cause an ownership change. It is possible that any such ownership change could have a material effect on the use of our net operating </w:t>
      </w:r>
      <w:r>
        <w:rPr>
          <w:sz w:val="20"/>
          <w:szCs w:val="20"/>
        </w:rPr>
        <w:t>loss carryforwards or other tax attributes accrued prior to such ownership change, which could adversely affect our profitability</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Our Operating Results and Financial Conditio</w:t>
      </w:r>
      <w:r>
        <w:rPr>
          <w:b/>
          <w:bCs/>
          <w:sz w:val="20"/>
          <w:szCs w:val="20"/>
        </w:rPr>
        <w:t>n</w:t>
      </w:r>
    </w:p>
    <w:p w:rsidR="00000000" w:rsidRDefault="00211603">
      <w:pPr>
        <w:pStyle w:val="a3"/>
        <w:spacing w:before="200" w:beforeAutospacing="0" w:after="0" w:afterAutospacing="0"/>
        <w:rPr>
          <w:sz w:val="20"/>
          <w:szCs w:val="20"/>
        </w:rPr>
      </w:pPr>
      <w:r>
        <w:rPr>
          <w:b/>
          <w:bCs/>
          <w:i/>
          <w:iCs/>
          <w:sz w:val="20"/>
          <w:szCs w:val="20"/>
        </w:rPr>
        <w:t>We have a history of losses and may not achieve profitabili</w:t>
      </w:r>
      <w:r>
        <w:rPr>
          <w:b/>
          <w:bCs/>
          <w:i/>
          <w:iCs/>
          <w:sz w:val="20"/>
          <w:szCs w:val="20"/>
        </w:rPr>
        <w:t>ty in the future</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We generated net losses of $9.3 million and $23.2 million for the three months ended March 31, 2022 and 2021, respectively. As of March 31, 2022, we had an accumulated deficit of $539.0 million. We will need to generate and sustain increa</w:t>
      </w:r>
      <w:r>
        <w:rPr>
          <w:sz w:val="20"/>
          <w:szCs w:val="20"/>
        </w:rPr>
        <w:t>sed revenue levels in future periods to become profitable, and, even if we do, we may not be able to maintain or increase our level of profitability. We intend to continue to expend significant funds to grow our marketing, sales, customer service, operatio</w:t>
      </w:r>
      <w:r>
        <w:rPr>
          <w:sz w:val="20"/>
          <w:szCs w:val="20"/>
        </w:rPr>
        <w:t>ns, and content management operations, develop and enhance our CRM Platform, scale our data center infrastructure and services capabilities and expand into new markets. Our efforts to grow our business may be more costly than we expect, and we may not be a</w:t>
      </w:r>
      <w:r>
        <w:rPr>
          <w:sz w:val="20"/>
          <w:szCs w:val="20"/>
        </w:rPr>
        <w:t>ble to increase our revenue enough to offset our higher operating expenses. We may incur significant losses in the future for a number of reasons, including the other risks described in this Quarterly Report on Form 10-Q, and unforeseen expenses, difficult</w:t>
      </w:r>
      <w:r>
        <w:rPr>
          <w:sz w:val="20"/>
          <w:szCs w:val="20"/>
        </w:rPr>
        <w:t>ies, complications and delays and other unknown events. If we are unable to achieve and sustain profitability, the market price of our common stock may significantly decrease</w:t>
      </w:r>
      <w:r>
        <w:rPr>
          <w:sz w:val="20"/>
          <w:szCs w:val="20"/>
        </w:rPr>
        <w:t>.</w:t>
      </w:r>
      <w:r>
        <w:rPr>
          <w:sz w:val="20"/>
          <w:szCs w:val="20"/>
        </w:rPr>
        <w:t xml:space="preserve"> </w:t>
      </w:r>
    </w:p>
    <w:p w:rsidR="00000000" w:rsidRDefault="00211603">
      <w:pPr>
        <w:pStyle w:val="a3"/>
        <w:spacing w:before="200" w:beforeAutospacing="0" w:after="0" w:afterAutospacing="0"/>
        <w:rPr>
          <w:sz w:val="20"/>
          <w:szCs w:val="20"/>
        </w:rPr>
      </w:pPr>
      <w:r>
        <w:rPr>
          <w:b/>
          <w:bCs/>
          <w:i/>
          <w:iCs/>
          <w:sz w:val="20"/>
          <w:szCs w:val="20"/>
        </w:rPr>
        <w:t>From time to time, we may invest funds in social impact investment funds, and m</w:t>
      </w:r>
      <w:r>
        <w:rPr>
          <w:b/>
          <w:bCs/>
          <w:i/>
          <w:iCs/>
          <w:sz w:val="20"/>
          <w:szCs w:val="20"/>
        </w:rPr>
        <w:t>ay receive no return on our investment or lose our entire investment</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From time to time, we may invest in social impact investment funds. For example, in December 2020, we committed to invest $12.5 million in the Black Economic Development Fund (“BEDF”) by December 2023. On March 9, 2021, we made a contribution of $2.3 milli</w:t>
      </w:r>
      <w:r>
        <w:rPr>
          <w:sz w:val="20"/>
          <w:szCs w:val="20"/>
        </w:rPr>
        <w:t xml:space="preserve">on in cash in the BEDF. On June 22, 2021, we made an additional contribution of $0.8 million in cash for an aggregate of 5.0% ownership interest and income share in the BEDF. The BEDF is managed by the Local Initiatives Support Corporation (“LISC”), which </w:t>
      </w:r>
      <w:r>
        <w:rPr>
          <w:sz w:val="20"/>
          <w:szCs w:val="20"/>
        </w:rPr>
        <w:t>expects to make investments from the BEDF in the form of bank deposits, bridge financing, and other financing to Black-led businesses, financial institutions, and anchor institutions. In December 2021, we invested the remaining commitment of $7.5 million i</w:t>
      </w:r>
      <w:r>
        <w:rPr>
          <w:sz w:val="20"/>
          <w:szCs w:val="20"/>
        </w:rPr>
        <w:t>n support of Minority Depository Institutions to help close the racial wealth, health and opportunity gap. There is no guarantee as to the performance of this investment or any similar investments we make in the future. Depending on the performance of this</w:t>
      </w:r>
      <w:r>
        <w:rPr>
          <w:sz w:val="20"/>
          <w:szCs w:val="20"/>
        </w:rPr>
        <w:t xml:space="preserve"> investment and future investments we may make, we may not receive any return on our investment or we may lose our entire investment, which could have an adverse effect on our business</w:t>
      </w:r>
      <w:r>
        <w:rPr>
          <w:sz w:val="20"/>
          <w:szCs w:val="20"/>
        </w:rPr>
        <w:t>.</w:t>
      </w:r>
    </w:p>
    <w:p w:rsidR="00000000" w:rsidRDefault="00211603">
      <w:pPr>
        <w:pStyle w:val="a3"/>
        <w:spacing w:before="200" w:beforeAutospacing="0" w:after="0" w:afterAutospacing="0"/>
        <w:rPr>
          <w:sz w:val="20"/>
          <w:szCs w:val="20"/>
        </w:rPr>
      </w:pPr>
      <w:r>
        <w:rPr>
          <w:b/>
          <w:bCs/>
          <w:i/>
          <w:iCs/>
          <w:sz w:val="20"/>
          <w:szCs w:val="20"/>
        </w:rPr>
        <w:t xml:space="preserve">We may experience quarterly fluctuations in our operating results due </w:t>
      </w:r>
      <w:r>
        <w:rPr>
          <w:b/>
          <w:bCs/>
          <w:i/>
          <w:iCs/>
          <w:sz w:val="20"/>
          <w:szCs w:val="20"/>
        </w:rPr>
        <w:t>to a number of factors, which makes our future results difficult to predict and could cause our operating results to fall below expectations or our guidance</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quarterly operating results have fluctuated in the past and are expected to fluctuate in the f</w:t>
      </w:r>
      <w:r>
        <w:rPr>
          <w:sz w:val="20"/>
          <w:szCs w:val="20"/>
        </w:rPr>
        <w:t>uture due to a variety of factors, many of which are outside of our control. As a result, our past results may not be indicative of our future performance, and comparing our operating results on a period-to-period basis may not be meaningful. In addition t</w:t>
      </w:r>
      <w:r>
        <w:rPr>
          <w:sz w:val="20"/>
          <w:szCs w:val="20"/>
        </w:rPr>
        <w:t>o the other risks described in this Quarterly Report on Form 10-Q, factors that may affect our quarterly operating results include the following</w:t>
      </w:r>
      <w:r>
        <w:rPr>
          <w:sz w:val="20"/>
          <w:szCs w:val="20"/>
        </w:rPr>
        <w:t>:</w:t>
      </w:r>
    </w:p>
    <w:p w:rsidR="00000000" w:rsidRDefault="00211603">
      <w:pPr>
        <w:divId w:val="1926641996"/>
        <w:rPr>
          <w:rFonts w:eastAsia="Times New Roman"/>
        </w:rPr>
      </w:pPr>
      <w:r>
        <w:rPr>
          <w:rFonts w:eastAsia="Times New Roman"/>
          <w:sz w:val="20"/>
          <w:szCs w:val="20"/>
        </w:rPr>
        <w:t>•</w:t>
      </w:r>
    </w:p>
    <w:p w:rsidR="00000000" w:rsidRDefault="00211603">
      <w:pPr>
        <w:divId w:val="32194521"/>
        <w:rPr>
          <w:rFonts w:eastAsia="Times New Roman"/>
        </w:rPr>
      </w:pPr>
      <w:r>
        <w:rPr>
          <w:rFonts w:eastAsia="Times New Roman"/>
          <w:sz w:val="20"/>
          <w:szCs w:val="20"/>
        </w:rPr>
        <w:t>changes in spending on marketing, sales and customer service software by our current or prospective customer</w:t>
      </w:r>
      <w:r>
        <w:rPr>
          <w:rFonts w:eastAsia="Times New Roman"/>
          <w:sz w:val="20"/>
          <w:szCs w:val="20"/>
        </w:rPr>
        <w:t>s</w:t>
      </w:r>
      <w:r>
        <w:rPr>
          <w:rFonts w:eastAsia="Times New Roman"/>
          <w:sz w:val="20"/>
          <w:szCs w:val="20"/>
        </w:rPr>
        <w:t>;</w:t>
      </w:r>
    </w:p>
    <w:p w:rsidR="00000000" w:rsidRDefault="00211603">
      <w:pPr>
        <w:divId w:val="2008243305"/>
        <w:rPr>
          <w:rFonts w:eastAsia="Times New Roman"/>
        </w:rPr>
      </w:pPr>
      <w:r>
        <w:rPr>
          <w:rFonts w:eastAsia="Times New Roman"/>
          <w:sz w:val="20"/>
          <w:szCs w:val="20"/>
        </w:rPr>
        <w:t>•</w:t>
      </w:r>
    </w:p>
    <w:p w:rsidR="00000000" w:rsidRDefault="00211603">
      <w:pPr>
        <w:divId w:val="891885352"/>
        <w:rPr>
          <w:rFonts w:eastAsia="Times New Roman"/>
        </w:rPr>
      </w:pPr>
      <w:r>
        <w:rPr>
          <w:rFonts w:eastAsia="Times New Roman"/>
          <w:sz w:val="20"/>
          <w:szCs w:val="20"/>
        </w:rPr>
        <w:t>pricing our CRM Platform subscriptions effectively so that we are able to attract and retain customers without compromising our profitability</w:t>
      </w:r>
      <w:r>
        <w:rPr>
          <w:rFonts w:eastAsia="Times New Roman"/>
          <w:sz w:val="20"/>
          <w:szCs w:val="20"/>
        </w:rPr>
        <w:t>;</w:t>
      </w:r>
    </w:p>
    <w:p w:rsidR="00000000" w:rsidRDefault="00211603">
      <w:pPr>
        <w:divId w:val="1643463860"/>
        <w:rPr>
          <w:rFonts w:eastAsia="Times New Roman"/>
        </w:rPr>
      </w:pPr>
      <w:r>
        <w:rPr>
          <w:rFonts w:eastAsia="Times New Roman"/>
          <w:sz w:val="20"/>
          <w:szCs w:val="20"/>
        </w:rPr>
        <w:t>•</w:t>
      </w:r>
    </w:p>
    <w:p w:rsidR="00000000" w:rsidRDefault="00211603">
      <w:pPr>
        <w:divId w:val="1101027510"/>
        <w:rPr>
          <w:rFonts w:eastAsia="Times New Roman"/>
        </w:rPr>
      </w:pPr>
      <w:r>
        <w:rPr>
          <w:rFonts w:eastAsia="Times New Roman"/>
          <w:sz w:val="20"/>
          <w:szCs w:val="20"/>
        </w:rPr>
        <w:t>attracting new customers for our marketing, sales, customer service, operations, and content management so</w:t>
      </w:r>
      <w:r>
        <w:rPr>
          <w:rFonts w:eastAsia="Times New Roman"/>
          <w:sz w:val="20"/>
          <w:szCs w:val="20"/>
        </w:rPr>
        <w:t>ftware, increasing our existing customers’ use of our platform and providing our customers with excellent customer support</w:t>
      </w:r>
      <w:r>
        <w:rPr>
          <w:rFonts w:eastAsia="Times New Roman"/>
          <w:sz w:val="20"/>
          <w:szCs w:val="20"/>
        </w:rPr>
        <w:t>;</w:t>
      </w:r>
    </w:p>
    <w:p w:rsidR="00000000" w:rsidRDefault="00211603">
      <w:pPr>
        <w:divId w:val="1194029591"/>
        <w:rPr>
          <w:rFonts w:eastAsia="Times New Roman"/>
        </w:rPr>
      </w:pPr>
      <w:r>
        <w:rPr>
          <w:rFonts w:eastAsia="Times New Roman"/>
          <w:sz w:val="20"/>
          <w:szCs w:val="20"/>
        </w:rPr>
        <w:t>•</w:t>
      </w:r>
    </w:p>
    <w:p w:rsidR="00000000" w:rsidRDefault="00211603">
      <w:pPr>
        <w:divId w:val="1189443210"/>
        <w:rPr>
          <w:rFonts w:eastAsia="Times New Roman"/>
        </w:rPr>
      </w:pPr>
      <w:r>
        <w:rPr>
          <w:rFonts w:eastAsia="Times New Roman"/>
          <w:sz w:val="20"/>
          <w:szCs w:val="20"/>
        </w:rPr>
        <w:t>customer renewal rates and the amounts for which agreements are renewed</w:t>
      </w:r>
      <w:r>
        <w:rPr>
          <w:rFonts w:eastAsia="Times New Roman"/>
          <w:sz w:val="20"/>
          <w:szCs w:val="20"/>
        </w:rPr>
        <w:t>;</w:t>
      </w:r>
    </w:p>
    <w:p w:rsidR="00000000" w:rsidRDefault="00211603">
      <w:pPr>
        <w:divId w:val="492647247"/>
        <w:rPr>
          <w:rFonts w:eastAsia="Times New Roman"/>
        </w:rPr>
      </w:pPr>
      <w:r>
        <w:rPr>
          <w:rFonts w:eastAsia="Times New Roman"/>
          <w:sz w:val="20"/>
          <w:szCs w:val="20"/>
        </w:rPr>
        <w:t>•</w:t>
      </w:r>
    </w:p>
    <w:p w:rsidR="00000000" w:rsidRDefault="00211603">
      <w:pPr>
        <w:divId w:val="322319548"/>
        <w:rPr>
          <w:rFonts w:eastAsia="Times New Roman"/>
        </w:rPr>
      </w:pPr>
      <w:r>
        <w:rPr>
          <w:rFonts w:eastAsia="Times New Roman"/>
          <w:sz w:val="20"/>
          <w:szCs w:val="20"/>
        </w:rPr>
        <w:t>global awareness of our thought leadership and brand;</w:t>
      </w:r>
      <w:r>
        <w:rPr>
          <w:rFonts w:eastAsia="Times New Roman"/>
          <w:sz w:val="20"/>
          <w:szCs w:val="20"/>
        </w:rPr>
        <w:t xml:space="preserve"> </w:t>
      </w:r>
    </w:p>
    <w:p w:rsidR="00000000" w:rsidRDefault="00211603">
      <w:pPr>
        <w:divId w:val="1306357132"/>
        <w:rPr>
          <w:rFonts w:eastAsia="Times New Roman"/>
        </w:rPr>
      </w:pPr>
      <w:r>
        <w:rPr>
          <w:rFonts w:eastAsia="Times New Roman"/>
          <w:sz w:val="20"/>
          <w:szCs w:val="20"/>
        </w:rPr>
        <w:t>•</w:t>
      </w:r>
    </w:p>
    <w:p w:rsidR="00000000" w:rsidRDefault="00211603">
      <w:pPr>
        <w:divId w:val="1951889238"/>
        <w:rPr>
          <w:rFonts w:eastAsia="Times New Roman"/>
        </w:rPr>
      </w:pPr>
      <w:r>
        <w:rPr>
          <w:rFonts w:eastAsia="Times New Roman"/>
          <w:sz w:val="20"/>
          <w:szCs w:val="20"/>
        </w:rPr>
        <w:t>changes in the competitive dynamics of our market, including consolidation among competitors or customers and the introduction of new products or product enhancements;</w:t>
      </w:r>
      <w:r>
        <w:rPr>
          <w:rFonts w:eastAsia="Times New Roman"/>
          <w:sz w:val="20"/>
          <w:szCs w:val="20"/>
        </w:rPr>
        <w:t xml:space="preserve"> </w:t>
      </w:r>
    </w:p>
    <w:p w:rsidR="00000000" w:rsidRDefault="00211603">
      <w:pPr>
        <w:pStyle w:val="a3"/>
        <w:spacing w:before="240" w:beforeAutospacing="0" w:after="0" w:afterAutospacing="0"/>
        <w:jc w:val="center"/>
        <w:rPr>
          <w:sz w:val="20"/>
          <w:szCs w:val="20"/>
        </w:rPr>
      </w:pPr>
      <w:r>
        <w:rPr>
          <w:sz w:val="20"/>
          <w:szCs w:val="20"/>
        </w:rPr>
        <w:t>4</w:t>
      </w:r>
      <w:r>
        <w:rPr>
          <w:sz w:val="20"/>
          <w:szCs w:val="20"/>
        </w:rPr>
        <w:t>9</w:t>
      </w:r>
    </w:p>
    <w:p w:rsidR="00000000" w:rsidRDefault="00211603">
      <w:pPr>
        <w:rPr>
          <w:rFonts w:eastAsia="Times New Roman"/>
        </w:rPr>
      </w:pPr>
      <w:r>
        <w:rPr>
          <w:rFonts w:eastAsia="Times New Roman"/>
        </w:rPr>
        <w:pict>
          <v:rect id="_x0000_i1073"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divId w:val="314578597"/>
        <w:rPr>
          <w:rFonts w:eastAsia="Times New Roman"/>
        </w:rPr>
      </w:pPr>
      <w:r>
        <w:rPr>
          <w:rFonts w:eastAsia="Times New Roman"/>
          <w:sz w:val="20"/>
          <w:szCs w:val="20"/>
        </w:rPr>
        <w:t>•</w:t>
      </w:r>
    </w:p>
    <w:p w:rsidR="00000000" w:rsidRDefault="00211603">
      <w:pPr>
        <w:divId w:val="695542840"/>
        <w:rPr>
          <w:rFonts w:eastAsia="Times New Roman"/>
        </w:rPr>
      </w:pPr>
      <w:r>
        <w:rPr>
          <w:rFonts w:eastAsia="Times New Roman"/>
          <w:sz w:val="20"/>
          <w:szCs w:val="20"/>
        </w:rPr>
        <w:t>changes to the commission plans, quotas an</w:t>
      </w:r>
      <w:r>
        <w:rPr>
          <w:rFonts w:eastAsia="Times New Roman"/>
          <w:sz w:val="20"/>
          <w:szCs w:val="20"/>
        </w:rPr>
        <w:t>d other compensation-related metrics for our sales representatives</w:t>
      </w:r>
      <w:r>
        <w:rPr>
          <w:rFonts w:eastAsia="Times New Roman"/>
          <w:sz w:val="20"/>
          <w:szCs w:val="20"/>
        </w:rPr>
        <w:t>;</w:t>
      </w:r>
    </w:p>
    <w:p w:rsidR="00000000" w:rsidRDefault="00211603">
      <w:pPr>
        <w:divId w:val="1903566274"/>
        <w:rPr>
          <w:rFonts w:eastAsia="Times New Roman"/>
        </w:rPr>
      </w:pPr>
      <w:r>
        <w:rPr>
          <w:rFonts w:eastAsia="Times New Roman"/>
          <w:sz w:val="20"/>
          <w:szCs w:val="20"/>
        </w:rPr>
        <w:t>•</w:t>
      </w:r>
    </w:p>
    <w:p w:rsidR="00000000" w:rsidRDefault="00211603">
      <w:pPr>
        <w:divId w:val="1427455086"/>
        <w:rPr>
          <w:rFonts w:eastAsia="Times New Roman"/>
        </w:rPr>
      </w:pPr>
      <w:r>
        <w:rPr>
          <w:rFonts w:eastAsia="Times New Roman"/>
          <w:sz w:val="20"/>
          <w:szCs w:val="20"/>
        </w:rPr>
        <w:t>the amount and timing of payment for operating expenses, particularly research and development, sales and marketing expenses and employee benefit expenses;</w:t>
      </w:r>
      <w:r>
        <w:rPr>
          <w:rFonts w:eastAsia="Times New Roman"/>
          <w:sz w:val="20"/>
          <w:szCs w:val="20"/>
        </w:rPr>
        <w:t xml:space="preserve"> </w:t>
      </w:r>
    </w:p>
    <w:p w:rsidR="00000000" w:rsidRDefault="00211603">
      <w:pPr>
        <w:divId w:val="1520503376"/>
        <w:rPr>
          <w:rFonts w:eastAsia="Times New Roman"/>
        </w:rPr>
      </w:pPr>
      <w:r>
        <w:rPr>
          <w:rFonts w:eastAsia="Times New Roman"/>
          <w:sz w:val="20"/>
          <w:szCs w:val="20"/>
        </w:rPr>
        <w:t>•</w:t>
      </w:r>
    </w:p>
    <w:p w:rsidR="00000000" w:rsidRDefault="00211603">
      <w:pPr>
        <w:divId w:val="975332138"/>
        <w:rPr>
          <w:rFonts w:eastAsia="Times New Roman"/>
        </w:rPr>
      </w:pPr>
      <w:r>
        <w:rPr>
          <w:rFonts w:eastAsia="Times New Roman"/>
          <w:sz w:val="20"/>
          <w:szCs w:val="20"/>
        </w:rPr>
        <w:t>the amount and timing of co</w:t>
      </w:r>
      <w:r>
        <w:rPr>
          <w:rFonts w:eastAsia="Times New Roman"/>
          <w:sz w:val="20"/>
          <w:szCs w:val="20"/>
        </w:rPr>
        <w:t>sts associated with recruiting, training and integrating new employees while maintaining our company culture</w:t>
      </w:r>
      <w:r>
        <w:rPr>
          <w:rFonts w:eastAsia="Times New Roman"/>
          <w:sz w:val="20"/>
          <w:szCs w:val="20"/>
        </w:rPr>
        <w:t>;</w:t>
      </w:r>
    </w:p>
    <w:p w:rsidR="00000000" w:rsidRDefault="00211603">
      <w:pPr>
        <w:divId w:val="503251910"/>
        <w:rPr>
          <w:rFonts w:eastAsia="Times New Roman"/>
        </w:rPr>
      </w:pPr>
      <w:r>
        <w:rPr>
          <w:rFonts w:eastAsia="Times New Roman"/>
          <w:sz w:val="20"/>
          <w:szCs w:val="20"/>
        </w:rPr>
        <w:t>•</w:t>
      </w:r>
    </w:p>
    <w:p w:rsidR="00000000" w:rsidRDefault="00211603">
      <w:pPr>
        <w:divId w:val="879131260"/>
        <w:rPr>
          <w:rFonts w:eastAsia="Times New Roman"/>
        </w:rPr>
      </w:pPr>
      <w:r>
        <w:rPr>
          <w:rFonts w:eastAsia="Times New Roman"/>
          <w:sz w:val="20"/>
          <w:szCs w:val="20"/>
        </w:rPr>
        <w:t>our ability to manage our existing business and future growth, including increases in the number of customers on our platform and the introduction and adoption of our CRM Platform in new markets outside of the United States</w:t>
      </w:r>
      <w:r>
        <w:rPr>
          <w:rFonts w:eastAsia="Times New Roman"/>
          <w:sz w:val="20"/>
          <w:szCs w:val="20"/>
        </w:rPr>
        <w:t>;</w:t>
      </w:r>
    </w:p>
    <w:p w:rsidR="00000000" w:rsidRDefault="00211603">
      <w:pPr>
        <w:divId w:val="1377271179"/>
        <w:rPr>
          <w:rFonts w:eastAsia="Times New Roman"/>
        </w:rPr>
      </w:pPr>
      <w:r>
        <w:rPr>
          <w:rFonts w:eastAsia="Times New Roman"/>
          <w:sz w:val="20"/>
          <w:szCs w:val="20"/>
        </w:rPr>
        <w:t>•</w:t>
      </w:r>
    </w:p>
    <w:p w:rsidR="00000000" w:rsidRDefault="00211603">
      <w:pPr>
        <w:divId w:val="1387535327"/>
        <w:rPr>
          <w:rFonts w:eastAsia="Times New Roman"/>
        </w:rPr>
      </w:pPr>
      <w:r>
        <w:rPr>
          <w:rFonts w:eastAsia="Times New Roman"/>
          <w:sz w:val="20"/>
          <w:szCs w:val="20"/>
        </w:rPr>
        <w:t>unforeseen costs and expenses</w:t>
      </w:r>
      <w:r>
        <w:rPr>
          <w:rFonts w:eastAsia="Times New Roman"/>
          <w:sz w:val="20"/>
          <w:szCs w:val="20"/>
        </w:rPr>
        <w:t xml:space="preserve"> related to the expansion of our business, operations and infrastructure, including disruptions in our hosting network infrastructure and privacy and data security</w:t>
      </w:r>
      <w:r>
        <w:rPr>
          <w:rFonts w:eastAsia="Times New Roman"/>
          <w:sz w:val="20"/>
          <w:szCs w:val="20"/>
        </w:rPr>
        <w:t>;</w:t>
      </w:r>
    </w:p>
    <w:p w:rsidR="00000000" w:rsidRDefault="00211603">
      <w:pPr>
        <w:divId w:val="6100973"/>
        <w:rPr>
          <w:rFonts w:eastAsia="Times New Roman"/>
        </w:rPr>
      </w:pPr>
      <w:r>
        <w:rPr>
          <w:rFonts w:eastAsia="Times New Roman"/>
          <w:sz w:val="20"/>
          <w:szCs w:val="20"/>
        </w:rPr>
        <w:t>•</w:t>
      </w:r>
    </w:p>
    <w:p w:rsidR="00000000" w:rsidRDefault="00211603">
      <w:pPr>
        <w:divId w:val="1649284748"/>
        <w:rPr>
          <w:rFonts w:eastAsia="Times New Roman"/>
        </w:rPr>
      </w:pPr>
      <w:r>
        <w:rPr>
          <w:rFonts w:eastAsia="Times New Roman"/>
          <w:sz w:val="20"/>
          <w:szCs w:val="20"/>
        </w:rPr>
        <w:t>foreign currency exchange rate fluctuations;</w:t>
      </w:r>
      <w:r>
        <w:rPr>
          <w:rFonts w:eastAsia="Times New Roman"/>
          <w:sz w:val="20"/>
          <w:szCs w:val="20"/>
        </w:rPr>
        <w:t xml:space="preserve"> </w:t>
      </w:r>
    </w:p>
    <w:p w:rsidR="00000000" w:rsidRDefault="00211603">
      <w:pPr>
        <w:divId w:val="909509002"/>
        <w:rPr>
          <w:rFonts w:eastAsia="Times New Roman"/>
        </w:rPr>
      </w:pPr>
      <w:r>
        <w:rPr>
          <w:rFonts w:eastAsia="Times New Roman"/>
          <w:sz w:val="20"/>
          <w:szCs w:val="20"/>
        </w:rPr>
        <w:t>•</w:t>
      </w:r>
    </w:p>
    <w:p w:rsidR="00000000" w:rsidRDefault="00211603">
      <w:pPr>
        <w:divId w:val="2068255813"/>
        <w:rPr>
          <w:rFonts w:eastAsia="Times New Roman"/>
        </w:rPr>
      </w:pPr>
      <w:r>
        <w:rPr>
          <w:rFonts w:eastAsia="Times New Roman"/>
          <w:sz w:val="20"/>
          <w:szCs w:val="20"/>
        </w:rPr>
        <w:t>rising inflation in the economies in whic</w:t>
      </w:r>
      <w:r>
        <w:rPr>
          <w:rFonts w:eastAsia="Times New Roman"/>
          <w:sz w:val="20"/>
          <w:szCs w:val="20"/>
        </w:rPr>
        <w:t>h we operate and our ability to control costs, including operating expenses; an</w:t>
      </w:r>
      <w:r>
        <w:rPr>
          <w:rFonts w:eastAsia="Times New Roman"/>
          <w:sz w:val="20"/>
          <w:szCs w:val="20"/>
        </w:rPr>
        <w:t>d</w:t>
      </w:r>
    </w:p>
    <w:p w:rsidR="00000000" w:rsidRDefault="00211603">
      <w:pPr>
        <w:divId w:val="346715336"/>
        <w:rPr>
          <w:rFonts w:eastAsia="Times New Roman"/>
        </w:rPr>
      </w:pPr>
      <w:r>
        <w:rPr>
          <w:rFonts w:eastAsia="Times New Roman"/>
          <w:sz w:val="20"/>
          <w:szCs w:val="20"/>
        </w:rPr>
        <w:t>•</w:t>
      </w:r>
    </w:p>
    <w:p w:rsidR="00000000" w:rsidRDefault="00211603">
      <w:pPr>
        <w:divId w:val="312565764"/>
        <w:rPr>
          <w:rFonts w:eastAsia="Times New Roman"/>
        </w:rPr>
      </w:pPr>
      <w:r>
        <w:rPr>
          <w:rFonts w:eastAsia="Times New Roman"/>
          <w:sz w:val="20"/>
          <w:szCs w:val="20"/>
        </w:rPr>
        <w:t>general economic and political conditions in our domestic and international markets</w:t>
      </w:r>
      <w:r>
        <w:rPr>
          <w:rFonts w:eastAsia="Times New Roman"/>
          <w:sz w:val="20"/>
          <w:szCs w:val="20"/>
        </w:rPr>
        <w:t>.</w:t>
      </w:r>
    </w:p>
    <w:p w:rsidR="00000000" w:rsidRDefault="00211603">
      <w:pPr>
        <w:pStyle w:val="a3"/>
        <w:spacing w:before="200" w:beforeAutospacing="0" w:after="0" w:afterAutospacing="0"/>
        <w:ind w:firstLine="555"/>
        <w:rPr>
          <w:sz w:val="20"/>
          <w:szCs w:val="20"/>
        </w:rPr>
      </w:pPr>
      <w:r>
        <w:rPr>
          <w:sz w:val="20"/>
          <w:szCs w:val="20"/>
        </w:rPr>
        <w:t>We may not be able to accurately forecast the amount and mix of future subscriptions, re</w:t>
      </w:r>
      <w:r>
        <w:rPr>
          <w:sz w:val="20"/>
          <w:szCs w:val="20"/>
        </w:rPr>
        <w:t>venue and expenses and, as a result, our operating results may fall below our estimates or the expectations of public market analysts and investors. If our revenue or operating results fall below the expectations of investors or securities analysts, or bel</w:t>
      </w:r>
      <w:r>
        <w:rPr>
          <w:sz w:val="20"/>
          <w:szCs w:val="20"/>
        </w:rPr>
        <w:t>ow any guidance we may provide, the price of our common stock could decline</w:t>
      </w:r>
      <w:r>
        <w:rPr>
          <w:sz w:val="20"/>
          <w:szCs w:val="20"/>
        </w:rPr>
        <w:t>.</w:t>
      </w:r>
    </w:p>
    <w:p w:rsidR="00000000" w:rsidRDefault="00211603">
      <w:pPr>
        <w:pStyle w:val="a3"/>
        <w:spacing w:before="200" w:beforeAutospacing="0" w:after="0" w:afterAutospacing="0"/>
        <w:rPr>
          <w:sz w:val="20"/>
          <w:szCs w:val="20"/>
        </w:rPr>
      </w:pPr>
      <w:r>
        <w:rPr>
          <w:b/>
          <w:bCs/>
          <w:i/>
          <w:iCs/>
          <w:sz w:val="20"/>
          <w:szCs w:val="20"/>
        </w:rPr>
        <w:t>If we do not accurately predict subscription renewal rates or otherwise fail to forecast our revenue accurately, or if we fail to match our expenditures with corresponding revenue</w:t>
      </w:r>
      <w:r>
        <w:rPr>
          <w:b/>
          <w:bCs/>
          <w:i/>
          <w:iCs/>
          <w:sz w:val="20"/>
          <w:szCs w:val="20"/>
        </w:rPr>
        <w:t>, our operating results could be adversely affected</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Because our recent growth has resulted in the rapid expansion of our business, we do not have a long history upon which to base forecasts of renewal rates with customers or future operating revenue. As a</w:t>
      </w:r>
      <w:r>
        <w:rPr>
          <w:sz w:val="20"/>
          <w:szCs w:val="20"/>
        </w:rPr>
        <w:t xml:space="preserve"> result, our operating results in future reporting periods may be significantly below the expectations of the public market, equity research analysts or investors, which could harm the price of our common stock</w:t>
      </w:r>
      <w:r>
        <w:rPr>
          <w:sz w:val="20"/>
          <w:szCs w:val="20"/>
        </w:rPr>
        <w:t>.</w:t>
      </w:r>
    </w:p>
    <w:p w:rsidR="00000000" w:rsidRDefault="00211603">
      <w:pPr>
        <w:pStyle w:val="a3"/>
        <w:spacing w:before="200" w:beforeAutospacing="0" w:after="0" w:afterAutospacing="0"/>
        <w:rPr>
          <w:sz w:val="20"/>
          <w:szCs w:val="20"/>
        </w:rPr>
      </w:pPr>
      <w:r>
        <w:rPr>
          <w:b/>
          <w:bCs/>
          <w:i/>
          <w:iCs/>
          <w:sz w:val="20"/>
          <w:szCs w:val="20"/>
        </w:rPr>
        <w:t xml:space="preserve">Because we generally recognize revenue from </w:t>
      </w:r>
      <w:r>
        <w:rPr>
          <w:b/>
          <w:bCs/>
          <w:i/>
          <w:iCs/>
          <w:sz w:val="20"/>
          <w:szCs w:val="20"/>
        </w:rPr>
        <w:t>subscriptions ratably over the term of the agreement, near term changes in sales may not be reflected immediately in our operating results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We offer our CRM Platform primarily through a mix of monthly, quarterly and single-year subscription agreements and </w:t>
      </w:r>
      <w:r>
        <w:rPr>
          <w:sz w:val="20"/>
          <w:szCs w:val="20"/>
        </w:rPr>
        <w:t>generally recognize revenue ratably over the related subscription period. As a result, much of the revenue we report in each quarter is derived from agreements entered into during prior months, quarters or years. In addition, we do not record deferred reve</w:t>
      </w:r>
      <w:r>
        <w:rPr>
          <w:sz w:val="20"/>
          <w:szCs w:val="20"/>
        </w:rPr>
        <w:t>nue beyond amounts invoiced as a liability on our balance sheet. A decline in new or renewed subscriptions or marketing solutions agreements in any one quarter is not likely to be reflected immediately in our revenue results for that quarter. Such declines</w:t>
      </w:r>
      <w:r>
        <w:rPr>
          <w:sz w:val="20"/>
          <w:szCs w:val="20"/>
        </w:rPr>
        <w:t>, however, would negatively affect our revenue and deferred revenue balances in future periods, and the effect of significant downturns in sales and market acceptance of our platform, and potential changes in our rate of renewals, may not be fully reflecte</w:t>
      </w:r>
      <w:r>
        <w:rPr>
          <w:sz w:val="20"/>
          <w:szCs w:val="20"/>
        </w:rPr>
        <w:t>d in our results of operations until future periods. Our subscription model also makes it difficult for us to rapidly increase our total revenue and deferred revenue balance through additional sales in any period, as revenue from new customers must be reco</w:t>
      </w:r>
      <w:r>
        <w:rPr>
          <w:sz w:val="20"/>
          <w:szCs w:val="20"/>
        </w:rPr>
        <w:t>gnized over the applicable subscription term</w:t>
      </w:r>
      <w:r>
        <w:rPr>
          <w:sz w:val="20"/>
          <w:szCs w:val="20"/>
        </w:rPr>
        <w:t>.</w:t>
      </w:r>
    </w:p>
    <w:p w:rsidR="00000000" w:rsidRDefault="00211603">
      <w:pPr>
        <w:pStyle w:val="a3"/>
        <w:spacing w:before="200" w:beforeAutospacing="0" w:after="0" w:afterAutospacing="0"/>
        <w:ind w:firstLine="555"/>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Our Note</w:t>
      </w:r>
      <w:r>
        <w:rPr>
          <w:b/>
          <w:bCs/>
          <w:sz w:val="20"/>
          <w:szCs w:val="20"/>
        </w:rPr>
        <w:t>s</w:t>
      </w:r>
    </w:p>
    <w:p w:rsidR="00000000" w:rsidRDefault="00211603">
      <w:pPr>
        <w:pStyle w:val="a3"/>
        <w:spacing w:before="200" w:beforeAutospacing="0" w:after="0" w:afterAutospacing="0"/>
        <w:rPr>
          <w:sz w:val="20"/>
          <w:szCs w:val="20"/>
        </w:rPr>
      </w:pPr>
      <w:r>
        <w:rPr>
          <w:b/>
          <w:bCs/>
          <w:i/>
          <w:iCs/>
          <w:sz w:val="20"/>
          <w:szCs w:val="20"/>
        </w:rPr>
        <w:t>Servicing our debt may require a significant amount of cash. We may not have sufficient cash flow from our business to pay our indebtedness, and we may not have the ability to raise the funds necessary to settle for cash conversions of the Notes or to repu</w:t>
      </w:r>
      <w:r>
        <w:rPr>
          <w:b/>
          <w:bCs/>
          <w:i/>
          <w:iCs/>
          <w:sz w:val="20"/>
          <w:szCs w:val="20"/>
        </w:rPr>
        <w:t>rchase the Notes for cash upon a fundamental change, which could adversely affect our business and results of operations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We incurred indebtedness in the aggregate principal amount of $400.0 million in connection with the issuance of our 0.25% convertible </w:t>
      </w:r>
      <w:r>
        <w:rPr>
          <w:sz w:val="20"/>
          <w:szCs w:val="20"/>
        </w:rPr>
        <w:t>senior notes due June 1, 2022 (the “2022 Notes”). In June 2020, the Company exchanged approximately $272.1 million in aggregate principal amount of the 2022 Notes in privately-negotiated transactions for an aggregate of approximately $283.0 million in cash</w:t>
      </w:r>
      <w:r>
        <w:rPr>
          <w:sz w:val="20"/>
          <w:szCs w:val="20"/>
        </w:rPr>
        <w:t xml:space="preserve"> and 1.6 million shares of common stock. As of December 31, 2021, $19.4 million of principal remains outstanding on the 2022 Notes. In June 2020, concurrent with the partial repurchase of the 2022 Notes, we incurred indebtedness in the aggregate principal </w:t>
      </w:r>
      <w:r>
        <w:rPr>
          <w:sz w:val="20"/>
          <w:szCs w:val="20"/>
        </w:rPr>
        <w:t xml:space="preserve">amount of $460.0 million in connection with the issuance of our 0.375% convertible senior notes due June 1, 2025 (the “2025 Notes”) and together with the 2022 Notes (the “Notes”). Our ability to make scheduled payments of the principal of, to pay interest </w:t>
      </w:r>
      <w:r>
        <w:rPr>
          <w:sz w:val="20"/>
          <w:szCs w:val="20"/>
        </w:rPr>
        <w:t>on or t</w:t>
      </w:r>
      <w:r>
        <w:rPr>
          <w:sz w:val="20"/>
          <w:szCs w:val="20"/>
        </w:rPr>
        <w:t>o</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5</w:t>
      </w:r>
      <w:r>
        <w:rPr>
          <w:sz w:val="20"/>
          <w:szCs w:val="20"/>
        </w:rPr>
        <w:t>0</w:t>
      </w:r>
    </w:p>
    <w:p w:rsidR="00000000" w:rsidRDefault="00211603">
      <w:pPr>
        <w:rPr>
          <w:rFonts w:eastAsia="Times New Roman"/>
        </w:rPr>
      </w:pPr>
      <w:r>
        <w:rPr>
          <w:rFonts w:eastAsia="Times New Roman"/>
        </w:rPr>
        <w:pict>
          <v:rect id="_x0000_i1074"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refinance our indebtedness, including the Notes, depends on our future performance, which is subject to economic, financial, competitive and other factors beyond our control. Our business may not continue</w:t>
      </w:r>
      <w:r>
        <w:rPr>
          <w:sz w:val="20"/>
          <w:szCs w:val="20"/>
        </w:rPr>
        <w:t xml:space="preserve"> to generate cash flow from operations in the future sufficient to service our debt and make necessary capital expenditures. If we are unable to generate such cash flow, we may be required to adopt one or more alternatives, such as selling assets, restruct</w:t>
      </w:r>
      <w:r>
        <w:rPr>
          <w:sz w:val="20"/>
          <w:szCs w:val="20"/>
        </w:rPr>
        <w:t>uring debt or obtaining additional debt financing or equity capital on terms that may be onerous or highly dilutive. Our ability to refinance any future indebtedness will depend on the capital markets and our financial condition at such time. We may not be</w:t>
      </w:r>
      <w:r>
        <w:rPr>
          <w:sz w:val="20"/>
          <w:szCs w:val="20"/>
        </w:rPr>
        <w:t xml:space="preserve"> able to engage in any of these activities or engage in these activities on desirable terms, which could result in a default on our debt obligations. In addition, any of our future debt agreements may contain restrictive covenants that may prohibit us from</w:t>
      </w:r>
      <w:r>
        <w:rPr>
          <w:sz w:val="20"/>
          <w:szCs w:val="20"/>
        </w:rPr>
        <w:t xml:space="preserve"> adopting any of these alternatives. Our failure to comply with these covenants could result in an event of default which, if not cured or waived, could result in the acceleration of our debt</w:t>
      </w:r>
      <w:r>
        <w:rPr>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In addition, holders of the Notes have the right to require us </w:t>
      </w:r>
      <w:r>
        <w:rPr>
          <w:sz w:val="20"/>
          <w:szCs w:val="20"/>
        </w:rPr>
        <w:t>to repurchase their Notes upon the occurrence of a fundamental change at a fundamental change repurchase price equal to 100% of the principal amount of the Notes to be repurchased, plus accrued and unpaid interest, if any. Upon conversion of the Notes, unl</w:t>
      </w:r>
      <w:r>
        <w:rPr>
          <w:sz w:val="20"/>
          <w:szCs w:val="20"/>
        </w:rPr>
        <w:t>ess we elect to deliver solely shares of our common stock to settle such conversion (other than paying cash in lieu of delivering any fractional share), we will be required to make cash payments in respect of the Notes being converted. We may not have enou</w:t>
      </w:r>
      <w:r>
        <w:rPr>
          <w:sz w:val="20"/>
          <w:szCs w:val="20"/>
        </w:rPr>
        <w:t>gh available cash or be able to obtain financing at the time we are required to make repurchases of Notes surrendered therefore or Notes being converted. In addition, our ability to repurchase the Notes or to pay cash upon conversions of the Notes may be l</w:t>
      </w:r>
      <w:r>
        <w:rPr>
          <w:sz w:val="20"/>
          <w:szCs w:val="20"/>
        </w:rPr>
        <w:t>imited by law, by regulatory authority or by agreements governing our future indebtedness. Our failure to repurchase Notes at a time when the repurchase is required by the indenture governing the notes or to pay any cash payable on future conversions of th</w:t>
      </w:r>
      <w:r>
        <w:rPr>
          <w:sz w:val="20"/>
          <w:szCs w:val="20"/>
        </w:rPr>
        <w:t>e Notes as required by such indenture would constitute a default under such indenture. A default under the indenture or the fundamental change itself could also lead to a default under agreements governing our future indebtedness. If the repayment of the r</w:t>
      </w:r>
      <w:r>
        <w:rPr>
          <w:sz w:val="20"/>
          <w:szCs w:val="20"/>
        </w:rPr>
        <w:t>elated indebtedness were to be accelerated after any applicable notice or grace periods, we may not have sufficient funds to repay the indebtedness and repurchase the Notes or make cash payments upon conversions thereof</w:t>
      </w:r>
      <w:r>
        <w:rPr>
          <w:sz w:val="20"/>
          <w:szCs w:val="20"/>
        </w:rPr>
        <w:t>.</w:t>
      </w:r>
    </w:p>
    <w:p w:rsidR="00000000" w:rsidRDefault="00211603">
      <w:pPr>
        <w:pStyle w:val="a3"/>
        <w:spacing w:before="200" w:beforeAutospacing="0" w:after="0" w:afterAutospacing="0"/>
        <w:ind w:firstLine="555"/>
        <w:rPr>
          <w:sz w:val="20"/>
          <w:szCs w:val="20"/>
        </w:rPr>
      </w:pPr>
      <w:r>
        <w:rPr>
          <w:sz w:val="20"/>
          <w:szCs w:val="20"/>
        </w:rPr>
        <w:t>In addition, our indebtedness, combined with our other financial obligations and contractual commitments, could have other important consequences. For example, it could</w:t>
      </w:r>
      <w:r>
        <w:rPr>
          <w:sz w:val="20"/>
          <w:szCs w:val="20"/>
        </w:rPr>
        <w:t>:</w:t>
      </w:r>
    </w:p>
    <w:p w:rsidR="00000000" w:rsidRDefault="00211603">
      <w:pPr>
        <w:divId w:val="1717043317"/>
        <w:rPr>
          <w:rFonts w:eastAsia="Times New Roman"/>
        </w:rPr>
      </w:pPr>
      <w:r>
        <w:rPr>
          <w:rFonts w:eastAsia="Times New Roman"/>
          <w:sz w:val="20"/>
          <w:szCs w:val="20"/>
        </w:rPr>
        <w:t>•</w:t>
      </w:r>
    </w:p>
    <w:p w:rsidR="00000000" w:rsidRDefault="00211603">
      <w:pPr>
        <w:divId w:val="1514493734"/>
        <w:rPr>
          <w:rFonts w:eastAsia="Times New Roman"/>
        </w:rPr>
      </w:pPr>
      <w:r>
        <w:rPr>
          <w:rFonts w:eastAsia="Times New Roman"/>
          <w:sz w:val="20"/>
          <w:szCs w:val="20"/>
        </w:rPr>
        <w:t>make us more vulnerable to adverse changes in general U.S. and worldwide economic, i</w:t>
      </w:r>
      <w:r>
        <w:rPr>
          <w:rFonts w:eastAsia="Times New Roman"/>
          <w:sz w:val="20"/>
          <w:szCs w:val="20"/>
        </w:rPr>
        <w:t>ndustry and competitive conditions and adverse changes in government regulation</w:t>
      </w:r>
      <w:r>
        <w:rPr>
          <w:rFonts w:eastAsia="Times New Roman"/>
          <w:sz w:val="20"/>
          <w:szCs w:val="20"/>
        </w:rPr>
        <w:t>;</w:t>
      </w:r>
    </w:p>
    <w:p w:rsidR="00000000" w:rsidRDefault="00211603">
      <w:pPr>
        <w:divId w:val="858547334"/>
        <w:rPr>
          <w:rFonts w:eastAsia="Times New Roman"/>
        </w:rPr>
      </w:pPr>
      <w:r>
        <w:rPr>
          <w:rFonts w:eastAsia="Times New Roman"/>
          <w:sz w:val="20"/>
          <w:szCs w:val="20"/>
        </w:rPr>
        <w:t>•</w:t>
      </w:r>
    </w:p>
    <w:p w:rsidR="00000000" w:rsidRDefault="00211603">
      <w:pPr>
        <w:divId w:val="64769054"/>
        <w:rPr>
          <w:rFonts w:eastAsia="Times New Roman"/>
        </w:rPr>
      </w:pPr>
      <w:r>
        <w:rPr>
          <w:rFonts w:eastAsia="Times New Roman"/>
          <w:sz w:val="20"/>
          <w:szCs w:val="20"/>
        </w:rPr>
        <w:t>limit our flexibility in planning for, or reacting to, changes in our business and our industry</w:t>
      </w:r>
      <w:r>
        <w:rPr>
          <w:rFonts w:eastAsia="Times New Roman"/>
          <w:sz w:val="20"/>
          <w:szCs w:val="20"/>
        </w:rPr>
        <w:t>;</w:t>
      </w:r>
    </w:p>
    <w:p w:rsidR="00000000" w:rsidRDefault="00211603">
      <w:pPr>
        <w:divId w:val="1709331803"/>
        <w:rPr>
          <w:rFonts w:eastAsia="Times New Roman"/>
        </w:rPr>
      </w:pPr>
      <w:r>
        <w:rPr>
          <w:rFonts w:eastAsia="Times New Roman"/>
          <w:sz w:val="20"/>
          <w:szCs w:val="20"/>
        </w:rPr>
        <w:t>•</w:t>
      </w:r>
    </w:p>
    <w:p w:rsidR="00000000" w:rsidRDefault="00211603">
      <w:pPr>
        <w:divId w:val="2140414327"/>
        <w:rPr>
          <w:rFonts w:eastAsia="Times New Roman"/>
        </w:rPr>
      </w:pPr>
      <w:r>
        <w:rPr>
          <w:rFonts w:eastAsia="Times New Roman"/>
          <w:sz w:val="20"/>
          <w:szCs w:val="20"/>
        </w:rPr>
        <w:t>place us at a disadvantage compared to our competitors who have less debt;</w:t>
      </w:r>
      <w:r>
        <w:rPr>
          <w:rFonts w:eastAsia="Times New Roman"/>
          <w:sz w:val="20"/>
          <w:szCs w:val="20"/>
        </w:rPr>
        <w:t xml:space="preserve"> an</w:t>
      </w:r>
      <w:r>
        <w:rPr>
          <w:rFonts w:eastAsia="Times New Roman"/>
          <w:sz w:val="20"/>
          <w:szCs w:val="20"/>
        </w:rPr>
        <w:t>d</w:t>
      </w:r>
    </w:p>
    <w:p w:rsidR="00000000" w:rsidRDefault="00211603">
      <w:pPr>
        <w:divId w:val="1446777004"/>
        <w:rPr>
          <w:rFonts w:eastAsia="Times New Roman"/>
        </w:rPr>
      </w:pPr>
      <w:r>
        <w:rPr>
          <w:rFonts w:eastAsia="Times New Roman"/>
          <w:sz w:val="20"/>
          <w:szCs w:val="20"/>
        </w:rPr>
        <w:t>•</w:t>
      </w:r>
    </w:p>
    <w:p w:rsidR="00000000" w:rsidRDefault="00211603">
      <w:pPr>
        <w:divId w:val="653338689"/>
        <w:rPr>
          <w:rFonts w:eastAsia="Times New Roman"/>
        </w:rPr>
      </w:pPr>
      <w:r>
        <w:rPr>
          <w:rFonts w:eastAsia="Times New Roman"/>
          <w:sz w:val="20"/>
          <w:szCs w:val="20"/>
        </w:rPr>
        <w:t>limit our ability to borrow additional amounts to fund acquisitions, for working capital and for other general corporate purposes</w:t>
      </w:r>
      <w:r>
        <w:rPr>
          <w:rFonts w:eastAsia="Times New Roman"/>
          <w:sz w:val="20"/>
          <w:szCs w:val="20"/>
        </w:rPr>
        <w:t>.</w:t>
      </w:r>
    </w:p>
    <w:p w:rsidR="00000000" w:rsidRDefault="00211603">
      <w:pPr>
        <w:pStyle w:val="a3"/>
        <w:spacing w:before="200" w:beforeAutospacing="0" w:after="0" w:afterAutospacing="0"/>
        <w:ind w:firstLine="555"/>
        <w:rPr>
          <w:sz w:val="20"/>
          <w:szCs w:val="20"/>
        </w:rPr>
      </w:pPr>
      <w:r>
        <w:rPr>
          <w:sz w:val="20"/>
          <w:szCs w:val="20"/>
        </w:rPr>
        <w:t>Any of these factors could materially and adversely affect our business, financial condition and results of operations</w:t>
      </w:r>
      <w:r>
        <w:rPr>
          <w:sz w:val="20"/>
          <w:szCs w:val="20"/>
        </w:rPr>
        <w:t>. In addition, if we incur additional indebtedness, the risks related to our business and our ability to service or repay our indebtedness would increase</w:t>
      </w:r>
      <w:r>
        <w:rPr>
          <w:sz w:val="20"/>
          <w:szCs w:val="20"/>
        </w:rPr>
        <w:t>.</w:t>
      </w:r>
    </w:p>
    <w:p w:rsidR="00000000" w:rsidRDefault="00211603">
      <w:pPr>
        <w:pStyle w:val="a3"/>
        <w:spacing w:before="200" w:beforeAutospacing="0" w:after="0" w:afterAutospacing="0"/>
        <w:rPr>
          <w:sz w:val="20"/>
          <w:szCs w:val="20"/>
        </w:rPr>
      </w:pPr>
      <w:r>
        <w:rPr>
          <w:b/>
          <w:bCs/>
          <w:i/>
          <w:iCs/>
          <w:sz w:val="20"/>
          <w:szCs w:val="20"/>
        </w:rPr>
        <w:t>The conditional conversion feature of the Notes, if triggered, may adversely affect our financial con</w:t>
      </w:r>
      <w:r>
        <w:rPr>
          <w:b/>
          <w:bCs/>
          <w:i/>
          <w:iCs/>
          <w:sz w:val="20"/>
          <w:szCs w:val="20"/>
        </w:rPr>
        <w:t>dition and operating results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In the event the conditional conversion feature of the 2022 Notes or the 2025 Notes is triggered, the holders thereof will be entitled to convert the 2022 Notes or the 2025 Notes respectively, at any time during specified peri</w:t>
      </w:r>
      <w:r>
        <w:rPr>
          <w:sz w:val="20"/>
          <w:szCs w:val="20"/>
        </w:rPr>
        <w:t>ods at their option</w:t>
      </w:r>
      <w:r>
        <w:rPr>
          <w:sz w:val="20"/>
          <w:szCs w:val="20"/>
        </w:rPr>
        <w:t>.</w:t>
      </w:r>
    </w:p>
    <w:p w:rsidR="00000000" w:rsidRDefault="00211603">
      <w:pPr>
        <w:pStyle w:val="a3"/>
        <w:spacing w:before="200" w:beforeAutospacing="0" w:after="0" w:afterAutospacing="0"/>
        <w:ind w:firstLine="555"/>
        <w:rPr>
          <w:sz w:val="20"/>
          <w:szCs w:val="20"/>
        </w:rPr>
      </w:pPr>
      <w:r>
        <w:rPr>
          <w:sz w:val="20"/>
          <w:szCs w:val="20"/>
        </w:rPr>
        <w:t>Because the last reported sale price of the Company’s common stock for at least 20 trading days during the period of 30 consecutive trading</w:t>
      </w:r>
      <w:r>
        <w:rPr>
          <w:sz w:val="20"/>
          <w:szCs w:val="20"/>
        </w:rPr>
        <w:t xml:space="preserve"> </w:t>
      </w:r>
      <w:r>
        <w:rPr>
          <w:sz w:val="20"/>
          <w:szCs w:val="20"/>
        </w:rPr>
        <w:t>days ending on the last trading day of the calendar quarter ende</w:t>
      </w:r>
      <w:r>
        <w:rPr>
          <w:sz w:val="20"/>
          <w:szCs w:val="20"/>
        </w:rPr>
        <w:t>d</w:t>
      </w:r>
      <w:r>
        <w:rPr>
          <w:sz w:val="20"/>
          <w:szCs w:val="20"/>
        </w:rPr>
        <w:t xml:space="preserve"> March 31, 202</w:t>
      </w:r>
      <w:r>
        <w:rPr>
          <w:sz w:val="20"/>
          <w:szCs w:val="20"/>
        </w:rPr>
        <w:t>2</w:t>
      </w:r>
      <w:r>
        <w:rPr>
          <w:sz w:val="20"/>
          <w:szCs w:val="20"/>
        </w:rPr>
        <w:t xml:space="preserve"> was equal to o</w:t>
      </w:r>
      <w:r>
        <w:rPr>
          <w:sz w:val="20"/>
          <w:szCs w:val="20"/>
        </w:rPr>
        <w:t>r greater than 130% of the conversion price of $94.77 on each applicable trading day, the 2022 Notes are convertible at the option of the holders thereof on the business day immediately preceding February 1, 2022. On or after February 1, 2022 until the clo</w:t>
      </w:r>
      <w:r>
        <w:rPr>
          <w:sz w:val="20"/>
          <w:szCs w:val="20"/>
        </w:rPr>
        <w:t>se of business on the second scheduled trading day immediately preceding the maturity date, holders may convert their notes at any time.</w:t>
      </w:r>
      <w:r>
        <w:rPr>
          <w:sz w:val="20"/>
          <w:szCs w:val="20"/>
        </w:rPr>
        <w:t xml:space="preserve"> </w:t>
      </w:r>
      <w:r>
        <w:rPr>
          <w:sz w:val="20"/>
          <w:szCs w:val="20"/>
        </w:rPr>
        <w:t>In the quarter ended March 31, 2022 and through April 29, 2022, the Company did not receiv</w:t>
      </w:r>
      <w:r>
        <w:rPr>
          <w:sz w:val="20"/>
          <w:szCs w:val="20"/>
        </w:rPr>
        <w:t>e</w:t>
      </w:r>
      <w:r>
        <w:rPr>
          <w:sz w:val="20"/>
          <w:szCs w:val="20"/>
        </w:rPr>
        <w:t xml:space="preserve"> any conversion notices. Bec</w:t>
      </w:r>
      <w:r>
        <w:rPr>
          <w:sz w:val="20"/>
          <w:szCs w:val="20"/>
        </w:rPr>
        <w:t>ause the last reported sale price of the Company’s common stock for at least 20 trading days during the period of 30 consecutive trading days ending on the last trading day of the calendar quarter ended March 31, 2022 was equal to or greater than 130% of t</w:t>
      </w:r>
      <w:r>
        <w:rPr>
          <w:sz w:val="20"/>
          <w:szCs w:val="20"/>
        </w:rPr>
        <w:t>he applicable conversion price on each applicable trading day, the 2025 Notes are convertible at the option of the holders thereof during the calendar quarter ending June 30, 2022. In the quarter ended March 31, 2022, the Company settled $0.9 million of pr</w:t>
      </w:r>
      <w:r>
        <w:rPr>
          <w:sz w:val="20"/>
          <w:szCs w:val="20"/>
        </w:rPr>
        <w:t>incipal balance of the 2025 Notes in cash. Between the end of the most recently completed fiscal quarter and April 29, 2022, the Company has not received additional conversion notices. Whether the Notes that remain outstanding will be convertible following</w:t>
      </w:r>
      <w:r>
        <w:rPr>
          <w:sz w:val="20"/>
          <w:szCs w:val="20"/>
        </w:rPr>
        <w:t xml:space="preserve"> the calendar quarter ending March 31, 2022 will depend on the continued satisfaction of this condition or another conversion condition in the future. If one or more holders elect to convert their Notes, unless we elect to satisfy our conversion obligation</w:t>
      </w:r>
      <w:r>
        <w:rPr>
          <w:sz w:val="20"/>
          <w:szCs w:val="20"/>
        </w:rPr>
        <w:t xml:space="preserve"> by delivering solely shares of our common stock (other than paying cash in lieu of delivering any fractional share), we would be required to settle a portion or all of our conversion obligation through the payment of cash, which could adversely affect our</w:t>
      </w:r>
      <w:r>
        <w:rPr>
          <w:sz w:val="20"/>
          <w:szCs w:val="20"/>
        </w:rPr>
        <w:t xml:space="preserve"> liquidity. In addition, even if holders do not elect to conver</w:t>
      </w:r>
      <w:r>
        <w:rPr>
          <w:sz w:val="20"/>
          <w:szCs w:val="20"/>
        </w:rPr>
        <w:t>t</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5</w:t>
      </w:r>
      <w:r>
        <w:rPr>
          <w:sz w:val="20"/>
          <w:szCs w:val="20"/>
        </w:rPr>
        <w:t>1</w:t>
      </w:r>
    </w:p>
    <w:p w:rsidR="00000000" w:rsidRDefault="00211603">
      <w:pPr>
        <w:rPr>
          <w:rFonts w:eastAsia="Times New Roman"/>
        </w:rPr>
      </w:pPr>
      <w:r>
        <w:rPr>
          <w:rFonts w:eastAsia="Times New Roman"/>
        </w:rPr>
        <w:pict>
          <v:rect id="_x0000_i1075"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their Notes, we could be required under applicable accounting rules to reclassify all or a portion of the outstanding principal of the Notes as a cu</w:t>
      </w:r>
      <w:r>
        <w:rPr>
          <w:sz w:val="20"/>
          <w:szCs w:val="20"/>
        </w:rPr>
        <w:t>rrent rather than long-term liability, which would result in a material reduction of our net working capital</w:t>
      </w:r>
      <w:r>
        <w:rPr>
          <w:sz w:val="20"/>
          <w:szCs w:val="20"/>
        </w:rPr>
        <w:t>.</w:t>
      </w:r>
      <w:r>
        <w:rPr>
          <w:sz w:val="20"/>
          <w:szCs w:val="20"/>
        </w:rPr>
        <w:t xml:space="preserve"> </w:t>
      </w:r>
    </w:p>
    <w:p w:rsidR="00000000" w:rsidRDefault="00211603">
      <w:pPr>
        <w:pStyle w:val="a3"/>
        <w:spacing w:before="200" w:beforeAutospacing="0" w:after="0" w:afterAutospacing="0"/>
        <w:rPr>
          <w:sz w:val="20"/>
          <w:szCs w:val="20"/>
        </w:rPr>
      </w:pPr>
      <w:r>
        <w:rPr>
          <w:b/>
          <w:bCs/>
          <w:i/>
          <w:iCs/>
          <w:sz w:val="20"/>
          <w:szCs w:val="20"/>
        </w:rPr>
        <w:t>The accounting method for convertible debt securities that may be settled in cash, such as the Notes, could have a material effect on our reporte</w:t>
      </w:r>
      <w:r>
        <w:rPr>
          <w:b/>
          <w:bCs/>
          <w:i/>
          <w:iCs/>
          <w:sz w:val="20"/>
          <w:szCs w:val="20"/>
        </w:rPr>
        <w:t>d financial results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Under Financial Accounting Standards Board (“ FASB”) Accounting Standards Codification 470-20, Debt with Conversion and</w:t>
      </w:r>
      <w:r>
        <w:rPr>
          <w:sz w:val="20"/>
          <w:szCs w:val="20"/>
        </w:rPr>
        <w:br/>
      </w:r>
      <w:r>
        <w:rPr>
          <w:sz w:val="20"/>
          <w:szCs w:val="20"/>
        </w:rPr>
        <w:br/>
        <w:t>Other Options, which we refer to as ASC 470-20, an entity must separately account for the liability and equity com</w:t>
      </w:r>
      <w:r>
        <w:rPr>
          <w:sz w:val="20"/>
          <w:szCs w:val="20"/>
        </w:rPr>
        <w:t>ponents of convertible debt instruments (such as the Notes) that may be settled entirely or partially in cash upon conversion in a manner that reflects the issuer’s economic interest cost. ASC 470-20 requires the value of the conversion option of the Notes</w:t>
      </w:r>
      <w:r>
        <w:rPr>
          <w:sz w:val="20"/>
          <w:szCs w:val="20"/>
        </w:rPr>
        <w:t>, representing the</w:t>
      </w:r>
      <w:r>
        <w:rPr>
          <w:sz w:val="20"/>
          <w:szCs w:val="20"/>
        </w:rPr>
        <w:br/>
      </w:r>
      <w:r>
        <w:rPr>
          <w:sz w:val="20"/>
          <w:szCs w:val="20"/>
        </w:rPr>
        <w:br/>
        <w:t>equity component, to be recorded as additional paid-in capital within stockholders’ equity in our consolidated balance sheet and as a discount to the Notes, which reduces their initial carrying value. The carrying value of the Notes, ne</w:t>
      </w:r>
      <w:r>
        <w:rPr>
          <w:sz w:val="20"/>
          <w:szCs w:val="20"/>
        </w:rPr>
        <w:t>t of the discount recorded, will be</w:t>
      </w:r>
      <w:r>
        <w:rPr>
          <w:sz w:val="20"/>
          <w:szCs w:val="20"/>
        </w:rPr>
        <w:br/>
      </w:r>
      <w:r>
        <w:rPr>
          <w:sz w:val="20"/>
          <w:szCs w:val="20"/>
        </w:rPr>
        <w:br/>
        <w:t xml:space="preserve">accreted up to the principal amount of the Notes from the issuance date until maturity, which will result in non-cash charges to interest expense in our consolidated statement of operations. Accordingly, we will report </w:t>
      </w:r>
      <w:r>
        <w:rPr>
          <w:sz w:val="20"/>
          <w:szCs w:val="20"/>
        </w:rPr>
        <w:t xml:space="preserve">lower net income or higher net loss in our financial results because ASC 470-20 requires interest to include both the current period’s accretion of the debt discount and the instrument’s coupon interest, which could adversely affect our reported or future </w:t>
      </w:r>
      <w:r>
        <w:rPr>
          <w:sz w:val="20"/>
          <w:szCs w:val="20"/>
        </w:rPr>
        <w:t>financial results, the trading price of our common stock and the</w:t>
      </w:r>
      <w:r>
        <w:rPr>
          <w:sz w:val="20"/>
          <w:szCs w:val="20"/>
        </w:rPr>
        <w:br/>
      </w:r>
      <w:r>
        <w:rPr>
          <w:sz w:val="20"/>
          <w:szCs w:val="20"/>
        </w:rPr>
        <w:br/>
        <w:t xml:space="preserve">trading price of the Notes. In addition, convertible debt instruments (such as the Notes) that may be settled entirely or partly cash were accounted for utilizing the treasury stock method, </w:t>
      </w:r>
      <w:r>
        <w:rPr>
          <w:sz w:val="20"/>
          <w:szCs w:val="20"/>
        </w:rPr>
        <w:t>the effect of which is that the shares issuable upon conversion of the Notes are not included in the calculation of diluted earnings per share except to the extent that the conversion value of the Notes exceeds their principal amount</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 xml:space="preserve">In August 2020, the </w:t>
      </w:r>
      <w:r>
        <w:rPr>
          <w:sz w:val="20"/>
          <w:szCs w:val="20"/>
        </w:rPr>
        <w:t xml:space="preserve">FASB published an Accounting Standards Update (“ASU”) 2020-06, which amends the accounting standards for convertible debt instruments that may be settled entirely or partially in cash upon conversion. The new standard eliminates requirements to separately </w:t>
      </w:r>
      <w:r>
        <w:rPr>
          <w:sz w:val="20"/>
          <w:szCs w:val="20"/>
        </w:rPr>
        <w:t>account for liability and equity components of such convertible debt instruments and requires the use of the if-converted method for calculating the diluted earnings per share for convertible debt instruments. We adopted the guidance on January 1, 2022, us</w:t>
      </w:r>
      <w:r>
        <w:rPr>
          <w:sz w:val="20"/>
          <w:szCs w:val="20"/>
        </w:rPr>
        <w:t>ing the modified retrospective method. Future interest expense of the convertible notes will be lower as a result of adoption of this guidance and net loss per share will be computed using the if-converted method for these securities. See Note 8 of the con</w:t>
      </w:r>
      <w:r>
        <w:rPr>
          <w:sz w:val="20"/>
          <w:szCs w:val="20"/>
        </w:rPr>
        <w:t>solidated financial statements for more details</w:t>
      </w:r>
      <w:r>
        <w:rPr>
          <w:sz w:val="20"/>
          <w:szCs w:val="20"/>
        </w:rPr>
        <w:t>.</w:t>
      </w:r>
      <w:r>
        <w:rPr>
          <w:sz w:val="20"/>
          <w:szCs w:val="20"/>
        </w:rPr>
        <w:t xml:space="preserve"> </w:t>
      </w:r>
    </w:p>
    <w:p w:rsidR="00000000" w:rsidRDefault="00211603">
      <w:pPr>
        <w:pStyle w:val="a3"/>
        <w:spacing w:before="20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Risks Related to Our Common Stoc</w:t>
      </w:r>
      <w:r>
        <w:rPr>
          <w:b/>
          <w:bCs/>
          <w:sz w:val="20"/>
          <w:szCs w:val="20"/>
        </w:rPr>
        <w:t>k</w:t>
      </w:r>
    </w:p>
    <w:p w:rsidR="00000000" w:rsidRDefault="00211603">
      <w:pPr>
        <w:pStyle w:val="a3"/>
        <w:spacing w:before="200" w:beforeAutospacing="0" w:after="0" w:afterAutospacing="0"/>
        <w:rPr>
          <w:sz w:val="20"/>
          <w:szCs w:val="20"/>
        </w:rPr>
      </w:pPr>
      <w:r>
        <w:rPr>
          <w:b/>
          <w:bCs/>
          <w:i/>
          <w:iCs/>
          <w:sz w:val="20"/>
          <w:szCs w:val="20"/>
        </w:rPr>
        <w:t>Our stock price may be volatile and you may be unable to sell your shares at or above the price you purchased them</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The trading prices of the securities of technology com</w:t>
      </w:r>
      <w:r>
        <w:rPr>
          <w:sz w:val="20"/>
          <w:szCs w:val="20"/>
        </w:rPr>
        <w:t>panies, including providers of software via the cloud-based model, have been highly volatile. Since shares of our common stock w</w:t>
      </w:r>
      <w:r>
        <w:rPr>
          <w:sz w:val="20"/>
          <w:szCs w:val="20"/>
        </w:rPr>
        <w:t>e</w:t>
      </w:r>
      <w:r>
        <w:rPr>
          <w:sz w:val="20"/>
          <w:szCs w:val="20"/>
        </w:rPr>
        <w:t>re sold in our initial public offering in October 2014 at a price of $25.00 per share, our stock price has ranged from $25.79 t</w:t>
      </w:r>
      <w:r>
        <w:rPr>
          <w:sz w:val="20"/>
          <w:szCs w:val="20"/>
        </w:rPr>
        <w:t>o $866.00 t</w:t>
      </w:r>
      <w:r>
        <w:rPr>
          <w:sz w:val="20"/>
          <w:szCs w:val="20"/>
        </w:rPr>
        <w:t>h</w:t>
      </w:r>
      <w:r>
        <w:rPr>
          <w:sz w:val="20"/>
          <w:szCs w:val="20"/>
        </w:rPr>
        <w:t>rough March 31, 2022. The market price of our common stock may fluctuate significantly in response to numerous factors, many of which are beyond our control, including</w:t>
      </w:r>
      <w:r>
        <w:rPr>
          <w:sz w:val="20"/>
          <w:szCs w:val="20"/>
        </w:rPr>
        <w:t>:</w:t>
      </w:r>
    </w:p>
    <w:p w:rsidR="00000000" w:rsidRDefault="00211603">
      <w:pPr>
        <w:divId w:val="1563524504"/>
        <w:rPr>
          <w:rFonts w:eastAsia="Times New Roman"/>
        </w:rPr>
      </w:pPr>
      <w:r>
        <w:rPr>
          <w:rFonts w:eastAsia="Times New Roman"/>
          <w:sz w:val="20"/>
          <w:szCs w:val="20"/>
        </w:rPr>
        <w:t>•</w:t>
      </w:r>
    </w:p>
    <w:p w:rsidR="00000000" w:rsidRDefault="00211603">
      <w:pPr>
        <w:divId w:val="457064785"/>
        <w:rPr>
          <w:rFonts w:eastAsia="Times New Roman"/>
        </w:rPr>
      </w:pPr>
      <w:r>
        <w:rPr>
          <w:rFonts w:eastAsia="Times New Roman"/>
          <w:sz w:val="20"/>
          <w:szCs w:val="20"/>
        </w:rPr>
        <w:t>actual or anticipated fluctuations in our revenue and other operating results, including as a result of the addition or loss of any number of customers</w:t>
      </w:r>
      <w:r>
        <w:rPr>
          <w:rFonts w:eastAsia="Times New Roman"/>
          <w:sz w:val="20"/>
          <w:szCs w:val="20"/>
        </w:rPr>
        <w:t>;</w:t>
      </w:r>
    </w:p>
    <w:p w:rsidR="00000000" w:rsidRDefault="00211603">
      <w:pPr>
        <w:divId w:val="558519189"/>
        <w:rPr>
          <w:rFonts w:eastAsia="Times New Roman"/>
        </w:rPr>
      </w:pPr>
      <w:r>
        <w:rPr>
          <w:rFonts w:eastAsia="Times New Roman"/>
          <w:sz w:val="20"/>
          <w:szCs w:val="20"/>
        </w:rPr>
        <w:t>•</w:t>
      </w:r>
    </w:p>
    <w:p w:rsidR="00000000" w:rsidRDefault="00211603">
      <w:pPr>
        <w:divId w:val="1547913692"/>
        <w:rPr>
          <w:rFonts w:eastAsia="Times New Roman"/>
        </w:rPr>
      </w:pPr>
      <w:r>
        <w:rPr>
          <w:rFonts w:eastAsia="Times New Roman"/>
          <w:sz w:val="20"/>
          <w:szCs w:val="20"/>
        </w:rPr>
        <w:t xml:space="preserve">announcements by us or our competitors of significant technical innovations, acquisitions, strategic </w:t>
      </w:r>
      <w:r>
        <w:rPr>
          <w:rFonts w:eastAsia="Times New Roman"/>
          <w:sz w:val="20"/>
          <w:szCs w:val="20"/>
        </w:rPr>
        <w:t>partnerships, joint ventures or capital commitments</w:t>
      </w:r>
      <w:r>
        <w:rPr>
          <w:rFonts w:eastAsia="Times New Roman"/>
          <w:sz w:val="20"/>
          <w:szCs w:val="20"/>
        </w:rPr>
        <w:t>;</w:t>
      </w:r>
    </w:p>
    <w:p w:rsidR="00000000" w:rsidRDefault="00211603">
      <w:pPr>
        <w:divId w:val="293826719"/>
        <w:rPr>
          <w:rFonts w:eastAsia="Times New Roman"/>
        </w:rPr>
      </w:pPr>
      <w:r>
        <w:rPr>
          <w:rFonts w:eastAsia="Times New Roman"/>
          <w:sz w:val="20"/>
          <w:szCs w:val="20"/>
        </w:rPr>
        <w:t>•</w:t>
      </w:r>
    </w:p>
    <w:p w:rsidR="00000000" w:rsidRDefault="00211603">
      <w:pPr>
        <w:divId w:val="269246881"/>
        <w:rPr>
          <w:rFonts w:eastAsia="Times New Roman"/>
        </w:rPr>
      </w:pPr>
      <w:r>
        <w:rPr>
          <w:rFonts w:eastAsia="Times New Roman"/>
          <w:sz w:val="20"/>
          <w:szCs w:val="20"/>
        </w:rPr>
        <w:t>the financial projections we may provide to the public, any changes in these projections or our failure to meet these projections</w:t>
      </w:r>
      <w:r>
        <w:rPr>
          <w:rFonts w:eastAsia="Times New Roman"/>
          <w:sz w:val="20"/>
          <w:szCs w:val="20"/>
        </w:rPr>
        <w:t>;</w:t>
      </w:r>
    </w:p>
    <w:p w:rsidR="00000000" w:rsidRDefault="00211603">
      <w:pPr>
        <w:divId w:val="2080976197"/>
        <w:rPr>
          <w:rFonts w:eastAsia="Times New Roman"/>
        </w:rPr>
      </w:pPr>
      <w:r>
        <w:rPr>
          <w:rFonts w:eastAsia="Times New Roman"/>
          <w:sz w:val="20"/>
          <w:szCs w:val="20"/>
        </w:rPr>
        <w:t>•</w:t>
      </w:r>
    </w:p>
    <w:p w:rsidR="00000000" w:rsidRDefault="00211603">
      <w:pPr>
        <w:divId w:val="443423365"/>
        <w:rPr>
          <w:rFonts w:eastAsia="Times New Roman"/>
        </w:rPr>
      </w:pPr>
      <w:r>
        <w:rPr>
          <w:rFonts w:eastAsia="Times New Roman"/>
          <w:sz w:val="20"/>
          <w:szCs w:val="20"/>
        </w:rPr>
        <w:t>failure of securities analysts to initiate or maintain coverage of u</w:t>
      </w:r>
      <w:r>
        <w:rPr>
          <w:rFonts w:eastAsia="Times New Roman"/>
          <w:sz w:val="20"/>
          <w:szCs w:val="20"/>
        </w:rPr>
        <w:t>s, changes in ratings and financial estimates and the publication of other news by any securities analysts who follow our company, or our failure to meet these estimates or the expectations of investors</w:t>
      </w:r>
      <w:r>
        <w:rPr>
          <w:rFonts w:eastAsia="Times New Roman"/>
          <w:sz w:val="20"/>
          <w:szCs w:val="20"/>
        </w:rPr>
        <w:t>;</w:t>
      </w:r>
    </w:p>
    <w:p w:rsidR="00000000" w:rsidRDefault="00211603">
      <w:pPr>
        <w:divId w:val="560598833"/>
        <w:rPr>
          <w:rFonts w:eastAsia="Times New Roman"/>
        </w:rPr>
      </w:pPr>
      <w:r>
        <w:rPr>
          <w:rFonts w:eastAsia="Times New Roman"/>
          <w:sz w:val="20"/>
          <w:szCs w:val="20"/>
        </w:rPr>
        <w:t>•</w:t>
      </w:r>
    </w:p>
    <w:p w:rsidR="00000000" w:rsidRDefault="00211603">
      <w:pPr>
        <w:divId w:val="983773281"/>
        <w:rPr>
          <w:rFonts w:eastAsia="Times New Roman"/>
        </w:rPr>
      </w:pPr>
      <w:r>
        <w:rPr>
          <w:rFonts w:eastAsia="Times New Roman"/>
          <w:sz w:val="20"/>
          <w:szCs w:val="20"/>
        </w:rPr>
        <w:t xml:space="preserve">changes in operating performance and stock market </w:t>
      </w:r>
      <w:r>
        <w:rPr>
          <w:rFonts w:eastAsia="Times New Roman"/>
          <w:sz w:val="20"/>
          <w:szCs w:val="20"/>
        </w:rPr>
        <w:t>valuations of cloud-based software or other technology companies, or those in our industry in particular</w:t>
      </w:r>
      <w:r>
        <w:rPr>
          <w:rFonts w:eastAsia="Times New Roman"/>
          <w:sz w:val="20"/>
          <w:szCs w:val="20"/>
        </w:rPr>
        <w:t>;</w:t>
      </w:r>
    </w:p>
    <w:p w:rsidR="00000000" w:rsidRDefault="00211603">
      <w:pPr>
        <w:divId w:val="1786802137"/>
        <w:rPr>
          <w:rFonts w:eastAsia="Times New Roman"/>
        </w:rPr>
      </w:pPr>
      <w:r>
        <w:rPr>
          <w:rFonts w:eastAsia="Times New Roman"/>
          <w:sz w:val="20"/>
          <w:szCs w:val="20"/>
        </w:rPr>
        <w:t>•</w:t>
      </w:r>
    </w:p>
    <w:p w:rsidR="00000000" w:rsidRDefault="00211603">
      <w:pPr>
        <w:divId w:val="1605962078"/>
        <w:rPr>
          <w:rFonts w:eastAsia="Times New Roman"/>
        </w:rPr>
      </w:pPr>
      <w:r>
        <w:rPr>
          <w:rFonts w:eastAsia="Times New Roman"/>
          <w:sz w:val="20"/>
          <w:szCs w:val="20"/>
        </w:rPr>
        <w:t xml:space="preserve">price and volume fluctuations in the trading of our common stock and in the overall stock market, including as a result of trends in the economy as </w:t>
      </w:r>
      <w:r>
        <w:rPr>
          <w:rFonts w:eastAsia="Times New Roman"/>
          <w:sz w:val="20"/>
          <w:szCs w:val="20"/>
        </w:rPr>
        <w:t>a whole</w:t>
      </w:r>
      <w:r>
        <w:rPr>
          <w:rFonts w:eastAsia="Times New Roman"/>
          <w:sz w:val="20"/>
          <w:szCs w:val="20"/>
        </w:rPr>
        <w:t>;</w:t>
      </w:r>
    </w:p>
    <w:p w:rsidR="00000000" w:rsidRDefault="00211603">
      <w:pPr>
        <w:pStyle w:val="a3"/>
        <w:spacing w:before="240" w:beforeAutospacing="0" w:after="0" w:afterAutospacing="0"/>
        <w:jc w:val="center"/>
        <w:rPr>
          <w:sz w:val="20"/>
          <w:szCs w:val="20"/>
        </w:rPr>
      </w:pPr>
      <w:r>
        <w:rPr>
          <w:sz w:val="20"/>
          <w:szCs w:val="20"/>
        </w:rPr>
        <w:t>5</w:t>
      </w:r>
      <w:r>
        <w:rPr>
          <w:sz w:val="20"/>
          <w:szCs w:val="20"/>
        </w:rPr>
        <w:t>2</w:t>
      </w:r>
    </w:p>
    <w:p w:rsidR="00000000" w:rsidRDefault="00211603">
      <w:pPr>
        <w:rPr>
          <w:rFonts w:eastAsia="Times New Roman"/>
        </w:rPr>
      </w:pPr>
      <w:r>
        <w:rPr>
          <w:rFonts w:eastAsia="Times New Roman"/>
        </w:rPr>
        <w:pict>
          <v:rect id="_x0000_i1076"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divId w:val="1588729173"/>
        <w:rPr>
          <w:rFonts w:eastAsia="Times New Roman"/>
        </w:rPr>
      </w:pPr>
      <w:r>
        <w:rPr>
          <w:rFonts w:eastAsia="Times New Roman"/>
          <w:sz w:val="20"/>
          <w:szCs w:val="20"/>
        </w:rPr>
        <w:t>•</w:t>
      </w:r>
    </w:p>
    <w:p w:rsidR="00000000" w:rsidRDefault="00211603">
      <w:pPr>
        <w:divId w:val="2143425056"/>
        <w:rPr>
          <w:rFonts w:eastAsia="Times New Roman"/>
        </w:rPr>
      </w:pPr>
      <w:r>
        <w:rPr>
          <w:rFonts w:eastAsia="Times New Roman"/>
          <w:sz w:val="20"/>
          <w:szCs w:val="20"/>
        </w:rPr>
        <w:t>sales of large blocks of our common stock or the dilutive effect of our Notes or any other equity or equity-linked financings</w:t>
      </w:r>
      <w:r>
        <w:rPr>
          <w:rFonts w:eastAsia="Times New Roman"/>
          <w:sz w:val="20"/>
          <w:szCs w:val="20"/>
        </w:rPr>
        <w:t>;</w:t>
      </w:r>
    </w:p>
    <w:p w:rsidR="00000000" w:rsidRDefault="00211603">
      <w:pPr>
        <w:divId w:val="504828432"/>
        <w:rPr>
          <w:rFonts w:eastAsia="Times New Roman"/>
        </w:rPr>
      </w:pPr>
      <w:r>
        <w:rPr>
          <w:rFonts w:eastAsia="Times New Roman"/>
          <w:sz w:val="20"/>
          <w:szCs w:val="20"/>
        </w:rPr>
        <w:t>•</w:t>
      </w:r>
    </w:p>
    <w:p w:rsidR="00000000" w:rsidRDefault="00211603">
      <w:pPr>
        <w:divId w:val="1602103693"/>
        <w:rPr>
          <w:rFonts w:eastAsia="Times New Roman"/>
        </w:rPr>
      </w:pPr>
      <w:r>
        <w:rPr>
          <w:rFonts w:eastAsia="Times New Roman"/>
          <w:sz w:val="20"/>
          <w:szCs w:val="20"/>
        </w:rPr>
        <w:t>new laws or regulations or new interpretations of existing laws or regulati</w:t>
      </w:r>
      <w:r>
        <w:rPr>
          <w:rFonts w:eastAsia="Times New Roman"/>
          <w:sz w:val="20"/>
          <w:szCs w:val="20"/>
        </w:rPr>
        <w:t>ons applicable to our business or industry, including data privacy and data security</w:t>
      </w:r>
      <w:r>
        <w:rPr>
          <w:rFonts w:eastAsia="Times New Roman"/>
          <w:sz w:val="20"/>
          <w:szCs w:val="20"/>
        </w:rPr>
        <w:t>;</w:t>
      </w:r>
    </w:p>
    <w:p w:rsidR="00000000" w:rsidRDefault="00211603">
      <w:pPr>
        <w:divId w:val="1091464313"/>
        <w:rPr>
          <w:rFonts w:eastAsia="Times New Roman"/>
        </w:rPr>
      </w:pPr>
      <w:r>
        <w:rPr>
          <w:rFonts w:eastAsia="Times New Roman"/>
          <w:sz w:val="20"/>
          <w:szCs w:val="20"/>
        </w:rPr>
        <w:t>•</w:t>
      </w:r>
    </w:p>
    <w:p w:rsidR="00000000" w:rsidRDefault="00211603">
      <w:pPr>
        <w:divId w:val="1795442107"/>
        <w:rPr>
          <w:rFonts w:eastAsia="Times New Roman"/>
        </w:rPr>
      </w:pPr>
      <w:r>
        <w:rPr>
          <w:rFonts w:eastAsia="Times New Roman"/>
          <w:sz w:val="20"/>
          <w:szCs w:val="20"/>
        </w:rPr>
        <w:t>lawsuits threatened or filed against us</w:t>
      </w:r>
      <w:r>
        <w:rPr>
          <w:rFonts w:eastAsia="Times New Roman"/>
          <w:sz w:val="20"/>
          <w:szCs w:val="20"/>
        </w:rPr>
        <w:t>;</w:t>
      </w:r>
    </w:p>
    <w:p w:rsidR="00000000" w:rsidRDefault="00211603">
      <w:pPr>
        <w:divId w:val="776369076"/>
        <w:rPr>
          <w:rFonts w:eastAsia="Times New Roman"/>
        </w:rPr>
      </w:pPr>
      <w:r>
        <w:rPr>
          <w:rFonts w:eastAsia="Times New Roman"/>
          <w:sz w:val="20"/>
          <w:szCs w:val="20"/>
        </w:rPr>
        <w:t>•</w:t>
      </w:r>
    </w:p>
    <w:p w:rsidR="00000000" w:rsidRDefault="00211603">
      <w:pPr>
        <w:divId w:val="2025665811"/>
        <w:rPr>
          <w:rFonts w:eastAsia="Times New Roman"/>
        </w:rPr>
      </w:pPr>
      <w:r>
        <w:rPr>
          <w:rFonts w:eastAsia="Times New Roman"/>
          <w:sz w:val="20"/>
          <w:szCs w:val="20"/>
        </w:rPr>
        <w:t>changes in key personnel; an</w:t>
      </w:r>
      <w:r>
        <w:rPr>
          <w:rFonts w:eastAsia="Times New Roman"/>
          <w:sz w:val="20"/>
          <w:szCs w:val="20"/>
        </w:rPr>
        <w:t>d</w:t>
      </w:r>
    </w:p>
    <w:p w:rsidR="00000000" w:rsidRDefault="00211603">
      <w:pPr>
        <w:divId w:val="974722511"/>
        <w:rPr>
          <w:rFonts w:eastAsia="Times New Roman"/>
        </w:rPr>
      </w:pPr>
      <w:r>
        <w:rPr>
          <w:rFonts w:eastAsia="Times New Roman"/>
          <w:sz w:val="20"/>
          <w:szCs w:val="20"/>
        </w:rPr>
        <w:t>•</w:t>
      </w:r>
    </w:p>
    <w:p w:rsidR="00000000" w:rsidRDefault="00211603">
      <w:pPr>
        <w:divId w:val="1946035975"/>
        <w:rPr>
          <w:rFonts w:eastAsia="Times New Roman"/>
        </w:rPr>
      </w:pPr>
      <w:r>
        <w:rPr>
          <w:rFonts w:eastAsia="Times New Roman"/>
          <w:sz w:val="20"/>
          <w:szCs w:val="20"/>
        </w:rPr>
        <w:t>other events or factors, including changes in general economic, industry and market conditions and trends, international disputes, wars (such as the conflict between Russia and Ukraine), and political stability.</w:t>
      </w:r>
      <w:r>
        <w:rPr>
          <w:rFonts w:eastAsia="Times New Roman"/>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In addition, the stock markets have experienced extreme price and volume fluctuations that have affected and continue to affect the market prices of equity securities of many technology companies. Stock prices of many technology companies have fluctuated i</w:t>
      </w:r>
      <w:r>
        <w:rPr>
          <w:sz w:val="20"/>
          <w:szCs w:val="20"/>
        </w:rPr>
        <w:t>n a manner unrelated or disproportionate to the operating performance of those companies</w:t>
      </w:r>
      <w:r>
        <w:rPr>
          <w:sz w:val="20"/>
          <w:szCs w:val="20"/>
        </w:rPr>
        <w:t>.</w:t>
      </w:r>
    </w:p>
    <w:p w:rsidR="00000000" w:rsidRDefault="00211603">
      <w:pPr>
        <w:pStyle w:val="a3"/>
        <w:spacing w:before="200" w:beforeAutospacing="0" w:after="0" w:afterAutospacing="0"/>
        <w:ind w:firstLine="555"/>
        <w:rPr>
          <w:sz w:val="20"/>
          <w:szCs w:val="20"/>
        </w:rPr>
      </w:pPr>
      <w:r>
        <w:rPr>
          <w:sz w:val="20"/>
          <w:szCs w:val="20"/>
        </w:rPr>
        <w:t>In the past, stockholders have instituted securities class action litigation following periods of market volatility. If we were to become involved in securities litig</w:t>
      </w:r>
      <w:r>
        <w:rPr>
          <w:sz w:val="20"/>
          <w:szCs w:val="20"/>
        </w:rPr>
        <w:t>ation, it could subject us to substantial costs, divert resources and the attention of management from our business and adversely affect our business</w:t>
      </w:r>
      <w:r>
        <w:rPr>
          <w:sz w:val="20"/>
          <w:szCs w:val="20"/>
        </w:rPr>
        <w:t>.</w:t>
      </w:r>
    </w:p>
    <w:p w:rsidR="00000000" w:rsidRDefault="00211603">
      <w:pPr>
        <w:pStyle w:val="a3"/>
        <w:spacing w:before="200" w:beforeAutospacing="0" w:after="0" w:afterAutospacing="0"/>
        <w:rPr>
          <w:sz w:val="20"/>
          <w:szCs w:val="20"/>
        </w:rPr>
      </w:pPr>
      <w:r>
        <w:rPr>
          <w:b/>
          <w:bCs/>
          <w:i/>
          <w:iCs/>
          <w:sz w:val="20"/>
          <w:szCs w:val="20"/>
        </w:rPr>
        <w:t>If we fail to maintain an effective system of disclosure controls and internal control over financial rep</w:t>
      </w:r>
      <w:r>
        <w:rPr>
          <w:b/>
          <w:bCs/>
          <w:i/>
          <w:iCs/>
          <w:sz w:val="20"/>
          <w:szCs w:val="20"/>
        </w:rPr>
        <w:t>orting, our ability to produce timely and accurate financial statements or comply with applicable regulations could be impaired</w:t>
      </w:r>
      <w:r>
        <w:rPr>
          <w:b/>
          <w:bCs/>
          <w:i/>
          <w:iCs/>
          <w:sz w:val="20"/>
          <w:szCs w:val="20"/>
        </w:rPr>
        <w:t>.</w:t>
      </w:r>
      <w:r>
        <w:rPr>
          <w:b/>
          <w:bCs/>
          <w:i/>
          <w:iCs/>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As a public company we are subject to the reporting requirements of the Securities Exchange Act of 1934, as amended (the “Exch</w:t>
      </w:r>
      <w:r>
        <w:rPr>
          <w:sz w:val="20"/>
          <w:szCs w:val="20"/>
        </w:rPr>
        <w:t>ange Act”), the Sarbanes-Oxley Act of 2002 (the “Sarbanes-Oxley Act”), the Dodd-Frank Wall Street Reform and Consumer Protection Act (the “Dodd-Frank Act”), and the rules and regulations of the New York Stock Exchange (the “NYSE”). We expect that complianc</w:t>
      </w:r>
      <w:r>
        <w:rPr>
          <w:sz w:val="20"/>
          <w:szCs w:val="20"/>
        </w:rPr>
        <w:t>e with these rules and regulations will continue to increase our legal, accounting and financial compliance costs, make some activities more difficult, time consuming and costly, and place significant strain on our personnel, systems and resources</w:t>
      </w:r>
      <w:r>
        <w:rPr>
          <w:sz w:val="20"/>
          <w:szCs w:val="20"/>
        </w:rPr>
        <w:t>.</w:t>
      </w:r>
    </w:p>
    <w:p w:rsidR="00000000" w:rsidRDefault="00211603">
      <w:pPr>
        <w:pStyle w:val="a3"/>
        <w:spacing w:before="200" w:beforeAutospacing="0" w:after="0" w:afterAutospacing="0"/>
        <w:ind w:firstLine="555"/>
        <w:rPr>
          <w:sz w:val="20"/>
          <w:szCs w:val="20"/>
        </w:rPr>
      </w:pPr>
      <w:r>
        <w:rPr>
          <w:sz w:val="20"/>
          <w:szCs w:val="20"/>
        </w:rPr>
        <w:t>The Sar</w:t>
      </w:r>
      <w:r>
        <w:rPr>
          <w:sz w:val="20"/>
          <w:szCs w:val="20"/>
        </w:rPr>
        <w:t>banes-Oxley Act requires, among other things, that we assess the effectiveness of our internal control over financial reporting annually and the effectiveness of our disclosure controls and procedures quarterly. In particular, Section 404 of the Sarbanes-O</w:t>
      </w:r>
      <w:r>
        <w:rPr>
          <w:sz w:val="20"/>
          <w:szCs w:val="20"/>
        </w:rPr>
        <w:t>xley Act (“Section 404”), requires us to perform system and process evaluation and testing of our internal control over financial reporting to allow management to report on, and our independent registered public accounting firm to attest to, the effectiven</w:t>
      </w:r>
      <w:r>
        <w:rPr>
          <w:sz w:val="20"/>
          <w:szCs w:val="20"/>
        </w:rPr>
        <w:t>ess of our internal control over financial reporting. Our compliance with applicable provisions of Section 404 requires that we incur substantial accounting expenses and expend significant management time on compliance-related issues as we implement additi</w:t>
      </w:r>
      <w:r>
        <w:rPr>
          <w:sz w:val="20"/>
          <w:szCs w:val="20"/>
        </w:rPr>
        <w:t>onal corporate governance practices and comply with reporting requirements. Moreover, if we are not able to comply with the requirements of Section 404 applicable to us in a timely manner, or if we or our independent registered public accounting firm ident</w:t>
      </w:r>
      <w:r>
        <w:rPr>
          <w:sz w:val="20"/>
          <w:szCs w:val="20"/>
        </w:rPr>
        <w:t>ifies deficiencies in our internal control over financial reporting that are deemed to be material weaknesses, the market price of our stock could decline and we could be subject to sanctions or investigations by the SEC or other regulatory authorities, wh</w:t>
      </w:r>
      <w:r>
        <w:rPr>
          <w:sz w:val="20"/>
          <w:szCs w:val="20"/>
        </w:rPr>
        <w:t>ich would require additional financial and management resources</w:t>
      </w:r>
      <w:r>
        <w:rPr>
          <w:sz w:val="20"/>
          <w:szCs w:val="20"/>
        </w:rPr>
        <w:t>.</w:t>
      </w:r>
    </w:p>
    <w:p w:rsidR="00000000" w:rsidRDefault="00211603">
      <w:pPr>
        <w:pStyle w:val="a3"/>
        <w:spacing w:before="200" w:beforeAutospacing="0" w:after="0" w:afterAutospacing="0"/>
        <w:ind w:firstLine="555"/>
        <w:rPr>
          <w:sz w:val="20"/>
          <w:szCs w:val="20"/>
        </w:rPr>
      </w:pPr>
      <w:r>
        <w:rPr>
          <w:sz w:val="20"/>
          <w:szCs w:val="20"/>
        </w:rPr>
        <w:t>Furthermore, investor perceptions of our company may suffer if deficiencies are found, and this could cause a decline in the market price of our stock. Irrespective of compliance with Section</w:t>
      </w:r>
      <w:r>
        <w:rPr>
          <w:sz w:val="20"/>
          <w:szCs w:val="20"/>
        </w:rPr>
        <w:t xml:space="preserve"> 404, any failure of our internal control over financial reporting could have a material adverse effect on our stated operating results and harm our reputation. If we are unable to implement these requirements effectively or efficiently, it could harm our </w:t>
      </w:r>
      <w:r>
        <w:rPr>
          <w:sz w:val="20"/>
          <w:szCs w:val="20"/>
        </w:rPr>
        <w:t xml:space="preserve">operations, financial reporting, or financial results and could result in an adverse opinion on our internal controls from our independent registered public accounting firm. In addition, as a result of our hybrid culture, many of our employees – including </w:t>
      </w:r>
      <w:r>
        <w:rPr>
          <w:sz w:val="20"/>
          <w:szCs w:val="20"/>
        </w:rPr>
        <w:t>those critical to maintaining an effective system of disclosure controls and internal control over financial reporting – are working, and are expected to continue to work for the near term, in a remote environment and not in the office environment from whi</w:t>
      </w:r>
      <w:r>
        <w:rPr>
          <w:sz w:val="20"/>
          <w:szCs w:val="20"/>
        </w:rPr>
        <w:t>ch they have historically performed their duties. We have limited experience maintaining effective control systems with our employees working in remote environments, and risks that we have not contemplated may arise and result in our failure to maintain ef</w:t>
      </w:r>
      <w:r>
        <w:rPr>
          <w:sz w:val="20"/>
          <w:szCs w:val="20"/>
        </w:rPr>
        <w:t>fective disclosure controls or internal control over financial reporting</w:t>
      </w:r>
      <w:r>
        <w:rPr>
          <w:sz w:val="20"/>
          <w:szCs w:val="20"/>
        </w:rPr>
        <w:t>.</w:t>
      </w:r>
    </w:p>
    <w:p w:rsidR="00000000" w:rsidRDefault="00211603">
      <w:pPr>
        <w:pStyle w:val="a3"/>
        <w:spacing w:before="200" w:beforeAutospacing="0" w:after="0" w:afterAutospacing="0"/>
        <w:rPr>
          <w:sz w:val="20"/>
          <w:szCs w:val="20"/>
        </w:rPr>
      </w:pPr>
      <w:r>
        <w:rPr>
          <w:b/>
          <w:bCs/>
          <w:i/>
          <w:iCs/>
          <w:sz w:val="20"/>
          <w:szCs w:val="20"/>
        </w:rPr>
        <w:t>Anti-takeover provisions in our charter documents and Delaware law may delay or prevent an acquisition of our company</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Our amended and restated certificate of incorporation, amended </w:t>
      </w:r>
      <w:r>
        <w:rPr>
          <w:sz w:val="20"/>
          <w:szCs w:val="20"/>
        </w:rPr>
        <w:t>and restated bylaws and Delaware law contain provisions that may have the effect of delaying or preventing a change in control of us or changes in our management. Our amended and restated certificate of incorporation and bylaws include provisions that</w:t>
      </w:r>
      <w:r>
        <w:rPr>
          <w:sz w:val="20"/>
          <w:szCs w:val="20"/>
        </w:rPr>
        <w:t>:</w:t>
      </w:r>
    </w:p>
    <w:p w:rsidR="00000000" w:rsidRDefault="00211603">
      <w:pPr>
        <w:divId w:val="758452371"/>
        <w:rPr>
          <w:rFonts w:eastAsia="Times New Roman"/>
        </w:rPr>
      </w:pPr>
      <w:r>
        <w:rPr>
          <w:rFonts w:eastAsia="Times New Roman"/>
          <w:sz w:val="20"/>
          <w:szCs w:val="20"/>
        </w:rPr>
        <w:t>•</w:t>
      </w:r>
    </w:p>
    <w:p w:rsidR="00000000" w:rsidRDefault="00211603">
      <w:pPr>
        <w:divId w:val="743644093"/>
        <w:rPr>
          <w:rFonts w:eastAsia="Times New Roman"/>
        </w:rPr>
      </w:pPr>
      <w:r>
        <w:rPr>
          <w:rFonts w:eastAsia="Times New Roman"/>
          <w:sz w:val="20"/>
          <w:szCs w:val="20"/>
        </w:rPr>
        <w:t>a</w:t>
      </w:r>
      <w:r>
        <w:rPr>
          <w:rFonts w:eastAsia="Times New Roman"/>
          <w:sz w:val="20"/>
          <w:szCs w:val="20"/>
        </w:rPr>
        <w:t>uthorize “blank check” preferred stock, which could be issued by the board without stockholder approval and may contain voting, liquidation, dividend and other rights superior to our common stock</w:t>
      </w:r>
      <w:r>
        <w:rPr>
          <w:rFonts w:eastAsia="Times New Roman"/>
          <w:sz w:val="20"/>
          <w:szCs w:val="20"/>
        </w:rPr>
        <w:t>;</w:t>
      </w:r>
    </w:p>
    <w:p w:rsidR="00000000" w:rsidRDefault="00211603">
      <w:pPr>
        <w:pStyle w:val="a3"/>
        <w:spacing w:before="240" w:beforeAutospacing="0" w:after="0" w:afterAutospacing="0"/>
        <w:jc w:val="center"/>
        <w:rPr>
          <w:sz w:val="20"/>
          <w:szCs w:val="20"/>
        </w:rPr>
      </w:pPr>
      <w:r>
        <w:rPr>
          <w:sz w:val="20"/>
          <w:szCs w:val="20"/>
        </w:rPr>
        <w:t>5</w:t>
      </w:r>
      <w:r>
        <w:rPr>
          <w:sz w:val="20"/>
          <w:szCs w:val="20"/>
        </w:rPr>
        <w:t>3</w:t>
      </w:r>
    </w:p>
    <w:p w:rsidR="00000000" w:rsidRDefault="00211603">
      <w:pPr>
        <w:rPr>
          <w:rFonts w:eastAsia="Times New Roman"/>
        </w:rPr>
      </w:pPr>
      <w:r>
        <w:rPr>
          <w:rFonts w:eastAsia="Times New Roman"/>
        </w:rPr>
        <w:pict>
          <v:rect id="_x0000_i1077"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divId w:val="2067407121"/>
        <w:rPr>
          <w:rFonts w:eastAsia="Times New Roman"/>
        </w:rPr>
      </w:pPr>
      <w:r>
        <w:rPr>
          <w:rFonts w:eastAsia="Times New Roman"/>
          <w:sz w:val="20"/>
          <w:szCs w:val="20"/>
        </w:rPr>
        <w:t>•</w:t>
      </w:r>
    </w:p>
    <w:p w:rsidR="00000000" w:rsidRDefault="00211603">
      <w:pPr>
        <w:divId w:val="1689484253"/>
        <w:rPr>
          <w:rFonts w:eastAsia="Times New Roman"/>
        </w:rPr>
      </w:pPr>
      <w:r>
        <w:rPr>
          <w:rFonts w:eastAsia="Times New Roman"/>
          <w:sz w:val="20"/>
          <w:szCs w:val="20"/>
        </w:rPr>
        <w:t>provide for a cl</w:t>
      </w:r>
      <w:r>
        <w:rPr>
          <w:rFonts w:eastAsia="Times New Roman"/>
          <w:sz w:val="20"/>
          <w:szCs w:val="20"/>
        </w:rPr>
        <w:t>assified board of directors whose members serve staggered three-year terms</w:t>
      </w:r>
      <w:r>
        <w:rPr>
          <w:rFonts w:eastAsia="Times New Roman"/>
          <w:sz w:val="20"/>
          <w:szCs w:val="20"/>
        </w:rPr>
        <w:t>;</w:t>
      </w:r>
    </w:p>
    <w:p w:rsidR="00000000" w:rsidRDefault="00211603">
      <w:pPr>
        <w:divId w:val="1086733945"/>
        <w:rPr>
          <w:rFonts w:eastAsia="Times New Roman"/>
        </w:rPr>
      </w:pPr>
      <w:r>
        <w:rPr>
          <w:rFonts w:eastAsia="Times New Roman"/>
          <w:sz w:val="20"/>
          <w:szCs w:val="20"/>
        </w:rPr>
        <w:t>•</w:t>
      </w:r>
    </w:p>
    <w:p w:rsidR="00000000" w:rsidRDefault="00211603">
      <w:pPr>
        <w:divId w:val="603000468"/>
        <w:rPr>
          <w:rFonts w:eastAsia="Times New Roman"/>
        </w:rPr>
      </w:pPr>
      <w:r>
        <w:rPr>
          <w:rFonts w:eastAsia="Times New Roman"/>
          <w:sz w:val="20"/>
          <w:szCs w:val="20"/>
        </w:rPr>
        <w:t>specify that special meetings of our stockholders can be called only by our board of directors, the chairperson of the board, the chief executive officer or the president</w:t>
      </w:r>
      <w:r>
        <w:rPr>
          <w:rFonts w:eastAsia="Times New Roman"/>
          <w:sz w:val="20"/>
          <w:szCs w:val="20"/>
        </w:rPr>
        <w:t>;</w:t>
      </w:r>
    </w:p>
    <w:p w:rsidR="00000000" w:rsidRDefault="00211603">
      <w:pPr>
        <w:divId w:val="1198860143"/>
        <w:rPr>
          <w:rFonts w:eastAsia="Times New Roman"/>
        </w:rPr>
      </w:pPr>
      <w:r>
        <w:rPr>
          <w:rFonts w:eastAsia="Times New Roman"/>
          <w:sz w:val="20"/>
          <w:szCs w:val="20"/>
        </w:rPr>
        <w:t>•</w:t>
      </w:r>
    </w:p>
    <w:p w:rsidR="00000000" w:rsidRDefault="00211603">
      <w:pPr>
        <w:divId w:val="799962556"/>
        <w:rPr>
          <w:rFonts w:eastAsia="Times New Roman"/>
        </w:rPr>
      </w:pPr>
      <w:r>
        <w:rPr>
          <w:rFonts w:eastAsia="Times New Roman"/>
          <w:sz w:val="20"/>
          <w:szCs w:val="20"/>
        </w:rPr>
        <w:t>proh</w:t>
      </w:r>
      <w:r>
        <w:rPr>
          <w:rFonts w:eastAsia="Times New Roman"/>
          <w:sz w:val="20"/>
          <w:szCs w:val="20"/>
        </w:rPr>
        <w:t>ibit stockholder action by written consent</w:t>
      </w:r>
      <w:r>
        <w:rPr>
          <w:rFonts w:eastAsia="Times New Roman"/>
          <w:sz w:val="20"/>
          <w:szCs w:val="20"/>
        </w:rPr>
        <w:t>;</w:t>
      </w:r>
    </w:p>
    <w:p w:rsidR="00000000" w:rsidRDefault="00211603">
      <w:pPr>
        <w:divId w:val="1397515321"/>
        <w:rPr>
          <w:rFonts w:eastAsia="Times New Roman"/>
        </w:rPr>
      </w:pPr>
      <w:r>
        <w:rPr>
          <w:rFonts w:eastAsia="Times New Roman"/>
          <w:sz w:val="20"/>
          <w:szCs w:val="20"/>
        </w:rPr>
        <w:t>•</w:t>
      </w:r>
    </w:p>
    <w:p w:rsidR="00000000" w:rsidRDefault="00211603">
      <w:pPr>
        <w:divId w:val="1642347006"/>
        <w:rPr>
          <w:rFonts w:eastAsia="Times New Roman"/>
        </w:rPr>
      </w:pPr>
      <w:r>
        <w:rPr>
          <w:rFonts w:eastAsia="Times New Roman"/>
          <w:sz w:val="20"/>
          <w:szCs w:val="20"/>
        </w:rPr>
        <w:t>establish an advance notice procedure for stockholder approvals to be brought before an annual meeting of our stockholders, including proposed nominations of persons for election to our board of directors</w:t>
      </w:r>
      <w:r>
        <w:rPr>
          <w:rFonts w:eastAsia="Times New Roman"/>
          <w:sz w:val="20"/>
          <w:szCs w:val="20"/>
        </w:rPr>
        <w:t>;</w:t>
      </w:r>
    </w:p>
    <w:p w:rsidR="00000000" w:rsidRDefault="00211603">
      <w:pPr>
        <w:divId w:val="1969580171"/>
        <w:rPr>
          <w:rFonts w:eastAsia="Times New Roman"/>
        </w:rPr>
      </w:pPr>
      <w:r>
        <w:rPr>
          <w:rFonts w:eastAsia="Times New Roman"/>
          <w:sz w:val="20"/>
          <w:szCs w:val="20"/>
        </w:rPr>
        <w:t>•</w:t>
      </w:r>
    </w:p>
    <w:p w:rsidR="00000000" w:rsidRDefault="00211603">
      <w:pPr>
        <w:divId w:val="2118325843"/>
        <w:rPr>
          <w:rFonts w:eastAsia="Times New Roman"/>
        </w:rPr>
      </w:pPr>
      <w:r>
        <w:rPr>
          <w:rFonts w:eastAsia="Times New Roman"/>
          <w:sz w:val="20"/>
          <w:szCs w:val="20"/>
        </w:rPr>
        <w:t>pr</w:t>
      </w:r>
      <w:r>
        <w:rPr>
          <w:rFonts w:eastAsia="Times New Roman"/>
          <w:sz w:val="20"/>
          <w:szCs w:val="20"/>
        </w:rPr>
        <w:t>ovide that our directors may be removed only for cause</w:t>
      </w:r>
      <w:r>
        <w:rPr>
          <w:rFonts w:eastAsia="Times New Roman"/>
          <w:sz w:val="20"/>
          <w:szCs w:val="20"/>
        </w:rPr>
        <w:t>;</w:t>
      </w:r>
    </w:p>
    <w:p w:rsidR="00000000" w:rsidRDefault="00211603">
      <w:pPr>
        <w:divId w:val="1176112618"/>
        <w:rPr>
          <w:rFonts w:eastAsia="Times New Roman"/>
        </w:rPr>
      </w:pPr>
      <w:r>
        <w:rPr>
          <w:rFonts w:eastAsia="Times New Roman"/>
          <w:sz w:val="20"/>
          <w:szCs w:val="20"/>
        </w:rPr>
        <w:t>•</w:t>
      </w:r>
    </w:p>
    <w:p w:rsidR="00000000" w:rsidRDefault="00211603">
      <w:pPr>
        <w:divId w:val="1417365914"/>
        <w:rPr>
          <w:rFonts w:eastAsia="Times New Roman"/>
        </w:rPr>
      </w:pPr>
      <w:r>
        <w:rPr>
          <w:rFonts w:eastAsia="Times New Roman"/>
          <w:sz w:val="20"/>
          <w:szCs w:val="20"/>
        </w:rPr>
        <w:t>provide that vacancies on our board of directors may be filled only by a majority of directors then in office, even though less than a quorum</w:t>
      </w:r>
      <w:r>
        <w:rPr>
          <w:rFonts w:eastAsia="Times New Roman"/>
          <w:sz w:val="20"/>
          <w:szCs w:val="20"/>
        </w:rPr>
        <w:t>;</w:t>
      </w:r>
    </w:p>
    <w:p w:rsidR="00000000" w:rsidRDefault="00211603">
      <w:pPr>
        <w:divId w:val="917909772"/>
        <w:rPr>
          <w:rFonts w:eastAsia="Times New Roman"/>
        </w:rPr>
      </w:pPr>
      <w:r>
        <w:rPr>
          <w:rFonts w:eastAsia="Times New Roman"/>
          <w:sz w:val="20"/>
          <w:szCs w:val="20"/>
        </w:rPr>
        <w:t>•</w:t>
      </w:r>
    </w:p>
    <w:p w:rsidR="00000000" w:rsidRDefault="00211603">
      <w:pPr>
        <w:divId w:val="1670399980"/>
        <w:rPr>
          <w:rFonts w:eastAsia="Times New Roman"/>
        </w:rPr>
      </w:pPr>
      <w:r>
        <w:rPr>
          <w:rFonts w:eastAsia="Times New Roman"/>
          <w:sz w:val="20"/>
          <w:szCs w:val="20"/>
        </w:rPr>
        <w:t>specify that no stockholder is permitted to cumulate votes at any election of directors</w:t>
      </w:r>
      <w:r>
        <w:rPr>
          <w:rFonts w:eastAsia="Times New Roman"/>
          <w:sz w:val="20"/>
          <w:szCs w:val="20"/>
        </w:rPr>
        <w:t>;</w:t>
      </w:r>
    </w:p>
    <w:p w:rsidR="00000000" w:rsidRDefault="00211603">
      <w:pPr>
        <w:divId w:val="1470636031"/>
        <w:rPr>
          <w:rFonts w:eastAsia="Times New Roman"/>
        </w:rPr>
      </w:pPr>
      <w:r>
        <w:rPr>
          <w:rFonts w:eastAsia="Times New Roman"/>
          <w:sz w:val="20"/>
          <w:szCs w:val="20"/>
        </w:rPr>
        <w:t>•</w:t>
      </w:r>
    </w:p>
    <w:p w:rsidR="00000000" w:rsidRDefault="00211603">
      <w:pPr>
        <w:divId w:val="573666821"/>
        <w:rPr>
          <w:rFonts w:eastAsia="Times New Roman"/>
        </w:rPr>
      </w:pPr>
      <w:r>
        <w:rPr>
          <w:rFonts w:eastAsia="Times New Roman"/>
          <w:sz w:val="20"/>
          <w:szCs w:val="20"/>
        </w:rPr>
        <w:t xml:space="preserve">authorize our board </w:t>
      </w:r>
      <w:r>
        <w:rPr>
          <w:rFonts w:eastAsia="Times New Roman"/>
          <w:sz w:val="20"/>
          <w:szCs w:val="20"/>
        </w:rPr>
        <w:t>of directors to modify, alter or repeal our amended and restated bylaws; an</w:t>
      </w:r>
      <w:r>
        <w:rPr>
          <w:rFonts w:eastAsia="Times New Roman"/>
          <w:sz w:val="20"/>
          <w:szCs w:val="20"/>
        </w:rPr>
        <w:t>d</w:t>
      </w:r>
    </w:p>
    <w:p w:rsidR="00000000" w:rsidRDefault="00211603">
      <w:pPr>
        <w:divId w:val="865748912"/>
        <w:rPr>
          <w:rFonts w:eastAsia="Times New Roman"/>
        </w:rPr>
      </w:pPr>
      <w:r>
        <w:rPr>
          <w:rFonts w:eastAsia="Times New Roman"/>
          <w:sz w:val="20"/>
          <w:szCs w:val="20"/>
        </w:rPr>
        <w:t>•</w:t>
      </w:r>
    </w:p>
    <w:p w:rsidR="00000000" w:rsidRDefault="00211603">
      <w:pPr>
        <w:divId w:val="2061711509"/>
        <w:rPr>
          <w:rFonts w:eastAsia="Times New Roman"/>
        </w:rPr>
      </w:pPr>
      <w:r>
        <w:rPr>
          <w:rFonts w:eastAsia="Times New Roman"/>
          <w:sz w:val="20"/>
          <w:szCs w:val="20"/>
        </w:rPr>
        <w:t>require supermajority votes of the holders of our common stock to amend specified provisions of our charter documents</w:t>
      </w:r>
      <w:r>
        <w:rPr>
          <w:rFonts w:eastAsia="Times New Roman"/>
          <w:sz w:val="20"/>
          <w:szCs w:val="20"/>
        </w:rPr>
        <w:t>.</w:t>
      </w:r>
    </w:p>
    <w:p w:rsidR="00000000" w:rsidRDefault="00211603">
      <w:pPr>
        <w:pStyle w:val="a3"/>
        <w:spacing w:before="200" w:beforeAutospacing="0" w:after="0" w:afterAutospacing="0"/>
        <w:ind w:firstLine="555"/>
        <w:rPr>
          <w:sz w:val="20"/>
          <w:szCs w:val="20"/>
        </w:rPr>
      </w:pPr>
      <w:r>
        <w:rPr>
          <w:sz w:val="20"/>
          <w:szCs w:val="20"/>
        </w:rPr>
        <w:t>These provisions, alone or together, could delay or preven</w:t>
      </w:r>
      <w:r>
        <w:rPr>
          <w:sz w:val="20"/>
          <w:szCs w:val="20"/>
        </w:rPr>
        <w:t>t hostile takeovers and changes in control or changes in our management</w:t>
      </w:r>
      <w:r>
        <w:rPr>
          <w:sz w:val="20"/>
          <w:szCs w:val="20"/>
        </w:rPr>
        <w:t>.</w:t>
      </w:r>
    </w:p>
    <w:p w:rsidR="00000000" w:rsidRDefault="00211603">
      <w:pPr>
        <w:pStyle w:val="a3"/>
        <w:spacing w:before="200" w:beforeAutospacing="0" w:after="0" w:afterAutospacing="0"/>
        <w:ind w:firstLine="555"/>
        <w:rPr>
          <w:sz w:val="20"/>
          <w:szCs w:val="20"/>
        </w:rPr>
      </w:pPr>
      <w:r>
        <w:rPr>
          <w:sz w:val="20"/>
          <w:szCs w:val="20"/>
        </w:rPr>
        <w:t>In addition, because we are incorporated in Delaware, we are governed by the provisions of Section 203 of the Delaware General Corporation Law, which limits the ability of stockholder</w:t>
      </w:r>
      <w:r>
        <w:rPr>
          <w:sz w:val="20"/>
          <w:szCs w:val="20"/>
        </w:rPr>
        <w:t>s owning in excess of 15% of our outstanding voting stock to merge or combine with us in certain circumstances</w:t>
      </w:r>
      <w:r>
        <w:rPr>
          <w:sz w:val="20"/>
          <w:szCs w:val="20"/>
        </w:rPr>
        <w:t>.</w:t>
      </w:r>
    </w:p>
    <w:p w:rsidR="00000000" w:rsidRDefault="00211603">
      <w:pPr>
        <w:pStyle w:val="a3"/>
        <w:spacing w:before="200" w:beforeAutospacing="0" w:after="0" w:afterAutospacing="0"/>
        <w:ind w:firstLine="555"/>
        <w:rPr>
          <w:sz w:val="20"/>
          <w:szCs w:val="20"/>
        </w:rPr>
      </w:pPr>
      <w:r>
        <w:rPr>
          <w:sz w:val="20"/>
          <w:szCs w:val="20"/>
        </w:rPr>
        <w:t>Any provision of our amended and restated certificate of incorporation or amended and restated bylaws or Delaware law that has the effect of del</w:t>
      </w:r>
      <w:r>
        <w:rPr>
          <w:sz w:val="20"/>
          <w:szCs w:val="20"/>
        </w:rPr>
        <w:t>aying or deterring a change in control could limit the opportunity for our stockholders to receive a premium for their shares of our common stock, and could also affect the price that some investors are willing to pay for our common stock</w:t>
      </w:r>
      <w:r>
        <w:rPr>
          <w:sz w:val="20"/>
          <w:szCs w:val="20"/>
        </w:rPr>
        <w:t>.</w:t>
      </w:r>
    </w:p>
    <w:p w:rsidR="00000000" w:rsidRDefault="00211603">
      <w:pPr>
        <w:pStyle w:val="a3"/>
        <w:spacing w:before="200" w:beforeAutospacing="0" w:after="0" w:afterAutospacing="0"/>
        <w:ind w:firstLine="555"/>
        <w:rPr>
          <w:sz w:val="20"/>
          <w:szCs w:val="20"/>
        </w:rPr>
      </w:pPr>
      <w:r>
        <w:rPr>
          <w:sz w:val="20"/>
          <w:szCs w:val="20"/>
        </w:rPr>
        <w:t> </w:t>
      </w:r>
    </w:p>
    <w:p w:rsidR="00000000" w:rsidRDefault="00211603">
      <w:pPr>
        <w:pStyle w:val="a3"/>
        <w:spacing w:before="200" w:beforeAutospacing="0" w:after="0" w:afterAutospacing="0"/>
        <w:rPr>
          <w:sz w:val="20"/>
          <w:szCs w:val="20"/>
        </w:rPr>
      </w:pPr>
      <w:r>
        <w:rPr>
          <w:b/>
          <w:bCs/>
          <w:sz w:val="20"/>
          <w:szCs w:val="20"/>
        </w:rPr>
        <w:t>General Risk</w:t>
      </w:r>
      <w:r>
        <w:rPr>
          <w:b/>
          <w:bCs/>
          <w:sz w:val="20"/>
          <w:szCs w:val="20"/>
        </w:rPr>
        <w:t>s</w:t>
      </w:r>
    </w:p>
    <w:p w:rsidR="00000000" w:rsidRDefault="00211603">
      <w:pPr>
        <w:pStyle w:val="a3"/>
        <w:spacing w:before="200" w:beforeAutospacing="0" w:after="0" w:afterAutospacing="0"/>
        <w:rPr>
          <w:sz w:val="20"/>
          <w:szCs w:val="20"/>
        </w:rPr>
      </w:pPr>
      <w:r>
        <w:rPr>
          <w:b/>
          <w:bCs/>
          <w:i/>
          <w:iCs/>
          <w:sz w:val="20"/>
          <w:szCs w:val="20"/>
        </w:rPr>
        <w:t>The continuing effects of the COVID-19 pandemic are highly unpredictable and could be significant, and the duration and extent to which this will impact our future results of operations and overall financial performance remains uncertain</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The COVID-19 pand</w:t>
      </w:r>
      <w:r>
        <w:rPr>
          <w:sz w:val="20"/>
          <w:szCs w:val="20"/>
        </w:rPr>
        <w:t>emic and virus containment measures taken by federal and state governments have resulted in, and are expected to continue to result in, business slowdowns or shutdowns, weakened economic conditions, economic uncertainty, and volatility in the financial mar</w:t>
      </w:r>
      <w:r>
        <w:rPr>
          <w:sz w:val="20"/>
          <w:szCs w:val="20"/>
        </w:rPr>
        <w:t xml:space="preserve">kets, both regionally and worldwide. We have continued to conduct business during the COVID-19 pandemic with substantial modifications to employee travel and where employees work, as well as virtualization, postponement, or cancellation of certain events, </w:t>
      </w:r>
      <w:r>
        <w:rPr>
          <w:sz w:val="20"/>
          <w:szCs w:val="20"/>
        </w:rPr>
        <w:t>among other changes. We have begun to slowly re-open our offices on a staggered, region-by-region basis in accordance with local authority guidelines, we continue to actively monitor the situation and have taken and may take further actions to alter our bu</w:t>
      </w:r>
      <w:r>
        <w:rPr>
          <w:sz w:val="20"/>
          <w:szCs w:val="20"/>
        </w:rPr>
        <w:t>siness operations as may be required by federal, state, or local authorities. Although we have been able to navigate workplace restrictions and limitations with minimal disruptions to our business operations to date, we may further modify our business prac</w:t>
      </w:r>
      <w:r>
        <w:rPr>
          <w:sz w:val="20"/>
          <w:szCs w:val="20"/>
        </w:rPr>
        <w:t>tices and real estate needs in response to the risks and negative impacts caused by the COVID-19 pandemic, but we cannot be certain that these measures will continue to be successful. We continue to actively monitor the situation and may take further actio</w:t>
      </w:r>
      <w:r>
        <w:rPr>
          <w:sz w:val="20"/>
          <w:szCs w:val="20"/>
        </w:rPr>
        <w:t>ns to alter our business operations as may be required by federal, state, or local authorities, or that we determine are in the best interests of our employees, customers, partners, suppliers, and stockholders, including in response to outbreaks and varian</w:t>
      </w:r>
      <w:r>
        <w:rPr>
          <w:sz w:val="20"/>
          <w:szCs w:val="20"/>
        </w:rPr>
        <w:t>ts</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While we have not been materially adversely affected to date, the conditions caused by the pandemic may affect the rate of spending on software products and may adversely affect our customers’ ability or willingness to purchase our offerings; the timi</w:t>
      </w:r>
      <w:r>
        <w:rPr>
          <w:sz w:val="20"/>
          <w:szCs w:val="20"/>
        </w:rPr>
        <w:t>ng of our current or prospective customers’ purchasing decisions; pricing discounts or extended payment terms; reductions in the amount or duration of customers’ subscription contracts; or increase customer attrition rates, all of which could adversely aff</w:t>
      </w:r>
      <w:r>
        <w:rPr>
          <w:sz w:val="20"/>
          <w:szCs w:val="20"/>
        </w:rPr>
        <w:t>ect our future sales, operating results and overall financial performance. If the pandemic and its residual effects have a substantial impact on the ability of our customers to purchase our offerings, our results of operations, and overall financial perfor</w:t>
      </w:r>
      <w:r>
        <w:rPr>
          <w:sz w:val="20"/>
          <w:szCs w:val="20"/>
        </w:rPr>
        <w:t>mance may be harmed</w:t>
      </w:r>
      <w:r>
        <w:rPr>
          <w:sz w:val="20"/>
          <w:szCs w:val="20"/>
        </w:rPr>
        <w:t>.</w:t>
      </w:r>
    </w:p>
    <w:p w:rsidR="00000000" w:rsidRDefault="00211603">
      <w:pPr>
        <w:pStyle w:val="a3"/>
        <w:spacing w:before="200" w:beforeAutospacing="0" w:after="0" w:afterAutospacing="0"/>
        <w:ind w:firstLine="555"/>
        <w:rPr>
          <w:sz w:val="20"/>
          <w:szCs w:val="20"/>
        </w:rPr>
      </w:pPr>
      <w:r>
        <w:rPr>
          <w:sz w:val="20"/>
          <w:szCs w:val="20"/>
        </w:rPr>
        <w:t>The extent to which the pandemic impacts our business operations in future periods will depend on multiple factors that cannot be accurately predicted at this time, such as the duration and scope of the pandemic, future spikes of COVID</w:t>
      </w:r>
      <w:r>
        <w:rPr>
          <w:sz w:val="20"/>
          <w:szCs w:val="20"/>
        </w:rPr>
        <w:t>-19 infections (including the spread of variants or mutant strains, and the degree of transmissibility and severity thereof), the extent and effectiveness o</w:t>
      </w:r>
      <w:r>
        <w:rPr>
          <w:sz w:val="20"/>
          <w:szCs w:val="20"/>
        </w:rPr>
        <w:t>f</w:t>
      </w:r>
      <w:r>
        <w:rPr>
          <w:sz w:val="20"/>
          <w:szCs w:val="20"/>
        </w:rPr>
        <w:t xml:space="preserve"> </w:t>
      </w:r>
    </w:p>
    <w:p w:rsidR="00000000" w:rsidRDefault="00211603">
      <w:pPr>
        <w:pStyle w:val="a3"/>
        <w:spacing w:before="240" w:beforeAutospacing="0" w:after="0" w:afterAutospacing="0"/>
        <w:jc w:val="center"/>
        <w:rPr>
          <w:sz w:val="20"/>
          <w:szCs w:val="20"/>
        </w:rPr>
      </w:pPr>
      <w:r>
        <w:rPr>
          <w:sz w:val="20"/>
          <w:szCs w:val="20"/>
        </w:rPr>
        <w:t>5</w:t>
      </w:r>
      <w:r>
        <w:rPr>
          <w:sz w:val="20"/>
          <w:szCs w:val="20"/>
        </w:rPr>
        <w:t>4</w:t>
      </w:r>
    </w:p>
    <w:p w:rsidR="00000000" w:rsidRDefault="00211603">
      <w:pPr>
        <w:rPr>
          <w:rFonts w:eastAsia="Times New Roman"/>
        </w:rPr>
      </w:pPr>
      <w:r>
        <w:rPr>
          <w:rFonts w:eastAsia="Times New Roman"/>
        </w:rPr>
        <w:pict>
          <v:rect id="_x0000_i1078"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sz w:val="20"/>
          <w:szCs w:val="20"/>
        </w:rPr>
        <w:t>containment actions, the disruption caused by such actio</w:t>
      </w:r>
      <w:r>
        <w:rPr>
          <w:sz w:val="20"/>
          <w:szCs w:val="20"/>
        </w:rPr>
        <w:t>ns, and the impact of these and other factors on our employees, customers, partners and vendors. If we are not able to respond to and manage the impact of such events effectively, our business will be harmed. In addition, supply chain disruption and result</w:t>
      </w:r>
      <w:r>
        <w:rPr>
          <w:sz w:val="20"/>
          <w:szCs w:val="20"/>
        </w:rPr>
        <w:t>ing inflationary pressures, a global labor shortage, the ebb and flow of COVID-19, including in specific geographies, and changes in economic policy could impact our outlook</w:t>
      </w:r>
      <w:r>
        <w:rPr>
          <w:sz w:val="20"/>
          <w:szCs w:val="20"/>
        </w:rPr>
        <w:t>.</w:t>
      </w:r>
      <w:r>
        <w:rPr>
          <w:sz w:val="20"/>
          <w:szCs w:val="20"/>
        </w:rPr>
        <w:t xml:space="preserve"> </w:t>
      </w:r>
    </w:p>
    <w:p w:rsidR="00000000" w:rsidRDefault="00211603">
      <w:pPr>
        <w:pStyle w:val="a3"/>
        <w:spacing w:before="200" w:beforeAutospacing="0" w:after="0" w:afterAutospacing="0"/>
        <w:ind w:firstLine="555"/>
        <w:rPr>
          <w:sz w:val="20"/>
          <w:szCs w:val="20"/>
        </w:rPr>
      </w:pPr>
      <w:r>
        <w:rPr>
          <w:sz w:val="20"/>
          <w:szCs w:val="20"/>
        </w:rPr>
        <w:t>To the extent the pandemic adversely affects our business and financial results,</w:t>
      </w:r>
      <w:r>
        <w:rPr>
          <w:sz w:val="20"/>
          <w:szCs w:val="20"/>
        </w:rPr>
        <w:t xml:space="preserve"> it may also have the effect of heightening many of the other risks described in this “Risk Factors” section, including, in particular, risks related to our dependence on customer renewals, the addition of new customers and increased revenue from existing </w:t>
      </w:r>
      <w:r>
        <w:rPr>
          <w:sz w:val="20"/>
          <w:szCs w:val="20"/>
        </w:rPr>
        <w:t>customer, risks that our operating results could be negatively affected by changes in the sizes or types of businesses that purchase our platform and the risk that weakened global economic conditions may harm our industry, business and results of operation</w:t>
      </w:r>
      <w:r>
        <w:rPr>
          <w:sz w:val="20"/>
          <w:szCs w:val="20"/>
        </w:rPr>
        <w:t>s</w:t>
      </w:r>
      <w:r>
        <w:rPr>
          <w:sz w:val="20"/>
          <w:szCs w:val="20"/>
        </w:rPr>
        <w:t>.</w:t>
      </w:r>
    </w:p>
    <w:p w:rsidR="00000000" w:rsidRDefault="00211603">
      <w:pPr>
        <w:pStyle w:val="a3"/>
        <w:spacing w:before="200" w:beforeAutospacing="0" w:after="0" w:afterAutospacing="0"/>
        <w:rPr>
          <w:sz w:val="20"/>
          <w:szCs w:val="20"/>
        </w:rPr>
      </w:pPr>
      <w:r>
        <w:rPr>
          <w:b/>
          <w:bCs/>
          <w:i/>
          <w:iCs/>
          <w:sz w:val="20"/>
          <w:szCs w:val="20"/>
        </w:rPr>
        <w:t>Failure to comply with laws and regulations could harm our business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business is subject to regulation by various federal, state, local and foreign governmental agencies, including agencies responsible for monitoring and enforcing employment and lab</w:t>
      </w:r>
      <w:r>
        <w:rPr>
          <w:sz w:val="20"/>
          <w:szCs w:val="20"/>
        </w:rPr>
        <w:t>or laws, workplace safety, environmental laws, consumer protection laws, anti-bribery laws, import/export controls, federal securities laws and tax laws and regulations. In certain jurisdictions, these regulatory requirements may be more stringent than tho</w:t>
      </w:r>
      <w:r>
        <w:rPr>
          <w:sz w:val="20"/>
          <w:szCs w:val="20"/>
        </w:rPr>
        <w:t>se in the United States. Noncompliance with applicable regulations or requirements could subject us to investigations, sanctions, mandatory recalls, enforcement actions, disgorgement of profits, fines, damages, civil and criminal penalties or injunctions</w:t>
      </w:r>
      <w:r>
        <w:rPr>
          <w:sz w:val="20"/>
          <w:szCs w:val="20"/>
        </w:rPr>
        <w:t>.</w:t>
      </w:r>
    </w:p>
    <w:p w:rsidR="00000000" w:rsidRDefault="00211603">
      <w:pPr>
        <w:pStyle w:val="a3"/>
        <w:spacing w:before="200" w:beforeAutospacing="0" w:after="0" w:afterAutospacing="0"/>
        <w:rPr>
          <w:sz w:val="20"/>
          <w:szCs w:val="20"/>
        </w:rPr>
      </w:pPr>
      <w:r>
        <w:rPr>
          <w:b/>
          <w:bCs/>
          <w:i/>
          <w:iCs/>
          <w:sz w:val="20"/>
          <w:szCs w:val="20"/>
        </w:rPr>
        <w:t>We are exposed to fluctuations in currency exchange rates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We face exposure to movements in currency exchange rates, which may cause our revenue and operating results to differ materially from expectations. As we have expanded our international operations, our exposure to exchange rate fluctuations has increased, </w:t>
      </w:r>
      <w:r>
        <w:rPr>
          <w:sz w:val="20"/>
          <w:szCs w:val="20"/>
        </w:rPr>
        <w:t>in particular with respect to the Euro, British Pound Sterling, Australian Dollar, Singapore Dollar, Japanese Yen, Colombian Peso, and Canadian Dollar. As exchange rates vary, revenue, cost of revenue, operating expenses and other operating results, when r</w:t>
      </w:r>
      <w:r>
        <w:rPr>
          <w:sz w:val="20"/>
          <w:szCs w:val="20"/>
        </w:rPr>
        <w:t>e-measured, may differ materially from expectations. In addition, our operating results are subject to fluctuation if our mix of U.S. and foreign currency denominated transactions and expenses changes in the future. Furthermore, global political events, in</w:t>
      </w:r>
      <w:r>
        <w:rPr>
          <w:sz w:val="20"/>
          <w:szCs w:val="20"/>
        </w:rPr>
        <w:t>cluding Brexit, the ongoing conflict between Russia and Ukraine, and similar geopolitical developments, fluctuating commodity prices and trade tariff developments, have caused global economic uncertainty, which could amplify the volatility of currency fluc</w:t>
      </w:r>
      <w:r>
        <w:rPr>
          <w:sz w:val="20"/>
          <w:szCs w:val="20"/>
        </w:rPr>
        <w:t>tuations. Such volatility, even when it increases our revenues or decreases our expenses, impacts our ability to predict our future results and earnings accurately. Although we may apply certain strategies to mitigate foreign currency risk, these strategie</w:t>
      </w:r>
      <w:r>
        <w:rPr>
          <w:sz w:val="20"/>
          <w:szCs w:val="20"/>
        </w:rPr>
        <w:t>s might not eliminate our exposure to foreign exchange rate fluctuations and would involve costs and risks of their own, such as ongoing management time and expertise, external costs to implement the strategies and potential accounting implications. Additi</w:t>
      </w:r>
      <w:r>
        <w:rPr>
          <w:sz w:val="20"/>
          <w:szCs w:val="20"/>
        </w:rPr>
        <w:t>onally, as we anticipate growing our business further outside of the United States, the effects of movements in currency exchange rates will increase as our transaction volume outside of the United States increases</w:t>
      </w:r>
      <w:r>
        <w:rPr>
          <w:sz w:val="20"/>
          <w:szCs w:val="20"/>
        </w:rPr>
        <w:t>.</w:t>
      </w:r>
    </w:p>
    <w:p w:rsidR="00000000" w:rsidRDefault="00211603">
      <w:pPr>
        <w:pStyle w:val="a3"/>
        <w:spacing w:before="200" w:beforeAutospacing="0" w:after="0" w:afterAutospacing="0"/>
        <w:rPr>
          <w:sz w:val="20"/>
          <w:szCs w:val="20"/>
        </w:rPr>
      </w:pPr>
      <w:r>
        <w:rPr>
          <w:b/>
          <w:bCs/>
          <w:i/>
          <w:iCs/>
          <w:sz w:val="20"/>
          <w:szCs w:val="20"/>
        </w:rPr>
        <w:t xml:space="preserve">Weakened global economic conditions may </w:t>
      </w:r>
      <w:r>
        <w:rPr>
          <w:b/>
          <w:bCs/>
          <w:i/>
          <w:iCs/>
          <w:sz w:val="20"/>
          <w:szCs w:val="20"/>
        </w:rPr>
        <w:t>harm our industry, business and results of operations</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Our overall performance depends in part on worldwide economic conditions. Global financial developments and downturns seemingly unrelated to us or the software industry may harm us. The United States a</w:t>
      </w:r>
      <w:r>
        <w:rPr>
          <w:sz w:val="20"/>
          <w:szCs w:val="20"/>
        </w:rPr>
        <w:t xml:space="preserve">nd other key international economies have been affected from time to time by falling demand for a variety of goods and services, restricted credit, poor liquidity, reduced corporate profitability, volatility in credit, equity and foreign exchange markets, </w:t>
      </w:r>
      <w:r>
        <w:rPr>
          <w:sz w:val="20"/>
          <w:szCs w:val="20"/>
        </w:rPr>
        <w:t xml:space="preserve">bankruptcies, inflation and overall uncertainty with respect to the economy, including with respect to tariff and trade issues. In particular, the economies of countries in Europe have been experiencing weakness associated with high sovereign debt levels, </w:t>
      </w:r>
      <w:r>
        <w:rPr>
          <w:sz w:val="20"/>
          <w:szCs w:val="20"/>
        </w:rPr>
        <w:t>weakness in the banking sector, uncertainty over the future of the Euro zone and volatility in the value of the pound sterling and the Euro, including instability surrounding Brexit, and instability resulting from the ongoing conflict between Russia and Uk</w:t>
      </w:r>
      <w:r>
        <w:rPr>
          <w:sz w:val="20"/>
          <w:szCs w:val="20"/>
        </w:rPr>
        <w:t>raine. The effect of the conflict between Russia and Ukraine, including</w:t>
      </w:r>
      <w:r>
        <w:rPr>
          <w:sz w:val="20"/>
          <w:szCs w:val="20"/>
        </w:rPr>
        <w:br/>
        <w:t>any resulting sanctions, export controls or other restrictive actions that may be imposed against governmental or other entities</w:t>
      </w:r>
      <w:r>
        <w:rPr>
          <w:sz w:val="20"/>
          <w:szCs w:val="20"/>
        </w:rPr>
        <w:br/>
        <w:t>in, for example, Russia, have in the past contributed a</w:t>
      </w:r>
      <w:r>
        <w:rPr>
          <w:sz w:val="20"/>
          <w:szCs w:val="20"/>
        </w:rPr>
        <w:t>nd may in the future contribute to disruption, instability and volatility in</w:t>
      </w:r>
      <w:r>
        <w:rPr>
          <w:sz w:val="20"/>
          <w:szCs w:val="20"/>
        </w:rPr>
        <w:br/>
        <w:t>the global markets. We have operations, as well as current and potential new customers, throughout most of Europe. If economic conditions in Europe and other key markets for our p</w:t>
      </w:r>
      <w:r>
        <w:rPr>
          <w:sz w:val="20"/>
          <w:szCs w:val="20"/>
        </w:rPr>
        <w:t>latform continue to remain uncertain or deteriorate further, it could adversely affect our customers’ ability or willingness to subscribe to our platform, delay prospective customers’ purchasing decisions, reduce the value or duration of their subscription</w:t>
      </w:r>
      <w:r>
        <w:rPr>
          <w:sz w:val="20"/>
          <w:szCs w:val="20"/>
        </w:rPr>
        <w:t>s or affect renewal rates, all of which could harm our operating results</w:t>
      </w:r>
      <w:r>
        <w:rPr>
          <w:sz w:val="20"/>
          <w:szCs w:val="20"/>
        </w:rPr>
        <w:t>.</w:t>
      </w:r>
    </w:p>
    <w:p w:rsidR="00000000" w:rsidRDefault="00211603">
      <w:pPr>
        <w:pStyle w:val="a3"/>
        <w:spacing w:before="200" w:beforeAutospacing="0" w:after="0" w:afterAutospacing="0"/>
        <w:ind w:firstLine="555"/>
        <w:rPr>
          <w:sz w:val="20"/>
          <w:szCs w:val="20"/>
        </w:rPr>
      </w:pPr>
      <w:r>
        <w:rPr>
          <w:sz w:val="20"/>
          <w:szCs w:val="20"/>
        </w:rPr>
        <w:t>More recently, inflation rates in the U.S. have increased to levels not seen in several years, which may result in decreased demand for our products and services, increases in our op</w:t>
      </w:r>
      <w:r>
        <w:rPr>
          <w:sz w:val="20"/>
          <w:szCs w:val="20"/>
        </w:rPr>
        <w:t>erating costs including our labor costs, constrained credit and liquidity, reduced government spending and volatility in financial markets. The Federal Reserve has raised, and may again raise, interest rates in response to concerns over inflation risk. The</w:t>
      </w:r>
      <w:r>
        <w:rPr>
          <w:sz w:val="20"/>
          <w:szCs w:val="20"/>
        </w:rPr>
        <w:t>re continues to be uncertainty in the changing market and economic conditions, including the possibility of additional measures that could be taken by the Federal Reserve and other government agencies, related to the COVID-19 pandemic and concerns over inf</w:t>
      </w:r>
      <w:r>
        <w:rPr>
          <w:sz w:val="20"/>
          <w:szCs w:val="20"/>
        </w:rPr>
        <w:t>lation risk. A sharp rise in interest rates could have an adverse impact on the fair market value of certain securities in our portfolio, which could adversely affect our financial results</w:t>
      </w:r>
      <w:r>
        <w:rPr>
          <w:sz w:val="20"/>
          <w:szCs w:val="20"/>
        </w:rPr>
        <w:t>.</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5</w:t>
      </w:r>
      <w:r>
        <w:rPr>
          <w:sz w:val="20"/>
          <w:szCs w:val="20"/>
        </w:rPr>
        <w:t>5</w:t>
      </w:r>
    </w:p>
    <w:p w:rsidR="00000000" w:rsidRDefault="00211603">
      <w:pPr>
        <w:rPr>
          <w:rFonts w:eastAsia="Times New Roman"/>
        </w:rPr>
      </w:pPr>
      <w:r>
        <w:rPr>
          <w:rFonts w:eastAsia="Times New Roman"/>
        </w:rPr>
        <w:pict>
          <v:rect id="_x0000_i1079"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00" w:beforeAutospacing="0" w:after="0" w:afterAutospacing="0"/>
        <w:rPr>
          <w:sz w:val="20"/>
          <w:szCs w:val="20"/>
        </w:rPr>
      </w:pPr>
      <w:r>
        <w:rPr>
          <w:b/>
          <w:bCs/>
          <w:i/>
          <w:iCs/>
          <w:sz w:val="20"/>
          <w:szCs w:val="20"/>
        </w:rPr>
        <w:t>Our ability to raise c</w:t>
      </w:r>
      <w:r>
        <w:rPr>
          <w:b/>
          <w:bCs/>
          <w:i/>
          <w:iCs/>
          <w:sz w:val="20"/>
          <w:szCs w:val="20"/>
        </w:rPr>
        <w:t>apital in the future may be limited, and our failure to raise capital when needed could prevent us from growing</w:t>
      </w:r>
      <w:r>
        <w:rPr>
          <w:b/>
          <w:bCs/>
          <w:i/>
          <w:iCs/>
          <w:sz w:val="20"/>
          <w:szCs w:val="20"/>
        </w:rPr>
        <w:t>.</w:t>
      </w:r>
    </w:p>
    <w:p w:rsidR="00000000" w:rsidRDefault="00211603">
      <w:pPr>
        <w:pStyle w:val="a3"/>
        <w:spacing w:before="200" w:beforeAutospacing="0" w:after="0" w:afterAutospacing="0"/>
        <w:ind w:firstLine="555"/>
        <w:rPr>
          <w:sz w:val="20"/>
          <w:szCs w:val="20"/>
        </w:rPr>
      </w:pPr>
      <w:r>
        <w:rPr>
          <w:sz w:val="20"/>
          <w:szCs w:val="20"/>
        </w:rPr>
        <w:t xml:space="preserve">Our business and operations may consume resources faster than we anticipate. In the future, we may need to raise additional funds to invest in </w:t>
      </w:r>
      <w:r>
        <w:rPr>
          <w:sz w:val="20"/>
          <w:szCs w:val="20"/>
        </w:rPr>
        <w:t>future growth opportunities. Additional financing may not be available on favorable terms, if at all. If adequate funds are not available on acceptable terms, we may be unable to invest in future growth opportunities, which could seriously harm our busines</w:t>
      </w:r>
      <w:r>
        <w:rPr>
          <w:sz w:val="20"/>
          <w:szCs w:val="20"/>
        </w:rPr>
        <w:t>s and operating results. If we incur debt, the debt holders would have rights senior to common stockholders to make claims on our assets, and the terms of any debt could restrict our operations, including our ability to pay dividends on our common stock. F</w:t>
      </w:r>
      <w:r>
        <w:rPr>
          <w:sz w:val="20"/>
          <w:szCs w:val="20"/>
        </w:rPr>
        <w:t xml:space="preserve">urthermore, if we issue equity securities, stockholders will experience dilution, and the new equity securities could have rights senior to those of our common stock. The Notes are and any additional equity or equity-linked financings would be dilutive to </w:t>
      </w:r>
      <w:r>
        <w:rPr>
          <w:sz w:val="20"/>
          <w:szCs w:val="20"/>
        </w:rPr>
        <w:t>our stockholders. Because our decision to issue securities in any future offering will depend on market conditions and other factors beyond our control, we cannot predict or estimate the amount, timing or nature of our future offerings. As a result, our st</w:t>
      </w:r>
      <w:r>
        <w:rPr>
          <w:sz w:val="20"/>
          <w:szCs w:val="20"/>
        </w:rPr>
        <w:t>ockholders bear the risk of our future securities offerings reducing the market price of our common stock and diluting their interest</w:t>
      </w:r>
      <w:r>
        <w:rPr>
          <w:sz w:val="20"/>
          <w:szCs w:val="20"/>
        </w:rPr>
        <w:t>.</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ind w:hanging="1220"/>
        <w:rPr>
          <w:sz w:val="20"/>
          <w:szCs w:val="20"/>
        </w:rPr>
      </w:pPr>
      <w:r>
        <w:rPr>
          <w:b/>
          <w:bCs/>
          <w:sz w:val="20"/>
          <w:szCs w:val="20"/>
        </w:rPr>
        <w:t>Item 2. Unregistered Sales of Equ</w:t>
      </w:r>
      <w:r>
        <w:rPr>
          <w:b/>
          <w:bCs/>
          <w:sz w:val="20"/>
          <w:szCs w:val="20"/>
        </w:rPr>
        <w:t>i</w:t>
      </w:r>
      <w:r>
        <w:rPr>
          <w:b/>
          <w:bCs/>
          <w:sz w:val="20"/>
          <w:szCs w:val="20"/>
        </w:rPr>
        <w:t>ty Securities and Use of Proceed</w:t>
      </w:r>
      <w:r>
        <w:rPr>
          <w:b/>
          <w:bCs/>
          <w:sz w:val="20"/>
          <w:szCs w:val="20"/>
        </w:rPr>
        <w:t>s</w:t>
      </w:r>
    </w:p>
    <w:p w:rsidR="00000000" w:rsidRDefault="00211603">
      <w:pPr>
        <w:pStyle w:val="a3"/>
        <w:spacing w:before="120" w:beforeAutospacing="0" w:after="0" w:afterAutospacing="0"/>
        <w:ind w:firstLine="555"/>
        <w:rPr>
          <w:sz w:val="20"/>
          <w:szCs w:val="20"/>
        </w:rPr>
      </w:pPr>
      <w:r>
        <w:rPr>
          <w:sz w:val="20"/>
          <w:szCs w:val="20"/>
        </w:rPr>
        <w:t>None</w:t>
      </w:r>
      <w:r>
        <w:rPr>
          <w:sz w:val="20"/>
          <w:szCs w:val="20"/>
        </w:rPr>
        <w:t>.</w:t>
      </w:r>
    </w:p>
    <w:p w:rsidR="00000000" w:rsidRDefault="00211603">
      <w:pPr>
        <w:pStyle w:val="a3"/>
        <w:spacing w:before="0" w:beforeAutospacing="0" w:after="0" w:afterAutospacing="0"/>
        <w:rPr>
          <w:sz w:val="20"/>
          <w:szCs w:val="20"/>
        </w:rPr>
      </w:pPr>
      <w:r>
        <w:rPr>
          <w:sz w:val="18"/>
          <w:szCs w:val="18"/>
        </w:rPr>
        <w:t> </w:t>
      </w:r>
    </w:p>
    <w:p w:rsidR="00000000" w:rsidRDefault="00211603">
      <w:pPr>
        <w:pStyle w:val="a3"/>
        <w:spacing w:before="0" w:beforeAutospacing="0" w:after="0" w:afterAutospacing="0"/>
        <w:rPr>
          <w:sz w:val="20"/>
          <w:szCs w:val="20"/>
        </w:rPr>
      </w:pPr>
      <w:r>
        <w:rPr>
          <w:sz w:val="18"/>
          <w:szCs w:val="18"/>
        </w:rPr>
        <w:t> </w:t>
      </w:r>
    </w:p>
    <w:p w:rsidR="00000000" w:rsidRDefault="00211603">
      <w:pPr>
        <w:pStyle w:val="a3"/>
        <w:spacing w:before="0" w:beforeAutospacing="0" w:after="0" w:afterAutospacing="0"/>
        <w:ind w:hanging="1220"/>
        <w:rPr>
          <w:sz w:val="20"/>
          <w:szCs w:val="20"/>
        </w:rPr>
      </w:pPr>
      <w:r>
        <w:rPr>
          <w:b/>
          <w:bCs/>
          <w:sz w:val="20"/>
          <w:szCs w:val="20"/>
        </w:rPr>
        <w:t>Item 3. Defaults o</w:t>
      </w:r>
      <w:r>
        <w:rPr>
          <w:b/>
          <w:bCs/>
          <w:sz w:val="20"/>
          <w:szCs w:val="20"/>
        </w:rPr>
        <w:t>n</w:t>
      </w:r>
      <w:r>
        <w:rPr>
          <w:b/>
          <w:bCs/>
          <w:sz w:val="20"/>
          <w:szCs w:val="20"/>
        </w:rPr>
        <w:t xml:space="preserve"> </w:t>
      </w:r>
      <w:r>
        <w:rPr>
          <w:b/>
          <w:bCs/>
          <w:sz w:val="20"/>
          <w:szCs w:val="20"/>
        </w:rPr>
        <w:t>Senior Securitie</w:t>
      </w:r>
      <w:r>
        <w:rPr>
          <w:b/>
          <w:bCs/>
          <w:sz w:val="20"/>
          <w:szCs w:val="20"/>
        </w:rPr>
        <w:t>s</w:t>
      </w:r>
    </w:p>
    <w:p w:rsidR="00000000" w:rsidRDefault="00211603">
      <w:pPr>
        <w:pStyle w:val="a3"/>
        <w:spacing w:before="120" w:beforeAutospacing="0" w:after="0" w:afterAutospacing="0"/>
        <w:ind w:firstLine="555"/>
        <w:rPr>
          <w:sz w:val="20"/>
          <w:szCs w:val="20"/>
        </w:rPr>
      </w:pPr>
      <w:r>
        <w:rPr>
          <w:sz w:val="20"/>
          <w:szCs w:val="20"/>
        </w:rPr>
        <w:t>None</w:t>
      </w:r>
      <w:r>
        <w:rPr>
          <w:sz w:val="20"/>
          <w:szCs w:val="20"/>
        </w:rPr>
        <w:t>.</w:t>
      </w:r>
    </w:p>
    <w:p w:rsidR="00000000" w:rsidRDefault="00211603">
      <w:pPr>
        <w:pStyle w:val="a3"/>
        <w:spacing w:before="0" w:beforeAutospacing="0" w:after="0" w:afterAutospacing="0"/>
        <w:rPr>
          <w:sz w:val="20"/>
          <w:szCs w:val="20"/>
        </w:rPr>
      </w:pPr>
      <w:r>
        <w:rPr>
          <w:sz w:val="18"/>
          <w:szCs w:val="18"/>
        </w:rPr>
        <w:t> </w:t>
      </w:r>
    </w:p>
    <w:p w:rsidR="00000000" w:rsidRDefault="00211603">
      <w:pPr>
        <w:pStyle w:val="a3"/>
        <w:spacing w:before="0" w:beforeAutospacing="0" w:after="0" w:afterAutospacing="0"/>
        <w:rPr>
          <w:sz w:val="20"/>
          <w:szCs w:val="20"/>
        </w:rPr>
      </w:pPr>
      <w:r>
        <w:rPr>
          <w:sz w:val="18"/>
          <w:szCs w:val="18"/>
        </w:rPr>
        <w:t> </w:t>
      </w:r>
    </w:p>
    <w:p w:rsidR="00000000" w:rsidRDefault="00211603">
      <w:pPr>
        <w:pStyle w:val="a3"/>
        <w:spacing w:before="0" w:beforeAutospacing="0" w:after="0" w:afterAutospacing="0"/>
        <w:ind w:hanging="1220"/>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rsidR="00000000" w:rsidRDefault="00211603">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211603">
      <w:pPr>
        <w:pStyle w:val="a3"/>
        <w:spacing w:before="0" w:beforeAutospacing="0" w:after="0" w:afterAutospacing="0"/>
        <w:rPr>
          <w:sz w:val="20"/>
          <w:szCs w:val="20"/>
        </w:rPr>
      </w:pPr>
      <w:r>
        <w:rPr>
          <w:sz w:val="18"/>
          <w:szCs w:val="18"/>
        </w:rPr>
        <w:t> </w:t>
      </w:r>
    </w:p>
    <w:p w:rsidR="00000000" w:rsidRDefault="00211603">
      <w:pPr>
        <w:pStyle w:val="a3"/>
        <w:spacing w:before="0" w:beforeAutospacing="0" w:after="0" w:afterAutospacing="0"/>
        <w:rPr>
          <w:sz w:val="20"/>
          <w:szCs w:val="20"/>
        </w:rPr>
      </w:pPr>
      <w:r>
        <w:rPr>
          <w:sz w:val="18"/>
          <w:szCs w:val="18"/>
        </w:rPr>
        <w:t> </w:t>
      </w:r>
    </w:p>
    <w:p w:rsidR="00000000" w:rsidRDefault="00211603">
      <w:pPr>
        <w:pStyle w:val="a3"/>
        <w:spacing w:before="0" w:beforeAutospacing="0" w:after="0" w:afterAutospacing="0"/>
        <w:ind w:hanging="1220"/>
        <w:rPr>
          <w:sz w:val="20"/>
          <w:szCs w:val="20"/>
        </w:rPr>
      </w:pPr>
      <w:r>
        <w:rPr>
          <w:b/>
          <w:bCs/>
          <w:sz w:val="20"/>
          <w:szCs w:val="20"/>
        </w:rPr>
        <w:t>Item 5. Othe</w:t>
      </w:r>
      <w:r>
        <w:rPr>
          <w:b/>
          <w:bCs/>
          <w:sz w:val="20"/>
          <w:szCs w:val="20"/>
        </w:rPr>
        <w:t>r</w:t>
      </w:r>
      <w:r>
        <w:rPr>
          <w:b/>
          <w:bCs/>
          <w:sz w:val="20"/>
          <w:szCs w:val="20"/>
        </w:rPr>
        <w:t xml:space="preserve"> Informatio</w:t>
      </w:r>
      <w:r>
        <w:rPr>
          <w:b/>
          <w:bCs/>
          <w:sz w:val="20"/>
          <w:szCs w:val="20"/>
        </w:rPr>
        <w:t>n</w:t>
      </w:r>
    </w:p>
    <w:p w:rsidR="00000000" w:rsidRDefault="00211603">
      <w:pPr>
        <w:pStyle w:val="a3"/>
        <w:spacing w:before="120" w:beforeAutospacing="0" w:after="0" w:afterAutospacing="0"/>
        <w:ind w:firstLine="555"/>
        <w:rPr>
          <w:sz w:val="20"/>
          <w:szCs w:val="20"/>
        </w:rPr>
      </w:pPr>
      <w:r>
        <w:rPr>
          <w:sz w:val="20"/>
          <w:szCs w:val="20"/>
        </w:rPr>
        <w:t>None</w:t>
      </w:r>
      <w:r>
        <w:rPr>
          <w:sz w:val="20"/>
          <w:szCs w:val="20"/>
        </w:rPr>
        <w:t>.</w:t>
      </w:r>
    </w:p>
    <w:p w:rsidR="00000000" w:rsidRDefault="00211603">
      <w:pPr>
        <w:pStyle w:val="a3"/>
        <w:spacing w:before="0" w:beforeAutospacing="0" w:after="0" w:afterAutospacing="0"/>
        <w:rPr>
          <w:sz w:val="20"/>
          <w:szCs w:val="20"/>
        </w:rPr>
      </w:pPr>
      <w:r>
        <w:rPr>
          <w:sz w:val="18"/>
          <w:szCs w:val="18"/>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5</w:t>
      </w:r>
      <w:r>
        <w:rPr>
          <w:sz w:val="20"/>
          <w:szCs w:val="20"/>
        </w:rPr>
        <w:t>6</w:t>
      </w:r>
    </w:p>
    <w:p w:rsidR="00000000" w:rsidRDefault="00211603">
      <w:pPr>
        <w:rPr>
          <w:rFonts w:eastAsia="Times New Roman"/>
        </w:rPr>
      </w:pPr>
      <w:r>
        <w:rPr>
          <w:rFonts w:eastAsia="Times New Roman"/>
        </w:rPr>
        <w:pict>
          <v:rect id="_x0000_i1080"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ind w:hanging="1220"/>
        <w:rPr>
          <w:sz w:val="20"/>
          <w:szCs w:val="20"/>
        </w:rPr>
      </w:pPr>
      <w:r>
        <w:rPr>
          <w:b/>
          <w:bCs/>
          <w:sz w:val="20"/>
          <w:szCs w:val="20"/>
        </w:rPr>
        <w:t>Item 6.</w:t>
      </w:r>
      <w:r>
        <w:rPr>
          <w:b/>
          <w:bCs/>
          <w:sz w:val="20"/>
          <w:szCs w:val="20"/>
        </w:rPr>
        <w:t xml:space="preserve"> </w:t>
      </w:r>
      <w:r>
        <w:rPr>
          <w:b/>
          <w:bCs/>
          <w:sz w:val="20"/>
          <w:szCs w:val="20"/>
        </w:rPr>
        <w:t>Exhibit</w:t>
      </w:r>
      <w:r>
        <w:rPr>
          <w:b/>
          <w:bCs/>
          <w:sz w:val="20"/>
          <w:szCs w:val="20"/>
        </w:rPr>
        <w:t>s</w:t>
      </w:r>
    </w:p>
    <w:p w:rsidR="00000000" w:rsidRDefault="00211603">
      <w:pPr>
        <w:pStyle w:val="a3"/>
        <w:spacing w:before="120" w:beforeAutospacing="0" w:after="0" w:afterAutospacing="0"/>
        <w:ind w:firstLine="555"/>
        <w:rPr>
          <w:sz w:val="20"/>
          <w:szCs w:val="20"/>
        </w:rPr>
      </w:pPr>
      <w:r>
        <w:rPr>
          <w:sz w:val="20"/>
          <w:szCs w:val="20"/>
        </w:rPr>
        <w:t>The exhibits listed below are filed or incorporated by reference into this Report</w:t>
      </w:r>
      <w:r>
        <w:rPr>
          <w:sz w:val="20"/>
          <w:szCs w:val="20"/>
        </w:rPr>
        <w:t>.</w:t>
      </w:r>
    </w:p>
    <w:p w:rsidR="00000000" w:rsidRDefault="00211603">
      <w:pPr>
        <w:pStyle w:val="a3"/>
        <w:spacing w:before="12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5"/>
        <w:gridCol w:w="110"/>
        <w:gridCol w:w="7171"/>
      </w:tblGrid>
      <w:tr w:rsidR="00000000">
        <w:trPr>
          <w:tblCellSpacing w:w="15" w:type="dxa"/>
        </w:trPr>
        <w:tc>
          <w:tcPr>
            <w:tcW w:w="491" w:type="pct"/>
            <w:vAlign w:val="center"/>
            <w:hideMark/>
          </w:tcPr>
          <w:p w:rsidR="00000000" w:rsidRDefault="00211603">
            <w:pPr>
              <w:rPr>
                <w:sz w:val="20"/>
                <w:szCs w:val="20"/>
              </w:rPr>
            </w:pPr>
          </w:p>
        </w:tc>
        <w:tc>
          <w:tcPr>
            <w:tcW w:w="50" w:type="pct"/>
            <w:vAlign w:val="center"/>
            <w:hideMark/>
          </w:tcPr>
          <w:p w:rsidR="00000000" w:rsidRDefault="00211603">
            <w:pPr>
              <w:rPr>
                <w:rFonts w:eastAsia="Times New Roman"/>
                <w:sz w:val="20"/>
                <w:szCs w:val="20"/>
              </w:rPr>
            </w:pPr>
          </w:p>
        </w:tc>
        <w:tc>
          <w:tcPr>
            <w:tcW w:w="4458" w:type="pct"/>
            <w:vAlign w:val="center"/>
            <w:hideMark/>
          </w:tcPr>
          <w:p w:rsidR="00000000" w:rsidRDefault="00211603">
            <w:pPr>
              <w:rPr>
                <w:rFonts w:eastAsia="Times New Roman"/>
                <w:sz w:val="20"/>
                <w:szCs w:val="20"/>
              </w:rPr>
            </w:pPr>
          </w:p>
        </w:tc>
      </w:tr>
      <w:tr w:rsidR="00000000">
        <w:trPr>
          <w:trHeight w:val="160"/>
          <w:tblCellSpacing w:w="15" w:type="dxa"/>
        </w:trPr>
        <w:tc>
          <w:tcPr>
            <w:tcW w:w="0" w:type="auto"/>
            <w:vAlign w:val="bottom"/>
            <w:hideMark/>
          </w:tcPr>
          <w:p w:rsidR="00000000" w:rsidRDefault="00211603">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211603">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211603">
            <w:pPr>
              <w:pStyle w:val="a3"/>
              <w:spacing w:before="0" w:beforeAutospacing="0" w:after="0" w:afterAutospacing="0"/>
              <w:rPr>
                <w:sz w:val="16"/>
                <w:szCs w:val="16"/>
              </w:rPr>
            </w:pPr>
            <w:r>
              <w:rPr>
                <w:sz w:val="16"/>
                <w:szCs w:val="16"/>
              </w:rPr>
              <w:t> </w:t>
            </w:r>
          </w:p>
        </w:tc>
        <w:tc>
          <w:tcPr>
            <w:tcW w:w="0" w:type="auto"/>
            <w:vAlign w:val="bottom"/>
            <w:hideMark/>
          </w:tcPr>
          <w:p w:rsidR="00000000" w:rsidRDefault="00211603">
            <w:pPr>
              <w:pStyle w:val="a3"/>
              <w:spacing w:before="0" w:beforeAutospacing="0" w:after="0" w:afterAutospacing="0"/>
              <w:jc w:val="center"/>
              <w:rPr>
                <w:sz w:val="16"/>
                <w:szCs w:val="16"/>
              </w:rPr>
            </w:pPr>
            <w:r>
              <w:rPr>
                <w:b/>
                <w:bCs/>
                <w:sz w:val="16"/>
                <w:szCs w:val="16"/>
              </w:rPr>
              <w:t>Exhibit Titl</w:t>
            </w:r>
            <w:r>
              <w:rPr>
                <w:b/>
                <w:bCs/>
                <w:sz w:val="16"/>
                <w:szCs w:val="16"/>
              </w:rPr>
              <w:t>e</w:t>
            </w:r>
          </w:p>
        </w:tc>
      </w:tr>
      <w:tr w:rsidR="00000000">
        <w:trPr>
          <w:trHeight w:val="86"/>
          <w:tblCellSpacing w:w="15" w:type="dxa"/>
        </w:trPr>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jc w:val="center"/>
              <w:rPr>
                <w:sz w:val="20"/>
                <w:szCs w:val="20"/>
              </w:rPr>
            </w:pPr>
            <w:r>
              <w:rPr>
                <w:sz w:val="20"/>
                <w:szCs w:val="20"/>
              </w:rPr>
              <w:t>3.1(1</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hyperlink r:id="rId4" w:history="1">
              <w:r>
                <w:rPr>
                  <w:rStyle w:val="a4"/>
                  <w:sz w:val="20"/>
                  <w:szCs w:val="20"/>
                </w:rPr>
                <w:t>Amended and Restated Certificate of Incorporation of the Registran</w:t>
              </w:r>
              <w:r>
                <w:rPr>
                  <w:rStyle w:val="a4"/>
                  <w:sz w:val="20"/>
                  <w:szCs w:val="20"/>
                </w:rPr>
                <w:t>t</w:t>
              </w:r>
            </w:hyperlink>
          </w:p>
        </w:tc>
      </w:tr>
      <w:tr w:rsidR="00000000">
        <w:trPr>
          <w:trHeight w:val="86"/>
          <w:tblCellSpacing w:w="15" w:type="dxa"/>
        </w:trPr>
        <w:tc>
          <w:tcPr>
            <w:tcW w:w="0" w:type="auto"/>
            <w:hideMark/>
          </w:tcPr>
          <w:p w:rsidR="00000000" w:rsidRDefault="00211603">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jc w:val="center"/>
              <w:rPr>
                <w:sz w:val="20"/>
                <w:szCs w:val="20"/>
              </w:rPr>
            </w:pPr>
            <w:r>
              <w:rPr>
                <w:sz w:val="20"/>
                <w:szCs w:val="20"/>
              </w:rPr>
              <w:t>3.2(2</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hyperlink r:id="rId5" w:history="1">
              <w:r>
                <w:rPr>
                  <w:rStyle w:val="a4"/>
                  <w:sz w:val="20"/>
                  <w:szCs w:val="20"/>
                </w:rPr>
                <w:t>Third Amended and Restated Bylaws of the Registran</w:t>
              </w:r>
              <w:r>
                <w:rPr>
                  <w:rStyle w:val="a4"/>
                  <w:sz w:val="20"/>
                  <w:szCs w:val="20"/>
                </w:rPr>
                <w:t>t</w:t>
              </w:r>
              <w:r>
                <w:rPr>
                  <w:rStyle w:val="a4"/>
                  <w:sz w:val="20"/>
                  <w:szCs w:val="20"/>
                </w:rPr>
                <w:t xml:space="preserve"> </w:t>
              </w:r>
            </w:hyperlink>
          </w:p>
        </w:tc>
      </w:tr>
      <w:tr w:rsidR="00000000">
        <w:trPr>
          <w:trHeight w:val="158"/>
          <w:tblCellSpacing w:w="15" w:type="dxa"/>
        </w:trPr>
        <w:tc>
          <w:tcPr>
            <w:tcW w:w="0" w:type="auto"/>
            <w:hideMark/>
          </w:tcPr>
          <w:p w:rsidR="00000000" w:rsidRDefault="00211603">
            <w:pPr>
              <w:pStyle w:val="a3"/>
              <w:spacing w:before="0" w:beforeAutospacing="0" w:after="0" w:afterAutospacing="0"/>
              <w:jc w:val="center"/>
              <w:rPr>
                <w:sz w:val="9"/>
                <w:szCs w:val="9"/>
              </w:rPr>
            </w:pPr>
            <w:r>
              <w:rPr>
                <w:sz w:val="9"/>
                <w:szCs w:val="9"/>
              </w:rPr>
              <w:t> </w:t>
            </w:r>
          </w:p>
          <w:p w:rsidR="00000000" w:rsidRDefault="00211603">
            <w:pPr>
              <w:pStyle w:val="a3"/>
              <w:spacing w:before="0" w:beforeAutospacing="0" w:after="0" w:afterAutospacing="0"/>
              <w:jc w:val="center"/>
              <w:rPr>
                <w:sz w:val="20"/>
                <w:szCs w:val="20"/>
              </w:rPr>
            </w:pPr>
            <w:r>
              <w:rPr>
                <w:sz w:val="20"/>
                <w:szCs w:val="20"/>
              </w:rPr>
              <w:t>3.3(3</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hyperlink r:id="rId6" w:history="1">
              <w:r>
                <w:rPr>
                  <w:rStyle w:val="a4"/>
                  <w:sz w:val="20"/>
                  <w:szCs w:val="20"/>
                </w:rPr>
                <w:t>First Amendment to Third Amended and Restated Bylaws of the Registran</w:t>
              </w:r>
              <w:r>
                <w:rPr>
                  <w:rStyle w:val="a4"/>
                  <w:sz w:val="20"/>
                  <w:szCs w:val="20"/>
                </w:rPr>
                <w:t>t</w:t>
              </w:r>
            </w:hyperlink>
          </w:p>
        </w:tc>
      </w:tr>
      <w:tr w:rsidR="00000000">
        <w:trPr>
          <w:tblCellSpacing w:w="15" w:type="dxa"/>
        </w:trPr>
        <w:tc>
          <w:tcPr>
            <w:tcW w:w="0" w:type="auto"/>
            <w:hideMark/>
          </w:tcPr>
          <w:p w:rsidR="00000000" w:rsidRDefault="00211603">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jc w:val="center"/>
              <w:rPr>
                <w:sz w:val="20"/>
                <w:szCs w:val="20"/>
              </w:rPr>
            </w:pPr>
            <w:r>
              <w:rPr>
                <w:sz w:val="20"/>
                <w:szCs w:val="20"/>
              </w:rPr>
              <w:t>4.1(4</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hyperlink r:id="rId7" w:history="1">
              <w:r>
                <w:rPr>
                  <w:rStyle w:val="a4"/>
                  <w:sz w:val="20"/>
                  <w:szCs w:val="20"/>
                </w:rPr>
                <w:t>Form of Common Stock certificate of the Registran</w:t>
              </w:r>
              <w:r>
                <w:rPr>
                  <w:rStyle w:val="a4"/>
                  <w:sz w:val="20"/>
                  <w:szCs w:val="20"/>
                </w:rPr>
                <w:t>t</w:t>
              </w:r>
            </w:hyperlink>
          </w:p>
        </w:tc>
      </w:tr>
      <w:tr w:rsidR="00000000">
        <w:trPr>
          <w:trHeight w:val="86"/>
          <w:tblCellSpacing w:w="15" w:type="dxa"/>
        </w:trPr>
        <w:tc>
          <w:tcPr>
            <w:tcW w:w="0" w:type="auto"/>
            <w:hideMark/>
          </w:tcPr>
          <w:p w:rsidR="00000000" w:rsidRDefault="00211603">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jc w:val="center"/>
              <w:rPr>
                <w:sz w:val="20"/>
                <w:szCs w:val="20"/>
              </w:rPr>
            </w:pPr>
            <w:r>
              <w:rPr>
                <w:sz w:val="20"/>
                <w:szCs w:val="20"/>
              </w:rPr>
              <w:t>3</w:t>
            </w:r>
            <w:r>
              <w:rPr>
                <w:sz w:val="20"/>
                <w:szCs w:val="20"/>
              </w:rPr>
              <w:t>1.1*</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hyperlink r:id="rId8" w:history="1">
              <w:r>
                <w:rPr>
                  <w:rStyle w:val="a4"/>
                  <w:sz w:val="20"/>
                  <w:szCs w:val="20"/>
                </w:rPr>
                <w:t>Certification of Principal Executive Officer pursuant to Rule 13a-14(a) or Rule 15d-14(a) of the Securities Exchange Act of 1934, as amende</w:t>
              </w:r>
              <w:r>
                <w:rPr>
                  <w:rStyle w:val="a4"/>
                  <w:sz w:val="20"/>
                  <w:szCs w:val="20"/>
                </w:rPr>
                <w:t>d</w:t>
              </w:r>
            </w:hyperlink>
          </w:p>
        </w:tc>
      </w:tr>
      <w:tr w:rsidR="00000000">
        <w:trPr>
          <w:trHeight w:val="86"/>
          <w:tblCellSpacing w:w="15" w:type="dxa"/>
        </w:trPr>
        <w:tc>
          <w:tcPr>
            <w:tcW w:w="0" w:type="auto"/>
            <w:hideMark/>
          </w:tcPr>
          <w:p w:rsidR="00000000" w:rsidRDefault="00211603">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jc w:val="center"/>
              <w:rPr>
                <w:sz w:val="20"/>
                <w:szCs w:val="20"/>
              </w:rPr>
            </w:pPr>
            <w:r>
              <w:rPr>
                <w:sz w:val="20"/>
                <w:szCs w:val="20"/>
              </w:rPr>
              <w:t>31.2*</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hyperlink r:id="rId9" w:history="1">
              <w:r>
                <w:rPr>
                  <w:rStyle w:val="a4"/>
                  <w:sz w:val="20"/>
                  <w:szCs w:val="20"/>
                </w:rPr>
                <w:t>Certification of Principal Financial Officer pursuant to Rule 13a-14(a) or Rule 15d-14(a) of the Securities Exchange Act of 1934, as amende</w:t>
              </w:r>
              <w:r>
                <w:rPr>
                  <w:rStyle w:val="a4"/>
                  <w:sz w:val="20"/>
                  <w:szCs w:val="20"/>
                </w:rPr>
                <w:t>d</w:t>
              </w:r>
            </w:hyperlink>
          </w:p>
        </w:tc>
      </w:tr>
      <w:tr w:rsidR="00000000">
        <w:trPr>
          <w:trHeight w:val="86"/>
          <w:tblCellSpacing w:w="15" w:type="dxa"/>
        </w:trPr>
        <w:tc>
          <w:tcPr>
            <w:tcW w:w="0" w:type="auto"/>
            <w:hideMark/>
          </w:tcPr>
          <w:p w:rsidR="00000000" w:rsidRDefault="00211603">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jc w:val="center"/>
              <w:rPr>
                <w:sz w:val="20"/>
                <w:szCs w:val="20"/>
              </w:rPr>
            </w:pPr>
            <w:r>
              <w:rPr>
                <w:sz w:val="20"/>
                <w:szCs w:val="20"/>
              </w:rPr>
              <w:t>32.1</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hyperlink r:id="rId10" w:history="1">
              <w:r>
                <w:rPr>
                  <w:rStyle w:val="a4"/>
                  <w:sz w:val="20"/>
                  <w:szCs w:val="20"/>
                </w:rPr>
                <w:t>Certification of Principal Executive Officer and Principal Financia</w:t>
              </w:r>
              <w:r>
                <w:rPr>
                  <w:rStyle w:val="a4"/>
                  <w:sz w:val="20"/>
                  <w:szCs w:val="20"/>
                </w:rPr>
                <w:t>l Officer pursuant to Section 906 of the Sarbanes-Oxley Ac</w:t>
              </w:r>
              <w:r>
                <w:rPr>
                  <w:rStyle w:val="a4"/>
                  <w:sz w:val="20"/>
                  <w:szCs w:val="20"/>
                </w:rPr>
                <w:t>t</w:t>
              </w:r>
            </w:hyperlink>
          </w:p>
        </w:tc>
      </w:tr>
      <w:tr w:rsidR="00000000">
        <w:trPr>
          <w:trHeight w:val="86"/>
          <w:tblCellSpacing w:w="15" w:type="dxa"/>
        </w:trPr>
        <w:tc>
          <w:tcPr>
            <w:tcW w:w="0" w:type="auto"/>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101.INS*</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center"/>
            <w:hideMark/>
          </w:tcPr>
          <w:p w:rsidR="00000000" w:rsidRDefault="00211603">
            <w:pPr>
              <w:pStyle w:val="a3"/>
              <w:spacing w:before="0" w:beforeAutospacing="0" w:after="0" w:afterAutospacing="0"/>
              <w:rPr>
                <w:sz w:val="20"/>
                <w:szCs w:val="20"/>
              </w:rPr>
            </w:pPr>
            <w:r>
              <w:rPr>
                <w:sz w:val="20"/>
                <w:szCs w:val="20"/>
              </w:rPr>
              <w:t xml:space="preserve">Inline XBRL Instance Document – </w:t>
            </w:r>
            <w:r>
              <w:rPr>
                <w:sz w:val="20"/>
                <w:szCs w:val="20"/>
              </w:rPr>
              <w:t>the instance document does not appear in the Interactive Data File because XBRL tags are embedded within the Inline XBRL documen</w:t>
            </w:r>
            <w:r>
              <w:rPr>
                <w:sz w:val="20"/>
                <w:szCs w:val="20"/>
              </w:rPr>
              <w:t>t</w:t>
            </w:r>
          </w:p>
        </w:tc>
      </w:tr>
      <w:tr w:rsidR="00000000">
        <w:trPr>
          <w:trHeight w:val="86"/>
          <w:tblCellSpacing w:w="15" w:type="dxa"/>
        </w:trPr>
        <w:tc>
          <w:tcPr>
            <w:tcW w:w="0" w:type="auto"/>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101.SCH*</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rHeight w:val="86"/>
          <w:tblCellSpacing w:w="15" w:type="dxa"/>
        </w:trPr>
        <w:tc>
          <w:tcPr>
            <w:tcW w:w="0" w:type="auto"/>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101.CAL*</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Inline XBRL Taxonomy Extension Calculat</w:t>
            </w:r>
            <w:r>
              <w:rPr>
                <w:sz w:val="20"/>
                <w:szCs w:val="20"/>
              </w:rPr>
              <w:t>ion Linkbase Documen</w:t>
            </w:r>
            <w:r>
              <w:rPr>
                <w:sz w:val="20"/>
                <w:szCs w:val="20"/>
              </w:rPr>
              <w:t>t</w:t>
            </w:r>
          </w:p>
        </w:tc>
      </w:tr>
      <w:tr w:rsidR="00000000">
        <w:trPr>
          <w:trHeight w:val="86"/>
          <w:tblCellSpacing w:w="15" w:type="dxa"/>
        </w:trPr>
        <w:tc>
          <w:tcPr>
            <w:tcW w:w="0" w:type="auto"/>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101.DEF*</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rHeight w:val="86"/>
          <w:tblCellSpacing w:w="15" w:type="dxa"/>
        </w:trPr>
        <w:tc>
          <w:tcPr>
            <w:tcW w:w="0" w:type="auto"/>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101.LAB*</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rHeight w:val="86"/>
          <w:tblCellSpacing w:w="15" w:type="dxa"/>
        </w:trPr>
        <w:tc>
          <w:tcPr>
            <w:tcW w:w="0" w:type="auto"/>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101.PRE*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c>
          <w:tcPr>
            <w:tcW w:w="0" w:type="auto"/>
            <w:vAlign w:val="bottom"/>
            <w:hideMark/>
          </w:tcPr>
          <w:p w:rsidR="00000000" w:rsidRDefault="0021160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104*</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r>
              <w:rPr>
                <w:sz w:val="20"/>
                <w:szCs w:val="20"/>
              </w:rPr>
              <w:t>)</w:t>
            </w:r>
          </w:p>
        </w:tc>
      </w:tr>
    </w:tbl>
    <w:p w:rsidR="00000000" w:rsidRDefault="00211603">
      <w:pPr>
        <w:pStyle w:val="a3"/>
        <w:spacing w:before="120" w:beforeAutospacing="0" w:after="0" w:afterAutospacing="0"/>
        <w:ind w:hanging="581"/>
        <w:rPr>
          <w:sz w:val="20"/>
          <w:szCs w:val="20"/>
        </w:rPr>
      </w:pPr>
      <w:r>
        <w:rPr>
          <w:sz w:val="20"/>
          <w:szCs w:val="20"/>
        </w:rPr>
        <w:t>** Filed herewith</w:t>
      </w:r>
      <w:r>
        <w:rPr>
          <w:sz w:val="20"/>
          <w:szCs w:val="20"/>
        </w:rPr>
        <w:t>.</w:t>
      </w:r>
    </w:p>
    <w:p w:rsidR="00000000" w:rsidRDefault="00211603">
      <w:pPr>
        <w:pStyle w:val="a3"/>
        <w:spacing w:before="40" w:beforeAutospacing="0" w:after="0" w:afterAutospacing="0"/>
        <w:ind w:hanging="581"/>
        <w:rPr>
          <w:sz w:val="20"/>
          <w:szCs w:val="20"/>
        </w:rPr>
      </w:pPr>
      <w:r>
        <w:rPr>
          <w:sz w:val="20"/>
          <w:szCs w:val="20"/>
        </w:rPr>
        <w:t> </w:t>
      </w:r>
    </w:p>
    <w:p w:rsidR="00000000" w:rsidRDefault="00211603">
      <w:pPr>
        <w:pStyle w:val="a3"/>
        <w:spacing w:before="40" w:beforeAutospacing="0" w:after="0" w:afterAutospacing="0"/>
        <w:ind w:hanging="581"/>
        <w:rPr>
          <w:sz w:val="20"/>
          <w:szCs w:val="20"/>
        </w:rPr>
      </w:pPr>
      <w:r>
        <w:rPr>
          <w:sz w:val="20"/>
          <w:szCs w:val="20"/>
        </w:rPr>
        <w:t xml:space="preserve">(1) </w:t>
      </w:r>
      <w:r>
        <w:rPr>
          <w:sz w:val="20"/>
          <w:szCs w:val="20"/>
        </w:rPr>
        <w:t>Incorporated by reference to Exhibit 3.1 to HubSpot, Inc.’s Annual Report on Form 10-K filed on February 24, 2016</w:t>
      </w:r>
      <w:r>
        <w:rPr>
          <w:sz w:val="20"/>
          <w:szCs w:val="20"/>
        </w:rPr>
        <w:t>.</w:t>
      </w:r>
    </w:p>
    <w:p w:rsidR="00000000" w:rsidRDefault="00211603">
      <w:pPr>
        <w:pStyle w:val="a3"/>
        <w:spacing w:before="0" w:beforeAutospacing="0" w:after="0" w:afterAutospacing="0"/>
        <w:ind w:hanging="581"/>
        <w:rPr>
          <w:sz w:val="20"/>
          <w:szCs w:val="20"/>
        </w:rPr>
      </w:pPr>
      <w:r>
        <w:rPr>
          <w:sz w:val="20"/>
          <w:szCs w:val="20"/>
        </w:rPr>
        <w:t>(2) Incorporated by reference to Exhibit 3.2 to HubSpot Inc.’s Quarterly Report on Form 10-Q filed on November 5, 2020</w:t>
      </w:r>
      <w:r>
        <w:rPr>
          <w:sz w:val="20"/>
          <w:szCs w:val="20"/>
        </w:rPr>
        <w:t>.</w:t>
      </w:r>
    </w:p>
    <w:p w:rsidR="00000000" w:rsidRDefault="00211603">
      <w:pPr>
        <w:pStyle w:val="a3"/>
        <w:spacing w:before="0" w:beforeAutospacing="0" w:after="0" w:afterAutospacing="0"/>
        <w:ind w:hanging="581"/>
        <w:rPr>
          <w:sz w:val="20"/>
          <w:szCs w:val="20"/>
        </w:rPr>
      </w:pPr>
      <w:r>
        <w:rPr>
          <w:sz w:val="20"/>
          <w:szCs w:val="20"/>
        </w:rPr>
        <w:t>(3) Incorporated by r</w:t>
      </w:r>
      <w:r>
        <w:rPr>
          <w:sz w:val="20"/>
          <w:szCs w:val="20"/>
        </w:rPr>
        <w:t>eference to Exhibit 3.1 to HubSpot Inc.’s Current Report on Form 8-K filed on April 14, 2022</w:t>
      </w:r>
      <w:r>
        <w:rPr>
          <w:sz w:val="20"/>
          <w:szCs w:val="20"/>
        </w:rPr>
        <w:t>.</w:t>
      </w:r>
    </w:p>
    <w:p w:rsidR="00000000" w:rsidRDefault="00211603">
      <w:pPr>
        <w:pStyle w:val="a3"/>
        <w:spacing w:before="0" w:beforeAutospacing="0" w:after="0" w:afterAutospacing="0"/>
        <w:ind w:hanging="581"/>
        <w:rPr>
          <w:sz w:val="20"/>
          <w:szCs w:val="20"/>
        </w:rPr>
      </w:pPr>
      <w:r>
        <w:rPr>
          <w:sz w:val="20"/>
          <w:szCs w:val="20"/>
        </w:rPr>
        <w:t>(4) Incorporated by reference to Exhibit 4.1 to Amendment No. 1 to Registrant’s Registration Statement on Form S-1 (SEC file No. 333-198333) filed on September 26</w:t>
      </w:r>
      <w:r>
        <w:rPr>
          <w:sz w:val="20"/>
          <w:szCs w:val="20"/>
        </w:rPr>
        <w:t>, 2014</w:t>
      </w:r>
      <w:r>
        <w:rPr>
          <w:sz w:val="20"/>
          <w:szCs w:val="20"/>
        </w:rPr>
        <w:t>.</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ind w:hanging="581"/>
        <w:rPr>
          <w:sz w:val="20"/>
          <w:szCs w:val="20"/>
        </w:rPr>
      </w:pPr>
      <w:r>
        <w:rPr>
          <w:sz w:val="20"/>
          <w:szCs w:val="20"/>
        </w:rPr>
        <w:t>* The certifications furnished in Exhibit 32.1 hereto are deemed to accompany this Quarterly Report on Form 10-Q and will not be deemed “filed” for purposes of Section 18 of the Securities Exchange Act of 1934, as amended, except to the extent th</w:t>
      </w:r>
      <w:r>
        <w:rPr>
          <w:sz w:val="20"/>
          <w:szCs w:val="20"/>
        </w:rPr>
        <w:t>at the Registrant specifically incorporates it by reference. Such certifications will not be deemed to be incorporated by reference into any filings under the Securities Act of 1933, as amended, or the Securities Exchange Act of 1934, as amended, except to</w:t>
      </w:r>
      <w:r>
        <w:rPr>
          <w:sz w:val="20"/>
          <w:szCs w:val="20"/>
        </w:rPr>
        <w:t xml:space="preserve"> the extent that the Registrant specifically incorporates it by reference</w:t>
      </w:r>
      <w:r>
        <w:rPr>
          <w:sz w:val="20"/>
          <w:szCs w:val="20"/>
        </w:rPr>
        <w:t>.</w:t>
      </w:r>
    </w:p>
    <w:p w:rsidR="00000000" w:rsidRDefault="00211603">
      <w:pPr>
        <w:pStyle w:val="a3"/>
        <w:spacing w:before="0" w:beforeAutospacing="0" w:after="0" w:afterAutospacing="0"/>
        <w:ind w:hanging="1220"/>
        <w:rPr>
          <w:sz w:val="20"/>
          <w:szCs w:val="20"/>
        </w:rPr>
      </w:pPr>
      <w: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240" w:beforeAutospacing="0" w:after="0" w:afterAutospacing="0"/>
        <w:jc w:val="center"/>
        <w:rPr>
          <w:sz w:val="20"/>
          <w:szCs w:val="20"/>
        </w:rPr>
      </w:pPr>
      <w:r>
        <w:rPr>
          <w:sz w:val="20"/>
          <w:szCs w:val="20"/>
        </w:rPr>
        <w:t>5</w:t>
      </w:r>
      <w:r>
        <w:rPr>
          <w:sz w:val="20"/>
          <w:szCs w:val="20"/>
        </w:rPr>
        <w:t>7</w:t>
      </w:r>
    </w:p>
    <w:p w:rsidR="00000000" w:rsidRDefault="00211603">
      <w:pPr>
        <w:rPr>
          <w:rFonts w:eastAsia="Times New Roman"/>
        </w:rPr>
      </w:pPr>
      <w:r>
        <w:rPr>
          <w:rFonts w:eastAsia="Times New Roman"/>
        </w:rPr>
        <w:pict>
          <v:rect id="_x0000_i1081" style="width:0;height:1.5pt" o:hralign="center" o:hrstd="t" o:hr="t" fillcolor="#a0a0a0" stroked="f"/>
        </w:pic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rPr>
          <w:sz w:val="20"/>
          <w:szCs w:val="20"/>
        </w:rPr>
      </w:pPr>
      <w:r>
        <w:rPr>
          <w:sz w:val="20"/>
          <w:szCs w:val="20"/>
        </w:rPr>
        <w:t> </w:t>
      </w:r>
    </w:p>
    <w:p w:rsidR="00000000" w:rsidRDefault="00211603">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211603">
      <w:pPr>
        <w:pStyle w:val="a3"/>
        <w:spacing w:before="12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r>
        <w:rPr>
          <w:sz w:val="20"/>
          <w:szCs w:val="20"/>
        </w:rPr>
        <w:t xml:space="preserve"> </w:t>
      </w:r>
    </w:p>
    <w:tbl>
      <w:tblPr>
        <w:tblW w:w="2200" w:type="pct"/>
        <w:tblCellSpacing w:w="15" w:type="dxa"/>
        <w:tblCellMar>
          <w:top w:w="15" w:type="dxa"/>
          <w:left w:w="15" w:type="dxa"/>
          <w:bottom w:w="15" w:type="dxa"/>
          <w:right w:w="15" w:type="dxa"/>
        </w:tblCellMar>
        <w:tblLook w:val="04A0" w:firstRow="1" w:lastRow="0" w:firstColumn="1" w:lastColumn="0" w:noHBand="0" w:noVBand="1"/>
      </w:tblPr>
      <w:tblGrid>
        <w:gridCol w:w="767"/>
        <w:gridCol w:w="110"/>
        <w:gridCol w:w="2778"/>
      </w:tblGrid>
      <w:tr w:rsidR="00000000">
        <w:trPr>
          <w:tblCellSpacing w:w="15" w:type="dxa"/>
        </w:trPr>
        <w:tc>
          <w:tcPr>
            <w:tcW w:w="1022" w:type="pct"/>
            <w:vAlign w:val="center"/>
            <w:hideMark/>
          </w:tcPr>
          <w:p w:rsidR="00000000" w:rsidRDefault="00211603">
            <w:pPr>
              <w:rPr>
                <w:sz w:val="20"/>
                <w:szCs w:val="20"/>
              </w:rPr>
            </w:pPr>
          </w:p>
        </w:tc>
        <w:tc>
          <w:tcPr>
            <w:tcW w:w="113" w:type="pct"/>
            <w:vAlign w:val="center"/>
            <w:hideMark/>
          </w:tcPr>
          <w:p w:rsidR="00000000" w:rsidRDefault="00211603">
            <w:pPr>
              <w:rPr>
                <w:rFonts w:eastAsia="Times New Roman"/>
                <w:sz w:val="20"/>
                <w:szCs w:val="20"/>
              </w:rPr>
            </w:pPr>
          </w:p>
        </w:tc>
        <w:tc>
          <w:tcPr>
            <w:tcW w:w="3863" w:type="pct"/>
            <w:vAlign w:val="center"/>
            <w:hideMark/>
          </w:tcPr>
          <w:p w:rsidR="00000000" w:rsidRDefault="00211603">
            <w:pPr>
              <w:rPr>
                <w:rFonts w:eastAsia="Times New Roman"/>
                <w:sz w:val="20"/>
                <w:szCs w:val="20"/>
              </w:rPr>
            </w:pPr>
          </w:p>
        </w:tc>
      </w:tr>
      <w:tr w:rsidR="00000000">
        <w:trPr>
          <w:trHeight w:val="200"/>
          <w:tblCellSpacing w:w="15" w:type="dxa"/>
        </w:trPr>
        <w:tc>
          <w:tcPr>
            <w:tcW w:w="0" w:type="auto"/>
            <w:gridSpan w:val="3"/>
            <w:vAlign w:val="bottom"/>
            <w:hideMark/>
          </w:tcPr>
          <w:p w:rsidR="00000000" w:rsidRDefault="00211603">
            <w:pPr>
              <w:pStyle w:val="a3"/>
              <w:spacing w:before="0" w:beforeAutospacing="0" w:after="0" w:afterAutospacing="0"/>
              <w:rPr>
                <w:sz w:val="20"/>
                <w:szCs w:val="20"/>
              </w:rPr>
            </w:pPr>
            <w:r>
              <w:rPr>
                <w:b/>
                <w:bCs/>
                <w:sz w:val="20"/>
                <w:szCs w:val="20"/>
              </w:rPr>
              <w:t>HUBSPOT, INC</w:t>
            </w:r>
            <w:r>
              <w:rPr>
                <w:b/>
                <w:bCs/>
                <w:sz w:val="20"/>
                <w:szCs w:val="20"/>
              </w:rPr>
              <w:t>.</w:t>
            </w:r>
          </w:p>
        </w:tc>
      </w:tr>
      <w:tr w:rsidR="00000000">
        <w:trPr>
          <w:tblCellSpacing w:w="15" w:type="dxa"/>
        </w:trPr>
        <w:tc>
          <w:tcPr>
            <w:tcW w:w="0" w:type="auto"/>
            <w:vAlign w:val="center"/>
            <w:hideMark/>
          </w:tcPr>
          <w:p w:rsidR="00000000" w:rsidRDefault="00211603">
            <w:pPr>
              <w:pStyle w:val="a3"/>
              <w:spacing w:before="0" w:beforeAutospacing="0" w:after="0" w:afterAutospacing="0"/>
            </w:pPr>
            <w:r>
              <w:t> </w:t>
            </w:r>
          </w:p>
        </w:tc>
        <w:tc>
          <w:tcPr>
            <w:tcW w:w="0" w:type="auto"/>
            <w:gridSpan w:val="2"/>
            <w:vAlign w:val="center"/>
            <w:hideMark/>
          </w:tcPr>
          <w:p w:rsidR="00000000" w:rsidRDefault="00211603">
            <w:pPr>
              <w:pStyle w:val="a3"/>
              <w:spacing w:before="0" w:beforeAutospacing="0" w:after="0" w:afterAutospacing="0"/>
            </w:pPr>
            <w:r>
              <w:t> </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211603">
            <w:pPr>
              <w:pStyle w:val="a3"/>
              <w:spacing w:before="0" w:beforeAutospacing="0" w:after="0" w:afterAutospacing="0"/>
              <w:rPr>
                <w:sz w:val="20"/>
                <w:szCs w:val="20"/>
              </w:rPr>
            </w:pPr>
            <w:r>
              <w:rPr>
                <w:sz w:val="20"/>
                <w:szCs w:val="20"/>
              </w:rPr>
              <w:t>/s/ Kate Bueke</w:t>
            </w:r>
            <w:r>
              <w:rPr>
                <w:sz w:val="20"/>
                <w:szCs w:val="20"/>
              </w:rPr>
              <w:t>r</w:t>
            </w:r>
          </w:p>
        </w:tc>
      </w:tr>
      <w:tr w:rsidR="00000000">
        <w:trPr>
          <w:trHeight w:val="200"/>
          <w:tblCellSpacing w:w="15" w:type="dxa"/>
        </w:trPr>
        <w:tc>
          <w:tcPr>
            <w:tcW w:w="0" w:type="auto"/>
            <w:vAlign w:val="bottom"/>
            <w:hideMark/>
          </w:tcPr>
          <w:p w:rsidR="00000000" w:rsidRDefault="00211603">
            <w:pPr>
              <w:pStyle w:val="a3"/>
              <w:spacing w:before="0" w:beforeAutospacing="0" w:after="0" w:afterAutospacing="0"/>
              <w:rPr>
                <w:sz w:val="20"/>
                <w:szCs w:val="20"/>
              </w:rPr>
            </w:pPr>
            <w:r>
              <w:rPr>
                <w:sz w:val="20"/>
                <w:szCs w:val="20"/>
              </w:rPr>
              <w:t>Name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Kate Bueke</w:t>
            </w:r>
            <w:r>
              <w:rPr>
                <w:sz w:val="20"/>
                <w:szCs w:val="20"/>
              </w:rPr>
              <w:t>r</w:t>
            </w:r>
          </w:p>
        </w:tc>
      </w:tr>
      <w:tr w:rsidR="00000000">
        <w:trPr>
          <w:trHeight w:val="200"/>
          <w:tblCellSpacing w:w="15" w:type="dxa"/>
        </w:trPr>
        <w:tc>
          <w:tcPr>
            <w:tcW w:w="0" w:type="auto"/>
            <w:hideMark/>
          </w:tcPr>
          <w:p w:rsidR="00000000" w:rsidRDefault="00211603">
            <w:pPr>
              <w:pStyle w:val="a3"/>
              <w:spacing w:before="0" w:beforeAutospacing="0" w:after="0" w:afterAutospacing="0"/>
              <w:rPr>
                <w:sz w:val="20"/>
                <w:szCs w:val="20"/>
              </w:rPr>
            </w:pPr>
            <w:r>
              <w:rPr>
                <w:sz w:val="20"/>
                <w:szCs w:val="20"/>
              </w:rPr>
              <w:t>Title</w:t>
            </w:r>
            <w:r>
              <w:rPr>
                <w:sz w:val="20"/>
                <w:szCs w:val="20"/>
              </w:rPr>
              <w:t>:</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 </w:t>
            </w:r>
          </w:p>
        </w:tc>
        <w:tc>
          <w:tcPr>
            <w:tcW w:w="0" w:type="auto"/>
            <w:vAlign w:val="bottom"/>
            <w:hideMark/>
          </w:tcPr>
          <w:p w:rsidR="00000000" w:rsidRDefault="00211603">
            <w:pPr>
              <w:pStyle w:val="a3"/>
              <w:spacing w:before="0" w:beforeAutospacing="0" w:after="0" w:afterAutospacing="0"/>
              <w:rPr>
                <w:sz w:val="20"/>
                <w:szCs w:val="20"/>
              </w:rPr>
            </w:pPr>
            <w:r>
              <w:rPr>
                <w:sz w:val="20"/>
                <w:szCs w:val="20"/>
              </w:rPr>
              <w:t>Chief Financial Office</w:t>
            </w:r>
            <w:r>
              <w:rPr>
                <w:sz w:val="20"/>
                <w:szCs w:val="20"/>
              </w:rPr>
              <w:t>r</w:t>
            </w:r>
          </w:p>
          <w:p w:rsidR="00000000" w:rsidRDefault="00211603">
            <w:pPr>
              <w:pStyle w:val="a3"/>
              <w:spacing w:before="0" w:beforeAutospacing="0" w:after="0" w:afterAutospacing="0"/>
              <w:rPr>
                <w:sz w:val="20"/>
                <w:szCs w:val="20"/>
              </w:rPr>
            </w:pPr>
            <w:r>
              <w:rPr>
                <w:i/>
                <w:iCs/>
                <w:sz w:val="20"/>
                <w:szCs w:val="20"/>
              </w:rPr>
              <w:t>(Principal Financial and Accountin</w:t>
            </w:r>
            <w:r>
              <w:rPr>
                <w:i/>
                <w:iCs/>
                <w:sz w:val="20"/>
                <w:szCs w:val="20"/>
              </w:rPr>
              <w:t>g</w:t>
            </w:r>
            <w:r>
              <w:rPr>
                <w:i/>
                <w:iCs/>
                <w:sz w:val="20"/>
                <w:szCs w:val="20"/>
              </w:rPr>
              <w:t xml:space="preserve"> </w:t>
            </w:r>
          </w:p>
          <w:p w:rsidR="00000000" w:rsidRDefault="00211603">
            <w:pPr>
              <w:pStyle w:val="a3"/>
              <w:spacing w:before="0" w:beforeAutospacing="0" w:after="0" w:afterAutospacing="0"/>
              <w:rPr>
                <w:sz w:val="20"/>
                <w:szCs w:val="20"/>
              </w:rPr>
            </w:pPr>
            <w:r>
              <w:rPr>
                <w:i/>
                <w:iCs/>
                <w:sz w:val="20"/>
                <w:szCs w:val="20"/>
              </w:rPr>
              <w:t>Officer and Authorized Signatory</w:t>
            </w:r>
            <w:r>
              <w:rPr>
                <w:i/>
                <w:iCs/>
                <w:sz w:val="20"/>
                <w:szCs w:val="20"/>
              </w:rPr>
              <w:t>)</w:t>
            </w:r>
          </w:p>
        </w:tc>
      </w:tr>
    </w:tbl>
    <w:p w:rsidR="00000000" w:rsidRDefault="00211603">
      <w:pPr>
        <w:pStyle w:val="a3"/>
        <w:spacing w:before="240" w:beforeAutospacing="0" w:after="0" w:afterAutospacing="0"/>
        <w:rPr>
          <w:sz w:val="20"/>
          <w:szCs w:val="20"/>
        </w:rPr>
      </w:pPr>
      <w:r>
        <w:rPr>
          <w:sz w:val="20"/>
          <w:szCs w:val="20"/>
        </w:rPr>
        <w:t>May 5, 202</w:t>
      </w:r>
      <w:r>
        <w:rPr>
          <w:sz w:val="20"/>
          <w:szCs w:val="20"/>
        </w:rPr>
        <w:t>2</w:t>
      </w:r>
    </w:p>
    <w:p w:rsidR="00000000" w:rsidRDefault="00211603">
      <w:pPr>
        <w:pStyle w:val="a3"/>
        <w:spacing w:before="240" w:beforeAutospacing="0" w:after="0" w:afterAutospacing="0"/>
        <w:jc w:val="center"/>
        <w:rPr>
          <w:sz w:val="20"/>
          <w:szCs w:val="20"/>
        </w:rPr>
      </w:pPr>
      <w:r>
        <w:rPr>
          <w:sz w:val="20"/>
          <w:szCs w:val="20"/>
        </w:rPr>
        <w:t>5</w:t>
      </w:r>
      <w:r>
        <w:rPr>
          <w:sz w:val="20"/>
          <w:szCs w:val="20"/>
        </w:rPr>
        <w:t>8</w:t>
      </w:r>
    </w:p>
    <w:p w:rsidR="00211603" w:rsidRDefault="00211603">
      <w:pPr>
        <w:rPr>
          <w:rFonts w:eastAsia="Times New Roman"/>
        </w:rPr>
      </w:pPr>
      <w:r>
        <w:rPr>
          <w:rFonts w:eastAsia="Times New Roman"/>
        </w:rPr>
        <w:pict>
          <v:rect id="_x0000_i1082" style="width:0;height:1.5pt" o:hralign="center" o:hrstd="t" o:hr="t" fillcolor="#a0a0a0" stroked="f"/>
        </w:pict>
      </w:r>
    </w:p>
    <w:sectPr w:rsidR="0021160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1603"/>
    <w:rsid w:val="00211603"/>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hubspot.com/20220331"/>
  <w:attachedSchema w:val="http://xbrl.sec.gov/stpr/2021"/>
  <w:attachedSchema w:val="http://xbrl.sec.gov/dei/2021q4"/>
  <w:attachedSchema w:val="http://fasb.org/us-gaap/2021-01-31"/>
  <w:attachedSchema w:val="http://www.xbrl.org/2003/iso4217"/>
  <w:attachedSchema w:val="http://xbrl.org/2020/extensible-enumerations-2.0"/>
  <w:attachedSchema w:val="http://www.xbrl.org/dtr/type/2020-01-2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973">
      <w:marLeft w:val="4"/>
      <w:marRight w:val="0"/>
      <w:marTop w:val="200"/>
      <w:marBottom w:val="0"/>
      <w:divBdr>
        <w:top w:val="none" w:sz="0" w:space="0" w:color="auto"/>
        <w:left w:val="none" w:sz="0" w:space="0" w:color="auto"/>
        <w:bottom w:val="none" w:sz="0" w:space="0" w:color="auto"/>
        <w:right w:val="none" w:sz="0" w:space="0" w:color="auto"/>
      </w:divBdr>
      <w:divsChild>
        <w:div w:id="1649284748">
          <w:marLeft w:val="0"/>
          <w:marRight w:val="0"/>
          <w:marTop w:val="0"/>
          <w:marBottom w:val="0"/>
          <w:divBdr>
            <w:top w:val="none" w:sz="0" w:space="0" w:color="auto"/>
            <w:left w:val="none" w:sz="0" w:space="0" w:color="auto"/>
            <w:bottom w:val="none" w:sz="0" w:space="0" w:color="auto"/>
            <w:right w:val="none" w:sz="0" w:space="0" w:color="auto"/>
          </w:divBdr>
        </w:div>
      </w:divsChild>
    </w:div>
    <w:div w:id="32655594">
      <w:marLeft w:val="4"/>
      <w:marRight w:val="0"/>
      <w:marTop w:val="200"/>
      <w:marBottom w:val="0"/>
      <w:divBdr>
        <w:top w:val="none" w:sz="0" w:space="0" w:color="auto"/>
        <w:left w:val="none" w:sz="0" w:space="0" w:color="auto"/>
        <w:bottom w:val="none" w:sz="0" w:space="0" w:color="auto"/>
        <w:right w:val="none" w:sz="0" w:space="0" w:color="auto"/>
      </w:divBdr>
      <w:divsChild>
        <w:div w:id="1184707714">
          <w:marLeft w:val="0"/>
          <w:marRight w:val="0"/>
          <w:marTop w:val="0"/>
          <w:marBottom w:val="0"/>
          <w:divBdr>
            <w:top w:val="none" w:sz="0" w:space="0" w:color="auto"/>
            <w:left w:val="none" w:sz="0" w:space="0" w:color="auto"/>
            <w:bottom w:val="none" w:sz="0" w:space="0" w:color="auto"/>
            <w:right w:val="none" w:sz="0" w:space="0" w:color="auto"/>
          </w:divBdr>
        </w:div>
      </w:divsChild>
    </w:div>
    <w:div w:id="122427630">
      <w:marLeft w:val="4"/>
      <w:marRight w:val="0"/>
      <w:marTop w:val="200"/>
      <w:marBottom w:val="0"/>
      <w:divBdr>
        <w:top w:val="none" w:sz="0" w:space="0" w:color="auto"/>
        <w:left w:val="none" w:sz="0" w:space="0" w:color="auto"/>
        <w:bottom w:val="none" w:sz="0" w:space="0" w:color="auto"/>
        <w:right w:val="none" w:sz="0" w:space="0" w:color="auto"/>
      </w:divBdr>
      <w:divsChild>
        <w:div w:id="2014411154">
          <w:marLeft w:val="0"/>
          <w:marRight w:val="0"/>
          <w:marTop w:val="0"/>
          <w:marBottom w:val="0"/>
          <w:divBdr>
            <w:top w:val="none" w:sz="0" w:space="0" w:color="auto"/>
            <w:left w:val="none" w:sz="0" w:space="0" w:color="auto"/>
            <w:bottom w:val="none" w:sz="0" w:space="0" w:color="auto"/>
            <w:right w:val="none" w:sz="0" w:space="0" w:color="auto"/>
          </w:divBdr>
        </w:div>
      </w:divsChild>
    </w:div>
    <w:div w:id="140468264">
      <w:marLeft w:val="0"/>
      <w:marRight w:val="0"/>
      <w:marTop w:val="0"/>
      <w:marBottom w:val="0"/>
      <w:divBdr>
        <w:top w:val="none" w:sz="0" w:space="0" w:color="auto"/>
        <w:left w:val="none" w:sz="0" w:space="0" w:color="auto"/>
        <w:bottom w:val="none" w:sz="0" w:space="0" w:color="auto"/>
        <w:right w:val="none" w:sz="0" w:space="0" w:color="auto"/>
      </w:divBdr>
      <w:divsChild>
        <w:div w:id="1942250562">
          <w:marLeft w:val="0"/>
          <w:marRight w:val="0"/>
          <w:marTop w:val="0"/>
          <w:marBottom w:val="0"/>
          <w:divBdr>
            <w:top w:val="none" w:sz="0" w:space="0" w:color="auto"/>
            <w:left w:val="none" w:sz="0" w:space="0" w:color="auto"/>
            <w:bottom w:val="none" w:sz="0" w:space="0" w:color="auto"/>
            <w:right w:val="none" w:sz="0" w:space="0" w:color="auto"/>
          </w:divBdr>
        </w:div>
        <w:div w:id="321274795">
          <w:marLeft w:val="0"/>
          <w:marRight w:val="0"/>
          <w:marTop w:val="0"/>
          <w:marBottom w:val="0"/>
          <w:divBdr>
            <w:top w:val="none" w:sz="0" w:space="0" w:color="auto"/>
            <w:left w:val="none" w:sz="0" w:space="0" w:color="auto"/>
            <w:bottom w:val="none" w:sz="0" w:space="0" w:color="auto"/>
            <w:right w:val="none" w:sz="0" w:space="0" w:color="auto"/>
          </w:divBdr>
        </w:div>
      </w:divsChild>
    </w:div>
    <w:div w:id="147795699">
      <w:marLeft w:val="4"/>
      <w:marRight w:val="0"/>
      <w:marTop w:val="200"/>
      <w:marBottom w:val="0"/>
      <w:divBdr>
        <w:top w:val="none" w:sz="0" w:space="0" w:color="auto"/>
        <w:left w:val="none" w:sz="0" w:space="0" w:color="auto"/>
        <w:bottom w:val="none" w:sz="0" w:space="0" w:color="auto"/>
        <w:right w:val="none" w:sz="0" w:space="0" w:color="auto"/>
      </w:divBdr>
      <w:divsChild>
        <w:div w:id="194512510">
          <w:marLeft w:val="0"/>
          <w:marRight w:val="0"/>
          <w:marTop w:val="0"/>
          <w:marBottom w:val="0"/>
          <w:divBdr>
            <w:top w:val="none" w:sz="0" w:space="0" w:color="auto"/>
            <w:left w:val="none" w:sz="0" w:space="0" w:color="auto"/>
            <w:bottom w:val="none" w:sz="0" w:space="0" w:color="auto"/>
            <w:right w:val="none" w:sz="0" w:space="0" w:color="auto"/>
          </w:divBdr>
        </w:div>
      </w:divsChild>
    </w:div>
    <w:div w:id="207495412">
      <w:marLeft w:val="4"/>
      <w:marRight w:val="0"/>
      <w:marTop w:val="200"/>
      <w:marBottom w:val="0"/>
      <w:divBdr>
        <w:top w:val="none" w:sz="0" w:space="0" w:color="auto"/>
        <w:left w:val="none" w:sz="0" w:space="0" w:color="auto"/>
        <w:bottom w:val="none" w:sz="0" w:space="0" w:color="auto"/>
        <w:right w:val="none" w:sz="0" w:space="0" w:color="auto"/>
      </w:divBdr>
      <w:divsChild>
        <w:div w:id="644971529">
          <w:marLeft w:val="0"/>
          <w:marRight w:val="0"/>
          <w:marTop w:val="0"/>
          <w:marBottom w:val="0"/>
          <w:divBdr>
            <w:top w:val="none" w:sz="0" w:space="0" w:color="auto"/>
            <w:left w:val="none" w:sz="0" w:space="0" w:color="auto"/>
            <w:bottom w:val="none" w:sz="0" w:space="0" w:color="auto"/>
            <w:right w:val="none" w:sz="0" w:space="0" w:color="auto"/>
          </w:divBdr>
        </w:div>
      </w:divsChild>
    </w:div>
    <w:div w:id="213199714">
      <w:marLeft w:val="4"/>
      <w:marRight w:val="0"/>
      <w:marTop w:val="200"/>
      <w:marBottom w:val="0"/>
      <w:divBdr>
        <w:top w:val="none" w:sz="0" w:space="0" w:color="auto"/>
        <w:left w:val="none" w:sz="0" w:space="0" w:color="auto"/>
        <w:bottom w:val="none" w:sz="0" w:space="0" w:color="auto"/>
        <w:right w:val="none" w:sz="0" w:space="0" w:color="auto"/>
      </w:divBdr>
      <w:divsChild>
        <w:div w:id="1760953765">
          <w:marLeft w:val="0"/>
          <w:marRight w:val="0"/>
          <w:marTop w:val="0"/>
          <w:marBottom w:val="0"/>
          <w:divBdr>
            <w:top w:val="none" w:sz="0" w:space="0" w:color="auto"/>
            <w:left w:val="none" w:sz="0" w:space="0" w:color="auto"/>
            <w:bottom w:val="none" w:sz="0" w:space="0" w:color="auto"/>
            <w:right w:val="none" w:sz="0" w:space="0" w:color="auto"/>
          </w:divBdr>
        </w:div>
      </w:divsChild>
    </w:div>
    <w:div w:id="230777507">
      <w:marLeft w:val="0"/>
      <w:marRight w:val="0"/>
      <w:marTop w:val="0"/>
      <w:marBottom w:val="0"/>
      <w:divBdr>
        <w:top w:val="none" w:sz="0" w:space="0" w:color="auto"/>
        <w:left w:val="none" w:sz="0" w:space="0" w:color="auto"/>
        <w:bottom w:val="none" w:sz="0" w:space="0" w:color="auto"/>
        <w:right w:val="none" w:sz="0" w:space="0" w:color="auto"/>
      </w:divBdr>
      <w:divsChild>
        <w:div w:id="2140606028">
          <w:marLeft w:val="0"/>
          <w:marRight w:val="0"/>
          <w:marTop w:val="0"/>
          <w:marBottom w:val="0"/>
          <w:divBdr>
            <w:top w:val="none" w:sz="0" w:space="0" w:color="auto"/>
            <w:left w:val="none" w:sz="0" w:space="0" w:color="auto"/>
            <w:bottom w:val="none" w:sz="0" w:space="0" w:color="auto"/>
            <w:right w:val="none" w:sz="0" w:space="0" w:color="auto"/>
          </w:divBdr>
        </w:div>
      </w:divsChild>
    </w:div>
    <w:div w:id="248776431">
      <w:marLeft w:val="4"/>
      <w:marRight w:val="0"/>
      <w:marTop w:val="200"/>
      <w:marBottom w:val="0"/>
      <w:divBdr>
        <w:top w:val="none" w:sz="0" w:space="0" w:color="auto"/>
        <w:left w:val="none" w:sz="0" w:space="0" w:color="auto"/>
        <w:bottom w:val="none" w:sz="0" w:space="0" w:color="auto"/>
        <w:right w:val="none" w:sz="0" w:space="0" w:color="auto"/>
      </w:divBdr>
      <w:divsChild>
        <w:div w:id="1608997571">
          <w:marLeft w:val="0"/>
          <w:marRight w:val="0"/>
          <w:marTop w:val="0"/>
          <w:marBottom w:val="0"/>
          <w:divBdr>
            <w:top w:val="none" w:sz="0" w:space="0" w:color="auto"/>
            <w:left w:val="none" w:sz="0" w:space="0" w:color="auto"/>
            <w:bottom w:val="none" w:sz="0" w:space="0" w:color="auto"/>
            <w:right w:val="none" w:sz="0" w:space="0" w:color="auto"/>
          </w:divBdr>
        </w:div>
      </w:divsChild>
    </w:div>
    <w:div w:id="293826719">
      <w:marLeft w:val="4"/>
      <w:marRight w:val="0"/>
      <w:marTop w:val="200"/>
      <w:marBottom w:val="0"/>
      <w:divBdr>
        <w:top w:val="none" w:sz="0" w:space="0" w:color="auto"/>
        <w:left w:val="none" w:sz="0" w:space="0" w:color="auto"/>
        <w:bottom w:val="none" w:sz="0" w:space="0" w:color="auto"/>
        <w:right w:val="none" w:sz="0" w:space="0" w:color="auto"/>
      </w:divBdr>
      <w:divsChild>
        <w:div w:id="269246881">
          <w:marLeft w:val="0"/>
          <w:marRight w:val="0"/>
          <w:marTop w:val="0"/>
          <w:marBottom w:val="0"/>
          <w:divBdr>
            <w:top w:val="none" w:sz="0" w:space="0" w:color="auto"/>
            <w:left w:val="none" w:sz="0" w:space="0" w:color="auto"/>
            <w:bottom w:val="none" w:sz="0" w:space="0" w:color="auto"/>
            <w:right w:val="none" w:sz="0" w:space="0" w:color="auto"/>
          </w:divBdr>
        </w:div>
      </w:divsChild>
    </w:div>
    <w:div w:id="313535287">
      <w:marLeft w:val="4"/>
      <w:marRight w:val="0"/>
      <w:marTop w:val="200"/>
      <w:marBottom w:val="0"/>
      <w:divBdr>
        <w:top w:val="none" w:sz="0" w:space="0" w:color="auto"/>
        <w:left w:val="none" w:sz="0" w:space="0" w:color="auto"/>
        <w:bottom w:val="none" w:sz="0" w:space="0" w:color="auto"/>
        <w:right w:val="none" w:sz="0" w:space="0" w:color="auto"/>
      </w:divBdr>
      <w:divsChild>
        <w:div w:id="1426226102">
          <w:marLeft w:val="0"/>
          <w:marRight w:val="0"/>
          <w:marTop w:val="0"/>
          <w:marBottom w:val="0"/>
          <w:divBdr>
            <w:top w:val="none" w:sz="0" w:space="0" w:color="auto"/>
            <w:left w:val="none" w:sz="0" w:space="0" w:color="auto"/>
            <w:bottom w:val="none" w:sz="0" w:space="0" w:color="auto"/>
            <w:right w:val="none" w:sz="0" w:space="0" w:color="auto"/>
          </w:divBdr>
        </w:div>
      </w:divsChild>
    </w:div>
    <w:div w:id="314578597">
      <w:marLeft w:val="4"/>
      <w:marRight w:val="0"/>
      <w:marTop w:val="200"/>
      <w:marBottom w:val="0"/>
      <w:divBdr>
        <w:top w:val="none" w:sz="0" w:space="0" w:color="auto"/>
        <w:left w:val="none" w:sz="0" w:space="0" w:color="auto"/>
        <w:bottom w:val="none" w:sz="0" w:space="0" w:color="auto"/>
        <w:right w:val="none" w:sz="0" w:space="0" w:color="auto"/>
      </w:divBdr>
      <w:divsChild>
        <w:div w:id="695542840">
          <w:marLeft w:val="0"/>
          <w:marRight w:val="0"/>
          <w:marTop w:val="0"/>
          <w:marBottom w:val="0"/>
          <w:divBdr>
            <w:top w:val="none" w:sz="0" w:space="0" w:color="auto"/>
            <w:left w:val="none" w:sz="0" w:space="0" w:color="auto"/>
            <w:bottom w:val="none" w:sz="0" w:space="0" w:color="auto"/>
            <w:right w:val="none" w:sz="0" w:space="0" w:color="auto"/>
          </w:divBdr>
        </w:div>
      </w:divsChild>
    </w:div>
    <w:div w:id="346715336">
      <w:marLeft w:val="4"/>
      <w:marRight w:val="0"/>
      <w:marTop w:val="200"/>
      <w:marBottom w:val="0"/>
      <w:divBdr>
        <w:top w:val="none" w:sz="0" w:space="0" w:color="auto"/>
        <w:left w:val="none" w:sz="0" w:space="0" w:color="auto"/>
        <w:bottom w:val="none" w:sz="0" w:space="0" w:color="auto"/>
        <w:right w:val="none" w:sz="0" w:space="0" w:color="auto"/>
      </w:divBdr>
      <w:divsChild>
        <w:div w:id="312565764">
          <w:marLeft w:val="0"/>
          <w:marRight w:val="0"/>
          <w:marTop w:val="0"/>
          <w:marBottom w:val="0"/>
          <w:divBdr>
            <w:top w:val="none" w:sz="0" w:space="0" w:color="auto"/>
            <w:left w:val="none" w:sz="0" w:space="0" w:color="auto"/>
            <w:bottom w:val="none" w:sz="0" w:space="0" w:color="auto"/>
            <w:right w:val="none" w:sz="0" w:space="0" w:color="auto"/>
          </w:divBdr>
        </w:div>
      </w:divsChild>
    </w:div>
    <w:div w:id="379019634">
      <w:marLeft w:val="4"/>
      <w:marRight w:val="0"/>
      <w:marTop w:val="200"/>
      <w:marBottom w:val="0"/>
      <w:divBdr>
        <w:top w:val="none" w:sz="0" w:space="0" w:color="auto"/>
        <w:left w:val="none" w:sz="0" w:space="0" w:color="auto"/>
        <w:bottom w:val="none" w:sz="0" w:space="0" w:color="auto"/>
        <w:right w:val="none" w:sz="0" w:space="0" w:color="auto"/>
      </w:divBdr>
      <w:divsChild>
        <w:div w:id="2039771685">
          <w:marLeft w:val="0"/>
          <w:marRight w:val="0"/>
          <w:marTop w:val="0"/>
          <w:marBottom w:val="0"/>
          <w:divBdr>
            <w:top w:val="none" w:sz="0" w:space="0" w:color="auto"/>
            <w:left w:val="none" w:sz="0" w:space="0" w:color="auto"/>
            <w:bottom w:val="none" w:sz="0" w:space="0" w:color="auto"/>
            <w:right w:val="none" w:sz="0" w:space="0" w:color="auto"/>
          </w:divBdr>
        </w:div>
      </w:divsChild>
    </w:div>
    <w:div w:id="388919042">
      <w:marLeft w:val="4"/>
      <w:marRight w:val="0"/>
      <w:marTop w:val="200"/>
      <w:marBottom w:val="0"/>
      <w:divBdr>
        <w:top w:val="none" w:sz="0" w:space="0" w:color="auto"/>
        <w:left w:val="none" w:sz="0" w:space="0" w:color="auto"/>
        <w:bottom w:val="none" w:sz="0" w:space="0" w:color="auto"/>
        <w:right w:val="none" w:sz="0" w:space="0" w:color="auto"/>
      </w:divBdr>
      <w:divsChild>
        <w:div w:id="458694825">
          <w:marLeft w:val="0"/>
          <w:marRight w:val="0"/>
          <w:marTop w:val="0"/>
          <w:marBottom w:val="0"/>
          <w:divBdr>
            <w:top w:val="none" w:sz="0" w:space="0" w:color="auto"/>
            <w:left w:val="none" w:sz="0" w:space="0" w:color="auto"/>
            <w:bottom w:val="none" w:sz="0" w:space="0" w:color="auto"/>
            <w:right w:val="none" w:sz="0" w:space="0" w:color="auto"/>
          </w:divBdr>
        </w:div>
      </w:divsChild>
    </w:div>
    <w:div w:id="402997020">
      <w:marLeft w:val="0"/>
      <w:marRight w:val="0"/>
      <w:marTop w:val="0"/>
      <w:marBottom w:val="0"/>
      <w:divBdr>
        <w:top w:val="none" w:sz="0" w:space="0" w:color="auto"/>
        <w:left w:val="none" w:sz="0" w:space="0" w:color="auto"/>
        <w:bottom w:val="none" w:sz="0" w:space="0" w:color="auto"/>
        <w:right w:val="none" w:sz="0" w:space="0" w:color="auto"/>
      </w:divBdr>
      <w:divsChild>
        <w:div w:id="1825119608">
          <w:marLeft w:val="0"/>
          <w:marRight w:val="0"/>
          <w:marTop w:val="0"/>
          <w:marBottom w:val="0"/>
          <w:divBdr>
            <w:top w:val="none" w:sz="0" w:space="0" w:color="auto"/>
            <w:left w:val="none" w:sz="0" w:space="0" w:color="auto"/>
            <w:bottom w:val="none" w:sz="0" w:space="0" w:color="auto"/>
            <w:right w:val="none" w:sz="0" w:space="0" w:color="auto"/>
          </w:divBdr>
        </w:div>
        <w:div w:id="69541087">
          <w:marLeft w:val="0"/>
          <w:marRight w:val="0"/>
          <w:marTop w:val="0"/>
          <w:marBottom w:val="0"/>
          <w:divBdr>
            <w:top w:val="none" w:sz="0" w:space="0" w:color="auto"/>
            <w:left w:val="none" w:sz="0" w:space="0" w:color="auto"/>
            <w:bottom w:val="none" w:sz="0" w:space="0" w:color="auto"/>
            <w:right w:val="none" w:sz="0" w:space="0" w:color="auto"/>
          </w:divBdr>
        </w:div>
      </w:divsChild>
    </w:div>
    <w:div w:id="439033472">
      <w:marLeft w:val="4"/>
      <w:marRight w:val="0"/>
      <w:marTop w:val="200"/>
      <w:marBottom w:val="0"/>
      <w:divBdr>
        <w:top w:val="none" w:sz="0" w:space="0" w:color="auto"/>
        <w:left w:val="none" w:sz="0" w:space="0" w:color="auto"/>
        <w:bottom w:val="none" w:sz="0" w:space="0" w:color="auto"/>
        <w:right w:val="none" w:sz="0" w:space="0" w:color="auto"/>
      </w:divBdr>
      <w:divsChild>
        <w:div w:id="826433440">
          <w:marLeft w:val="0"/>
          <w:marRight w:val="0"/>
          <w:marTop w:val="0"/>
          <w:marBottom w:val="0"/>
          <w:divBdr>
            <w:top w:val="none" w:sz="0" w:space="0" w:color="auto"/>
            <w:left w:val="none" w:sz="0" w:space="0" w:color="auto"/>
            <w:bottom w:val="none" w:sz="0" w:space="0" w:color="auto"/>
            <w:right w:val="none" w:sz="0" w:space="0" w:color="auto"/>
          </w:divBdr>
        </w:div>
      </w:divsChild>
    </w:div>
    <w:div w:id="480583368">
      <w:marLeft w:val="4"/>
      <w:marRight w:val="0"/>
      <w:marTop w:val="200"/>
      <w:marBottom w:val="0"/>
      <w:divBdr>
        <w:top w:val="none" w:sz="0" w:space="0" w:color="auto"/>
        <w:left w:val="none" w:sz="0" w:space="0" w:color="auto"/>
        <w:bottom w:val="none" w:sz="0" w:space="0" w:color="auto"/>
        <w:right w:val="none" w:sz="0" w:space="0" w:color="auto"/>
      </w:divBdr>
      <w:divsChild>
        <w:div w:id="1176849220">
          <w:marLeft w:val="0"/>
          <w:marRight w:val="0"/>
          <w:marTop w:val="0"/>
          <w:marBottom w:val="0"/>
          <w:divBdr>
            <w:top w:val="none" w:sz="0" w:space="0" w:color="auto"/>
            <w:left w:val="none" w:sz="0" w:space="0" w:color="auto"/>
            <w:bottom w:val="none" w:sz="0" w:space="0" w:color="auto"/>
            <w:right w:val="none" w:sz="0" w:space="0" w:color="auto"/>
          </w:divBdr>
        </w:div>
      </w:divsChild>
    </w:div>
    <w:div w:id="483087637">
      <w:marLeft w:val="4"/>
      <w:marRight w:val="0"/>
      <w:marTop w:val="200"/>
      <w:marBottom w:val="0"/>
      <w:divBdr>
        <w:top w:val="none" w:sz="0" w:space="0" w:color="auto"/>
        <w:left w:val="none" w:sz="0" w:space="0" w:color="auto"/>
        <w:bottom w:val="none" w:sz="0" w:space="0" w:color="auto"/>
        <w:right w:val="none" w:sz="0" w:space="0" w:color="auto"/>
      </w:divBdr>
      <w:divsChild>
        <w:div w:id="1599875416">
          <w:marLeft w:val="0"/>
          <w:marRight w:val="0"/>
          <w:marTop w:val="0"/>
          <w:marBottom w:val="0"/>
          <w:divBdr>
            <w:top w:val="none" w:sz="0" w:space="0" w:color="auto"/>
            <w:left w:val="none" w:sz="0" w:space="0" w:color="auto"/>
            <w:bottom w:val="none" w:sz="0" w:space="0" w:color="auto"/>
            <w:right w:val="none" w:sz="0" w:space="0" w:color="auto"/>
          </w:divBdr>
        </w:div>
      </w:divsChild>
    </w:div>
    <w:div w:id="489323557">
      <w:marLeft w:val="4"/>
      <w:marRight w:val="0"/>
      <w:marTop w:val="200"/>
      <w:marBottom w:val="0"/>
      <w:divBdr>
        <w:top w:val="none" w:sz="0" w:space="0" w:color="auto"/>
        <w:left w:val="none" w:sz="0" w:space="0" w:color="auto"/>
        <w:bottom w:val="none" w:sz="0" w:space="0" w:color="auto"/>
        <w:right w:val="none" w:sz="0" w:space="0" w:color="auto"/>
      </w:divBdr>
      <w:divsChild>
        <w:div w:id="1699772185">
          <w:marLeft w:val="0"/>
          <w:marRight w:val="0"/>
          <w:marTop w:val="0"/>
          <w:marBottom w:val="0"/>
          <w:divBdr>
            <w:top w:val="none" w:sz="0" w:space="0" w:color="auto"/>
            <w:left w:val="none" w:sz="0" w:space="0" w:color="auto"/>
            <w:bottom w:val="none" w:sz="0" w:space="0" w:color="auto"/>
            <w:right w:val="none" w:sz="0" w:space="0" w:color="auto"/>
          </w:divBdr>
        </w:div>
      </w:divsChild>
    </w:div>
    <w:div w:id="492647247">
      <w:marLeft w:val="4"/>
      <w:marRight w:val="0"/>
      <w:marTop w:val="200"/>
      <w:marBottom w:val="0"/>
      <w:divBdr>
        <w:top w:val="none" w:sz="0" w:space="0" w:color="auto"/>
        <w:left w:val="none" w:sz="0" w:space="0" w:color="auto"/>
        <w:bottom w:val="none" w:sz="0" w:space="0" w:color="auto"/>
        <w:right w:val="none" w:sz="0" w:space="0" w:color="auto"/>
      </w:divBdr>
      <w:divsChild>
        <w:div w:id="322319548">
          <w:marLeft w:val="0"/>
          <w:marRight w:val="0"/>
          <w:marTop w:val="0"/>
          <w:marBottom w:val="0"/>
          <w:divBdr>
            <w:top w:val="none" w:sz="0" w:space="0" w:color="auto"/>
            <w:left w:val="none" w:sz="0" w:space="0" w:color="auto"/>
            <w:bottom w:val="none" w:sz="0" w:space="0" w:color="auto"/>
            <w:right w:val="none" w:sz="0" w:space="0" w:color="auto"/>
          </w:divBdr>
        </w:div>
      </w:divsChild>
    </w:div>
    <w:div w:id="499858910">
      <w:marLeft w:val="0"/>
      <w:marRight w:val="0"/>
      <w:marTop w:val="0"/>
      <w:marBottom w:val="0"/>
      <w:divBdr>
        <w:top w:val="none" w:sz="0" w:space="0" w:color="auto"/>
        <w:left w:val="none" w:sz="0" w:space="0" w:color="auto"/>
        <w:bottom w:val="none" w:sz="0" w:space="0" w:color="auto"/>
        <w:right w:val="none" w:sz="0" w:space="0" w:color="auto"/>
      </w:divBdr>
      <w:divsChild>
        <w:div w:id="766803143">
          <w:marLeft w:val="0"/>
          <w:marRight w:val="0"/>
          <w:marTop w:val="0"/>
          <w:marBottom w:val="0"/>
          <w:divBdr>
            <w:top w:val="none" w:sz="0" w:space="0" w:color="auto"/>
            <w:left w:val="none" w:sz="0" w:space="0" w:color="auto"/>
            <w:bottom w:val="none" w:sz="0" w:space="0" w:color="auto"/>
            <w:right w:val="none" w:sz="0" w:space="0" w:color="auto"/>
          </w:divBdr>
        </w:div>
        <w:div w:id="460617143">
          <w:marLeft w:val="0"/>
          <w:marRight w:val="0"/>
          <w:marTop w:val="0"/>
          <w:marBottom w:val="0"/>
          <w:divBdr>
            <w:top w:val="none" w:sz="0" w:space="0" w:color="auto"/>
            <w:left w:val="none" w:sz="0" w:space="0" w:color="auto"/>
            <w:bottom w:val="none" w:sz="0" w:space="0" w:color="auto"/>
            <w:right w:val="none" w:sz="0" w:space="0" w:color="auto"/>
          </w:divBdr>
        </w:div>
      </w:divsChild>
    </w:div>
    <w:div w:id="503251910">
      <w:marLeft w:val="4"/>
      <w:marRight w:val="0"/>
      <w:marTop w:val="200"/>
      <w:marBottom w:val="0"/>
      <w:divBdr>
        <w:top w:val="none" w:sz="0" w:space="0" w:color="auto"/>
        <w:left w:val="none" w:sz="0" w:space="0" w:color="auto"/>
        <w:bottom w:val="none" w:sz="0" w:space="0" w:color="auto"/>
        <w:right w:val="none" w:sz="0" w:space="0" w:color="auto"/>
      </w:divBdr>
      <w:divsChild>
        <w:div w:id="879131260">
          <w:marLeft w:val="0"/>
          <w:marRight w:val="0"/>
          <w:marTop w:val="0"/>
          <w:marBottom w:val="0"/>
          <w:divBdr>
            <w:top w:val="none" w:sz="0" w:space="0" w:color="auto"/>
            <w:left w:val="none" w:sz="0" w:space="0" w:color="auto"/>
            <w:bottom w:val="none" w:sz="0" w:space="0" w:color="auto"/>
            <w:right w:val="none" w:sz="0" w:space="0" w:color="auto"/>
          </w:divBdr>
        </w:div>
      </w:divsChild>
    </w:div>
    <w:div w:id="504828432">
      <w:marLeft w:val="4"/>
      <w:marRight w:val="0"/>
      <w:marTop w:val="200"/>
      <w:marBottom w:val="0"/>
      <w:divBdr>
        <w:top w:val="none" w:sz="0" w:space="0" w:color="auto"/>
        <w:left w:val="none" w:sz="0" w:space="0" w:color="auto"/>
        <w:bottom w:val="none" w:sz="0" w:space="0" w:color="auto"/>
        <w:right w:val="none" w:sz="0" w:space="0" w:color="auto"/>
      </w:divBdr>
      <w:divsChild>
        <w:div w:id="1602103693">
          <w:marLeft w:val="0"/>
          <w:marRight w:val="0"/>
          <w:marTop w:val="0"/>
          <w:marBottom w:val="0"/>
          <w:divBdr>
            <w:top w:val="none" w:sz="0" w:space="0" w:color="auto"/>
            <w:left w:val="none" w:sz="0" w:space="0" w:color="auto"/>
            <w:bottom w:val="none" w:sz="0" w:space="0" w:color="auto"/>
            <w:right w:val="none" w:sz="0" w:space="0" w:color="auto"/>
          </w:divBdr>
        </w:div>
      </w:divsChild>
    </w:div>
    <w:div w:id="509637786">
      <w:marLeft w:val="0"/>
      <w:marRight w:val="0"/>
      <w:marTop w:val="0"/>
      <w:marBottom w:val="0"/>
      <w:divBdr>
        <w:top w:val="none" w:sz="0" w:space="0" w:color="auto"/>
        <w:left w:val="none" w:sz="0" w:space="0" w:color="auto"/>
        <w:bottom w:val="none" w:sz="0" w:space="0" w:color="auto"/>
        <w:right w:val="none" w:sz="0" w:space="0" w:color="auto"/>
      </w:divBdr>
      <w:divsChild>
        <w:div w:id="1598904223">
          <w:marLeft w:val="0"/>
          <w:marRight w:val="0"/>
          <w:marTop w:val="0"/>
          <w:marBottom w:val="0"/>
          <w:divBdr>
            <w:top w:val="none" w:sz="0" w:space="0" w:color="auto"/>
            <w:left w:val="none" w:sz="0" w:space="0" w:color="auto"/>
            <w:bottom w:val="none" w:sz="0" w:space="0" w:color="auto"/>
            <w:right w:val="none" w:sz="0" w:space="0" w:color="auto"/>
          </w:divBdr>
        </w:div>
      </w:divsChild>
    </w:div>
    <w:div w:id="550921410">
      <w:marLeft w:val="4"/>
      <w:marRight w:val="0"/>
      <w:marTop w:val="200"/>
      <w:marBottom w:val="0"/>
      <w:divBdr>
        <w:top w:val="none" w:sz="0" w:space="0" w:color="auto"/>
        <w:left w:val="none" w:sz="0" w:space="0" w:color="auto"/>
        <w:bottom w:val="none" w:sz="0" w:space="0" w:color="auto"/>
        <w:right w:val="none" w:sz="0" w:space="0" w:color="auto"/>
      </w:divBdr>
      <w:divsChild>
        <w:div w:id="1712873826">
          <w:marLeft w:val="0"/>
          <w:marRight w:val="0"/>
          <w:marTop w:val="0"/>
          <w:marBottom w:val="0"/>
          <w:divBdr>
            <w:top w:val="none" w:sz="0" w:space="0" w:color="auto"/>
            <w:left w:val="none" w:sz="0" w:space="0" w:color="auto"/>
            <w:bottom w:val="none" w:sz="0" w:space="0" w:color="auto"/>
            <w:right w:val="none" w:sz="0" w:space="0" w:color="auto"/>
          </w:divBdr>
        </w:div>
      </w:divsChild>
    </w:div>
    <w:div w:id="554045185">
      <w:marLeft w:val="0"/>
      <w:marRight w:val="0"/>
      <w:marTop w:val="0"/>
      <w:marBottom w:val="0"/>
      <w:divBdr>
        <w:top w:val="none" w:sz="0" w:space="0" w:color="auto"/>
        <w:left w:val="none" w:sz="0" w:space="0" w:color="auto"/>
        <w:bottom w:val="none" w:sz="0" w:space="0" w:color="auto"/>
        <w:right w:val="none" w:sz="0" w:space="0" w:color="auto"/>
      </w:divBdr>
      <w:divsChild>
        <w:div w:id="2120879986">
          <w:marLeft w:val="0"/>
          <w:marRight w:val="0"/>
          <w:marTop w:val="0"/>
          <w:marBottom w:val="0"/>
          <w:divBdr>
            <w:top w:val="none" w:sz="0" w:space="0" w:color="auto"/>
            <w:left w:val="none" w:sz="0" w:space="0" w:color="auto"/>
            <w:bottom w:val="none" w:sz="0" w:space="0" w:color="auto"/>
            <w:right w:val="none" w:sz="0" w:space="0" w:color="auto"/>
          </w:divBdr>
        </w:div>
      </w:divsChild>
    </w:div>
    <w:div w:id="558519189">
      <w:marLeft w:val="4"/>
      <w:marRight w:val="0"/>
      <w:marTop w:val="200"/>
      <w:marBottom w:val="0"/>
      <w:divBdr>
        <w:top w:val="none" w:sz="0" w:space="0" w:color="auto"/>
        <w:left w:val="none" w:sz="0" w:space="0" w:color="auto"/>
        <w:bottom w:val="none" w:sz="0" w:space="0" w:color="auto"/>
        <w:right w:val="none" w:sz="0" w:space="0" w:color="auto"/>
      </w:divBdr>
      <w:divsChild>
        <w:div w:id="1547913692">
          <w:marLeft w:val="0"/>
          <w:marRight w:val="0"/>
          <w:marTop w:val="0"/>
          <w:marBottom w:val="0"/>
          <w:divBdr>
            <w:top w:val="none" w:sz="0" w:space="0" w:color="auto"/>
            <w:left w:val="none" w:sz="0" w:space="0" w:color="auto"/>
            <w:bottom w:val="none" w:sz="0" w:space="0" w:color="auto"/>
            <w:right w:val="none" w:sz="0" w:space="0" w:color="auto"/>
          </w:divBdr>
        </w:div>
      </w:divsChild>
    </w:div>
    <w:div w:id="560598833">
      <w:marLeft w:val="4"/>
      <w:marRight w:val="0"/>
      <w:marTop w:val="200"/>
      <w:marBottom w:val="0"/>
      <w:divBdr>
        <w:top w:val="none" w:sz="0" w:space="0" w:color="auto"/>
        <w:left w:val="none" w:sz="0" w:space="0" w:color="auto"/>
        <w:bottom w:val="none" w:sz="0" w:space="0" w:color="auto"/>
        <w:right w:val="none" w:sz="0" w:space="0" w:color="auto"/>
      </w:divBdr>
      <w:divsChild>
        <w:div w:id="983773281">
          <w:marLeft w:val="0"/>
          <w:marRight w:val="0"/>
          <w:marTop w:val="0"/>
          <w:marBottom w:val="0"/>
          <w:divBdr>
            <w:top w:val="none" w:sz="0" w:space="0" w:color="auto"/>
            <w:left w:val="none" w:sz="0" w:space="0" w:color="auto"/>
            <w:bottom w:val="none" w:sz="0" w:space="0" w:color="auto"/>
            <w:right w:val="none" w:sz="0" w:space="0" w:color="auto"/>
          </w:divBdr>
        </w:div>
      </w:divsChild>
    </w:div>
    <w:div w:id="614794882">
      <w:marLeft w:val="4"/>
      <w:marRight w:val="0"/>
      <w:marTop w:val="200"/>
      <w:marBottom w:val="0"/>
      <w:divBdr>
        <w:top w:val="none" w:sz="0" w:space="0" w:color="auto"/>
        <w:left w:val="none" w:sz="0" w:space="0" w:color="auto"/>
        <w:bottom w:val="none" w:sz="0" w:space="0" w:color="auto"/>
        <w:right w:val="none" w:sz="0" w:space="0" w:color="auto"/>
      </w:divBdr>
      <w:divsChild>
        <w:div w:id="1455055166">
          <w:marLeft w:val="0"/>
          <w:marRight w:val="0"/>
          <w:marTop w:val="0"/>
          <w:marBottom w:val="0"/>
          <w:divBdr>
            <w:top w:val="none" w:sz="0" w:space="0" w:color="auto"/>
            <w:left w:val="none" w:sz="0" w:space="0" w:color="auto"/>
            <w:bottom w:val="none" w:sz="0" w:space="0" w:color="auto"/>
            <w:right w:val="none" w:sz="0" w:space="0" w:color="auto"/>
          </w:divBdr>
        </w:div>
      </w:divsChild>
    </w:div>
    <w:div w:id="662464432">
      <w:marLeft w:val="0"/>
      <w:marRight w:val="0"/>
      <w:marTop w:val="0"/>
      <w:marBottom w:val="0"/>
      <w:divBdr>
        <w:top w:val="none" w:sz="0" w:space="0" w:color="auto"/>
        <w:left w:val="none" w:sz="0" w:space="0" w:color="auto"/>
        <w:bottom w:val="none" w:sz="0" w:space="0" w:color="auto"/>
        <w:right w:val="none" w:sz="0" w:space="0" w:color="auto"/>
      </w:divBdr>
      <w:divsChild>
        <w:div w:id="873227102">
          <w:marLeft w:val="0"/>
          <w:marRight w:val="0"/>
          <w:marTop w:val="0"/>
          <w:marBottom w:val="0"/>
          <w:divBdr>
            <w:top w:val="none" w:sz="0" w:space="0" w:color="auto"/>
            <w:left w:val="none" w:sz="0" w:space="0" w:color="auto"/>
            <w:bottom w:val="none" w:sz="0" w:space="0" w:color="auto"/>
            <w:right w:val="none" w:sz="0" w:space="0" w:color="auto"/>
          </w:divBdr>
        </w:div>
        <w:div w:id="126122836">
          <w:marLeft w:val="0"/>
          <w:marRight w:val="0"/>
          <w:marTop w:val="0"/>
          <w:marBottom w:val="0"/>
          <w:divBdr>
            <w:top w:val="none" w:sz="0" w:space="0" w:color="auto"/>
            <w:left w:val="none" w:sz="0" w:space="0" w:color="auto"/>
            <w:bottom w:val="none" w:sz="0" w:space="0" w:color="auto"/>
            <w:right w:val="none" w:sz="0" w:space="0" w:color="auto"/>
          </w:divBdr>
        </w:div>
        <w:div w:id="567813376">
          <w:marLeft w:val="0"/>
          <w:marRight w:val="0"/>
          <w:marTop w:val="0"/>
          <w:marBottom w:val="0"/>
          <w:divBdr>
            <w:top w:val="none" w:sz="0" w:space="0" w:color="auto"/>
            <w:left w:val="none" w:sz="0" w:space="0" w:color="auto"/>
            <w:bottom w:val="none" w:sz="0" w:space="0" w:color="auto"/>
            <w:right w:val="none" w:sz="0" w:space="0" w:color="auto"/>
          </w:divBdr>
        </w:div>
        <w:div w:id="371655341">
          <w:marLeft w:val="0"/>
          <w:marRight w:val="0"/>
          <w:marTop w:val="0"/>
          <w:marBottom w:val="0"/>
          <w:divBdr>
            <w:top w:val="none" w:sz="0" w:space="0" w:color="auto"/>
            <w:left w:val="none" w:sz="0" w:space="0" w:color="auto"/>
            <w:bottom w:val="none" w:sz="0" w:space="0" w:color="auto"/>
            <w:right w:val="none" w:sz="0" w:space="0" w:color="auto"/>
          </w:divBdr>
        </w:div>
      </w:divsChild>
    </w:div>
    <w:div w:id="678387983">
      <w:marLeft w:val="4"/>
      <w:marRight w:val="0"/>
      <w:marTop w:val="200"/>
      <w:marBottom w:val="0"/>
      <w:divBdr>
        <w:top w:val="none" w:sz="0" w:space="0" w:color="auto"/>
        <w:left w:val="none" w:sz="0" w:space="0" w:color="auto"/>
        <w:bottom w:val="none" w:sz="0" w:space="0" w:color="auto"/>
        <w:right w:val="none" w:sz="0" w:space="0" w:color="auto"/>
      </w:divBdr>
      <w:divsChild>
        <w:div w:id="834875977">
          <w:marLeft w:val="0"/>
          <w:marRight w:val="0"/>
          <w:marTop w:val="0"/>
          <w:marBottom w:val="0"/>
          <w:divBdr>
            <w:top w:val="none" w:sz="0" w:space="0" w:color="auto"/>
            <w:left w:val="none" w:sz="0" w:space="0" w:color="auto"/>
            <w:bottom w:val="none" w:sz="0" w:space="0" w:color="auto"/>
            <w:right w:val="none" w:sz="0" w:space="0" w:color="auto"/>
          </w:divBdr>
        </w:div>
      </w:divsChild>
    </w:div>
    <w:div w:id="727803650">
      <w:marLeft w:val="4"/>
      <w:marRight w:val="0"/>
      <w:marTop w:val="200"/>
      <w:marBottom w:val="0"/>
      <w:divBdr>
        <w:top w:val="none" w:sz="0" w:space="0" w:color="auto"/>
        <w:left w:val="none" w:sz="0" w:space="0" w:color="auto"/>
        <w:bottom w:val="none" w:sz="0" w:space="0" w:color="auto"/>
        <w:right w:val="none" w:sz="0" w:space="0" w:color="auto"/>
      </w:divBdr>
      <w:divsChild>
        <w:div w:id="1113867353">
          <w:marLeft w:val="0"/>
          <w:marRight w:val="0"/>
          <w:marTop w:val="0"/>
          <w:marBottom w:val="0"/>
          <w:divBdr>
            <w:top w:val="none" w:sz="0" w:space="0" w:color="auto"/>
            <w:left w:val="none" w:sz="0" w:space="0" w:color="auto"/>
            <w:bottom w:val="none" w:sz="0" w:space="0" w:color="auto"/>
            <w:right w:val="none" w:sz="0" w:space="0" w:color="auto"/>
          </w:divBdr>
        </w:div>
      </w:divsChild>
    </w:div>
    <w:div w:id="757481988">
      <w:marLeft w:val="4"/>
      <w:marRight w:val="0"/>
      <w:marTop w:val="200"/>
      <w:marBottom w:val="0"/>
      <w:divBdr>
        <w:top w:val="none" w:sz="0" w:space="0" w:color="auto"/>
        <w:left w:val="none" w:sz="0" w:space="0" w:color="auto"/>
        <w:bottom w:val="none" w:sz="0" w:space="0" w:color="auto"/>
        <w:right w:val="none" w:sz="0" w:space="0" w:color="auto"/>
      </w:divBdr>
      <w:divsChild>
        <w:div w:id="208762599">
          <w:marLeft w:val="0"/>
          <w:marRight w:val="0"/>
          <w:marTop w:val="0"/>
          <w:marBottom w:val="0"/>
          <w:divBdr>
            <w:top w:val="none" w:sz="0" w:space="0" w:color="auto"/>
            <w:left w:val="none" w:sz="0" w:space="0" w:color="auto"/>
            <w:bottom w:val="none" w:sz="0" w:space="0" w:color="auto"/>
            <w:right w:val="none" w:sz="0" w:space="0" w:color="auto"/>
          </w:divBdr>
        </w:div>
      </w:divsChild>
    </w:div>
    <w:div w:id="758452371">
      <w:marLeft w:val="4"/>
      <w:marRight w:val="0"/>
      <w:marTop w:val="200"/>
      <w:marBottom w:val="0"/>
      <w:divBdr>
        <w:top w:val="none" w:sz="0" w:space="0" w:color="auto"/>
        <w:left w:val="none" w:sz="0" w:space="0" w:color="auto"/>
        <w:bottom w:val="none" w:sz="0" w:space="0" w:color="auto"/>
        <w:right w:val="none" w:sz="0" w:space="0" w:color="auto"/>
      </w:divBdr>
      <w:divsChild>
        <w:div w:id="743644093">
          <w:marLeft w:val="0"/>
          <w:marRight w:val="0"/>
          <w:marTop w:val="0"/>
          <w:marBottom w:val="0"/>
          <w:divBdr>
            <w:top w:val="none" w:sz="0" w:space="0" w:color="auto"/>
            <w:left w:val="none" w:sz="0" w:space="0" w:color="auto"/>
            <w:bottom w:val="none" w:sz="0" w:space="0" w:color="auto"/>
            <w:right w:val="none" w:sz="0" w:space="0" w:color="auto"/>
          </w:divBdr>
        </w:div>
      </w:divsChild>
    </w:div>
    <w:div w:id="776369076">
      <w:marLeft w:val="4"/>
      <w:marRight w:val="0"/>
      <w:marTop w:val="200"/>
      <w:marBottom w:val="0"/>
      <w:divBdr>
        <w:top w:val="none" w:sz="0" w:space="0" w:color="auto"/>
        <w:left w:val="none" w:sz="0" w:space="0" w:color="auto"/>
        <w:bottom w:val="none" w:sz="0" w:space="0" w:color="auto"/>
        <w:right w:val="none" w:sz="0" w:space="0" w:color="auto"/>
      </w:divBdr>
      <w:divsChild>
        <w:div w:id="2025665811">
          <w:marLeft w:val="0"/>
          <w:marRight w:val="0"/>
          <w:marTop w:val="0"/>
          <w:marBottom w:val="0"/>
          <w:divBdr>
            <w:top w:val="none" w:sz="0" w:space="0" w:color="auto"/>
            <w:left w:val="none" w:sz="0" w:space="0" w:color="auto"/>
            <w:bottom w:val="none" w:sz="0" w:space="0" w:color="auto"/>
            <w:right w:val="none" w:sz="0" w:space="0" w:color="auto"/>
          </w:divBdr>
        </w:div>
      </w:divsChild>
    </w:div>
    <w:div w:id="794299024">
      <w:marLeft w:val="4"/>
      <w:marRight w:val="0"/>
      <w:marTop w:val="200"/>
      <w:marBottom w:val="0"/>
      <w:divBdr>
        <w:top w:val="none" w:sz="0" w:space="0" w:color="auto"/>
        <w:left w:val="none" w:sz="0" w:space="0" w:color="auto"/>
        <w:bottom w:val="none" w:sz="0" w:space="0" w:color="auto"/>
        <w:right w:val="none" w:sz="0" w:space="0" w:color="auto"/>
      </w:divBdr>
      <w:divsChild>
        <w:div w:id="46536994">
          <w:marLeft w:val="0"/>
          <w:marRight w:val="0"/>
          <w:marTop w:val="0"/>
          <w:marBottom w:val="0"/>
          <w:divBdr>
            <w:top w:val="none" w:sz="0" w:space="0" w:color="auto"/>
            <w:left w:val="none" w:sz="0" w:space="0" w:color="auto"/>
            <w:bottom w:val="none" w:sz="0" w:space="0" w:color="auto"/>
            <w:right w:val="none" w:sz="0" w:space="0" w:color="auto"/>
          </w:divBdr>
        </w:div>
      </w:divsChild>
    </w:div>
    <w:div w:id="802119311">
      <w:marLeft w:val="4"/>
      <w:marRight w:val="0"/>
      <w:marTop w:val="200"/>
      <w:marBottom w:val="0"/>
      <w:divBdr>
        <w:top w:val="none" w:sz="0" w:space="0" w:color="auto"/>
        <w:left w:val="none" w:sz="0" w:space="0" w:color="auto"/>
        <w:bottom w:val="none" w:sz="0" w:space="0" w:color="auto"/>
        <w:right w:val="none" w:sz="0" w:space="0" w:color="auto"/>
      </w:divBdr>
      <w:divsChild>
        <w:div w:id="1598632981">
          <w:marLeft w:val="0"/>
          <w:marRight w:val="0"/>
          <w:marTop w:val="0"/>
          <w:marBottom w:val="0"/>
          <w:divBdr>
            <w:top w:val="none" w:sz="0" w:space="0" w:color="auto"/>
            <w:left w:val="none" w:sz="0" w:space="0" w:color="auto"/>
            <w:bottom w:val="none" w:sz="0" w:space="0" w:color="auto"/>
            <w:right w:val="none" w:sz="0" w:space="0" w:color="auto"/>
          </w:divBdr>
        </w:div>
      </w:divsChild>
    </w:div>
    <w:div w:id="813567124">
      <w:marLeft w:val="4"/>
      <w:marRight w:val="0"/>
      <w:marTop w:val="200"/>
      <w:marBottom w:val="0"/>
      <w:divBdr>
        <w:top w:val="none" w:sz="0" w:space="0" w:color="auto"/>
        <w:left w:val="none" w:sz="0" w:space="0" w:color="auto"/>
        <w:bottom w:val="none" w:sz="0" w:space="0" w:color="auto"/>
        <w:right w:val="none" w:sz="0" w:space="0" w:color="auto"/>
      </w:divBdr>
      <w:divsChild>
        <w:div w:id="1212882030">
          <w:marLeft w:val="0"/>
          <w:marRight w:val="0"/>
          <w:marTop w:val="0"/>
          <w:marBottom w:val="0"/>
          <w:divBdr>
            <w:top w:val="none" w:sz="0" w:space="0" w:color="auto"/>
            <w:left w:val="none" w:sz="0" w:space="0" w:color="auto"/>
            <w:bottom w:val="none" w:sz="0" w:space="0" w:color="auto"/>
            <w:right w:val="none" w:sz="0" w:space="0" w:color="auto"/>
          </w:divBdr>
        </w:div>
      </w:divsChild>
    </w:div>
    <w:div w:id="858004662">
      <w:marLeft w:val="4"/>
      <w:marRight w:val="0"/>
      <w:marTop w:val="200"/>
      <w:marBottom w:val="0"/>
      <w:divBdr>
        <w:top w:val="none" w:sz="0" w:space="0" w:color="auto"/>
        <w:left w:val="none" w:sz="0" w:space="0" w:color="auto"/>
        <w:bottom w:val="none" w:sz="0" w:space="0" w:color="auto"/>
        <w:right w:val="none" w:sz="0" w:space="0" w:color="auto"/>
      </w:divBdr>
      <w:divsChild>
        <w:div w:id="63572437">
          <w:marLeft w:val="0"/>
          <w:marRight w:val="0"/>
          <w:marTop w:val="0"/>
          <w:marBottom w:val="0"/>
          <w:divBdr>
            <w:top w:val="none" w:sz="0" w:space="0" w:color="auto"/>
            <w:left w:val="none" w:sz="0" w:space="0" w:color="auto"/>
            <w:bottom w:val="none" w:sz="0" w:space="0" w:color="auto"/>
            <w:right w:val="none" w:sz="0" w:space="0" w:color="auto"/>
          </w:divBdr>
        </w:div>
      </w:divsChild>
    </w:div>
    <w:div w:id="858547334">
      <w:marLeft w:val="4"/>
      <w:marRight w:val="0"/>
      <w:marTop w:val="200"/>
      <w:marBottom w:val="0"/>
      <w:divBdr>
        <w:top w:val="none" w:sz="0" w:space="0" w:color="auto"/>
        <w:left w:val="none" w:sz="0" w:space="0" w:color="auto"/>
        <w:bottom w:val="none" w:sz="0" w:space="0" w:color="auto"/>
        <w:right w:val="none" w:sz="0" w:space="0" w:color="auto"/>
      </w:divBdr>
      <w:divsChild>
        <w:div w:id="64769054">
          <w:marLeft w:val="0"/>
          <w:marRight w:val="0"/>
          <w:marTop w:val="0"/>
          <w:marBottom w:val="0"/>
          <w:divBdr>
            <w:top w:val="none" w:sz="0" w:space="0" w:color="auto"/>
            <w:left w:val="none" w:sz="0" w:space="0" w:color="auto"/>
            <w:bottom w:val="none" w:sz="0" w:space="0" w:color="auto"/>
            <w:right w:val="none" w:sz="0" w:space="0" w:color="auto"/>
          </w:divBdr>
        </w:div>
      </w:divsChild>
    </w:div>
    <w:div w:id="865748912">
      <w:marLeft w:val="4"/>
      <w:marRight w:val="0"/>
      <w:marTop w:val="200"/>
      <w:marBottom w:val="0"/>
      <w:divBdr>
        <w:top w:val="none" w:sz="0" w:space="0" w:color="auto"/>
        <w:left w:val="none" w:sz="0" w:space="0" w:color="auto"/>
        <w:bottom w:val="none" w:sz="0" w:space="0" w:color="auto"/>
        <w:right w:val="none" w:sz="0" w:space="0" w:color="auto"/>
      </w:divBdr>
      <w:divsChild>
        <w:div w:id="2061711509">
          <w:marLeft w:val="0"/>
          <w:marRight w:val="0"/>
          <w:marTop w:val="0"/>
          <w:marBottom w:val="0"/>
          <w:divBdr>
            <w:top w:val="none" w:sz="0" w:space="0" w:color="auto"/>
            <w:left w:val="none" w:sz="0" w:space="0" w:color="auto"/>
            <w:bottom w:val="none" w:sz="0" w:space="0" w:color="auto"/>
            <w:right w:val="none" w:sz="0" w:space="0" w:color="auto"/>
          </w:divBdr>
        </w:div>
      </w:divsChild>
    </w:div>
    <w:div w:id="888302571">
      <w:marLeft w:val="4"/>
      <w:marRight w:val="0"/>
      <w:marTop w:val="200"/>
      <w:marBottom w:val="0"/>
      <w:divBdr>
        <w:top w:val="none" w:sz="0" w:space="0" w:color="auto"/>
        <w:left w:val="none" w:sz="0" w:space="0" w:color="auto"/>
        <w:bottom w:val="none" w:sz="0" w:space="0" w:color="auto"/>
        <w:right w:val="none" w:sz="0" w:space="0" w:color="auto"/>
      </w:divBdr>
      <w:divsChild>
        <w:div w:id="1079595622">
          <w:marLeft w:val="0"/>
          <w:marRight w:val="0"/>
          <w:marTop w:val="0"/>
          <w:marBottom w:val="0"/>
          <w:divBdr>
            <w:top w:val="none" w:sz="0" w:space="0" w:color="auto"/>
            <w:left w:val="none" w:sz="0" w:space="0" w:color="auto"/>
            <w:bottom w:val="none" w:sz="0" w:space="0" w:color="auto"/>
            <w:right w:val="none" w:sz="0" w:space="0" w:color="auto"/>
          </w:divBdr>
        </w:div>
      </w:divsChild>
    </w:div>
    <w:div w:id="894586474">
      <w:marLeft w:val="4"/>
      <w:marRight w:val="0"/>
      <w:marTop w:val="200"/>
      <w:marBottom w:val="0"/>
      <w:divBdr>
        <w:top w:val="none" w:sz="0" w:space="0" w:color="auto"/>
        <w:left w:val="none" w:sz="0" w:space="0" w:color="auto"/>
        <w:bottom w:val="none" w:sz="0" w:space="0" w:color="auto"/>
        <w:right w:val="none" w:sz="0" w:space="0" w:color="auto"/>
      </w:divBdr>
      <w:divsChild>
        <w:div w:id="828516756">
          <w:marLeft w:val="0"/>
          <w:marRight w:val="0"/>
          <w:marTop w:val="0"/>
          <w:marBottom w:val="0"/>
          <w:divBdr>
            <w:top w:val="none" w:sz="0" w:space="0" w:color="auto"/>
            <w:left w:val="none" w:sz="0" w:space="0" w:color="auto"/>
            <w:bottom w:val="none" w:sz="0" w:space="0" w:color="auto"/>
            <w:right w:val="none" w:sz="0" w:space="0" w:color="auto"/>
          </w:divBdr>
        </w:div>
      </w:divsChild>
    </w:div>
    <w:div w:id="909509002">
      <w:marLeft w:val="4"/>
      <w:marRight w:val="0"/>
      <w:marTop w:val="200"/>
      <w:marBottom w:val="0"/>
      <w:divBdr>
        <w:top w:val="none" w:sz="0" w:space="0" w:color="auto"/>
        <w:left w:val="none" w:sz="0" w:space="0" w:color="auto"/>
        <w:bottom w:val="none" w:sz="0" w:space="0" w:color="auto"/>
        <w:right w:val="none" w:sz="0" w:space="0" w:color="auto"/>
      </w:divBdr>
      <w:divsChild>
        <w:div w:id="2068255813">
          <w:marLeft w:val="0"/>
          <w:marRight w:val="0"/>
          <w:marTop w:val="0"/>
          <w:marBottom w:val="0"/>
          <w:divBdr>
            <w:top w:val="none" w:sz="0" w:space="0" w:color="auto"/>
            <w:left w:val="none" w:sz="0" w:space="0" w:color="auto"/>
            <w:bottom w:val="none" w:sz="0" w:space="0" w:color="auto"/>
            <w:right w:val="none" w:sz="0" w:space="0" w:color="auto"/>
          </w:divBdr>
        </w:div>
      </w:divsChild>
    </w:div>
    <w:div w:id="917909772">
      <w:marLeft w:val="4"/>
      <w:marRight w:val="0"/>
      <w:marTop w:val="200"/>
      <w:marBottom w:val="0"/>
      <w:divBdr>
        <w:top w:val="none" w:sz="0" w:space="0" w:color="auto"/>
        <w:left w:val="none" w:sz="0" w:space="0" w:color="auto"/>
        <w:bottom w:val="none" w:sz="0" w:space="0" w:color="auto"/>
        <w:right w:val="none" w:sz="0" w:space="0" w:color="auto"/>
      </w:divBdr>
      <w:divsChild>
        <w:div w:id="1670399980">
          <w:marLeft w:val="0"/>
          <w:marRight w:val="0"/>
          <w:marTop w:val="0"/>
          <w:marBottom w:val="0"/>
          <w:divBdr>
            <w:top w:val="none" w:sz="0" w:space="0" w:color="auto"/>
            <w:left w:val="none" w:sz="0" w:space="0" w:color="auto"/>
            <w:bottom w:val="none" w:sz="0" w:space="0" w:color="auto"/>
            <w:right w:val="none" w:sz="0" w:space="0" w:color="auto"/>
          </w:divBdr>
        </w:div>
      </w:divsChild>
    </w:div>
    <w:div w:id="930234153">
      <w:marLeft w:val="0"/>
      <w:marRight w:val="0"/>
      <w:marTop w:val="0"/>
      <w:marBottom w:val="0"/>
      <w:divBdr>
        <w:top w:val="none" w:sz="0" w:space="0" w:color="auto"/>
        <w:left w:val="none" w:sz="0" w:space="0" w:color="auto"/>
        <w:bottom w:val="none" w:sz="0" w:space="0" w:color="auto"/>
        <w:right w:val="none" w:sz="0" w:space="0" w:color="auto"/>
      </w:divBdr>
    </w:div>
    <w:div w:id="940181730">
      <w:marLeft w:val="4"/>
      <w:marRight w:val="0"/>
      <w:marTop w:val="200"/>
      <w:marBottom w:val="0"/>
      <w:divBdr>
        <w:top w:val="none" w:sz="0" w:space="0" w:color="auto"/>
        <w:left w:val="none" w:sz="0" w:space="0" w:color="auto"/>
        <w:bottom w:val="none" w:sz="0" w:space="0" w:color="auto"/>
        <w:right w:val="none" w:sz="0" w:space="0" w:color="auto"/>
      </w:divBdr>
      <w:divsChild>
        <w:div w:id="1266383752">
          <w:marLeft w:val="0"/>
          <w:marRight w:val="0"/>
          <w:marTop w:val="0"/>
          <w:marBottom w:val="0"/>
          <w:divBdr>
            <w:top w:val="none" w:sz="0" w:space="0" w:color="auto"/>
            <w:left w:val="none" w:sz="0" w:space="0" w:color="auto"/>
            <w:bottom w:val="none" w:sz="0" w:space="0" w:color="auto"/>
            <w:right w:val="none" w:sz="0" w:space="0" w:color="auto"/>
          </w:divBdr>
        </w:div>
      </w:divsChild>
    </w:div>
    <w:div w:id="945771625">
      <w:marLeft w:val="4"/>
      <w:marRight w:val="0"/>
      <w:marTop w:val="200"/>
      <w:marBottom w:val="0"/>
      <w:divBdr>
        <w:top w:val="none" w:sz="0" w:space="0" w:color="auto"/>
        <w:left w:val="none" w:sz="0" w:space="0" w:color="auto"/>
        <w:bottom w:val="none" w:sz="0" w:space="0" w:color="auto"/>
        <w:right w:val="none" w:sz="0" w:space="0" w:color="auto"/>
      </w:divBdr>
      <w:divsChild>
        <w:div w:id="1257980060">
          <w:marLeft w:val="0"/>
          <w:marRight w:val="0"/>
          <w:marTop w:val="0"/>
          <w:marBottom w:val="0"/>
          <w:divBdr>
            <w:top w:val="none" w:sz="0" w:space="0" w:color="auto"/>
            <w:left w:val="none" w:sz="0" w:space="0" w:color="auto"/>
            <w:bottom w:val="none" w:sz="0" w:space="0" w:color="auto"/>
            <w:right w:val="none" w:sz="0" w:space="0" w:color="auto"/>
          </w:divBdr>
        </w:div>
      </w:divsChild>
    </w:div>
    <w:div w:id="951980450">
      <w:marLeft w:val="4"/>
      <w:marRight w:val="0"/>
      <w:marTop w:val="200"/>
      <w:marBottom w:val="0"/>
      <w:divBdr>
        <w:top w:val="none" w:sz="0" w:space="0" w:color="auto"/>
        <w:left w:val="none" w:sz="0" w:space="0" w:color="auto"/>
        <w:bottom w:val="none" w:sz="0" w:space="0" w:color="auto"/>
        <w:right w:val="none" w:sz="0" w:space="0" w:color="auto"/>
      </w:divBdr>
      <w:divsChild>
        <w:div w:id="1742286536">
          <w:marLeft w:val="0"/>
          <w:marRight w:val="0"/>
          <w:marTop w:val="0"/>
          <w:marBottom w:val="0"/>
          <w:divBdr>
            <w:top w:val="none" w:sz="0" w:space="0" w:color="auto"/>
            <w:left w:val="none" w:sz="0" w:space="0" w:color="auto"/>
            <w:bottom w:val="none" w:sz="0" w:space="0" w:color="auto"/>
            <w:right w:val="none" w:sz="0" w:space="0" w:color="auto"/>
          </w:divBdr>
        </w:div>
      </w:divsChild>
    </w:div>
    <w:div w:id="964627238">
      <w:marLeft w:val="4"/>
      <w:marRight w:val="0"/>
      <w:marTop w:val="200"/>
      <w:marBottom w:val="0"/>
      <w:divBdr>
        <w:top w:val="none" w:sz="0" w:space="0" w:color="auto"/>
        <w:left w:val="none" w:sz="0" w:space="0" w:color="auto"/>
        <w:bottom w:val="none" w:sz="0" w:space="0" w:color="auto"/>
        <w:right w:val="none" w:sz="0" w:space="0" w:color="auto"/>
      </w:divBdr>
      <w:divsChild>
        <w:div w:id="1083449324">
          <w:marLeft w:val="0"/>
          <w:marRight w:val="0"/>
          <w:marTop w:val="0"/>
          <w:marBottom w:val="0"/>
          <w:divBdr>
            <w:top w:val="none" w:sz="0" w:space="0" w:color="auto"/>
            <w:left w:val="none" w:sz="0" w:space="0" w:color="auto"/>
            <w:bottom w:val="none" w:sz="0" w:space="0" w:color="auto"/>
            <w:right w:val="none" w:sz="0" w:space="0" w:color="auto"/>
          </w:divBdr>
        </w:div>
      </w:divsChild>
    </w:div>
    <w:div w:id="974722511">
      <w:marLeft w:val="4"/>
      <w:marRight w:val="0"/>
      <w:marTop w:val="200"/>
      <w:marBottom w:val="0"/>
      <w:divBdr>
        <w:top w:val="none" w:sz="0" w:space="0" w:color="auto"/>
        <w:left w:val="none" w:sz="0" w:space="0" w:color="auto"/>
        <w:bottom w:val="none" w:sz="0" w:space="0" w:color="auto"/>
        <w:right w:val="none" w:sz="0" w:space="0" w:color="auto"/>
      </w:divBdr>
      <w:divsChild>
        <w:div w:id="1946035975">
          <w:marLeft w:val="0"/>
          <w:marRight w:val="0"/>
          <w:marTop w:val="0"/>
          <w:marBottom w:val="0"/>
          <w:divBdr>
            <w:top w:val="none" w:sz="0" w:space="0" w:color="auto"/>
            <w:left w:val="none" w:sz="0" w:space="0" w:color="auto"/>
            <w:bottom w:val="none" w:sz="0" w:space="0" w:color="auto"/>
            <w:right w:val="none" w:sz="0" w:space="0" w:color="auto"/>
          </w:divBdr>
        </w:div>
      </w:divsChild>
    </w:div>
    <w:div w:id="1071579376">
      <w:marLeft w:val="4"/>
      <w:marRight w:val="0"/>
      <w:marTop w:val="200"/>
      <w:marBottom w:val="0"/>
      <w:divBdr>
        <w:top w:val="none" w:sz="0" w:space="0" w:color="auto"/>
        <w:left w:val="none" w:sz="0" w:space="0" w:color="auto"/>
        <w:bottom w:val="none" w:sz="0" w:space="0" w:color="auto"/>
        <w:right w:val="none" w:sz="0" w:space="0" w:color="auto"/>
      </w:divBdr>
      <w:divsChild>
        <w:div w:id="1164928472">
          <w:marLeft w:val="0"/>
          <w:marRight w:val="0"/>
          <w:marTop w:val="0"/>
          <w:marBottom w:val="0"/>
          <w:divBdr>
            <w:top w:val="none" w:sz="0" w:space="0" w:color="auto"/>
            <w:left w:val="none" w:sz="0" w:space="0" w:color="auto"/>
            <w:bottom w:val="none" w:sz="0" w:space="0" w:color="auto"/>
            <w:right w:val="none" w:sz="0" w:space="0" w:color="auto"/>
          </w:divBdr>
        </w:div>
      </w:divsChild>
    </w:div>
    <w:div w:id="1086733945">
      <w:marLeft w:val="4"/>
      <w:marRight w:val="0"/>
      <w:marTop w:val="200"/>
      <w:marBottom w:val="0"/>
      <w:divBdr>
        <w:top w:val="none" w:sz="0" w:space="0" w:color="auto"/>
        <w:left w:val="none" w:sz="0" w:space="0" w:color="auto"/>
        <w:bottom w:val="none" w:sz="0" w:space="0" w:color="auto"/>
        <w:right w:val="none" w:sz="0" w:space="0" w:color="auto"/>
      </w:divBdr>
      <w:divsChild>
        <w:div w:id="603000468">
          <w:marLeft w:val="0"/>
          <w:marRight w:val="0"/>
          <w:marTop w:val="0"/>
          <w:marBottom w:val="0"/>
          <w:divBdr>
            <w:top w:val="none" w:sz="0" w:space="0" w:color="auto"/>
            <w:left w:val="none" w:sz="0" w:space="0" w:color="auto"/>
            <w:bottom w:val="none" w:sz="0" w:space="0" w:color="auto"/>
            <w:right w:val="none" w:sz="0" w:space="0" w:color="auto"/>
          </w:divBdr>
        </w:div>
      </w:divsChild>
    </w:div>
    <w:div w:id="1091464313">
      <w:marLeft w:val="4"/>
      <w:marRight w:val="0"/>
      <w:marTop w:val="200"/>
      <w:marBottom w:val="0"/>
      <w:divBdr>
        <w:top w:val="none" w:sz="0" w:space="0" w:color="auto"/>
        <w:left w:val="none" w:sz="0" w:space="0" w:color="auto"/>
        <w:bottom w:val="none" w:sz="0" w:space="0" w:color="auto"/>
        <w:right w:val="none" w:sz="0" w:space="0" w:color="auto"/>
      </w:divBdr>
      <w:divsChild>
        <w:div w:id="1795442107">
          <w:marLeft w:val="0"/>
          <w:marRight w:val="0"/>
          <w:marTop w:val="0"/>
          <w:marBottom w:val="0"/>
          <w:divBdr>
            <w:top w:val="none" w:sz="0" w:space="0" w:color="auto"/>
            <w:left w:val="none" w:sz="0" w:space="0" w:color="auto"/>
            <w:bottom w:val="none" w:sz="0" w:space="0" w:color="auto"/>
            <w:right w:val="none" w:sz="0" w:space="0" w:color="auto"/>
          </w:divBdr>
        </w:div>
      </w:divsChild>
    </w:div>
    <w:div w:id="1131902432">
      <w:marLeft w:val="4"/>
      <w:marRight w:val="0"/>
      <w:marTop w:val="200"/>
      <w:marBottom w:val="0"/>
      <w:divBdr>
        <w:top w:val="none" w:sz="0" w:space="0" w:color="auto"/>
        <w:left w:val="none" w:sz="0" w:space="0" w:color="auto"/>
        <w:bottom w:val="none" w:sz="0" w:space="0" w:color="auto"/>
        <w:right w:val="none" w:sz="0" w:space="0" w:color="auto"/>
      </w:divBdr>
      <w:divsChild>
        <w:div w:id="636499029">
          <w:marLeft w:val="0"/>
          <w:marRight w:val="0"/>
          <w:marTop w:val="0"/>
          <w:marBottom w:val="0"/>
          <w:divBdr>
            <w:top w:val="none" w:sz="0" w:space="0" w:color="auto"/>
            <w:left w:val="none" w:sz="0" w:space="0" w:color="auto"/>
            <w:bottom w:val="none" w:sz="0" w:space="0" w:color="auto"/>
            <w:right w:val="none" w:sz="0" w:space="0" w:color="auto"/>
          </w:divBdr>
        </w:div>
      </w:divsChild>
    </w:div>
    <w:div w:id="1176112618">
      <w:marLeft w:val="4"/>
      <w:marRight w:val="0"/>
      <w:marTop w:val="200"/>
      <w:marBottom w:val="0"/>
      <w:divBdr>
        <w:top w:val="none" w:sz="0" w:space="0" w:color="auto"/>
        <w:left w:val="none" w:sz="0" w:space="0" w:color="auto"/>
        <w:bottom w:val="none" w:sz="0" w:space="0" w:color="auto"/>
        <w:right w:val="none" w:sz="0" w:space="0" w:color="auto"/>
      </w:divBdr>
      <w:divsChild>
        <w:div w:id="1417365914">
          <w:marLeft w:val="0"/>
          <w:marRight w:val="0"/>
          <w:marTop w:val="0"/>
          <w:marBottom w:val="0"/>
          <w:divBdr>
            <w:top w:val="none" w:sz="0" w:space="0" w:color="auto"/>
            <w:left w:val="none" w:sz="0" w:space="0" w:color="auto"/>
            <w:bottom w:val="none" w:sz="0" w:space="0" w:color="auto"/>
            <w:right w:val="none" w:sz="0" w:space="0" w:color="auto"/>
          </w:divBdr>
        </w:div>
      </w:divsChild>
    </w:div>
    <w:div w:id="1194029591">
      <w:marLeft w:val="4"/>
      <w:marRight w:val="0"/>
      <w:marTop w:val="200"/>
      <w:marBottom w:val="0"/>
      <w:divBdr>
        <w:top w:val="none" w:sz="0" w:space="0" w:color="auto"/>
        <w:left w:val="none" w:sz="0" w:space="0" w:color="auto"/>
        <w:bottom w:val="none" w:sz="0" w:space="0" w:color="auto"/>
        <w:right w:val="none" w:sz="0" w:space="0" w:color="auto"/>
      </w:divBdr>
      <w:divsChild>
        <w:div w:id="1189443210">
          <w:marLeft w:val="0"/>
          <w:marRight w:val="0"/>
          <w:marTop w:val="0"/>
          <w:marBottom w:val="0"/>
          <w:divBdr>
            <w:top w:val="none" w:sz="0" w:space="0" w:color="auto"/>
            <w:left w:val="none" w:sz="0" w:space="0" w:color="auto"/>
            <w:bottom w:val="none" w:sz="0" w:space="0" w:color="auto"/>
            <w:right w:val="none" w:sz="0" w:space="0" w:color="auto"/>
          </w:divBdr>
        </w:div>
      </w:divsChild>
    </w:div>
    <w:div w:id="1198196859">
      <w:marLeft w:val="4"/>
      <w:marRight w:val="0"/>
      <w:marTop w:val="200"/>
      <w:marBottom w:val="0"/>
      <w:divBdr>
        <w:top w:val="none" w:sz="0" w:space="0" w:color="auto"/>
        <w:left w:val="none" w:sz="0" w:space="0" w:color="auto"/>
        <w:bottom w:val="none" w:sz="0" w:space="0" w:color="auto"/>
        <w:right w:val="none" w:sz="0" w:space="0" w:color="auto"/>
      </w:divBdr>
      <w:divsChild>
        <w:div w:id="587470671">
          <w:marLeft w:val="0"/>
          <w:marRight w:val="0"/>
          <w:marTop w:val="0"/>
          <w:marBottom w:val="0"/>
          <w:divBdr>
            <w:top w:val="none" w:sz="0" w:space="0" w:color="auto"/>
            <w:left w:val="none" w:sz="0" w:space="0" w:color="auto"/>
            <w:bottom w:val="none" w:sz="0" w:space="0" w:color="auto"/>
            <w:right w:val="none" w:sz="0" w:space="0" w:color="auto"/>
          </w:divBdr>
        </w:div>
      </w:divsChild>
    </w:div>
    <w:div w:id="1198860143">
      <w:marLeft w:val="4"/>
      <w:marRight w:val="0"/>
      <w:marTop w:val="200"/>
      <w:marBottom w:val="0"/>
      <w:divBdr>
        <w:top w:val="none" w:sz="0" w:space="0" w:color="auto"/>
        <w:left w:val="none" w:sz="0" w:space="0" w:color="auto"/>
        <w:bottom w:val="none" w:sz="0" w:space="0" w:color="auto"/>
        <w:right w:val="none" w:sz="0" w:space="0" w:color="auto"/>
      </w:divBdr>
      <w:divsChild>
        <w:div w:id="799962556">
          <w:marLeft w:val="0"/>
          <w:marRight w:val="0"/>
          <w:marTop w:val="0"/>
          <w:marBottom w:val="0"/>
          <w:divBdr>
            <w:top w:val="none" w:sz="0" w:space="0" w:color="auto"/>
            <w:left w:val="none" w:sz="0" w:space="0" w:color="auto"/>
            <w:bottom w:val="none" w:sz="0" w:space="0" w:color="auto"/>
            <w:right w:val="none" w:sz="0" w:space="0" w:color="auto"/>
          </w:divBdr>
        </w:div>
      </w:divsChild>
    </w:div>
    <w:div w:id="1258517501">
      <w:marLeft w:val="4"/>
      <w:marRight w:val="0"/>
      <w:marTop w:val="200"/>
      <w:marBottom w:val="0"/>
      <w:divBdr>
        <w:top w:val="none" w:sz="0" w:space="0" w:color="auto"/>
        <w:left w:val="none" w:sz="0" w:space="0" w:color="auto"/>
        <w:bottom w:val="none" w:sz="0" w:space="0" w:color="auto"/>
        <w:right w:val="none" w:sz="0" w:space="0" w:color="auto"/>
      </w:divBdr>
      <w:divsChild>
        <w:div w:id="712533465">
          <w:marLeft w:val="0"/>
          <w:marRight w:val="0"/>
          <w:marTop w:val="0"/>
          <w:marBottom w:val="0"/>
          <w:divBdr>
            <w:top w:val="none" w:sz="0" w:space="0" w:color="auto"/>
            <w:left w:val="none" w:sz="0" w:space="0" w:color="auto"/>
            <w:bottom w:val="none" w:sz="0" w:space="0" w:color="auto"/>
            <w:right w:val="none" w:sz="0" w:space="0" w:color="auto"/>
          </w:divBdr>
        </w:div>
      </w:divsChild>
    </w:div>
    <w:div w:id="1275481849">
      <w:marLeft w:val="4"/>
      <w:marRight w:val="0"/>
      <w:marTop w:val="200"/>
      <w:marBottom w:val="0"/>
      <w:divBdr>
        <w:top w:val="none" w:sz="0" w:space="0" w:color="auto"/>
        <w:left w:val="none" w:sz="0" w:space="0" w:color="auto"/>
        <w:bottom w:val="none" w:sz="0" w:space="0" w:color="auto"/>
        <w:right w:val="none" w:sz="0" w:space="0" w:color="auto"/>
      </w:divBdr>
      <w:divsChild>
        <w:div w:id="2069527329">
          <w:marLeft w:val="0"/>
          <w:marRight w:val="0"/>
          <w:marTop w:val="0"/>
          <w:marBottom w:val="0"/>
          <w:divBdr>
            <w:top w:val="none" w:sz="0" w:space="0" w:color="auto"/>
            <w:left w:val="none" w:sz="0" w:space="0" w:color="auto"/>
            <w:bottom w:val="none" w:sz="0" w:space="0" w:color="auto"/>
            <w:right w:val="none" w:sz="0" w:space="0" w:color="auto"/>
          </w:divBdr>
        </w:div>
      </w:divsChild>
    </w:div>
    <w:div w:id="1306357132">
      <w:marLeft w:val="4"/>
      <w:marRight w:val="0"/>
      <w:marTop w:val="200"/>
      <w:marBottom w:val="0"/>
      <w:divBdr>
        <w:top w:val="none" w:sz="0" w:space="0" w:color="auto"/>
        <w:left w:val="none" w:sz="0" w:space="0" w:color="auto"/>
        <w:bottom w:val="none" w:sz="0" w:space="0" w:color="auto"/>
        <w:right w:val="none" w:sz="0" w:space="0" w:color="auto"/>
      </w:divBdr>
      <w:divsChild>
        <w:div w:id="1951889238">
          <w:marLeft w:val="0"/>
          <w:marRight w:val="0"/>
          <w:marTop w:val="0"/>
          <w:marBottom w:val="0"/>
          <w:divBdr>
            <w:top w:val="none" w:sz="0" w:space="0" w:color="auto"/>
            <w:left w:val="none" w:sz="0" w:space="0" w:color="auto"/>
            <w:bottom w:val="none" w:sz="0" w:space="0" w:color="auto"/>
            <w:right w:val="none" w:sz="0" w:space="0" w:color="auto"/>
          </w:divBdr>
        </w:div>
      </w:divsChild>
    </w:div>
    <w:div w:id="1377271179">
      <w:marLeft w:val="4"/>
      <w:marRight w:val="0"/>
      <w:marTop w:val="200"/>
      <w:marBottom w:val="0"/>
      <w:divBdr>
        <w:top w:val="none" w:sz="0" w:space="0" w:color="auto"/>
        <w:left w:val="none" w:sz="0" w:space="0" w:color="auto"/>
        <w:bottom w:val="none" w:sz="0" w:space="0" w:color="auto"/>
        <w:right w:val="none" w:sz="0" w:space="0" w:color="auto"/>
      </w:divBdr>
      <w:divsChild>
        <w:div w:id="1387535327">
          <w:marLeft w:val="0"/>
          <w:marRight w:val="0"/>
          <w:marTop w:val="0"/>
          <w:marBottom w:val="0"/>
          <w:divBdr>
            <w:top w:val="none" w:sz="0" w:space="0" w:color="auto"/>
            <w:left w:val="none" w:sz="0" w:space="0" w:color="auto"/>
            <w:bottom w:val="none" w:sz="0" w:space="0" w:color="auto"/>
            <w:right w:val="none" w:sz="0" w:space="0" w:color="auto"/>
          </w:divBdr>
        </w:div>
      </w:divsChild>
    </w:div>
    <w:div w:id="1397515321">
      <w:marLeft w:val="4"/>
      <w:marRight w:val="0"/>
      <w:marTop w:val="200"/>
      <w:marBottom w:val="0"/>
      <w:divBdr>
        <w:top w:val="none" w:sz="0" w:space="0" w:color="auto"/>
        <w:left w:val="none" w:sz="0" w:space="0" w:color="auto"/>
        <w:bottom w:val="none" w:sz="0" w:space="0" w:color="auto"/>
        <w:right w:val="none" w:sz="0" w:space="0" w:color="auto"/>
      </w:divBdr>
      <w:divsChild>
        <w:div w:id="1642347006">
          <w:marLeft w:val="0"/>
          <w:marRight w:val="0"/>
          <w:marTop w:val="0"/>
          <w:marBottom w:val="0"/>
          <w:divBdr>
            <w:top w:val="none" w:sz="0" w:space="0" w:color="auto"/>
            <w:left w:val="none" w:sz="0" w:space="0" w:color="auto"/>
            <w:bottom w:val="none" w:sz="0" w:space="0" w:color="auto"/>
            <w:right w:val="none" w:sz="0" w:space="0" w:color="auto"/>
          </w:divBdr>
        </w:div>
      </w:divsChild>
    </w:div>
    <w:div w:id="1412317374">
      <w:marLeft w:val="4"/>
      <w:marRight w:val="0"/>
      <w:marTop w:val="200"/>
      <w:marBottom w:val="0"/>
      <w:divBdr>
        <w:top w:val="none" w:sz="0" w:space="0" w:color="auto"/>
        <w:left w:val="none" w:sz="0" w:space="0" w:color="auto"/>
        <w:bottom w:val="none" w:sz="0" w:space="0" w:color="auto"/>
        <w:right w:val="none" w:sz="0" w:space="0" w:color="auto"/>
      </w:divBdr>
      <w:divsChild>
        <w:div w:id="891696971">
          <w:marLeft w:val="0"/>
          <w:marRight w:val="0"/>
          <w:marTop w:val="0"/>
          <w:marBottom w:val="0"/>
          <w:divBdr>
            <w:top w:val="none" w:sz="0" w:space="0" w:color="auto"/>
            <w:left w:val="none" w:sz="0" w:space="0" w:color="auto"/>
            <w:bottom w:val="none" w:sz="0" w:space="0" w:color="auto"/>
            <w:right w:val="none" w:sz="0" w:space="0" w:color="auto"/>
          </w:divBdr>
        </w:div>
      </w:divsChild>
    </w:div>
    <w:div w:id="1432623786">
      <w:marLeft w:val="4"/>
      <w:marRight w:val="0"/>
      <w:marTop w:val="200"/>
      <w:marBottom w:val="0"/>
      <w:divBdr>
        <w:top w:val="none" w:sz="0" w:space="0" w:color="auto"/>
        <w:left w:val="none" w:sz="0" w:space="0" w:color="auto"/>
        <w:bottom w:val="none" w:sz="0" w:space="0" w:color="auto"/>
        <w:right w:val="none" w:sz="0" w:space="0" w:color="auto"/>
      </w:divBdr>
      <w:divsChild>
        <w:div w:id="279454998">
          <w:marLeft w:val="0"/>
          <w:marRight w:val="0"/>
          <w:marTop w:val="0"/>
          <w:marBottom w:val="0"/>
          <w:divBdr>
            <w:top w:val="none" w:sz="0" w:space="0" w:color="auto"/>
            <w:left w:val="none" w:sz="0" w:space="0" w:color="auto"/>
            <w:bottom w:val="none" w:sz="0" w:space="0" w:color="auto"/>
            <w:right w:val="none" w:sz="0" w:space="0" w:color="auto"/>
          </w:divBdr>
        </w:div>
      </w:divsChild>
    </w:div>
    <w:div w:id="1446777004">
      <w:marLeft w:val="4"/>
      <w:marRight w:val="0"/>
      <w:marTop w:val="200"/>
      <w:marBottom w:val="0"/>
      <w:divBdr>
        <w:top w:val="none" w:sz="0" w:space="0" w:color="auto"/>
        <w:left w:val="none" w:sz="0" w:space="0" w:color="auto"/>
        <w:bottom w:val="none" w:sz="0" w:space="0" w:color="auto"/>
        <w:right w:val="none" w:sz="0" w:space="0" w:color="auto"/>
      </w:divBdr>
      <w:divsChild>
        <w:div w:id="653338689">
          <w:marLeft w:val="0"/>
          <w:marRight w:val="0"/>
          <w:marTop w:val="0"/>
          <w:marBottom w:val="0"/>
          <w:divBdr>
            <w:top w:val="none" w:sz="0" w:space="0" w:color="auto"/>
            <w:left w:val="none" w:sz="0" w:space="0" w:color="auto"/>
            <w:bottom w:val="none" w:sz="0" w:space="0" w:color="auto"/>
            <w:right w:val="none" w:sz="0" w:space="0" w:color="auto"/>
          </w:divBdr>
        </w:div>
      </w:divsChild>
    </w:div>
    <w:div w:id="1456286983">
      <w:marLeft w:val="4"/>
      <w:marRight w:val="0"/>
      <w:marTop w:val="200"/>
      <w:marBottom w:val="0"/>
      <w:divBdr>
        <w:top w:val="none" w:sz="0" w:space="0" w:color="auto"/>
        <w:left w:val="none" w:sz="0" w:space="0" w:color="auto"/>
        <w:bottom w:val="none" w:sz="0" w:space="0" w:color="auto"/>
        <w:right w:val="none" w:sz="0" w:space="0" w:color="auto"/>
      </w:divBdr>
      <w:divsChild>
        <w:div w:id="870189632">
          <w:marLeft w:val="0"/>
          <w:marRight w:val="0"/>
          <w:marTop w:val="0"/>
          <w:marBottom w:val="0"/>
          <w:divBdr>
            <w:top w:val="none" w:sz="0" w:space="0" w:color="auto"/>
            <w:left w:val="none" w:sz="0" w:space="0" w:color="auto"/>
            <w:bottom w:val="none" w:sz="0" w:space="0" w:color="auto"/>
            <w:right w:val="none" w:sz="0" w:space="0" w:color="auto"/>
          </w:divBdr>
        </w:div>
      </w:divsChild>
    </w:div>
    <w:div w:id="1470636031">
      <w:marLeft w:val="4"/>
      <w:marRight w:val="0"/>
      <w:marTop w:val="200"/>
      <w:marBottom w:val="0"/>
      <w:divBdr>
        <w:top w:val="none" w:sz="0" w:space="0" w:color="auto"/>
        <w:left w:val="none" w:sz="0" w:space="0" w:color="auto"/>
        <w:bottom w:val="none" w:sz="0" w:space="0" w:color="auto"/>
        <w:right w:val="none" w:sz="0" w:space="0" w:color="auto"/>
      </w:divBdr>
      <w:divsChild>
        <w:div w:id="573666821">
          <w:marLeft w:val="0"/>
          <w:marRight w:val="0"/>
          <w:marTop w:val="0"/>
          <w:marBottom w:val="0"/>
          <w:divBdr>
            <w:top w:val="none" w:sz="0" w:space="0" w:color="auto"/>
            <w:left w:val="none" w:sz="0" w:space="0" w:color="auto"/>
            <w:bottom w:val="none" w:sz="0" w:space="0" w:color="auto"/>
            <w:right w:val="none" w:sz="0" w:space="0" w:color="auto"/>
          </w:divBdr>
        </w:div>
      </w:divsChild>
    </w:div>
    <w:div w:id="1478765967">
      <w:marLeft w:val="4"/>
      <w:marRight w:val="0"/>
      <w:marTop w:val="200"/>
      <w:marBottom w:val="0"/>
      <w:divBdr>
        <w:top w:val="none" w:sz="0" w:space="0" w:color="auto"/>
        <w:left w:val="none" w:sz="0" w:space="0" w:color="auto"/>
        <w:bottom w:val="none" w:sz="0" w:space="0" w:color="auto"/>
        <w:right w:val="none" w:sz="0" w:space="0" w:color="auto"/>
      </w:divBdr>
      <w:divsChild>
        <w:div w:id="1714959249">
          <w:marLeft w:val="0"/>
          <w:marRight w:val="0"/>
          <w:marTop w:val="0"/>
          <w:marBottom w:val="0"/>
          <w:divBdr>
            <w:top w:val="none" w:sz="0" w:space="0" w:color="auto"/>
            <w:left w:val="none" w:sz="0" w:space="0" w:color="auto"/>
            <w:bottom w:val="none" w:sz="0" w:space="0" w:color="auto"/>
            <w:right w:val="none" w:sz="0" w:space="0" w:color="auto"/>
          </w:divBdr>
        </w:div>
      </w:divsChild>
    </w:div>
    <w:div w:id="1520503376">
      <w:marLeft w:val="4"/>
      <w:marRight w:val="0"/>
      <w:marTop w:val="200"/>
      <w:marBottom w:val="0"/>
      <w:divBdr>
        <w:top w:val="none" w:sz="0" w:space="0" w:color="auto"/>
        <w:left w:val="none" w:sz="0" w:space="0" w:color="auto"/>
        <w:bottom w:val="none" w:sz="0" w:space="0" w:color="auto"/>
        <w:right w:val="none" w:sz="0" w:space="0" w:color="auto"/>
      </w:divBdr>
      <w:divsChild>
        <w:div w:id="975332138">
          <w:marLeft w:val="0"/>
          <w:marRight w:val="0"/>
          <w:marTop w:val="0"/>
          <w:marBottom w:val="0"/>
          <w:divBdr>
            <w:top w:val="none" w:sz="0" w:space="0" w:color="auto"/>
            <w:left w:val="none" w:sz="0" w:space="0" w:color="auto"/>
            <w:bottom w:val="none" w:sz="0" w:space="0" w:color="auto"/>
            <w:right w:val="none" w:sz="0" w:space="0" w:color="auto"/>
          </w:divBdr>
        </w:div>
      </w:divsChild>
    </w:div>
    <w:div w:id="1539975562">
      <w:marLeft w:val="4"/>
      <w:marRight w:val="0"/>
      <w:marTop w:val="200"/>
      <w:marBottom w:val="0"/>
      <w:divBdr>
        <w:top w:val="none" w:sz="0" w:space="0" w:color="auto"/>
        <w:left w:val="none" w:sz="0" w:space="0" w:color="auto"/>
        <w:bottom w:val="none" w:sz="0" w:space="0" w:color="auto"/>
        <w:right w:val="none" w:sz="0" w:space="0" w:color="auto"/>
      </w:divBdr>
      <w:divsChild>
        <w:div w:id="1308781164">
          <w:marLeft w:val="0"/>
          <w:marRight w:val="0"/>
          <w:marTop w:val="0"/>
          <w:marBottom w:val="0"/>
          <w:divBdr>
            <w:top w:val="none" w:sz="0" w:space="0" w:color="auto"/>
            <w:left w:val="none" w:sz="0" w:space="0" w:color="auto"/>
            <w:bottom w:val="none" w:sz="0" w:space="0" w:color="auto"/>
            <w:right w:val="none" w:sz="0" w:space="0" w:color="auto"/>
          </w:divBdr>
        </w:div>
      </w:divsChild>
    </w:div>
    <w:div w:id="1563524504">
      <w:marLeft w:val="4"/>
      <w:marRight w:val="0"/>
      <w:marTop w:val="200"/>
      <w:marBottom w:val="0"/>
      <w:divBdr>
        <w:top w:val="none" w:sz="0" w:space="0" w:color="auto"/>
        <w:left w:val="none" w:sz="0" w:space="0" w:color="auto"/>
        <w:bottom w:val="none" w:sz="0" w:space="0" w:color="auto"/>
        <w:right w:val="none" w:sz="0" w:space="0" w:color="auto"/>
      </w:divBdr>
      <w:divsChild>
        <w:div w:id="457064785">
          <w:marLeft w:val="0"/>
          <w:marRight w:val="0"/>
          <w:marTop w:val="0"/>
          <w:marBottom w:val="0"/>
          <w:divBdr>
            <w:top w:val="none" w:sz="0" w:space="0" w:color="auto"/>
            <w:left w:val="none" w:sz="0" w:space="0" w:color="auto"/>
            <w:bottom w:val="none" w:sz="0" w:space="0" w:color="auto"/>
            <w:right w:val="none" w:sz="0" w:space="0" w:color="auto"/>
          </w:divBdr>
        </w:div>
      </w:divsChild>
    </w:div>
    <w:div w:id="1588729173">
      <w:marLeft w:val="4"/>
      <w:marRight w:val="0"/>
      <w:marTop w:val="200"/>
      <w:marBottom w:val="0"/>
      <w:divBdr>
        <w:top w:val="none" w:sz="0" w:space="0" w:color="auto"/>
        <w:left w:val="none" w:sz="0" w:space="0" w:color="auto"/>
        <w:bottom w:val="none" w:sz="0" w:space="0" w:color="auto"/>
        <w:right w:val="none" w:sz="0" w:space="0" w:color="auto"/>
      </w:divBdr>
      <w:divsChild>
        <w:div w:id="2143425056">
          <w:marLeft w:val="0"/>
          <w:marRight w:val="0"/>
          <w:marTop w:val="0"/>
          <w:marBottom w:val="0"/>
          <w:divBdr>
            <w:top w:val="none" w:sz="0" w:space="0" w:color="auto"/>
            <w:left w:val="none" w:sz="0" w:space="0" w:color="auto"/>
            <w:bottom w:val="none" w:sz="0" w:space="0" w:color="auto"/>
            <w:right w:val="none" w:sz="0" w:space="0" w:color="auto"/>
          </w:divBdr>
        </w:div>
      </w:divsChild>
    </w:div>
    <w:div w:id="1615087859">
      <w:marLeft w:val="0"/>
      <w:marRight w:val="0"/>
      <w:marTop w:val="0"/>
      <w:marBottom w:val="0"/>
      <w:divBdr>
        <w:top w:val="none" w:sz="0" w:space="0" w:color="auto"/>
        <w:left w:val="none" w:sz="0" w:space="0" w:color="auto"/>
        <w:bottom w:val="none" w:sz="0" w:space="0" w:color="auto"/>
        <w:right w:val="none" w:sz="0" w:space="0" w:color="auto"/>
      </w:divBdr>
      <w:divsChild>
        <w:div w:id="1759785551">
          <w:marLeft w:val="4"/>
          <w:marRight w:val="0"/>
          <w:marTop w:val="200"/>
          <w:marBottom w:val="0"/>
          <w:divBdr>
            <w:top w:val="none" w:sz="0" w:space="0" w:color="auto"/>
            <w:left w:val="none" w:sz="0" w:space="0" w:color="auto"/>
            <w:bottom w:val="none" w:sz="0" w:space="0" w:color="auto"/>
            <w:right w:val="none" w:sz="0" w:space="0" w:color="auto"/>
          </w:divBdr>
          <w:divsChild>
            <w:div w:id="328096480">
              <w:marLeft w:val="0"/>
              <w:marRight w:val="0"/>
              <w:marTop w:val="0"/>
              <w:marBottom w:val="0"/>
              <w:divBdr>
                <w:top w:val="none" w:sz="0" w:space="0" w:color="auto"/>
                <w:left w:val="none" w:sz="0" w:space="0" w:color="auto"/>
                <w:bottom w:val="none" w:sz="0" w:space="0" w:color="auto"/>
                <w:right w:val="none" w:sz="0" w:space="0" w:color="auto"/>
              </w:divBdr>
            </w:div>
          </w:divsChild>
        </w:div>
        <w:div w:id="21322344">
          <w:marLeft w:val="4"/>
          <w:marRight w:val="0"/>
          <w:marTop w:val="200"/>
          <w:marBottom w:val="0"/>
          <w:divBdr>
            <w:top w:val="none" w:sz="0" w:space="0" w:color="auto"/>
            <w:left w:val="none" w:sz="0" w:space="0" w:color="auto"/>
            <w:bottom w:val="none" w:sz="0" w:space="0" w:color="auto"/>
            <w:right w:val="none" w:sz="0" w:space="0" w:color="auto"/>
          </w:divBdr>
          <w:divsChild>
            <w:div w:id="325520772">
              <w:marLeft w:val="0"/>
              <w:marRight w:val="0"/>
              <w:marTop w:val="0"/>
              <w:marBottom w:val="0"/>
              <w:divBdr>
                <w:top w:val="none" w:sz="0" w:space="0" w:color="auto"/>
                <w:left w:val="none" w:sz="0" w:space="0" w:color="auto"/>
                <w:bottom w:val="none" w:sz="0" w:space="0" w:color="auto"/>
                <w:right w:val="none" w:sz="0" w:space="0" w:color="auto"/>
              </w:divBdr>
            </w:div>
          </w:divsChild>
        </w:div>
        <w:div w:id="955218279">
          <w:marLeft w:val="4"/>
          <w:marRight w:val="0"/>
          <w:marTop w:val="200"/>
          <w:marBottom w:val="0"/>
          <w:divBdr>
            <w:top w:val="none" w:sz="0" w:space="0" w:color="auto"/>
            <w:left w:val="none" w:sz="0" w:space="0" w:color="auto"/>
            <w:bottom w:val="none" w:sz="0" w:space="0" w:color="auto"/>
            <w:right w:val="none" w:sz="0" w:space="0" w:color="auto"/>
          </w:divBdr>
          <w:divsChild>
            <w:div w:id="1701125771">
              <w:marLeft w:val="0"/>
              <w:marRight w:val="0"/>
              <w:marTop w:val="0"/>
              <w:marBottom w:val="0"/>
              <w:divBdr>
                <w:top w:val="none" w:sz="0" w:space="0" w:color="auto"/>
                <w:left w:val="none" w:sz="0" w:space="0" w:color="auto"/>
                <w:bottom w:val="none" w:sz="0" w:space="0" w:color="auto"/>
                <w:right w:val="none" w:sz="0" w:space="0" w:color="auto"/>
              </w:divBdr>
            </w:div>
          </w:divsChild>
        </w:div>
        <w:div w:id="398869591">
          <w:marLeft w:val="0"/>
          <w:marRight w:val="0"/>
          <w:marTop w:val="0"/>
          <w:marBottom w:val="0"/>
          <w:divBdr>
            <w:top w:val="none" w:sz="0" w:space="0" w:color="auto"/>
            <w:left w:val="none" w:sz="0" w:space="0" w:color="auto"/>
            <w:bottom w:val="none" w:sz="0" w:space="0" w:color="auto"/>
            <w:right w:val="none" w:sz="0" w:space="0" w:color="auto"/>
          </w:divBdr>
        </w:div>
        <w:div w:id="414863996">
          <w:marLeft w:val="0"/>
          <w:marRight w:val="0"/>
          <w:marTop w:val="0"/>
          <w:marBottom w:val="0"/>
          <w:divBdr>
            <w:top w:val="none" w:sz="0" w:space="0" w:color="auto"/>
            <w:left w:val="none" w:sz="0" w:space="0" w:color="auto"/>
            <w:bottom w:val="none" w:sz="0" w:space="0" w:color="auto"/>
            <w:right w:val="none" w:sz="0" w:space="0" w:color="auto"/>
          </w:divBdr>
        </w:div>
        <w:div w:id="1488280858">
          <w:marLeft w:val="0"/>
          <w:marRight w:val="0"/>
          <w:marTop w:val="0"/>
          <w:marBottom w:val="0"/>
          <w:divBdr>
            <w:top w:val="none" w:sz="0" w:space="0" w:color="auto"/>
            <w:left w:val="none" w:sz="0" w:space="0" w:color="auto"/>
            <w:bottom w:val="none" w:sz="0" w:space="0" w:color="auto"/>
            <w:right w:val="none" w:sz="0" w:space="0" w:color="auto"/>
          </w:divBdr>
        </w:div>
      </w:divsChild>
    </w:div>
    <w:div w:id="1622028450">
      <w:marLeft w:val="4"/>
      <w:marRight w:val="0"/>
      <w:marTop w:val="200"/>
      <w:marBottom w:val="0"/>
      <w:divBdr>
        <w:top w:val="none" w:sz="0" w:space="0" w:color="auto"/>
        <w:left w:val="none" w:sz="0" w:space="0" w:color="auto"/>
        <w:bottom w:val="none" w:sz="0" w:space="0" w:color="auto"/>
        <w:right w:val="none" w:sz="0" w:space="0" w:color="auto"/>
      </w:divBdr>
      <w:divsChild>
        <w:div w:id="1112093375">
          <w:marLeft w:val="0"/>
          <w:marRight w:val="0"/>
          <w:marTop w:val="0"/>
          <w:marBottom w:val="0"/>
          <w:divBdr>
            <w:top w:val="none" w:sz="0" w:space="0" w:color="auto"/>
            <w:left w:val="none" w:sz="0" w:space="0" w:color="auto"/>
            <w:bottom w:val="none" w:sz="0" w:space="0" w:color="auto"/>
            <w:right w:val="none" w:sz="0" w:space="0" w:color="auto"/>
          </w:divBdr>
        </w:div>
      </w:divsChild>
    </w:div>
    <w:div w:id="1626766255">
      <w:marLeft w:val="4"/>
      <w:marRight w:val="0"/>
      <w:marTop w:val="200"/>
      <w:marBottom w:val="0"/>
      <w:divBdr>
        <w:top w:val="none" w:sz="0" w:space="0" w:color="auto"/>
        <w:left w:val="none" w:sz="0" w:space="0" w:color="auto"/>
        <w:bottom w:val="none" w:sz="0" w:space="0" w:color="auto"/>
        <w:right w:val="none" w:sz="0" w:space="0" w:color="auto"/>
      </w:divBdr>
      <w:divsChild>
        <w:div w:id="1225290459">
          <w:marLeft w:val="0"/>
          <w:marRight w:val="0"/>
          <w:marTop w:val="0"/>
          <w:marBottom w:val="0"/>
          <w:divBdr>
            <w:top w:val="none" w:sz="0" w:space="0" w:color="auto"/>
            <w:left w:val="none" w:sz="0" w:space="0" w:color="auto"/>
            <w:bottom w:val="none" w:sz="0" w:space="0" w:color="auto"/>
            <w:right w:val="none" w:sz="0" w:space="0" w:color="auto"/>
          </w:divBdr>
        </w:div>
      </w:divsChild>
    </w:div>
    <w:div w:id="1628273839">
      <w:marLeft w:val="4"/>
      <w:marRight w:val="0"/>
      <w:marTop w:val="200"/>
      <w:marBottom w:val="0"/>
      <w:divBdr>
        <w:top w:val="none" w:sz="0" w:space="0" w:color="auto"/>
        <w:left w:val="none" w:sz="0" w:space="0" w:color="auto"/>
        <w:bottom w:val="none" w:sz="0" w:space="0" w:color="auto"/>
        <w:right w:val="none" w:sz="0" w:space="0" w:color="auto"/>
      </w:divBdr>
      <w:divsChild>
        <w:div w:id="727729293">
          <w:marLeft w:val="0"/>
          <w:marRight w:val="0"/>
          <w:marTop w:val="0"/>
          <w:marBottom w:val="0"/>
          <w:divBdr>
            <w:top w:val="none" w:sz="0" w:space="0" w:color="auto"/>
            <w:left w:val="none" w:sz="0" w:space="0" w:color="auto"/>
            <w:bottom w:val="none" w:sz="0" w:space="0" w:color="auto"/>
            <w:right w:val="none" w:sz="0" w:space="0" w:color="auto"/>
          </w:divBdr>
        </w:div>
      </w:divsChild>
    </w:div>
    <w:div w:id="1638098872">
      <w:marLeft w:val="0"/>
      <w:marRight w:val="0"/>
      <w:marTop w:val="0"/>
      <w:marBottom w:val="0"/>
      <w:divBdr>
        <w:top w:val="none" w:sz="0" w:space="0" w:color="auto"/>
        <w:left w:val="none" w:sz="0" w:space="0" w:color="auto"/>
        <w:bottom w:val="none" w:sz="0" w:space="0" w:color="auto"/>
        <w:right w:val="none" w:sz="0" w:space="0" w:color="auto"/>
      </w:divBdr>
      <w:divsChild>
        <w:div w:id="673536008">
          <w:marLeft w:val="0"/>
          <w:marRight w:val="0"/>
          <w:marTop w:val="0"/>
          <w:marBottom w:val="0"/>
          <w:divBdr>
            <w:top w:val="none" w:sz="0" w:space="0" w:color="auto"/>
            <w:left w:val="none" w:sz="0" w:space="0" w:color="auto"/>
            <w:bottom w:val="none" w:sz="0" w:space="0" w:color="auto"/>
            <w:right w:val="none" w:sz="0" w:space="0" w:color="auto"/>
          </w:divBdr>
        </w:div>
        <w:div w:id="520051397">
          <w:marLeft w:val="0"/>
          <w:marRight w:val="0"/>
          <w:marTop w:val="0"/>
          <w:marBottom w:val="0"/>
          <w:divBdr>
            <w:top w:val="none" w:sz="0" w:space="0" w:color="auto"/>
            <w:left w:val="none" w:sz="0" w:space="0" w:color="auto"/>
            <w:bottom w:val="none" w:sz="0" w:space="0" w:color="auto"/>
            <w:right w:val="none" w:sz="0" w:space="0" w:color="auto"/>
          </w:divBdr>
        </w:div>
      </w:divsChild>
    </w:div>
    <w:div w:id="1643463860">
      <w:marLeft w:val="4"/>
      <w:marRight w:val="0"/>
      <w:marTop w:val="200"/>
      <w:marBottom w:val="0"/>
      <w:divBdr>
        <w:top w:val="none" w:sz="0" w:space="0" w:color="auto"/>
        <w:left w:val="none" w:sz="0" w:space="0" w:color="auto"/>
        <w:bottom w:val="none" w:sz="0" w:space="0" w:color="auto"/>
        <w:right w:val="none" w:sz="0" w:space="0" w:color="auto"/>
      </w:divBdr>
      <w:divsChild>
        <w:div w:id="1101027510">
          <w:marLeft w:val="0"/>
          <w:marRight w:val="0"/>
          <w:marTop w:val="0"/>
          <w:marBottom w:val="0"/>
          <w:divBdr>
            <w:top w:val="none" w:sz="0" w:space="0" w:color="auto"/>
            <w:left w:val="none" w:sz="0" w:space="0" w:color="auto"/>
            <w:bottom w:val="none" w:sz="0" w:space="0" w:color="auto"/>
            <w:right w:val="none" w:sz="0" w:space="0" w:color="auto"/>
          </w:divBdr>
        </w:div>
      </w:divsChild>
    </w:div>
    <w:div w:id="1654941720">
      <w:marLeft w:val="0"/>
      <w:marRight w:val="0"/>
      <w:marTop w:val="0"/>
      <w:marBottom w:val="0"/>
      <w:divBdr>
        <w:top w:val="none" w:sz="0" w:space="0" w:color="auto"/>
        <w:left w:val="none" w:sz="0" w:space="0" w:color="auto"/>
        <w:bottom w:val="none" w:sz="0" w:space="0" w:color="auto"/>
        <w:right w:val="none" w:sz="0" w:space="0" w:color="auto"/>
      </w:divBdr>
      <w:divsChild>
        <w:div w:id="222524033">
          <w:marLeft w:val="0"/>
          <w:marRight w:val="0"/>
          <w:marTop w:val="0"/>
          <w:marBottom w:val="0"/>
          <w:divBdr>
            <w:top w:val="none" w:sz="0" w:space="0" w:color="auto"/>
            <w:left w:val="none" w:sz="0" w:space="0" w:color="auto"/>
            <w:bottom w:val="none" w:sz="0" w:space="0" w:color="auto"/>
            <w:right w:val="none" w:sz="0" w:space="0" w:color="auto"/>
          </w:divBdr>
        </w:div>
      </w:divsChild>
    </w:div>
    <w:div w:id="1665619968">
      <w:marLeft w:val="4"/>
      <w:marRight w:val="0"/>
      <w:marTop w:val="200"/>
      <w:marBottom w:val="0"/>
      <w:divBdr>
        <w:top w:val="none" w:sz="0" w:space="0" w:color="auto"/>
        <w:left w:val="none" w:sz="0" w:space="0" w:color="auto"/>
        <w:bottom w:val="none" w:sz="0" w:space="0" w:color="auto"/>
        <w:right w:val="none" w:sz="0" w:space="0" w:color="auto"/>
      </w:divBdr>
      <w:divsChild>
        <w:div w:id="1807701714">
          <w:marLeft w:val="0"/>
          <w:marRight w:val="0"/>
          <w:marTop w:val="0"/>
          <w:marBottom w:val="0"/>
          <w:divBdr>
            <w:top w:val="none" w:sz="0" w:space="0" w:color="auto"/>
            <w:left w:val="none" w:sz="0" w:space="0" w:color="auto"/>
            <w:bottom w:val="none" w:sz="0" w:space="0" w:color="auto"/>
            <w:right w:val="none" w:sz="0" w:space="0" w:color="auto"/>
          </w:divBdr>
        </w:div>
      </w:divsChild>
    </w:div>
    <w:div w:id="1709331803">
      <w:marLeft w:val="4"/>
      <w:marRight w:val="0"/>
      <w:marTop w:val="200"/>
      <w:marBottom w:val="0"/>
      <w:divBdr>
        <w:top w:val="none" w:sz="0" w:space="0" w:color="auto"/>
        <w:left w:val="none" w:sz="0" w:space="0" w:color="auto"/>
        <w:bottom w:val="none" w:sz="0" w:space="0" w:color="auto"/>
        <w:right w:val="none" w:sz="0" w:space="0" w:color="auto"/>
      </w:divBdr>
      <w:divsChild>
        <w:div w:id="2140414327">
          <w:marLeft w:val="0"/>
          <w:marRight w:val="0"/>
          <w:marTop w:val="0"/>
          <w:marBottom w:val="0"/>
          <w:divBdr>
            <w:top w:val="none" w:sz="0" w:space="0" w:color="auto"/>
            <w:left w:val="none" w:sz="0" w:space="0" w:color="auto"/>
            <w:bottom w:val="none" w:sz="0" w:space="0" w:color="auto"/>
            <w:right w:val="none" w:sz="0" w:space="0" w:color="auto"/>
          </w:divBdr>
        </w:div>
      </w:divsChild>
    </w:div>
    <w:div w:id="1711950464">
      <w:marLeft w:val="4"/>
      <w:marRight w:val="0"/>
      <w:marTop w:val="200"/>
      <w:marBottom w:val="0"/>
      <w:divBdr>
        <w:top w:val="none" w:sz="0" w:space="0" w:color="auto"/>
        <w:left w:val="none" w:sz="0" w:space="0" w:color="auto"/>
        <w:bottom w:val="none" w:sz="0" w:space="0" w:color="auto"/>
        <w:right w:val="none" w:sz="0" w:space="0" w:color="auto"/>
      </w:divBdr>
      <w:divsChild>
        <w:div w:id="149249123">
          <w:marLeft w:val="0"/>
          <w:marRight w:val="0"/>
          <w:marTop w:val="0"/>
          <w:marBottom w:val="0"/>
          <w:divBdr>
            <w:top w:val="none" w:sz="0" w:space="0" w:color="auto"/>
            <w:left w:val="none" w:sz="0" w:space="0" w:color="auto"/>
            <w:bottom w:val="none" w:sz="0" w:space="0" w:color="auto"/>
            <w:right w:val="none" w:sz="0" w:space="0" w:color="auto"/>
          </w:divBdr>
        </w:div>
      </w:divsChild>
    </w:div>
    <w:div w:id="1712341353">
      <w:marLeft w:val="4"/>
      <w:marRight w:val="0"/>
      <w:marTop w:val="200"/>
      <w:marBottom w:val="0"/>
      <w:divBdr>
        <w:top w:val="none" w:sz="0" w:space="0" w:color="auto"/>
        <w:left w:val="none" w:sz="0" w:space="0" w:color="auto"/>
        <w:bottom w:val="none" w:sz="0" w:space="0" w:color="auto"/>
        <w:right w:val="none" w:sz="0" w:space="0" w:color="auto"/>
      </w:divBdr>
      <w:divsChild>
        <w:div w:id="2033922267">
          <w:marLeft w:val="0"/>
          <w:marRight w:val="0"/>
          <w:marTop w:val="0"/>
          <w:marBottom w:val="0"/>
          <w:divBdr>
            <w:top w:val="none" w:sz="0" w:space="0" w:color="auto"/>
            <w:left w:val="none" w:sz="0" w:space="0" w:color="auto"/>
            <w:bottom w:val="none" w:sz="0" w:space="0" w:color="auto"/>
            <w:right w:val="none" w:sz="0" w:space="0" w:color="auto"/>
          </w:divBdr>
        </w:div>
      </w:divsChild>
    </w:div>
    <w:div w:id="1717043317">
      <w:marLeft w:val="4"/>
      <w:marRight w:val="0"/>
      <w:marTop w:val="200"/>
      <w:marBottom w:val="0"/>
      <w:divBdr>
        <w:top w:val="none" w:sz="0" w:space="0" w:color="auto"/>
        <w:left w:val="none" w:sz="0" w:space="0" w:color="auto"/>
        <w:bottom w:val="none" w:sz="0" w:space="0" w:color="auto"/>
        <w:right w:val="none" w:sz="0" w:space="0" w:color="auto"/>
      </w:divBdr>
      <w:divsChild>
        <w:div w:id="1514493734">
          <w:marLeft w:val="0"/>
          <w:marRight w:val="0"/>
          <w:marTop w:val="0"/>
          <w:marBottom w:val="0"/>
          <w:divBdr>
            <w:top w:val="none" w:sz="0" w:space="0" w:color="auto"/>
            <w:left w:val="none" w:sz="0" w:space="0" w:color="auto"/>
            <w:bottom w:val="none" w:sz="0" w:space="0" w:color="auto"/>
            <w:right w:val="none" w:sz="0" w:space="0" w:color="auto"/>
          </w:divBdr>
        </w:div>
      </w:divsChild>
    </w:div>
    <w:div w:id="1719668145">
      <w:marLeft w:val="4"/>
      <w:marRight w:val="0"/>
      <w:marTop w:val="200"/>
      <w:marBottom w:val="0"/>
      <w:divBdr>
        <w:top w:val="none" w:sz="0" w:space="0" w:color="auto"/>
        <w:left w:val="none" w:sz="0" w:space="0" w:color="auto"/>
        <w:bottom w:val="none" w:sz="0" w:space="0" w:color="auto"/>
        <w:right w:val="none" w:sz="0" w:space="0" w:color="auto"/>
      </w:divBdr>
      <w:divsChild>
        <w:div w:id="78715345">
          <w:marLeft w:val="0"/>
          <w:marRight w:val="0"/>
          <w:marTop w:val="0"/>
          <w:marBottom w:val="0"/>
          <w:divBdr>
            <w:top w:val="none" w:sz="0" w:space="0" w:color="auto"/>
            <w:left w:val="none" w:sz="0" w:space="0" w:color="auto"/>
            <w:bottom w:val="none" w:sz="0" w:space="0" w:color="auto"/>
            <w:right w:val="none" w:sz="0" w:space="0" w:color="auto"/>
          </w:divBdr>
        </w:div>
      </w:divsChild>
    </w:div>
    <w:div w:id="1761373115">
      <w:marLeft w:val="0"/>
      <w:marRight w:val="0"/>
      <w:marTop w:val="0"/>
      <w:marBottom w:val="0"/>
      <w:divBdr>
        <w:top w:val="none" w:sz="0" w:space="0" w:color="auto"/>
        <w:left w:val="none" w:sz="0" w:space="0" w:color="auto"/>
        <w:bottom w:val="none" w:sz="0" w:space="0" w:color="auto"/>
        <w:right w:val="none" w:sz="0" w:space="0" w:color="auto"/>
      </w:divBdr>
      <w:divsChild>
        <w:div w:id="736437617">
          <w:marLeft w:val="0"/>
          <w:marRight w:val="0"/>
          <w:marTop w:val="0"/>
          <w:marBottom w:val="0"/>
          <w:divBdr>
            <w:top w:val="none" w:sz="0" w:space="0" w:color="auto"/>
            <w:left w:val="none" w:sz="0" w:space="0" w:color="auto"/>
            <w:bottom w:val="none" w:sz="0" w:space="0" w:color="auto"/>
            <w:right w:val="none" w:sz="0" w:space="0" w:color="auto"/>
          </w:divBdr>
        </w:div>
      </w:divsChild>
    </w:div>
    <w:div w:id="1786802137">
      <w:marLeft w:val="4"/>
      <w:marRight w:val="0"/>
      <w:marTop w:val="200"/>
      <w:marBottom w:val="0"/>
      <w:divBdr>
        <w:top w:val="none" w:sz="0" w:space="0" w:color="auto"/>
        <w:left w:val="none" w:sz="0" w:space="0" w:color="auto"/>
        <w:bottom w:val="none" w:sz="0" w:space="0" w:color="auto"/>
        <w:right w:val="none" w:sz="0" w:space="0" w:color="auto"/>
      </w:divBdr>
      <w:divsChild>
        <w:div w:id="1605962078">
          <w:marLeft w:val="0"/>
          <w:marRight w:val="0"/>
          <w:marTop w:val="0"/>
          <w:marBottom w:val="0"/>
          <w:divBdr>
            <w:top w:val="none" w:sz="0" w:space="0" w:color="auto"/>
            <w:left w:val="none" w:sz="0" w:space="0" w:color="auto"/>
            <w:bottom w:val="none" w:sz="0" w:space="0" w:color="auto"/>
            <w:right w:val="none" w:sz="0" w:space="0" w:color="auto"/>
          </w:divBdr>
        </w:div>
      </w:divsChild>
    </w:div>
    <w:div w:id="1903439533">
      <w:marLeft w:val="4"/>
      <w:marRight w:val="0"/>
      <w:marTop w:val="200"/>
      <w:marBottom w:val="0"/>
      <w:divBdr>
        <w:top w:val="none" w:sz="0" w:space="0" w:color="auto"/>
        <w:left w:val="none" w:sz="0" w:space="0" w:color="auto"/>
        <w:bottom w:val="none" w:sz="0" w:space="0" w:color="auto"/>
        <w:right w:val="none" w:sz="0" w:space="0" w:color="auto"/>
      </w:divBdr>
      <w:divsChild>
        <w:div w:id="1675036812">
          <w:marLeft w:val="0"/>
          <w:marRight w:val="0"/>
          <w:marTop w:val="0"/>
          <w:marBottom w:val="0"/>
          <w:divBdr>
            <w:top w:val="none" w:sz="0" w:space="0" w:color="auto"/>
            <w:left w:val="none" w:sz="0" w:space="0" w:color="auto"/>
            <w:bottom w:val="none" w:sz="0" w:space="0" w:color="auto"/>
            <w:right w:val="none" w:sz="0" w:space="0" w:color="auto"/>
          </w:divBdr>
        </w:div>
      </w:divsChild>
    </w:div>
    <w:div w:id="1903566274">
      <w:marLeft w:val="4"/>
      <w:marRight w:val="0"/>
      <w:marTop w:val="200"/>
      <w:marBottom w:val="0"/>
      <w:divBdr>
        <w:top w:val="none" w:sz="0" w:space="0" w:color="auto"/>
        <w:left w:val="none" w:sz="0" w:space="0" w:color="auto"/>
        <w:bottom w:val="none" w:sz="0" w:space="0" w:color="auto"/>
        <w:right w:val="none" w:sz="0" w:space="0" w:color="auto"/>
      </w:divBdr>
      <w:divsChild>
        <w:div w:id="1427455086">
          <w:marLeft w:val="0"/>
          <w:marRight w:val="0"/>
          <w:marTop w:val="0"/>
          <w:marBottom w:val="0"/>
          <w:divBdr>
            <w:top w:val="none" w:sz="0" w:space="0" w:color="auto"/>
            <w:left w:val="none" w:sz="0" w:space="0" w:color="auto"/>
            <w:bottom w:val="none" w:sz="0" w:space="0" w:color="auto"/>
            <w:right w:val="none" w:sz="0" w:space="0" w:color="auto"/>
          </w:divBdr>
        </w:div>
      </w:divsChild>
    </w:div>
    <w:div w:id="1926641996">
      <w:marLeft w:val="4"/>
      <w:marRight w:val="0"/>
      <w:marTop w:val="200"/>
      <w:marBottom w:val="0"/>
      <w:divBdr>
        <w:top w:val="none" w:sz="0" w:space="0" w:color="auto"/>
        <w:left w:val="none" w:sz="0" w:space="0" w:color="auto"/>
        <w:bottom w:val="none" w:sz="0" w:space="0" w:color="auto"/>
        <w:right w:val="none" w:sz="0" w:space="0" w:color="auto"/>
      </w:divBdr>
      <w:divsChild>
        <w:div w:id="32194521">
          <w:marLeft w:val="0"/>
          <w:marRight w:val="0"/>
          <w:marTop w:val="0"/>
          <w:marBottom w:val="0"/>
          <w:divBdr>
            <w:top w:val="none" w:sz="0" w:space="0" w:color="auto"/>
            <w:left w:val="none" w:sz="0" w:space="0" w:color="auto"/>
            <w:bottom w:val="none" w:sz="0" w:space="0" w:color="auto"/>
            <w:right w:val="none" w:sz="0" w:space="0" w:color="auto"/>
          </w:divBdr>
        </w:div>
      </w:divsChild>
    </w:div>
    <w:div w:id="1945650898">
      <w:marLeft w:val="4"/>
      <w:marRight w:val="0"/>
      <w:marTop w:val="200"/>
      <w:marBottom w:val="0"/>
      <w:divBdr>
        <w:top w:val="none" w:sz="0" w:space="0" w:color="auto"/>
        <w:left w:val="none" w:sz="0" w:space="0" w:color="auto"/>
        <w:bottom w:val="none" w:sz="0" w:space="0" w:color="auto"/>
        <w:right w:val="none" w:sz="0" w:space="0" w:color="auto"/>
      </w:divBdr>
      <w:divsChild>
        <w:div w:id="209997068">
          <w:marLeft w:val="0"/>
          <w:marRight w:val="0"/>
          <w:marTop w:val="0"/>
          <w:marBottom w:val="0"/>
          <w:divBdr>
            <w:top w:val="none" w:sz="0" w:space="0" w:color="auto"/>
            <w:left w:val="none" w:sz="0" w:space="0" w:color="auto"/>
            <w:bottom w:val="none" w:sz="0" w:space="0" w:color="auto"/>
            <w:right w:val="none" w:sz="0" w:space="0" w:color="auto"/>
          </w:divBdr>
        </w:div>
      </w:divsChild>
    </w:div>
    <w:div w:id="1961451139">
      <w:marLeft w:val="4"/>
      <w:marRight w:val="0"/>
      <w:marTop w:val="200"/>
      <w:marBottom w:val="0"/>
      <w:divBdr>
        <w:top w:val="none" w:sz="0" w:space="0" w:color="auto"/>
        <w:left w:val="none" w:sz="0" w:space="0" w:color="auto"/>
        <w:bottom w:val="none" w:sz="0" w:space="0" w:color="auto"/>
        <w:right w:val="none" w:sz="0" w:space="0" w:color="auto"/>
      </w:divBdr>
      <w:divsChild>
        <w:div w:id="1178231931">
          <w:marLeft w:val="0"/>
          <w:marRight w:val="0"/>
          <w:marTop w:val="0"/>
          <w:marBottom w:val="0"/>
          <w:divBdr>
            <w:top w:val="none" w:sz="0" w:space="0" w:color="auto"/>
            <w:left w:val="none" w:sz="0" w:space="0" w:color="auto"/>
            <w:bottom w:val="none" w:sz="0" w:space="0" w:color="auto"/>
            <w:right w:val="none" w:sz="0" w:space="0" w:color="auto"/>
          </w:divBdr>
        </w:div>
      </w:divsChild>
    </w:div>
    <w:div w:id="1969580171">
      <w:marLeft w:val="4"/>
      <w:marRight w:val="0"/>
      <w:marTop w:val="200"/>
      <w:marBottom w:val="0"/>
      <w:divBdr>
        <w:top w:val="none" w:sz="0" w:space="0" w:color="auto"/>
        <w:left w:val="none" w:sz="0" w:space="0" w:color="auto"/>
        <w:bottom w:val="none" w:sz="0" w:space="0" w:color="auto"/>
        <w:right w:val="none" w:sz="0" w:space="0" w:color="auto"/>
      </w:divBdr>
      <w:divsChild>
        <w:div w:id="2118325843">
          <w:marLeft w:val="0"/>
          <w:marRight w:val="0"/>
          <w:marTop w:val="0"/>
          <w:marBottom w:val="0"/>
          <w:divBdr>
            <w:top w:val="none" w:sz="0" w:space="0" w:color="auto"/>
            <w:left w:val="none" w:sz="0" w:space="0" w:color="auto"/>
            <w:bottom w:val="none" w:sz="0" w:space="0" w:color="auto"/>
            <w:right w:val="none" w:sz="0" w:space="0" w:color="auto"/>
          </w:divBdr>
        </w:div>
      </w:divsChild>
    </w:div>
    <w:div w:id="1981182511">
      <w:marLeft w:val="4"/>
      <w:marRight w:val="0"/>
      <w:marTop w:val="200"/>
      <w:marBottom w:val="0"/>
      <w:divBdr>
        <w:top w:val="none" w:sz="0" w:space="0" w:color="auto"/>
        <w:left w:val="none" w:sz="0" w:space="0" w:color="auto"/>
        <w:bottom w:val="none" w:sz="0" w:space="0" w:color="auto"/>
        <w:right w:val="none" w:sz="0" w:space="0" w:color="auto"/>
      </w:divBdr>
      <w:divsChild>
        <w:div w:id="69618816">
          <w:marLeft w:val="0"/>
          <w:marRight w:val="0"/>
          <w:marTop w:val="0"/>
          <w:marBottom w:val="0"/>
          <w:divBdr>
            <w:top w:val="none" w:sz="0" w:space="0" w:color="auto"/>
            <w:left w:val="none" w:sz="0" w:space="0" w:color="auto"/>
            <w:bottom w:val="none" w:sz="0" w:space="0" w:color="auto"/>
            <w:right w:val="none" w:sz="0" w:space="0" w:color="auto"/>
          </w:divBdr>
        </w:div>
      </w:divsChild>
    </w:div>
    <w:div w:id="2008243305">
      <w:marLeft w:val="4"/>
      <w:marRight w:val="0"/>
      <w:marTop w:val="200"/>
      <w:marBottom w:val="0"/>
      <w:divBdr>
        <w:top w:val="none" w:sz="0" w:space="0" w:color="auto"/>
        <w:left w:val="none" w:sz="0" w:space="0" w:color="auto"/>
        <w:bottom w:val="none" w:sz="0" w:space="0" w:color="auto"/>
        <w:right w:val="none" w:sz="0" w:space="0" w:color="auto"/>
      </w:divBdr>
      <w:divsChild>
        <w:div w:id="891885352">
          <w:marLeft w:val="0"/>
          <w:marRight w:val="0"/>
          <w:marTop w:val="0"/>
          <w:marBottom w:val="0"/>
          <w:divBdr>
            <w:top w:val="none" w:sz="0" w:space="0" w:color="auto"/>
            <w:left w:val="none" w:sz="0" w:space="0" w:color="auto"/>
            <w:bottom w:val="none" w:sz="0" w:space="0" w:color="auto"/>
            <w:right w:val="none" w:sz="0" w:space="0" w:color="auto"/>
          </w:divBdr>
        </w:div>
      </w:divsChild>
    </w:div>
    <w:div w:id="2067407121">
      <w:marLeft w:val="4"/>
      <w:marRight w:val="0"/>
      <w:marTop w:val="200"/>
      <w:marBottom w:val="0"/>
      <w:divBdr>
        <w:top w:val="none" w:sz="0" w:space="0" w:color="auto"/>
        <w:left w:val="none" w:sz="0" w:space="0" w:color="auto"/>
        <w:bottom w:val="none" w:sz="0" w:space="0" w:color="auto"/>
        <w:right w:val="none" w:sz="0" w:space="0" w:color="auto"/>
      </w:divBdr>
      <w:divsChild>
        <w:div w:id="1689484253">
          <w:marLeft w:val="0"/>
          <w:marRight w:val="0"/>
          <w:marTop w:val="0"/>
          <w:marBottom w:val="0"/>
          <w:divBdr>
            <w:top w:val="none" w:sz="0" w:space="0" w:color="auto"/>
            <w:left w:val="none" w:sz="0" w:space="0" w:color="auto"/>
            <w:bottom w:val="none" w:sz="0" w:space="0" w:color="auto"/>
            <w:right w:val="none" w:sz="0" w:space="0" w:color="auto"/>
          </w:divBdr>
        </w:div>
      </w:divsChild>
    </w:div>
    <w:div w:id="2080976197">
      <w:marLeft w:val="4"/>
      <w:marRight w:val="0"/>
      <w:marTop w:val="200"/>
      <w:marBottom w:val="0"/>
      <w:divBdr>
        <w:top w:val="none" w:sz="0" w:space="0" w:color="auto"/>
        <w:left w:val="none" w:sz="0" w:space="0" w:color="auto"/>
        <w:bottom w:val="none" w:sz="0" w:space="0" w:color="auto"/>
        <w:right w:val="none" w:sz="0" w:space="0" w:color="auto"/>
      </w:divBdr>
      <w:divsChild>
        <w:div w:id="443423365">
          <w:marLeft w:val="0"/>
          <w:marRight w:val="0"/>
          <w:marTop w:val="0"/>
          <w:marBottom w:val="0"/>
          <w:divBdr>
            <w:top w:val="none" w:sz="0" w:space="0" w:color="auto"/>
            <w:left w:val="none" w:sz="0" w:space="0" w:color="auto"/>
            <w:bottom w:val="none" w:sz="0" w:space="0" w:color="auto"/>
            <w:right w:val="none" w:sz="0" w:space="0" w:color="auto"/>
          </w:divBdr>
        </w:div>
      </w:divsChild>
    </w:div>
    <w:div w:id="2081054747">
      <w:marLeft w:val="0"/>
      <w:marRight w:val="0"/>
      <w:marTop w:val="0"/>
      <w:marBottom w:val="0"/>
      <w:divBdr>
        <w:top w:val="none" w:sz="0" w:space="0" w:color="auto"/>
        <w:left w:val="none" w:sz="0" w:space="0" w:color="auto"/>
        <w:bottom w:val="none" w:sz="0" w:space="0" w:color="auto"/>
        <w:right w:val="none" w:sz="0" w:space="0" w:color="auto"/>
      </w:divBdr>
      <w:divsChild>
        <w:div w:id="947083844">
          <w:marLeft w:val="0"/>
          <w:marRight w:val="0"/>
          <w:marTop w:val="0"/>
          <w:marBottom w:val="0"/>
          <w:divBdr>
            <w:top w:val="none" w:sz="0" w:space="0" w:color="auto"/>
            <w:left w:val="none" w:sz="0" w:space="0" w:color="auto"/>
            <w:bottom w:val="none" w:sz="0" w:space="0" w:color="auto"/>
            <w:right w:val="none" w:sz="0" w:space="0" w:color="auto"/>
          </w:divBdr>
        </w:div>
      </w:divsChild>
    </w:div>
    <w:div w:id="2130662075">
      <w:marLeft w:val="0"/>
      <w:marRight w:val="0"/>
      <w:marTop w:val="0"/>
      <w:marBottom w:val="0"/>
      <w:divBdr>
        <w:top w:val="none" w:sz="0" w:space="0" w:color="auto"/>
        <w:left w:val="none" w:sz="0" w:space="0" w:color="auto"/>
        <w:bottom w:val="none" w:sz="0" w:space="0" w:color="auto"/>
        <w:right w:val="none" w:sz="0" w:space="0" w:color="auto"/>
      </w:divBdr>
      <w:divsChild>
        <w:div w:id="8138371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31_1.htm" TargetMode="External"/><Relationship Id="rId3" Type="http://schemas.openxmlformats.org/officeDocument/2006/relationships/webSettings" Target="webSettings.xml"/><Relationship Id="rId7" Type="http://schemas.openxmlformats.org/officeDocument/2006/relationships/hyperlink" Target="https://www.sec.gov/Archives/edgar/data/1404655/000119312514353746/d697256dex4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04655/000095017022005701/hubs-ex3_1.htm" TargetMode="External"/><Relationship Id="rId11" Type="http://schemas.openxmlformats.org/officeDocument/2006/relationships/fontTable" Target="fontTable.xml"/><Relationship Id="rId5" Type="http://schemas.openxmlformats.org/officeDocument/2006/relationships/hyperlink" Target="https://www.sec.gov/Archives/edgar/data/1404655/000156459020051449/hubs-ex32_103.htm" TargetMode="External"/><Relationship Id="rId10" Type="http://schemas.openxmlformats.org/officeDocument/2006/relationships/hyperlink" Target="hubs-ex32_1.htm" TargetMode="External"/><Relationship Id="rId4" Type="http://schemas.openxmlformats.org/officeDocument/2006/relationships/hyperlink" Target="https://www.sec.gov/Archives/edgar/data/1404655/000156459016013204/hubs-ex31_768.htm" TargetMode="External"/><Relationship Id="rId9" Type="http://schemas.openxmlformats.org/officeDocument/2006/relationships/hyperlink" Target="hubs-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40065</Words>
  <Characters>228371</Characters>
  <Application>Microsoft Office Word</Application>
  <DocSecurity>0</DocSecurity>
  <Lines>1903</Lines>
  <Paragraphs>535</Paragraphs>
  <ScaleCrop>false</ScaleCrop>
  <Company/>
  <LinksUpToDate>false</LinksUpToDate>
  <CharactersWithSpaces>267901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